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198" w:rsidRDefault="005C0948" w:rsidP="005C094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63A73E8-8C5A-4B06-9550-1EE96C286ACB" style="width:451pt;height:502pt">
            <v:imagedata r:id="rId11" o:title=""/>
          </v:shape>
        </w:pict>
      </w:r>
    </w:p>
    <w:bookmarkEnd w:id="0"/>
    <w:p w:rsidR="00320198" w:rsidRDefault="00320198">
      <w:pPr>
        <w:widowControl w:val="0"/>
        <w:spacing w:line="240" w:lineRule="auto"/>
        <w:rPr>
          <w:rFonts w:ascii="Times New Roman" w:hAnsi="Times New Roman"/>
          <w:noProof/>
          <w:lang w:eastAsia="en-GB"/>
        </w:rPr>
        <w:sectPr w:rsidR="00320198" w:rsidSect="005C0948">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2"/>
          <w:cols w:space="720"/>
          <w:docGrid w:linePitch="360"/>
        </w:sectPr>
      </w:pPr>
    </w:p>
    <w:p w:rsidR="00320198" w:rsidRDefault="005C0948">
      <w:pPr>
        <w:widowControl w:val="0"/>
        <w:spacing w:after="0" w:line="360" w:lineRule="auto"/>
        <w:jc w:val="center"/>
        <w:rPr>
          <w:rFonts w:ascii="Times New Roman" w:hAnsi="Times New Roman"/>
          <w:b/>
          <w:noProof/>
          <w:sz w:val="24"/>
          <w:szCs w:val="24"/>
          <w:lang w:eastAsia="en-GB"/>
        </w:rPr>
      </w:pPr>
      <w:r>
        <w:rPr>
          <w:rFonts w:ascii="Times New Roman" w:hAnsi="Times New Roman"/>
          <w:b/>
          <w:noProof/>
          <w:sz w:val="24"/>
          <w:szCs w:val="24"/>
          <w:lang w:eastAsia="en-GB"/>
        </w:rPr>
        <w:lastRenderedPageBreak/>
        <w:t>TABLE OF CONTENTS</w:t>
      </w:r>
    </w:p>
    <w:p w:rsidR="00320198" w:rsidRDefault="005C0948">
      <w:pPr>
        <w:pStyle w:val="TOC1"/>
        <w:rPr>
          <w:rFonts w:asciiTheme="minorHAnsi" w:eastAsiaTheme="minorEastAsia" w:hAnsiTheme="minorHAnsi" w:cstheme="minorBidi"/>
          <w:noProof/>
          <w:lang w:eastAsia="en-GB"/>
        </w:rPr>
      </w:pPr>
      <w:r>
        <w:rPr>
          <w:rFonts w:ascii="Times New Roman" w:hAnsi="Times New Roman"/>
          <w:b/>
          <w:bCs/>
          <w:noProof/>
          <w:kern w:val="32"/>
          <w:sz w:val="24"/>
          <w:szCs w:val="24"/>
          <w:lang w:eastAsia="en-GB"/>
        </w:rPr>
        <w:fldChar w:fldCharType="begin"/>
      </w:r>
      <w:r>
        <w:rPr>
          <w:rFonts w:ascii="Times New Roman" w:hAnsi="Times New Roman"/>
          <w:b/>
          <w:bCs/>
          <w:noProof/>
          <w:kern w:val="32"/>
          <w:sz w:val="24"/>
          <w:szCs w:val="24"/>
          <w:lang w:eastAsia="en-GB"/>
        </w:rPr>
        <w:instrText xml:space="preserve"> TOC \o "1-3" \h \z \u </w:instrText>
      </w:r>
      <w:r>
        <w:rPr>
          <w:rFonts w:ascii="Times New Roman" w:hAnsi="Times New Roman"/>
          <w:b/>
          <w:bCs/>
          <w:noProof/>
          <w:kern w:val="32"/>
          <w:sz w:val="24"/>
          <w:szCs w:val="24"/>
          <w:lang w:eastAsia="en-GB"/>
        </w:rPr>
        <w:fldChar w:fldCharType="separate"/>
      </w:r>
      <w:hyperlink w:anchor="_Toc8831296" w:history="1">
        <w:r>
          <w:rPr>
            <w:rStyle w:val="Hyperlink"/>
            <w:bCs/>
            <w:noProof/>
            <w:kern w:val="32"/>
            <w:lang w:eastAsia="en-GB"/>
          </w:rPr>
          <w:t>I.</w:t>
        </w:r>
        <w:r>
          <w:rPr>
            <w:rFonts w:asciiTheme="minorHAnsi" w:eastAsiaTheme="minorEastAsia" w:hAnsiTheme="minorHAnsi" w:cstheme="minorBidi"/>
            <w:noProof/>
            <w:lang w:eastAsia="en-GB"/>
          </w:rPr>
          <w:tab/>
        </w:r>
        <w:r>
          <w:rPr>
            <w:rStyle w:val="Hyperlink"/>
            <w:bCs/>
            <w:noProof/>
            <w:kern w:val="32"/>
            <w:lang w:eastAsia="en-GB"/>
          </w:rPr>
          <w:t>LEGISLATION AND POLICY DEVELOPMENTS</w:t>
        </w:r>
        <w:r>
          <w:rPr>
            <w:noProof/>
            <w:webHidden/>
          </w:rPr>
          <w:tab/>
        </w:r>
        <w:r>
          <w:rPr>
            <w:noProof/>
            <w:webHidden/>
          </w:rPr>
          <w:fldChar w:fldCharType="begin"/>
        </w:r>
        <w:r>
          <w:rPr>
            <w:noProof/>
            <w:webHidden/>
          </w:rPr>
          <w:instrText xml:space="preserve"> PAGEREF _Toc8831296 \h </w:instrText>
        </w:r>
        <w:r>
          <w:rPr>
            <w:noProof/>
            <w:webHidden/>
          </w:rPr>
        </w:r>
        <w:r>
          <w:rPr>
            <w:noProof/>
            <w:webHidden/>
          </w:rPr>
          <w:fldChar w:fldCharType="separate"/>
        </w:r>
        <w:r>
          <w:rPr>
            <w:noProof/>
            <w:webHidden/>
          </w:rPr>
          <w:t>2</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297" w:history="1">
        <w:r>
          <w:rPr>
            <w:rStyle w:val="Hyperlink"/>
            <w:rFonts w:ascii="Times New Roman" w:eastAsia="Times New Roman" w:hAnsi="Times New Roman"/>
            <w:b/>
            <w:smallCaps/>
            <w:noProof/>
          </w:rPr>
          <w:t>1.</w:t>
        </w:r>
        <w:r>
          <w:rPr>
            <w:rFonts w:asciiTheme="minorHAnsi" w:eastAsiaTheme="minorEastAsia" w:hAnsiTheme="minorHAnsi" w:cstheme="minorBidi"/>
            <w:noProof/>
            <w:lang w:eastAsia="en-GB"/>
          </w:rPr>
          <w:tab/>
        </w:r>
        <w:r>
          <w:rPr>
            <w:rStyle w:val="Hyperlink"/>
            <w:rFonts w:ascii="Times New Roman" w:eastAsia="Times New Roman" w:hAnsi="Times New Roman"/>
            <w:b/>
            <w:smallCaps/>
            <w:noProof/>
          </w:rPr>
          <w:t>Antitrust and cartels</w:t>
        </w:r>
        <w:r>
          <w:rPr>
            <w:noProof/>
            <w:webHidden/>
          </w:rPr>
          <w:tab/>
        </w:r>
        <w:r>
          <w:rPr>
            <w:noProof/>
            <w:webHidden/>
          </w:rPr>
          <w:fldChar w:fldCharType="begin"/>
        </w:r>
        <w:r>
          <w:rPr>
            <w:noProof/>
            <w:webHidden/>
          </w:rPr>
          <w:instrText xml:space="preserve"> PAGEREF _Toc8831297 \h </w:instrText>
        </w:r>
        <w:r>
          <w:rPr>
            <w:noProof/>
            <w:webHidden/>
          </w:rPr>
        </w:r>
        <w:r>
          <w:rPr>
            <w:noProof/>
            <w:webHidden/>
          </w:rPr>
          <w:fldChar w:fldCharType="separate"/>
        </w:r>
        <w:r>
          <w:rPr>
            <w:noProof/>
            <w:webHidden/>
          </w:rPr>
          <w:t>2</w:t>
        </w:r>
        <w:r>
          <w:rPr>
            <w:noProof/>
            <w:webHidden/>
          </w:rPr>
          <w:fldChar w:fldCharType="end"/>
        </w:r>
      </w:hyperlink>
    </w:p>
    <w:p w:rsidR="00320198" w:rsidRDefault="005C0948">
      <w:pPr>
        <w:pStyle w:val="TOC3"/>
        <w:tabs>
          <w:tab w:val="right" w:leader="dot" w:pos="9060"/>
        </w:tabs>
        <w:rPr>
          <w:rFonts w:asciiTheme="minorHAnsi" w:eastAsiaTheme="minorEastAsia" w:hAnsiTheme="minorHAnsi" w:cstheme="minorBidi"/>
          <w:noProof/>
          <w:lang w:eastAsia="en-GB"/>
        </w:rPr>
      </w:pPr>
      <w:hyperlink w:anchor="_Toc8831298" w:history="1">
        <w:r>
          <w:rPr>
            <w:rStyle w:val="Hyperlink"/>
            <w:rFonts w:ascii="Times New Roman" w:eastAsia="Times New Roman" w:hAnsi="Times New Roman"/>
            <w:b/>
            <w:bCs/>
            <w:noProof/>
            <w:lang w:eastAsia="en-GB"/>
          </w:rPr>
          <w:t>1.1 Guidance in antitrust and cartel proceedings</w:t>
        </w:r>
        <w:r>
          <w:rPr>
            <w:noProof/>
            <w:webHidden/>
          </w:rPr>
          <w:tab/>
        </w:r>
        <w:bookmarkStart w:id="1" w:name="_GoBack"/>
        <w:bookmarkEnd w:id="1"/>
        <w:r>
          <w:rPr>
            <w:noProof/>
            <w:webHidden/>
          </w:rPr>
          <w:fldChar w:fldCharType="begin"/>
        </w:r>
        <w:r>
          <w:rPr>
            <w:noProof/>
            <w:webHidden/>
          </w:rPr>
          <w:instrText xml:space="preserve"> PAGEREF _Toc8831298 \h </w:instrText>
        </w:r>
        <w:r>
          <w:rPr>
            <w:noProof/>
            <w:webHidden/>
          </w:rPr>
        </w:r>
        <w:r>
          <w:rPr>
            <w:noProof/>
            <w:webHidden/>
          </w:rPr>
          <w:fldChar w:fldCharType="separate"/>
        </w:r>
        <w:r>
          <w:rPr>
            <w:noProof/>
            <w:webHidden/>
          </w:rPr>
          <w:t>3</w:t>
        </w:r>
        <w:r>
          <w:rPr>
            <w:noProof/>
            <w:webHidden/>
          </w:rPr>
          <w:fldChar w:fldCharType="end"/>
        </w:r>
      </w:hyperlink>
    </w:p>
    <w:p w:rsidR="00320198" w:rsidRDefault="005C0948">
      <w:pPr>
        <w:pStyle w:val="TOC3"/>
        <w:tabs>
          <w:tab w:val="right" w:leader="dot" w:pos="9060"/>
        </w:tabs>
        <w:rPr>
          <w:rFonts w:asciiTheme="minorHAnsi" w:eastAsiaTheme="minorEastAsia" w:hAnsiTheme="minorHAnsi" w:cstheme="minorBidi"/>
          <w:noProof/>
          <w:lang w:eastAsia="en-GB"/>
        </w:rPr>
      </w:pPr>
      <w:hyperlink w:anchor="_Toc8831299" w:history="1">
        <w:r>
          <w:rPr>
            <w:rStyle w:val="Hyperlink"/>
            <w:rFonts w:ascii="Times New Roman" w:eastAsia="Times New Roman" w:hAnsi="Times New Roman"/>
            <w:b/>
            <w:bCs/>
            <w:noProof/>
            <w:lang w:eastAsia="en-GB"/>
          </w:rPr>
          <w:t>1.2 Important judgments by the European Union Courts</w:t>
        </w:r>
        <w:r>
          <w:rPr>
            <w:noProof/>
            <w:webHidden/>
          </w:rPr>
          <w:tab/>
        </w:r>
        <w:r>
          <w:rPr>
            <w:noProof/>
            <w:webHidden/>
          </w:rPr>
          <w:fldChar w:fldCharType="begin"/>
        </w:r>
        <w:r>
          <w:rPr>
            <w:noProof/>
            <w:webHidden/>
          </w:rPr>
          <w:instrText xml:space="preserve"> PAGEREF _Toc8831299 \h </w:instrText>
        </w:r>
        <w:r>
          <w:rPr>
            <w:noProof/>
            <w:webHidden/>
          </w:rPr>
        </w:r>
        <w:r>
          <w:rPr>
            <w:noProof/>
            <w:webHidden/>
          </w:rPr>
          <w:fldChar w:fldCharType="separate"/>
        </w:r>
        <w:r>
          <w:rPr>
            <w:noProof/>
            <w:webHidden/>
          </w:rPr>
          <w:t>5</w:t>
        </w:r>
        <w:r>
          <w:rPr>
            <w:noProof/>
            <w:webHidden/>
          </w:rPr>
          <w:fldChar w:fldCharType="end"/>
        </w:r>
      </w:hyperlink>
    </w:p>
    <w:p w:rsidR="00320198" w:rsidRDefault="005C0948">
      <w:pPr>
        <w:pStyle w:val="TOC3"/>
        <w:tabs>
          <w:tab w:val="right" w:leader="dot" w:pos="9060"/>
        </w:tabs>
        <w:rPr>
          <w:rFonts w:asciiTheme="minorHAnsi" w:eastAsiaTheme="minorEastAsia" w:hAnsiTheme="minorHAnsi" w:cstheme="minorBidi"/>
          <w:noProof/>
          <w:lang w:eastAsia="en-GB"/>
        </w:rPr>
      </w:pPr>
      <w:hyperlink w:anchor="_Toc8831300" w:history="1">
        <w:r>
          <w:rPr>
            <w:rStyle w:val="Hyperlink"/>
            <w:rFonts w:ascii="Times New Roman" w:eastAsia="Times New Roman" w:hAnsi="Times New Roman"/>
            <w:b/>
            <w:bCs/>
            <w:noProof/>
            <w:lang w:eastAsia="en-GB"/>
          </w:rPr>
          <w:t>1.3 The fight against cartels remains a top priority</w:t>
        </w:r>
        <w:r>
          <w:rPr>
            <w:noProof/>
            <w:webHidden/>
          </w:rPr>
          <w:tab/>
        </w:r>
        <w:r>
          <w:rPr>
            <w:noProof/>
            <w:webHidden/>
          </w:rPr>
          <w:fldChar w:fldCharType="begin"/>
        </w:r>
        <w:r>
          <w:rPr>
            <w:noProof/>
            <w:webHidden/>
          </w:rPr>
          <w:instrText xml:space="preserve"> PAGEREF _Toc8831</w:instrText>
        </w:r>
        <w:r>
          <w:rPr>
            <w:noProof/>
            <w:webHidden/>
          </w:rPr>
          <w:instrText xml:space="preserve">300 \h </w:instrText>
        </w:r>
        <w:r>
          <w:rPr>
            <w:noProof/>
            <w:webHidden/>
          </w:rPr>
        </w:r>
        <w:r>
          <w:rPr>
            <w:noProof/>
            <w:webHidden/>
          </w:rPr>
          <w:fldChar w:fldCharType="separate"/>
        </w:r>
        <w:r>
          <w:rPr>
            <w:noProof/>
            <w:webHidden/>
          </w:rPr>
          <w:t>14</w:t>
        </w:r>
        <w:r>
          <w:rPr>
            <w:noProof/>
            <w:webHidden/>
          </w:rPr>
          <w:fldChar w:fldCharType="end"/>
        </w:r>
      </w:hyperlink>
    </w:p>
    <w:p w:rsidR="00320198" w:rsidRDefault="005C0948">
      <w:pPr>
        <w:pStyle w:val="TOC3"/>
        <w:tabs>
          <w:tab w:val="right" w:leader="dot" w:pos="9060"/>
        </w:tabs>
        <w:rPr>
          <w:rFonts w:asciiTheme="minorHAnsi" w:eastAsiaTheme="minorEastAsia" w:hAnsiTheme="minorHAnsi" w:cstheme="minorBidi"/>
          <w:noProof/>
          <w:lang w:eastAsia="en-GB"/>
        </w:rPr>
      </w:pPr>
      <w:hyperlink w:anchor="_Toc8831301" w:history="1">
        <w:r>
          <w:rPr>
            <w:rStyle w:val="Hyperlink"/>
            <w:rFonts w:ascii="Times New Roman" w:eastAsia="Times New Roman" w:hAnsi="Times New Roman"/>
            <w:b/>
            <w:bCs/>
            <w:noProof/>
            <w:lang w:eastAsia="en-GB"/>
          </w:rPr>
          <w:t>1.4 Continuing close cooperation within the European Competition Network and with national courts</w:t>
        </w:r>
        <w:r>
          <w:rPr>
            <w:noProof/>
            <w:webHidden/>
          </w:rPr>
          <w:tab/>
        </w:r>
        <w:r>
          <w:rPr>
            <w:noProof/>
            <w:webHidden/>
          </w:rPr>
          <w:fldChar w:fldCharType="begin"/>
        </w:r>
        <w:r>
          <w:rPr>
            <w:noProof/>
            <w:webHidden/>
          </w:rPr>
          <w:instrText xml:space="preserve"> PAGEREF _Toc8831301 \h </w:instrText>
        </w:r>
        <w:r>
          <w:rPr>
            <w:noProof/>
            <w:webHidden/>
          </w:rPr>
        </w:r>
        <w:r>
          <w:rPr>
            <w:noProof/>
            <w:webHidden/>
          </w:rPr>
          <w:fldChar w:fldCharType="separate"/>
        </w:r>
        <w:r>
          <w:rPr>
            <w:noProof/>
            <w:webHidden/>
          </w:rPr>
          <w:t>16</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02" w:history="1">
        <w:r>
          <w:rPr>
            <w:rStyle w:val="Hyperlink"/>
            <w:rFonts w:ascii="Times New Roman" w:eastAsia="Times New Roman" w:hAnsi="Times New Roman"/>
            <w:b/>
            <w:smallCaps/>
            <w:noProof/>
          </w:rPr>
          <w:t>2.</w:t>
        </w:r>
        <w:r>
          <w:rPr>
            <w:rFonts w:asciiTheme="minorHAnsi" w:eastAsiaTheme="minorEastAsia" w:hAnsiTheme="minorHAnsi" w:cstheme="minorBidi"/>
            <w:noProof/>
            <w:lang w:eastAsia="en-GB"/>
          </w:rPr>
          <w:tab/>
        </w:r>
        <w:r>
          <w:rPr>
            <w:rStyle w:val="Hyperlink"/>
            <w:rFonts w:ascii="Times New Roman" w:eastAsia="Times New Roman" w:hAnsi="Times New Roman"/>
            <w:b/>
            <w:smallCaps/>
            <w:noProof/>
          </w:rPr>
          <w:t>Merger control</w:t>
        </w:r>
        <w:r>
          <w:rPr>
            <w:noProof/>
            <w:webHidden/>
          </w:rPr>
          <w:tab/>
        </w:r>
        <w:r>
          <w:rPr>
            <w:noProof/>
            <w:webHidden/>
          </w:rPr>
          <w:fldChar w:fldCharType="begin"/>
        </w:r>
        <w:r>
          <w:rPr>
            <w:noProof/>
            <w:webHidden/>
          </w:rPr>
          <w:instrText xml:space="preserve"> PAGEREF _Toc8831302 \h </w:instrText>
        </w:r>
        <w:r>
          <w:rPr>
            <w:noProof/>
            <w:webHidden/>
          </w:rPr>
        </w:r>
        <w:r>
          <w:rPr>
            <w:noProof/>
            <w:webHidden/>
          </w:rPr>
          <w:fldChar w:fldCharType="separate"/>
        </w:r>
        <w:r>
          <w:rPr>
            <w:noProof/>
            <w:webHidden/>
          </w:rPr>
          <w:t>18</w:t>
        </w:r>
        <w:r>
          <w:rPr>
            <w:noProof/>
            <w:webHidden/>
          </w:rPr>
          <w:fldChar w:fldCharType="end"/>
        </w:r>
      </w:hyperlink>
    </w:p>
    <w:p w:rsidR="00320198" w:rsidRDefault="005C0948">
      <w:pPr>
        <w:pStyle w:val="TOC3"/>
        <w:tabs>
          <w:tab w:val="right" w:leader="dot" w:pos="9060"/>
        </w:tabs>
        <w:rPr>
          <w:rFonts w:asciiTheme="minorHAnsi" w:eastAsiaTheme="minorEastAsia" w:hAnsiTheme="minorHAnsi" w:cstheme="minorBidi"/>
          <w:noProof/>
          <w:lang w:eastAsia="en-GB"/>
        </w:rPr>
      </w:pPr>
      <w:hyperlink w:anchor="_Toc8831303" w:history="1">
        <w:r>
          <w:rPr>
            <w:rStyle w:val="Hyperlink"/>
            <w:rFonts w:ascii="Times New Roman" w:eastAsia="Times New Roman" w:hAnsi="Times New Roman"/>
            <w:b/>
            <w:bCs/>
            <w:noProof/>
            <w:lang w:eastAsia="en-GB"/>
          </w:rPr>
          <w:t xml:space="preserve">2.1 Recent </w:t>
        </w:r>
        <w:r>
          <w:rPr>
            <w:rStyle w:val="Hyperlink"/>
            <w:rFonts w:ascii="Times New Roman" w:eastAsia="Times New Roman" w:hAnsi="Times New Roman"/>
            <w:b/>
            <w:bCs/>
            <w:noProof/>
            <w:lang w:eastAsia="en-GB"/>
          </w:rPr>
          <w:t>enforcement trends</w:t>
        </w:r>
        <w:r>
          <w:rPr>
            <w:noProof/>
            <w:webHidden/>
          </w:rPr>
          <w:tab/>
        </w:r>
        <w:r>
          <w:rPr>
            <w:noProof/>
            <w:webHidden/>
          </w:rPr>
          <w:fldChar w:fldCharType="begin"/>
        </w:r>
        <w:r>
          <w:rPr>
            <w:noProof/>
            <w:webHidden/>
          </w:rPr>
          <w:instrText xml:space="preserve"> PAGEREF _Toc8831303 \h </w:instrText>
        </w:r>
        <w:r>
          <w:rPr>
            <w:noProof/>
            <w:webHidden/>
          </w:rPr>
        </w:r>
        <w:r>
          <w:rPr>
            <w:noProof/>
            <w:webHidden/>
          </w:rPr>
          <w:fldChar w:fldCharType="separate"/>
        </w:r>
        <w:r>
          <w:rPr>
            <w:noProof/>
            <w:webHidden/>
          </w:rPr>
          <w:t>18</w:t>
        </w:r>
        <w:r>
          <w:rPr>
            <w:noProof/>
            <w:webHidden/>
          </w:rPr>
          <w:fldChar w:fldCharType="end"/>
        </w:r>
      </w:hyperlink>
    </w:p>
    <w:p w:rsidR="00320198" w:rsidRDefault="005C0948">
      <w:pPr>
        <w:pStyle w:val="TOC3"/>
        <w:tabs>
          <w:tab w:val="right" w:leader="dot" w:pos="9060"/>
        </w:tabs>
        <w:rPr>
          <w:rFonts w:asciiTheme="minorHAnsi" w:eastAsiaTheme="minorEastAsia" w:hAnsiTheme="minorHAnsi" w:cstheme="minorBidi"/>
          <w:noProof/>
          <w:lang w:eastAsia="en-GB"/>
        </w:rPr>
      </w:pPr>
      <w:hyperlink w:anchor="_Toc8831304" w:history="1">
        <w:r>
          <w:rPr>
            <w:rStyle w:val="Hyperlink"/>
            <w:rFonts w:ascii="Times New Roman" w:eastAsia="Times New Roman" w:hAnsi="Times New Roman"/>
            <w:b/>
            <w:bCs/>
            <w:noProof/>
            <w:lang w:eastAsia="en-GB"/>
          </w:rPr>
          <w:t>2.2 The ongoing evaluation of EU merger control</w:t>
        </w:r>
        <w:r>
          <w:rPr>
            <w:noProof/>
            <w:webHidden/>
          </w:rPr>
          <w:tab/>
        </w:r>
        <w:r>
          <w:rPr>
            <w:noProof/>
            <w:webHidden/>
          </w:rPr>
          <w:fldChar w:fldCharType="begin"/>
        </w:r>
        <w:r>
          <w:rPr>
            <w:noProof/>
            <w:webHidden/>
          </w:rPr>
          <w:instrText xml:space="preserve"> PAGEREF _Toc8831304 \h </w:instrText>
        </w:r>
        <w:r>
          <w:rPr>
            <w:noProof/>
            <w:webHidden/>
          </w:rPr>
        </w:r>
        <w:r>
          <w:rPr>
            <w:noProof/>
            <w:webHidden/>
          </w:rPr>
          <w:fldChar w:fldCharType="separate"/>
        </w:r>
        <w:r>
          <w:rPr>
            <w:noProof/>
            <w:webHidden/>
          </w:rPr>
          <w:t>21</w:t>
        </w:r>
        <w:r>
          <w:rPr>
            <w:noProof/>
            <w:webHidden/>
          </w:rPr>
          <w:fldChar w:fldCharType="end"/>
        </w:r>
      </w:hyperlink>
    </w:p>
    <w:p w:rsidR="00320198" w:rsidRDefault="005C0948">
      <w:pPr>
        <w:pStyle w:val="TOC3"/>
        <w:tabs>
          <w:tab w:val="right" w:leader="dot" w:pos="9060"/>
        </w:tabs>
        <w:rPr>
          <w:rFonts w:asciiTheme="minorHAnsi" w:eastAsiaTheme="minorEastAsia" w:hAnsiTheme="minorHAnsi" w:cstheme="minorBidi"/>
          <w:noProof/>
          <w:lang w:eastAsia="en-GB"/>
        </w:rPr>
      </w:pPr>
      <w:hyperlink w:anchor="_Toc8831305" w:history="1">
        <w:r>
          <w:rPr>
            <w:rStyle w:val="Hyperlink"/>
            <w:rFonts w:ascii="Times New Roman" w:eastAsia="Times New Roman" w:hAnsi="Times New Roman"/>
            <w:b/>
            <w:bCs/>
            <w:noProof/>
            <w:lang w:eastAsia="en-GB"/>
          </w:rPr>
          <w:t>2.3 Significant judgments by the European Union courts in merger control</w:t>
        </w:r>
        <w:r>
          <w:rPr>
            <w:noProof/>
            <w:webHidden/>
          </w:rPr>
          <w:tab/>
        </w:r>
        <w:r>
          <w:rPr>
            <w:noProof/>
            <w:webHidden/>
          </w:rPr>
          <w:fldChar w:fldCharType="begin"/>
        </w:r>
        <w:r>
          <w:rPr>
            <w:noProof/>
            <w:webHidden/>
          </w:rPr>
          <w:instrText xml:space="preserve"> PAGEREF _Toc8831305 \h </w:instrText>
        </w:r>
        <w:r>
          <w:rPr>
            <w:noProof/>
            <w:webHidden/>
          </w:rPr>
        </w:r>
        <w:r>
          <w:rPr>
            <w:noProof/>
            <w:webHidden/>
          </w:rPr>
          <w:fldChar w:fldCharType="separate"/>
        </w:r>
        <w:r>
          <w:rPr>
            <w:noProof/>
            <w:webHidden/>
          </w:rPr>
          <w:t>21</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06" w:history="1">
        <w:r>
          <w:rPr>
            <w:rStyle w:val="Hyperlink"/>
            <w:rFonts w:ascii="Times New Roman" w:eastAsia="Times New Roman" w:hAnsi="Times New Roman"/>
            <w:b/>
            <w:smallCaps/>
            <w:noProof/>
          </w:rPr>
          <w:t>3.</w:t>
        </w:r>
        <w:r>
          <w:rPr>
            <w:rFonts w:asciiTheme="minorHAnsi" w:eastAsiaTheme="minorEastAsia" w:hAnsiTheme="minorHAnsi" w:cstheme="minorBidi"/>
            <w:noProof/>
            <w:lang w:eastAsia="en-GB"/>
          </w:rPr>
          <w:tab/>
        </w:r>
        <w:r>
          <w:rPr>
            <w:rStyle w:val="Hyperlink"/>
            <w:rFonts w:ascii="Times New Roman" w:eastAsia="Times New Roman" w:hAnsi="Times New Roman"/>
            <w:b/>
            <w:smallCaps/>
            <w:noProof/>
          </w:rPr>
          <w:t>State aid control</w:t>
        </w:r>
        <w:r>
          <w:rPr>
            <w:noProof/>
            <w:webHidden/>
          </w:rPr>
          <w:tab/>
        </w:r>
        <w:r>
          <w:rPr>
            <w:noProof/>
            <w:webHidden/>
          </w:rPr>
          <w:fldChar w:fldCharType="begin"/>
        </w:r>
        <w:r>
          <w:rPr>
            <w:noProof/>
            <w:webHidden/>
          </w:rPr>
          <w:instrText xml:space="preserve"> PAGEREF _Toc8831306 \h </w:instrText>
        </w:r>
        <w:r>
          <w:rPr>
            <w:noProof/>
            <w:webHidden/>
          </w:rPr>
        </w:r>
        <w:r>
          <w:rPr>
            <w:noProof/>
            <w:webHidden/>
          </w:rPr>
          <w:fldChar w:fldCharType="separate"/>
        </w:r>
        <w:r>
          <w:rPr>
            <w:noProof/>
            <w:webHidden/>
          </w:rPr>
          <w:t>22</w:t>
        </w:r>
        <w:r>
          <w:rPr>
            <w:noProof/>
            <w:webHidden/>
          </w:rPr>
          <w:fldChar w:fldCharType="end"/>
        </w:r>
      </w:hyperlink>
    </w:p>
    <w:p w:rsidR="00320198" w:rsidRDefault="005C0948">
      <w:pPr>
        <w:pStyle w:val="TOC3"/>
        <w:tabs>
          <w:tab w:val="right" w:leader="dot" w:pos="9060"/>
        </w:tabs>
        <w:rPr>
          <w:rFonts w:asciiTheme="minorHAnsi" w:eastAsiaTheme="minorEastAsia" w:hAnsiTheme="minorHAnsi" w:cstheme="minorBidi"/>
          <w:noProof/>
          <w:lang w:eastAsia="en-GB"/>
        </w:rPr>
      </w:pPr>
      <w:hyperlink w:anchor="_Toc8831307" w:history="1">
        <w:r>
          <w:rPr>
            <w:rStyle w:val="Hyperlink"/>
            <w:rFonts w:ascii="Times New Roman" w:eastAsia="Times New Roman" w:hAnsi="Times New Roman"/>
            <w:b/>
            <w:bCs/>
            <w:noProof/>
            <w:lang w:eastAsia="en-GB"/>
          </w:rPr>
          <w:t>3.1 Uptake of the State Aid Modernisation</w:t>
        </w:r>
        <w:r>
          <w:rPr>
            <w:noProof/>
            <w:webHidden/>
          </w:rPr>
          <w:tab/>
        </w:r>
        <w:r>
          <w:rPr>
            <w:noProof/>
            <w:webHidden/>
          </w:rPr>
          <w:fldChar w:fldCharType="begin"/>
        </w:r>
        <w:r>
          <w:rPr>
            <w:noProof/>
            <w:webHidden/>
          </w:rPr>
          <w:instrText xml:space="preserve"> PAGEREF _Toc8831307 \h </w:instrText>
        </w:r>
        <w:r>
          <w:rPr>
            <w:noProof/>
            <w:webHidden/>
          </w:rPr>
        </w:r>
        <w:r>
          <w:rPr>
            <w:noProof/>
            <w:webHidden/>
          </w:rPr>
          <w:fldChar w:fldCharType="separate"/>
        </w:r>
        <w:r>
          <w:rPr>
            <w:noProof/>
            <w:webHidden/>
          </w:rPr>
          <w:t>22</w:t>
        </w:r>
        <w:r>
          <w:rPr>
            <w:noProof/>
            <w:webHidden/>
          </w:rPr>
          <w:fldChar w:fldCharType="end"/>
        </w:r>
      </w:hyperlink>
    </w:p>
    <w:p w:rsidR="00320198" w:rsidRDefault="005C0948">
      <w:pPr>
        <w:pStyle w:val="TOC3"/>
        <w:tabs>
          <w:tab w:val="right" w:leader="dot" w:pos="9060"/>
        </w:tabs>
        <w:rPr>
          <w:rFonts w:asciiTheme="minorHAnsi" w:eastAsiaTheme="minorEastAsia" w:hAnsiTheme="minorHAnsi" w:cstheme="minorBidi"/>
          <w:noProof/>
          <w:lang w:eastAsia="en-GB"/>
        </w:rPr>
      </w:pPr>
      <w:hyperlink w:anchor="_Toc8831308" w:history="1">
        <w:r>
          <w:rPr>
            <w:rStyle w:val="Hyperlink"/>
            <w:rFonts w:ascii="Times New Roman" w:eastAsia="Times New Roman" w:hAnsi="Times New Roman"/>
            <w:b/>
            <w:bCs/>
            <w:noProof/>
            <w:lang w:eastAsia="en-GB"/>
          </w:rPr>
          <w:t>3.2 State Aid Modernisation continues</w:t>
        </w:r>
        <w:r>
          <w:rPr>
            <w:noProof/>
            <w:webHidden/>
          </w:rPr>
          <w:tab/>
        </w:r>
        <w:r>
          <w:rPr>
            <w:noProof/>
            <w:webHidden/>
          </w:rPr>
          <w:fldChar w:fldCharType="begin"/>
        </w:r>
        <w:r>
          <w:rPr>
            <w:noProof/>
            <w:webHidden/>
          </w:rPr>
          <w:instrText xml:space="preserve"> PAGEREF _Toc8831308 \h </w:instrText>
        </w:r>
        <w:r>
          <w:rPr>
            <w:noProof/>
            <w:webHidden/>
          </w:rPr>
        </w:r>
        <w:r>
          <w:rPr>
            <w:noProof/>
            <w:webHidden/>
          </w:rPr>
          <w:fldChar w:fldCharType="separate"/>
        </w:r>
        <w:r>
          <w:rPr>
            <w:noProof/>
            <w:webHidden/>
          </w:rPr>
          <w:t>32</w:t>
        </w:r>
        <w:r>
          <w:rPr>
            <w:noProof/>
            <w:webHidden/>
          </w:rPr>
          <w:fldChar w:fldCharType="end"/>
        </w:r>
      </w:hyperlink>
    </w:p>
    <w:p w:rsidR="00320198" w:rsidRDefault="005C0948">
      <w:pPr>
        <w:pStyle w:val="TOC3"/>
        <w:tabs>
          <w:tab w:val="right" w:leader="dot" w:pos="9060"/>
        </w:tabs>
        <w:rPr>
          <w:rFonts w:asciiTheme="minorHAnsi" w:eastAsiaTheme="minorEastAsia" w:hAnsiTheme="minorHAnsi" w:cstheme="minorBidi"/>
          <w:noProof/>
          <w:lang w:eastAsia="en-GB"/>
        </w:rPr>
      </w:pPr>
      <w:hyperlink w:anchor="_Toc8831309" w:history="1">
        <w:r>
          <w:rPr>
            <w:rStyle w:val="Hyperlink"/>
            <w:rFonts w:ascii="Times New Roman" w:eastAsia="Times New Roman" w:hAnsi="Times New Roman"/>
            <w:b/>
            <w:bCs/>
            <w:noProof/>
            <w:lang w:eastAsia="en-GB"/>
          </w:rPr>
          <w:t>3.3 Monitoring, recovery, evaluation and c</w:t>
        </w:r>
        <w:r>
          <w:rPr>
            <w:rStyle w:val="Hyperlink"/>
            <w:rFonts w:ascii="Times New Roman" w:eastAsia="Times New Roman" w:hAnsi="Times New Roman"/>
            <w:b/>
            <w:bCs/>
            <w:noProof/>
            <w:lang w:eastAsia="en-GB"/>
          </w:rPr>
          <w:t>ooperation with national courts</w:t>
        </w:r>
        <w:r>
          <w:rPr>
            <w:noProof/>
            <w:webHidden/>
          </w:rPr>
          <w:tab/>
        </w:r>
        <w:r>
          <w:rPr>
            <w:noProof/>
            <w:webHidden/>
          </w:rPr>
          <w:fldChar w:fldCharType="begin"/>
        </w:r>
        <w:r>
          <w:rPr>
            <w:noProof/>
            <w:webHidden/>
          </w:rPr>
          <w:instrText xml:space="preserve"> PAGEREF _Toc8831309 \h </w:instrText>
        </w:r>
        <w:r>
          <w:rPr>
            <w:noProof/>
            <w:webHidden/>
          </w:rPr>
        </w:r>
        <w:r>
          <w:rPr>
            <w:noProof/>
            <w:webHidden/>
          </w:rPr>
          <w:fldChar w:fldCharType="separate"/>
        </w:r>
        <w:r>
          <w:rPr>
            <w:noProof/>
            <w:webHidden/>
          </w:rPr>
          <w:t>33</w:t>
        </w:r>
        <w:r>
          <w:rPr>
            <w:noProof/>
            <w:webHidden/>
          </w:rPr>
          <w:fldChar w:fldCharType="end"/>
        </w:r>
      </w:hyperlink>
    </w:p>
    <w:p w:rsidR="00320198" w:rsidRDefault="005C0948">
      <w:pPr>
        <w:pStyle w:val="TOC3"/>
        <w:tabs>
          <w:tab w:val="right" w:leader="dot" w:pos="9060"/>
        </w:tabs>
        <w:rPr>
          <w:rFonts w:asciiTheme="minorHAnsi" w:eastAsiaTheme="minorEastAsia" w:hAnsiTheme="minorHAnsi" w:cstheme="minorBidi"/>
          <w:noProof/>
          <w:lang w:eastAsia="en-GB"/>
        </w:rPr>
      </w:pPr>
      <w:hyperlink w:anchor="_Toc8831310" w:history="1">
        <w:r>
          <w:rPr>
            <w:rStyle w:val="Hyperlink"/>
            <w:rFonts w:ascii="Times New Roman" w:eastAsia="Times New Roman" w:hAnsi="Times New Roman"/>
            <w:b/>
            <w:bCs/>
            <w:noProof/>
            <w:lang w:eastAsia="en-GB"/>
          </w:rPr>
          <w:t>3.4 Significant judgments by the European Union Courts in the State aid area</w:t>
        </w:r>
        <w:r>
          <w:rPr>
            <w:noProof/>
            <w:webHidden/>
          </w:rPr>
          <w:tab/>
        </w:r>
        <w:r>
          <w:rPr>
            <w:noProof/>
            <w:webHidden/>
          </w:rPr>
          <w:fldChar w:fldCharType="begin"/>
        </w:r>
        <w:r>
          <w:rPr>
            <w:noProof/>
            <w:webHidden/>
          </w:rPr>
          <w:instrText xml:space="preserve"> PAGEREF _Toc8831310 \h</w:instrText>
        </w:r>
        <w:r>
          <w:rPr>
            <w:noProof/>
            <w:webHidden/>
          </w:rPr>
          <w:instrText xml:space="preserve"> </w:instrText>
        </w:r>
        <w:r>
          <w:rPr>
            <w:noProof/>
            <w:webHidden/>
          </w:rPr>
        </w:r>
        <w:r>
          <w:rPr>
            <w:noProof/>
            <w:webHidden/>
          </w:rPr>
          <w:fldChar w:fldCharType="separate"/>
        </w:r>
        <w:r>
          <w:rPr>
            <w:noProof/>
            <w:webHidden/>
          </w:rPr>
          <w:t>36</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11" w:history="1">
        <w:r>
          <w:rPr>
            <w:rStyle w:val="Hyperlink"/>
            <w:rFonts w:ascii="Times New Roman" w:eastAsia="Times New Roman" w:hAnsi="Times New Roman"/>
            <w:b/>
            <w:smallCaps/>
            <w:noProof/>
          </w:rPr>
          <w:t>4.</w:t>
        </w:r>
        <w:r>
          <w:rPr>
            <w:rFonts w:asciiTheme="minorHAnsi" w:eastAsiaTheme="minorEastAsia" w:hAnsiTheme="minorHAnsi" w:cstheme="minorBidi"/>
            <w:noProof/>
            <w:lang w:eastAsia="en-GB"/>
          </w:rPr>
          <w:tab/>
        </w:r>
        <w:r>
          <w:rPr>
            <w:rStyle w:val="Hyperlink"/>
            <w:rFonts w:ascii="Times New Roman" w:eastAsia="Times New Roman" w:hAnsi="Times New Roman"/>
            <w:b/>
            <w:smallCaps/>
            <w:noProof/>
          </w:rPr>
          <w:t>Developing the international dimension of EU competition policy</w:t>
        </w:r>
        <w:r>
          <w:rPr>
            <w:noProof/>
            <w:webHidden/>
          </w:rPr>
          <w:tab/>
        </w:r>
        <w:r>
          <w:rPr>
            <w:noProof/>
            <w:webHidden/>
          </w:rPr>
          <w:fldChar w:fldCharType="begin"/>
        </w:r>
        <w:r>
          <w:rPr>
            <w:noProof/>
            <w:webHidden/>
          </w:rPr>
          <w:instrText xml:space="preserve"> PAGEREF _Toc8831311 \h </w:instrText>
        </w:r>
        <w:r>
          <w:rPr>
            <w:noProof/>
            <w:webHidden/>
          </w:rPr>
        </w:r>
        <w:r>
          <w:rPr>
            <w:noProof/>
            <w:webHidden/>
          </w:rPr>
          <w:fldChar w:fldCharType="separate"/>
        </w:r>
        <w:r>
          <w:rPr>
            <w:noProof/>
            <w:webHidden/>
          </w:rPr>
          <w:t>42</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12" w:history="1">
        <w:r>
          <w:rPr>
            <w:rStyle w:val="Hyperlink"/>
            <w:rFonts w:ascii="Times New Roman" w:eastAsia="Times New Roman" w:hAnsi="Times New Roman"/>
            <w:b/>
            <w:smallCaps/>
            <w:noProof/>
          </w:rPr>
          <w:t>5.</w:t>
        </w:r>
        <w:r>
          <w:rPr>
            <w:rFonts w:asciiTheme="minorHAnsi" w:eastAsiaTheme="minorEastAsia" w:hAnsiTheme="minorHAnsi" w:cstheme="minorBidi"/>
            <w:noProof/>
            <w:lang w:eastAsia="en-GB"/>
          </w:rPr>
          <w:tab/>
        </w:r>
        <w:r>
          <w:rPr>
            <w:rStyle w:val="Hyperlink"/>
            <w:rFonts w:ascii="Times New Roman" w:eastAsia="Times New Roman" w:hAnsi="Times New Roman"/>
            <w:b/>
            <w:smallCaps/>
            <w:noProof/>
          </w:rPr>
          <w:t>External Communication</w:t>
        </w:r>
        <w:r>
          <w:rPr>
            <w:noProof/>
            <w:webHidden/>
          </w:rPr>
          <w:tab/>
        </w:r>
        <w:r>
          <w:rPr>
            <w:noProof/>
            <w:webHidden/>
          </w:rPr>
          <w:fldChar w:fldCharType="begin"/>
        </w:r>
        <w:r>
          <w:rPr>
            <w:noProof/>
            <w:webHidden/>
          </w:rPr>
          <w:instrText xml:space="preserve"> PAGEREF _Toc8831312 \h </w:instrText>
        </w:r>
        <w:r>
          <w:rPr>
            <w:noProof/>
            <w:webHidden/>
          </w:rPr>
        </w:r>
        <w:r>
          <w:rPr>
            <w:noProof/>
            <w:webHidden/>
          </w:rPr>
          <w:fldChar w:fldCharType="separate"/>
        </w:r>
        <w:r>
          <w:rPr>
            <w:noProof/>
            <w:webHidden/>
          </w:rPr>
          <w:t>44</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13" w:history="1">
        <w:r>
          <w:rPr>
            <w:rStyle w:val="Hyperlink"/>
            <w:rFonts w:ascii="Times New Roman" w:eastAsia="Times New Roman" w:hAnsi="Times New Roman"/>
            <w:b/>
            <w:smallCaps/>
            <w:noProof/>
          </w:rPr>
          <w:t>6.</w:t>
        </w:r>
        <w:r>
          <w:rPr>
            <w:rFonts w:asciiTheme="minorHAnsi" w:eastAsiaTheme="minorEastAsia" w:hAnsiTheme="minorHAnsi" w:cstheme="minorBidi"/>
            <w:noProof/>
            <w:lang w:eastAsia="en-GB"/>
          </w:rPr>
          <w:tab/>
        </w:r>
        <w:r>
          <w:rPr>
            <w:rStyle w:val="Hyperlink"/>
            <w:rFonts w:ascii="Times New Roman" w:eastAsia="Times New Roman" w:hAnsi="Times New Roman"/>
            <w:b/>
            <w:smallCaps/>
            <w:noProof/>
          </w:rPr>
          <w:t>The Singl</w:t>
        </w:r>
        <w:r>
          <w:rPr>
            <w:rStyle w:val="Hyperlink"/>
            <w:rFonts w:ascii="Times New Roman" w:eastAsia="Times New Roman" w:hAnsi="Times New Roman"/>
            <w:b/>
            <w:smallCaps/>
            <w:noProof/>
          </w:rPr>
          <w:t>e Market Programme</w:t>
        </w:r>
        <w:r>
          <w:rPr>
            <w:noProof/>
            <w:webHidden/>
          </w:rPr>
          <w:tab/>
        </w:r>
        <w:r>
          <w:rPr>
            <w:noProof/>
            <w:webHidden/>
          </w:rPr>
          <w:fldChar w:fldCharType="begin"/>
        </w:r>
        <w:r>
          <w:rPr>
            <w:noProof/>
            <w:webHidden/>
          </w:rPr>
          <w:instrText xml:space="preserve"> PAGEREF _Toc8831313 \h </w:instrText>
        </w:r>
        <w:r>
          <w:rPr>
            <w:noProof/>
            <w:webHidden/>
          </w:rPr>
        </w:r>
        <w:r>
          <w:rPr>
            <w:noProof/>
            <w:webHidden/>
          </w:rPr>
          <w:fldChar w:fldCharType="separate"/>
        </w:r>
        <w:r>
          <w:rPr>
            <w:noProof/>
            <w:webHidden/>
          </w:rPr>
          <w:t>45</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14" w:history="1">
        <w:r>
          <w:rPr>
            <w:rStyle w:val="Hyperlink"/>
            <w:bCs/>
            <w:noProof/>
            <w:kern w:val="32"/>
            <w:lang w:eastAsia="en-GB"/>
          </w:rPr>
          <w:t>II. SECTORAL OVERVIEW</w:t>
        </w:r>
        <w:r>
          <w:rPr>
            <w:noProof/>
            <w:webHidden/>
          </w:rPr>
          <w:tab/>
        </w:r>
        <w:r>
          <w:rPr>
            <w:noProof/>
            <w:webHidden/>
          </w:rPr>
          <w:fldChar w:fldCharType="begin"/>
        </w:r>
        <w:r>
          <w:rPr>
            <w:noProof/>
            <w:webHidden/>
          </w:rPr>
          <w:instrText xml:space="preserve"> PAGEREF _Toc8831314 \h </w:instrText>
        </w:r>
        <w:r>
          <w:rPr>
            <w:noProof/>
            <w:webHidden/>
          </w:rPr>
        </w:r>
        <w:r>
          <w:rPr>
            <w:noProof/>
            <w:webHidden/>
          </w:rPr>
          <w:fldChar w:fldCharType="separate"/>
        </w:r>
        <w:r>
          <w:rPr>
            <w:noProof/>
            <w:webHidden/>
          </w:rPr>
          <w:t>46</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15" w:history="1">
        <w:r>
          <w:rPr>
            <w:rStyle w:val="Hyperlink"/>
            <w:rFonts w:ascii="Times New Roman" w:eastAsia="Times New Roman" w:hAnsi="Times New Roman"/>
            <w:b/>
            <w:smallCaps/>
            <w:noProof/>
          </w:rPr>
          <w:t>1. Energy &amp; environment</w:t>
        </w:r>
        <w:r>
          <w:rPr>
            <w:noProof/>
            <w:webHidden/>
          </w:rPr>
          <w:tab/>
        </w:r>
        <w:r>
          <w:rPr>
            <w:noProof/>
            <w:webHidden/>
          </w:rPr>
          <w:fldChar w:fldCharType="begin"/>
        </w:r>
        <w:r>
          <w:rPr>
            <w:noProof/>
            <w:webHidden/>
          </w:rPr>
          <w:instrText xml:space="preserve"> PAGEREF _Toc8831315 \h </w:instrText>
        </w:r>
        <w:r>
          <w:rPr>
            <w:noProof/>
            <w:webHidden/>
          </w:rPr>
        </w:r>
        <w:r>
          <w:rPr>
            <w:noProof/>
            <w:webHidden/>
          </w:rPr>
          <w:fldChar w:fldCharType="separate"/>
        </w:r>
        <w:r>
          <w:rPr>
            <w:noProof/>
            <w:webHidden/>
          </w:rPr>
          <w:t>46</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16" w:history="1">
        <w:r>
          <w:rPr>
            <w:rStyle w:val="Hyperlink"/>
            <w:rFonts w:ascii="Times New Roman" w:eastAsia="Times New Roman" w:hAnsi="Times New Roman"/>
            <w:b/>
            <w:smallCaps/>
            <w:noProof/>
          </w:rPr>
          <w:t>2. Information and Communication Technologies and media</w:t>
        </w:r>
        <w:r>
          <w:rPr>
            <w:noProof/>
            <w:webHidden/>
          </w:rPr>
          <w:tab/>
        </w:r>
        <w:r>
          <w:rPr>
            <w:noProof/>
            <w:webHidden/>
          </w:rPr>
          <w:fldChar w:fldCharType="begin"/>
        </w:r>
        <w:r>
          <w:rPr>
            <w:noProof/>
            <w:webHidden/>
          </w:rPr>
          <w:instrText xml:space="preserve"> PAGEREF _Toc8831316 \h </w:instrText>
        </w:r>
        <w:r>
          <w:rPr>
            <w:noProof/>
            <w:webHidden/>
          </w:rPr>
        </w:r>
        <w:r>
          <w:rPr>
            <w:noProof/>
            <w:webHidden/>
          </w:rPr>
          <w:fldChar w:fldCharType="separate"/>
        </w:r>
        <w:r>
          <w:rPr>
            <w:noProof/>
            <w:webHidden/>
          </w:rPr>
          <w:t>51</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17" w:history="1">
        <w:r>
          <w:rPr>
            <w:rStyle w:val="Hyperlink"/>
            <w:rFonts w:ascii="Times New Roman" w:eastAsia="Times New Roman" w:hAnsi="Times New Roman"/>
            <w:b/>
            <w:smallCaps/>
            <w:noProof/>
          </w:rPr>
          <w:t>3. Financial services</w:t>
        </w:r>
        <w:r>
          <w:rPr>
            <w:noProof/>
            <w:webHidden/>
          </w:rPr>
          <w:tab/>
        </w:r>
        <w:r>
          <w:rPr>
            <w:noProof/>
            <w:webHidden/>
          </w:rPr>
          <w:fldChar w:fldCharType="begin"/>
        </w:r>
        <w:r>
          <w:rPr>
            <w:noProof/>
            <w:webHidden/>
          </w:rPr>
          <w:instrText xml:space="preserve"> PAGEREF _Toc8831317 \h </w:instrText>
        </w:r>
        <w:r>
          <w:rPr>
            <w:noProof/>
            <w:webHidden/>
          </w:rPr>
        </w:r>
        <w:r>
          <w:rPr>
            <w:noProof/>
            <w:webHidden/>
          </w:rPr>
          <w:fldChar w:fldCharType="separate"/>
        </w:r>
        <w:r>
          <w:rPr>
            <w:noProof/>
            <w:webHidden/>
          </w:rPr>
          <w:t>63</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18" w:history="1">
        <w:r>
          <w:rPr>
            <w:rStyle w:val="Hyperlink"/>
            <w:rFonts w:ascii="Times New Roman" w:eastAsia="Times New Roman" w:hAnsi="Times New Roman"/>
            <w:b/>
            <w:smallCaps/>
            <w:noProof/>
          </w:rPr>
          <w:t>4. Taxation and State aid</w:t>
        </w:r>
        <w:r>
          <w:rPr>
            <w:noProof/>
            <w:webHidden/>
          </w:rPr>
          <w:tab/>
        </w:r>
        <w:r>
          <w:rPr>
            <w:noProof/>
            <w:webHidden/>
          </w:rPr>
          <w:fldChar w:fldCharType="begin"/>
        </w:r>
        <w:r>
          <w:rPr>
            <w:noProof/>
            <w:webHidden/>
          </w:rPr>
          <w:instrText xml:space="preserve"> PAGEREF _Toc8831318 \h </w:instrText>
        </w:r>
        <w:r>
          <w:rPr>
            <w:noProof/>
            <w:webHidden/>
          </w:rPr>
        </w:r>
        <w:r>
          <w:rPr>
            <w:noProof/>
            <w:webHidden/>
          </w:rPr>
          <w:fldChar w:fldCharType="separate"/>
        </w:r>
        <w:r>
          <w:rPr>
            <w:noProof/>
            <w:webHidden/>
          </w:rPr>
          <w:t>67</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19" w:history="1">
        <w:r>
          <w:rPr>
            <w:rStyle w:val="Hyperlink"/>
            <w:rFonts w:ascii="Times New Roman" w:eastAsia="Times New Roman" w:hAnsi="Times New Roman"/>
            <w:b/>
            <w:smallCaps/>
            <w:noProof/>
          </w:rPr>
          <w:t>5. Basic industries and manufacturing</w:t>
        </w:r>
        <w:r>
          <w:rPr>
            <w:noProof/>
            <w:webHidden/>
          </w:rPr>
          <w:tab/>
        </w:r>
        <w:r>
          <w:rPr>
            <w:noProof/>
            <w:webHidden/>
          </w:rPr>
          <w:fldChar w:fldCharType="begin"/>
        </w:r>
        <w:r>
          <w:rPr>
            <w:noProof/>
            <w:webHidden/>
          </w:rPr>
          <w:instrText xml:space="preserve"> PAGEREF _Toc8831319 \h </w:instrText>
        </w:r>
        <w:r>
          <w:rPr>
            <w:noProof/>
            <w:webHidden/>
          </w:rPr>
        </w:r>
        <w:r>
          <w:rPr>
            <w:noProof/>
            <w:webHidden/>
          </w:rPr>
          <w:fldChar w:fldCharType="separate"/>
        </w:r>
        <w:r>
          <w:rPr>
            <w:noProof/>
            <w:webHidden/>
          </w:rPr>
          <w:t>71</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20" w:history="1">
        <w:r>
          <w:rPr>
            <w:rStyle w:val="Hyperlink"/>
            <w:rFonts w:ascii="Times New Roman" w:eastAsia="Times New Roman" w:hAnsi="Times New Roman"/>
            <w:b/>
            <w:smallCaps/>
            <w:noProof/>
          </w:rPr>
          <w:t>6. Agri-food industry</w:t>
        </w:r>
        <w:r>
          <w:rPr>
            <w:noProof/>
            <w:webHidden/>
          </w:rPr>
          <w:tab/>
        </w:r>
        <w:r>
          <w:rPr>
            <w:noProof/>
            <w:webHidden/>
          </w:rPr>
          <w:fldChar w:fldCharType="begin"/>
        </w:r>
        <w:r>
          <w:rPr>
            <w:noProof/>
            <w:webHidden/>
          </w:rPr>
          <w:instrText xml:space="preserve"> PAGEREF _Toc8</w:instrText>
        </w:r>
        <w:r>
          <w:rPr>
            <w:noProof/>
            <w:webHidden/>
          </w:rPr>
          <w:instrText xml:space="preserve">831320 \h </w:instrText>
        </w:r>
        <w:r>
          <w:rPr>
            <w:noProof/>
            <w:webHidden/>
          </w:rPr>
        </w:r>
        <w:r>
          <w:rPr>
            <w:noProof/>
            <w:webHidden/>
          </w:rPr>
          <w:fldChar w:fldCharType="separate"/>
        </w:r>
        <w:r>
          <w:rPr>
            <w:noProof/>
            <w:webHidden/>
          </w:rPr>
          <w:t>74</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21" w:history="1">
        <w:r>
          <w:rPr>
            <w:rStyle w:val="Hyperlink"/>
            <w:rFonts w:ascii="Times New Roman" w:eastAsia="Times New Roman" w:hAnsi="Times New Roman"/>
            <w:b/>
            <w:smallCaps/>
            <w:noProof/>
          </w:rPr>
          <w:t>7. Pharmaceutical and health services sector</w:t>
        </w:r>
        <w:r>
          <w:rPr>
            <w:noProof/>
            <w:webHidden/>
          </w:rPr>
          <w:tab/>
        </w:r>
        <w:r>
          <w:rPr>
            <w:noProof/>
            <w:webHidden/>
          </w:rPr>
          <w:fldChar w:fldCharType="begin"/>
        </w:r>
        <w:r>
          <w:rPr>
            <w:noProof/>
            <w:webHidden/>
          </w:rPr>
          <w:instrText xml:space="preserve"> PAGEREF _Toc8831321 \h </w:instrText>
        </w:r>
        <w:r>
          <w:rPr>
            <w:noProof/>
            <w:webHidden/>
          </w:rPr>
        </w:r>
        <w:r>
          <w:rPr>
            <w:noProof/>
            <w:webHidden/>
          </w:rPr>
          <w:fldChar w:fldCharType="separate"/>
        </w:r>
        <w:r>
          <w:rPr>
            <w:noProof/>
            <w:webHidden/>
          </w:rPr>
          <w:t>78</w:t>
        </w:r>
        <w:r>
          <w:rPr>
            <w:noProof/>
            <w:webHidden/>
          </w:rPr>
          <w:fldChar w:fldCharType="end"/>
        </w:r>
      </w:hyperlink>
    </w:p>
    <w:p w:rsidR="00320198" w:rsidRDefault="005C0948">
      <w:pPr>
        <w:pStyle w:val="TOC1"/>
        <w:rPr>
          <w:rFonts w:asciiTheme="minorHAnsi" w:eastAsiaTheme="minorEastAsia" w:hAnsiTheme="minorHAnsi" w:cstheme="minorBidi"/>
          <w:noProof/>
          <w:lang w:eastAsia="en-GB"/>
        </w:rPr>
      </w:pPr>
      <w:hyperlink w:anchor="_Toc8831322" w:history="1">
        <w:r>
          <w:rPr>
            <w:rStyle w:val="Hyperlink"/>
            <w:rFonts w:ascii="Times New Roman" w:eastAsia="Times New Roman" w:hAnsi="Times New Roman"/>
            <w:b/>
            <w:smallCaps/>
            <w:noProof/>
          </w:rPr>
          <w:t>8. Transport and postal services</w:t>
        </w:r>
        <w:r>
          <w:rPr>
            <w:noProof/>
            <w:webHidden/>
          </w:rPr>
          <w:tab/>
        </w:r>
        <w:r>
          <w:rPr>
            <w:noProof/>
            <w:webHidden/>
          </w:rPr>
          <w:fldChar w:fldCharType="begin"/>
        </w:r>
        <w:r>
          <w:rPr>
            <w:noProof/>
            <w:webHidden/>
          </w:rPr>
          <w:instrText xml:space="preserve"> PAGEREF _Toc8831322 \h </w:instrText>
        </w:r>
        <w:r>
          <w:rPr>
            <w:noProof/>
            <w:webHidden/>
          </w:rPr>
        </w:r>
        <w:r>
          <w:rPr>
            <w:noProof/>
            <w:webHidden/>
          </w:rPr>
          <w:fldChar w:fldCharType="separate"/>
        </w:r>
        <w:r>
          <w:rPr>
            <w:noProof/>
            <w:webHidden/>
          </w:rPr>
          <w:t>80</w:t>
        </w:r>
        <w:r>
          <w:rPr>
            <w:noProof/>
            <w:webHidden/>
          </w:rPr>
          <w:fldChar w:fldCharType="end"/>
        </w:r>
      </w:hyperlink>
    </w:p>
    <w:p w:rsidR="00320198" w:rsidRDefault="005C0948">
      <w:pPr>
        <w:pStyle w:val="ManualHeading1"/>
        <w:keepNext w:val="0"/>
        <w:widowControl w:val="0"/>
        <w:spacing w:before="0" w:after="0" w:line="360" w:lineRule="auto"/>
        <w:ind w:left="720" w:firstLine="0"/>
        <w:rPr>
          <w:noProof/>
        </w:rPr>
      </w:pPr>
      <w:r>
        <w:rPr>
          <w:rFonts w:eastAsia="Calibri"/>
          <w:bCs/>
          <w:noProof/>
          <w:kern w:val="32"/>
          <w:lang w:eastAsia="en-GB"/>
        </w:rPr>
        <w:fldChar w:fldCharType="end"/>
      </w:r>
      <w:bookmarkStart w:id="2" w:name="_Toc478566424"/>
      <w:bookmarkStart w:id="3" w:name="_Toc8831296"/>
      <w:r>
        <w:rPr>
          <w:bCs/>
          <w:smallCaps w:val="0"/>
          <w:noProof/>
          <w:kern w:val="32"/>
          <w:lang w:eastAsia="en-GB"/>
        </w:rPr>
        <w:t>I.</w:t>
      </w:r>
      <w:r>
        <w:rPr>
          <w:bCs/>
          <w:smallCaps w:val="0"/>
          <w:noProof/>
          <w:kern w:val="32"/>
          <w:lang w:eastAsia="en-GB"/>
        </w:rPr>
        <w:tab/>
        <w:t>LEGISLATION AND POLICY DEVELOPM</w:t>
      </w:r>
      <w:r>
        <w:rPr>
          <w:bCs/>
          <w:smallCaps w:val="0"/>
          <w:noProof/>
          <w:kern w:val="32"/>
          <w:lang w:eastAsia="en-GB"/>
        </w:rPr>
        <w:t>ENTS</w:t>
      </w:r>
      <w:bookmarkEnd w:id="2"/>
      <w:bookmarkEnd w:id="3"/>
    </w:p>
    <w:p w:rsidR="00320198" w:rsidRDefault="005C0948">
      <w:pPr>
        <w:widowControl w:val="0"/>
        <w:spacing w:line="240" w:lineRule="auto"/>
        <w:jc w:val="both"/>
        <w:rPr>
          <w:rFonts w:ascii="Times New Roman" w:hAnsi="Times New Roman"/>
          <w:b/>
          <w:noProof/>
          <w:sz w:val="24"/>
          <w:szCs w:val="24"/>
        </w:rPr>
      </w:pPr>
      <w:r>
        <w:rPr>
          <w:rFonts w:ascii="Times New Roman" w:hAnsi="Times New Roman"/>
          <w:b/>
          <w:noProof/>
          <w:sz w:val="24"/>
          <w:szCs w:val="24"/>
        </w:rPr>
        <w:t>Competition policy empowering citizens and businesses for the benefit of all</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With more than half a billion consumers and 24.5 million companies, the internal market is one of the EU’s greatest achievements and its greatest asset. EU competition policy goes hand in hand with the development of a deeper and fairer internal market. En</w:t>
      </w:r>
      <w:r>
        <w:rPr>
          <w:rFonts w:ascii="Times New Roman" w:hAnsi="Times New Roman"/>
          <w:noProof/>
          <w:sz w:val="24"/>
          <w:szCs w:val="24"/>
        </w:rPr>
        <w:t xml:space="preserve">forcing EU competition rules makes markets function better for the benefit of consumers - households as well as businesses - and for society as a whole. Competitive markets play an important role supporting the Commission's efforts to achieve a strong and </w:t>
      </w:r>
      <w:r>
        <w:rPr>
          <w:rFonts w:ascii="Times New Roman" w:hAnsi="Times New Roman"/>
          <w:noProof/>
          <w:sz w:val="24"/>
          <w:szCs w:val="24"/>
        </w:rPr>
        <w:t xml:space="preserve">prosperous EU. Moreover, EU competition policy aims at fostering a competition culture both within the EU, for instance by promoting competition-friendly regulation, and worldwide.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DG Competition's competition policy actions in 2018 targeted a wide range </w:t>
      </w:r>
      <w:r>
        <w:rPr>
          <w:rFonts w:ascii="Times New Roman" w:hAnsi="Times New Roman"/>
          <w:noProof/>
          <w:sz w:val="24"/>
          <w:szCs w:val="24"/>
        </w:rPr>
        <w:t>of sectors in the EU economy, thereby promoting open and efficient markets so that both businesses and citizens can get a fair share of the benefits of economic growth. Moreover, EU competition policy continued to support key political priorities of the Co</w:t>
      </w:r>
      <w:r>
        <w:rPr>
          <w:rFonts w:ascii="Times New Roman" w:hAnsi="Times New Roman"/>
          <w:noProof/>
          <w:sz w:val="24"/>
          <w:szCs w:val="24"/>
        </w:rPr>
        <w:t>mmission, in particular the Deeper and Fairer Internal Market, the Digital Single Market, the Energy Union, the fight against tax evasion, and climate action as set out in the Commission President's Political Guidelines and the Commission Work Programme 20</w:t>
      </w:r>
      <w:r>
        <w:rPr>
          <w:rFonts w:ascii="Times New Roman" w:hAnsi="Times New Roman"/>
          <w:noProof/>
          <w:sz w:val="24"/>
          <w:szCs w:val="24"/>
        </w:rPr>
        <w:t xml:space="preserve">18.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present Staff Working Document is composed of two parts, one presents the main legislative and policy developments in 2018 across the three competition instruments (antitrust, including cartels, mergers and State aid), while specific actions are </w:t>
      </w:r>
      <w:r>
        <w:rPr>
          <w:rFonts w:ascii="Times New Roman" w:hAnsi="Times New Roman"/>
          <w:noProof/>
          <w:sz w:val="24"/>
          <w:szCs w:val="24"/>
        </w:rPr>
        <w:t>detailed in the sectoral overview part.</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320198">
        <w:trPr>
          <w:trHeight w:val="540"/>
        </w:trPr>
        <w:tc>
          <w:tcPr>
            <w:tcW w:w="9120" w:type="dxa"/>
            <w:tcBorders>
              <w:bottom w:val="single" w:sz="4" w:space="0" w:color="auto"/>
            </w:tcBorders>
          </w:tcPr>
          <w:p w:rsidR="00320198" w:rsidRDefault="005C0948">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bookmarkStart w:id="4" w:name="_Toc478566425"/>
            <w:bookmarkStart w:id="5" w:name="_Toc8831297"/>
            <w:r>
              <w:rPr>
                <w:rFonts w:ascii="Times New Roman" w:eastAsia="Times New Roman" w:hAnsi="Times New Roman"/>
                <w:b/>
                <w:smallCaps/>
                <w:noProof/>
                <w:sz w:val="24"/>
                <w:szCs w:val="24"/>
              </w:rPr>
              <w:t>Antitrust and cartels</w:t>
            </w:r>
            <w:bookmarkEnd w:id="4"/>
            <w:bookmarkEnd w:id="5"/>
          </w:p>
        </w:tc>
      </w:tr>
    </w:tbl>
    <w:p w:rsidR="00320198" w:rsidRDefault="00320198">
      <w:pPr>
        <w:widowControl w:val="0"/>
        <w:autoSpaceDE w:val="0"/>
        <w:autoSpaceDN w:val="0"/>
        <w:adjustRightInd w:val="0"/>
        <w:spacing w:line="240" w:lineRule="auto"/>
        <w:rPr>
          <w:rFonts w:ascii="Times New Roman" w:hAnsi="Times New Roman"/>
          <w:b/>
          <w:bCs/>
          <w:noProof/>
          <w:sz w:val="24"/>
          <w:szCs w:val="24"/>
        </w:rPr>
      </w:pPr>
      <w:bookmarkStart w:id="6" w:name="_Toc436754130"/>
    </w:p>
    <w:p w:rsidR="00320198" w:rsidRDefault="005C0948">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szCs w:val="20"/>
        </w:rPr>
        <w:t xml:space="preserve">Articles 101, 102 and 106 TFEU </w:t>
      </w:r>
    </w:p>
    <w:p w:rsidR="00320198" w:rsidRDefault="005C0948">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noProof/>
          <w:color w:val="000000"/>
          <w:sz w:val="20"/>
          <w:szCs w:val="20"/>
          <w:lang w:eastAsia="en-GB"/>
        </w:rPr>
      </w:pPr>
      <w:r>
        <w:rPr>
          <w:rFonts w:ascii="Times New Roman" w:hAnsi="Times New Roman"/>
          <w:bCs/>
          <w:noProof/>
          <w:sz w:val="20"/>
          <w:szCs w:val="20"/>
        </w:rPr>
        <w:t xml:space="preserve">According to Article 101 TFEU, anti-competitive agreements are prohibited as incompatible with the internal market. </w:t>
      </w:r>
      <w:r>
        <w:rPr>
          <w:rFonts w:ascii="Times New Roman" w:hAnsi="Times New Roman"/>
          <w:noProof/>
          <w:color w:val="000000"/>
          <w:sz w:val="20"/>
          <w:szCs w:val="20"/>
          <w:lang w:eastAsia="en-GB"/>
        </w:rPr>
        <w:t xml:space="preserve">Article 101 TFEU prohibits agreements with an </w:t>
      </w:r>
      <w:r>
        <w:rPr>
          <w:rFonts w:ascii="Times New Roman" w:hAnsi="Times New Roman"/>
          <w:bCs/>
          <w:noProof/>
          <w:color w:val="000000"/>
          <w:sz w:val="20"/>
          <w:szCs w:val="20"/>
          <w:lang w:eastAsia="en-GB"/>
        </w:rPr>
        <w:t xml:space="preserve">anti-competitive object or effects </w:t>
      </w:r>
      <w:r>
        <w:rPr>
          <w:rFonts w:ascii="Times New Roman" w:hAnsi="Times New Roman"/>
          <w:noProof/>
          <w:color w:val="000000"/>
          <w:sz w:val="20"/>
          <w:szCs w:val="20"/>
          <w:lang w:eastAsia="en-GB"/>
        </w:rPr>
        <w:t>where companies coordinate their behaviour instead of competing independently. However, even if a horizontal or a vertical agreement could be viewed as restrictive it might be</w:t>
      </w:r>
      <w:r>
        <w:rPr>
          <w:rFonts w:ascii="Times New Roman" w:hAnsi="Times New Roman"/>
          <w:noProof/>
          <w:color w:val="000000"/>
          <w:sz w:val="20"/>
          <w:szCs w:val="20"/>
          <w:lang w:eastAsia="en-GB"/>
        </w:rPr>
        <w:t xml:space="preserve"> allowed under Article 101(3) TFEU if it ultimately fosters competition (for example by promoting technical progress or by improving distribution). </w:t>
      </w:r>
    </w:p>
    <w:p w:rsidR="00320198" w:rsidRDefault="005C0948">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Cs/>
          <w:noProof/>
          <w:sz w:val="20"/>
          <w:szCs w:val="20"/>
        </w:rPr>
      </w:pPr>
      <w:r>
        <w:rPr>
          <w:rFonts w:ascii="Times New Roman" w:hAnsi="Times New Roman"/>
          <w:bCs/>
          <w:noProof/>
          <w:sz w:val="20"/>
          <w:szCs w:val="20"/>
        </w:rPr>
        <w:t>Article 102 TFEU prohibits abuse of a dominant position. It is not in itself illegal for an undertaking to be in a dominant position or to acquire such a position. Dominant undertakings, as any other undertaking in the market, are entitled to compete on th</w:t>
      </w:r>
      <w:r>
        <w:rPr>
          <w:rFonts w:ascii="Times New Roman" w:hAnsi="Times New Roman"/>
          <w:bCs/>
          <w:noProof/>
          <w:sz w:val="20"/>
          <w:szCs w:val="20"/>
        </w:rPr>
        <w:t xml:space="preserve">e merits. However, Article 102 TFEU prohibits the abusive behaviour by dominant undertakings that, for example, directly or indirectly impose unfair purchase- or selling prices or other unfair trading conditions. </w:t>
      </w:r>
    </w:p>
    <w:p w:rsidR="00320198" w:rsidRDefault="005C0948">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Cs/>
          <w:noProof/>
          <w:sz w:val="20"/>
          <w:szCs w:val="20"/>
        </w:rPr>
      </w:pPr>
      <w:r>
        <w:rPr>
          <w:rFonts w:ascii="Times New Roman" w:hAnsi="Times New Roman"/>
          <w:bCs/>
          <w:noProof/>
          <w:sz w:val="20"/>
          <w:szCs w:val="20"/>
        </w:rPr>
        <w:t xml:space="preserve">Finally, Article 106 TFEU prevents Member </w:t>
      </w:r>
      <w:r>
        <w:rPr>
          <w:rFonts w:ascii="Times New Roman" w:hAnsi="Times New Roman"/>
          <w:bCs/>
          <w:noProof/>
          <w:sz w:val="20"/>
          <w:szCs w:val="20"/>
        </w:rPr>
        <w:t>States from enacting or maintaining in force measures contrary to the Treaty rules regarding public undertakings and undertakings to which Member States grant special or exclusive rights.</w:t>
      </w:r>
    </w:p>
    <w:p w:rsidR="00320198" w:rsidRDefault="005C0948">
      <w:pPr>
        <w:keepNext/>
        <w:widowControl w:val="0"/>
        <w:spacing w:line="240" w:lineRule="auto"/>
        <w:rPr>
          <w:rFonts w:ascii="Times New Roman" w:eastAsia="ヒラギノ角ゴ Pro W3" w:hAnsi="Times New Roman"/>
          <w:b/>
          <w:noProof/>
          <w:color w:val="000000"/>
          <w:sz w:val="24"/>
          <w:szCs w:val="24"/>
          <w:lang w:eastAsia="en-GB"/>
        </w:rPr>
      </w:pPr>
      <w:bookmarkStart w:id="7" w:name="_Toc478566426"/>
      <w:r>
        <w:rPr>
          <w:rFonts w:ascii="Times New Roman" w:eastAsia="ヒラギノ角ゴ Pro W3" w:hAnsi="Times New Roman"/>
          <w:b/>
          <w:noProof/>
          <w:color w:val="000000"/>
          <w:sz w:val="24"/>
          <w:szCs w:val="24"/>
          <w:lang w:eastAsia="en-GB"/>
        </w:rPr>
        <w:t>Antitrust and cartel decisions 2010-2018</w:t>
      </w:r>
    </w:p>
    <w:p w:rsidR="00320198" w:rsidRDefault="005C0948">
      <w:pPr>
        <w:spacing w:after="0" w:line="240" w:lineRule="auto"/>
        <w:rPr>
          <w:rFonts w:ascii="Times New Roman" w:eastAsia="Times New Roman" w:hAnsi="Times New Roman"/>
          <w:b/>
          <w:bCs/>
          <w:noProof/>
          <w:sz w:val="24"/>
          <w:szCs w:val="24"/>
          <w:lang w:eastAsia="en-GB"/>
        </w:rPr>
      </w:pPr>
      <w:r>
        <w:rPr>
          <w:noProof/>
          <w:lang w:eastAsia="en-GB"/>
        </w:rPr>
        <w:drawing>
          <wp:inline distT="0" distB="0" distL="0" distR="0">
            <wp:extent cx="5834752" cy="33556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7740" cy="3363145"/>
                    </a:xfrm>
                    <a:prstGeom prst="rect">
                      <a:avLst/>
                    </a:prstGeom>
                    <a:noFill/>
                    <a:ln>
                      <a:noFill/>
                    </a:ln>
                  </pic:spPr>
                </pic:pic>
              </a:graphicData>
            </a:graphic>
          </wp:inline>
        </w:drawing>
      </w:r>
    </w:p>
    <w:p w:rsidR="00320198" w:rsidRDefault="00320198">
      <w:pPr>
        <w:widowControl w:val="0"/>
        <w:spacing w:line="240" w:lineRule="auto"/>
        <w:ind w:left="360"/>
        <w:outlineLvl w:val="2"/>
        <w:rPr>
          <w:rFonts w:ascii="Times New Roman" w:eastAsia="Times New Roman" w:hAnsi="Times New Roman"/>
          <w:b/>
          <w:bCs/>
          <w:noProof/>
          <w:sz w:val="24"/>
          <w:szCs w:val="24"/>
          <w:lang w:eastAsia="en-GB"/>
        </w:rPr>
      </w:pPr>
      <w:bookmarkStart w:id="8" w:name="_Toc8831298"/>
    </w:p>
    <w:p w:rsidR="00320198" w:rsidRDefault="005C0948">
      <w:pPr>
        <w:widowControl w:val="0"/>
        <w:spacing w:line="240" w:lineRule="auto"/>
        <w:ind w:left="360"/>
        <w:outlineLvl w:val="2"/>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 xml:space="preserve">1.1 Guidance in </w:t>
      </w:r>
      <w:r>
        <w:rPr>
          <w:rFonts w:ascii="Times New Roman" w:eastAsia="Times New Roman" w:hAnsi="Times New Roman"/>
          <w:b/>
          <w:bCs/>
          <w:noProof/>
          <w:sz w:val="24"/>
          <w:szCs w:val="24"/>
          <w:lang w:eastAsia="en-GB"/>
        </w:rPr>
        <w:t>antitrust and cartel proceedings</w:t>
      </w:r>
      <w:bookmarkEnd w:id="6"/>
      <w:bookmarkEnd w:id="7"/>
      <w:bookmarkEnd w:id="8"/>
    </w:p>
    <w:p w:rsidR="00320198" w:rsidRDefault="005C0948">
      <w:pPr>
        <w:spacing w:after="12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lang w:val="en-US"/>
        </w:rPr>
        <w:t xml:space="preserve">During 2018, </w:t>
      </w:r>
      <w:r>
        <w:rPr>
          <w:rFonts w:ascii="Times New Roman" w:eastAsiaTheme="minorHAnsi" w:hAnsi="Times New Roman"/>
          <w:noProof/>
          <w:sz w:val="24"/>
          <w:szCs w:val="24"/>
        </w:rPr>
        <w:t xml:space="preserve">the Commission continued </w:t>
      </w:r>
      <w:r>
        <w:rPr>
          <w:rFonts w:ascii="Times New Roman" w:eastAsiaTheme="minorHAnsi" w:hAnsi="Times New Roman"/>
          <w:noProof/>
          <w:sz w:val="24"/>
          <w:szCs w:val="24"/>
          <w:lang w:val="en-US"/>
        </w:rPr>
        <w:t>streamlining the procedures in competition cases to enhance the timeliness and effectiveness of EU competition rules.</w:t>
      </w:r>
      <w:r>
        <w:rPr>
          <w:rFonts w:ascii="Times New Roman" w:eastAsiaTheme="minorHAnsi" w:hAnsi="Times New Roman"/>
          <w:noProof/>
          <w:sz w:val="24"/>
          <w:szCs w:val="24"/>
        </w:rPr>
        <w:t xml:space="preserve"> </w:t>
      </w:r>
    </w:p>
    <w:p w:rsidR="00320198" w:rsidRDefault="005C0948">
      <w:pPr>
        <w:spacing w:after="12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Following</w:t>
      </w:r>
      <w:r>
        <w:rPr>
          <w:rFonts w:ascii="Times New Roman" w:eastAsiaTheme="minorHAnsi" w:hAnsi="Times New Roman"/>
          <w:noProof/>
          <w:sz w:val="24"/>
          <w:szCs w:val="24"/>
          <w:lang w:val="en-US"/>
        </w:rPr>
        <w:t xml:space="preserve"> the </w:t>
      </w:r>
      <w:r>
        <w:rPr>
          <w:rFonts w:ascii="Times New Roman" w:eastAsiaTheme="minorHAnsi" w:hAnsi="Times New Roman"/>
          <w:noProof/>
          <w:sz w:val="24"/>
          <w:szCs w:val="24"/>
        </w:rPr>
        <w:t>established and successful framework for rewarding c</w:t>
      </w:r>
      <w:r>
        <w:rPr>
          <w:rFonts w:ascii="Times New Roman" w:eastAsiaTheme="minorHAnsi" w:hAnsi="Times New Roman"/>
          <w:noProof/>
          <w:sz w:val="24"/>
          <w:szCs w:val="24"/>
        </w:rPr>
        <w:t>ooperation by companies investigated in the area of cartels</w:t>
      </w:r>
      <w:r>
        <w:rPr>
          <w:rFonts w:ascii="Times New Roman" w:eastAsiaTheme="minorHAnsi" w:hAnsi="Times New Roman"/>
          <w:noProof/>
          <w:sz w:val="24"/>
          <w:szCs w:val="24"/>
          <w:vertAlign w:val="superscript"/>
        </w:rPr>
        <w:footnoteReference w:id="1"/>
      </w:r>
      <w:r>
        <w:rPr>
          <w:rFonts w:ascii="Times New Roman" w:eastAsiaTheme="minorHAnsi" w:hAnsi="Times New Roman"/>
          <w:noProof/>
          <w:sz w:val="24"/>
          <w:szCs w:val="24"/>
          <w:lang w:val="en-US"/>
        </w:rPr>
        <w:t xml:space="preserve"> and a first non-cartel cooperation case in </w:t>
      </w:r>
      <w:r>
        <w:rPr>
          <w:rFonts w:ascii="Times New Roman" w:eastAsiaTheme="minorHAnsi" w:hAnsi="Times New Roman"/>
          <w:noProof/>
          <w:sz w:val="24"/>
          <w:szCs w:val="24"/>
        </w:rPr>
        <w:t>2016,</w:t>
      </w:r>
      <w:r>
        <w:rPr>
          <w:rFonts w:ascii="Times New Roman" w:eastAsiaTheme="minorHAnsi" w:hAnsi="Times New Roman"/>
          <w:noProof/>
          <w:sz w:val="24"/>
          <w:szCs w:val="24"/>
          <w:vertAlign w:val="superscript"/>
        </w:rPr>
        <w:footnoteReference w:id="2"/>
      </w:r>
      <w:r>
        <w:rPr>
          <w:rFonts w:ascii="Times New Roman" w:eastAsiaTheme="minorHAnsi" w:hAnsi="Times New Roman"/>
          <w:noProof/>
          <w:sz w:val="24"/>
          <w:szCs w:val="24"/>
        </w:rPr>
        <w:t xml:space="preserve"> the Commission pursued five antitrust cases on the basis of </w:t>
      </w:r>
      <w:r>
        <w:rPr>
          <w:rFonts w:ascii="Times New Roman" w:eastAsiaTheme="minorHAnsi" w:hAnsi="Times New Roman"/>
          <w:noProof/>
          <w:sz w:val="24"/>
          <w:szCs w:val="24"/>
          <w:lang w:val="en-US"/>
        </w:rPr>
        <w:t>cooperation in return for reduced fines.</w:t>
      </w:r>
      <w:r>
        <w:rPr>
          <w:rFonts w:ascii="Times New Roman" w:eastAsiaTheme="minorHAnsi" w:hAnsi="Times New Roman"/>
          <w:noProof/>
          <w:sz w:val="24"/>
          <w:szCs w:val="24"/>
          <w:vertAlign w:val="superscript"/>
        </w:rPr>
        <w:footnoteReference w:id="3"/>
      </w:r>
      <w:r>
        <w:rPr>
          <w:rFonts w:ascii="Times New Roman" w:eastAsiaTheme="minorHAnsi" w:hAnsi="Times New Roman"/>
          <w:noProof/>
          <w:sz w:val="24"/>
          <w:szCs w:val="24"/>
          <w:lang w:val="en-US"/>
        </w:rPr>
        <w:t xml:space="preserve"> </w:t>
      </w:r>
      <w:r>
        <w:rPr>
          <w:rFonts w:ascii="Times New Roman" w:eastAsiaTheme="minorHAnsi" w:hAnsi="Times New Roman"/>
          <w:noProof/>
          <w:sz w:val="24"/>
          <w:szCs w:val="24"/>
        </w:rPr>
        <w:t>In these cases, the investigated firms acknowledged that they had infringed the competition rules before the Commission issued a Statement of Objections. All five companies provided evidence that added significant value to the investigation and complemente</w:t>
      </w:r>
      <w:r>
        <w:rPr>
          <w:rFonts w:ascii="Times New Roman" w:eastAsiaTheme="minorHAnsi" w:hAnsi="Times New Roman"/>
          <w:noProof/>
          <w:sz w:val="24"/>
          <w:szCs w:val="24"/>
        </w:rPr>
        <w:t xml:space="preserve">d evidence already on the Commission's file at the time when the voluntary submissions were made. Moreover, in one of the cases – </w:t>
      </w:r>
      <w:r>
        <w:rPr>
          <w:rFonts w:ascii="Times New Roman" w:eastAsiaTheme="minorHAnsi" w:hAnsi="Times New Roman"/>
          <w:i/>
          <w:noProof/>
          <w:sz w:val="24"/>
          <w:szCs w:val="24"/>
        </w:rPr>
        <w:t>Guess</w:t>
      </w:r>
      <w:r>
        <w:rPr>
          <w:rFonts w:ascii="Times New Roman" w:eastAsiaTheme="minorHAnsi" w:hAnsi="Times New Roman"/>
          <w:noProof/>
          <w:sz w:val="24"/>
          <w:szCs w:val="24"/>
        </w:rPr>
        <w:t xml:space="preserve"> - the investigated company revealed an infringement of the EU competition rules which was not yet known to the Commissio</w:t>
      </w:r>
      <w:r>
        <w:rPr>
          <w:rFonts w:ascii="Times New Roman" w:eastAsiaTheme="minorHAnsi" w:hAnsi="Times New Roman"/>
          <w:noProof/>
          <w:sz w:val="24"/>
          <w:szCs w:val="24"/>
        </w:rPr>
        <w:t>n.</w:t>
      </w:r>
      <w:r>
        <w:rPr>
          <w:rFonts w:ascii="Times New Roman" w:eastAsiaTheme="minorHAnsi" w:hAnsi="Times New Roman"/>
          <w:noProof/>
          <w:sz w:val="24"/>
          <w:szCs w:val="24"/>
          <w:lang w:val="en-US"/>
        </w:rPr>
        <w:t xml:space="preserve"> </w:t>
      </w:r>
      <w:r>
        <w:rPr>
          <w:rFonts w:ascii="Times New Roman" w:eastAsiaTheme="minorHAnsi" w:hAnsi="Times New Roman"/>
          <w:noProof/>
          <w:sz w:val="24"/>
          <w:szCs w:val="24"/>
        </w:rPr>
        <w:t>In addition, all companies waived certain procedural rights, resulting in administrative efficiencies. The individual reductions granted, ranging between 40% and 50%, reflected the timing of the cooperation (both in terms of the acknowledgement of liabi</w:t>
      </w:r>
      <w:r>
        <w:rPr>
          <w:rFonts w:ascii="Times New Roman" w:eastAsiaTheme="minorHAnsi" w:hAnsi="Times New Roman"/>
          <w:noProof/>
          <w:sz w:val="24"/>
          <w:szCs w:val="24"/>
        </w:rPr>
        <w:t>lity and the evidence) as well as the extent to which the evidence strengthened the Commission's case. On 17 December 2018, DG Competition published a fact-sheet setting out the framework for cooperation cases in the antitrust field.</w:t>
      </w:r>
      <w:r>
        <w:rPr>
          <w:rFonts w:ascii="Times New Roman" w:eastAsiaTheme="minorHAnsi" w:hAnsi="Times New Roman"/>
          <w:noProof/>
          <w:sz w:val="24"/>
          <w:szCs w:val="24"/>
          <w:vertAlign w:val="superscript"/>
        </w:rPr>
        <w:footnoteReference w:id="4"/>
      </w:r>
    </w:p>
    <w:p w:rsidR="00320198" w:rsidRDefault="005C0948">
      <w:pPr>
        <w:spacing w:after="12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On 12 December 2018, </w:t>
      </w:r>
      <w:r>
        <w:rPr>
          <w:rFonts w:ascii="Times New Roman" w:eastAsiaTheme="minorHAnsi" w:hAnsi="Times New Roman"/>
          <w:noProof/>
          <w:sz w:val="24"/>
          <w:szCs w:val="24"/>
        </w:rPr>
        <w:t>updated guidance on confidentiality claims in access to file and the use of voluntary confidentiality rings was published by DG Competition.</w:t>
      </w:r>
      <w:r>
        <w:rPr>
          <w:rFonts w:ascii="Times New Roman" w:eastAsiaTheme="minorHAnsi" w:hAnsi="Times New Roman"/>
          <w:noProof/>
          <w:sz w:val="24"/>
          <w:szCs w:val="24"/>
          <w:vertAlign w:val="superscript"/>
        </w:rPr>
        <w:footnoteReference w:id="5"/>
      </w:r>
      <w:r>
        <w:rPr>
          <w:rFonts w:ascii="Times New Roman" w:eastAsiaTheme="minorHAnsi" w:hAnsi="Times New Roman"/>
          <w:noProof/>
          <w:sz w:val="24"/>
          <w:szCs w:val="24"/>
        </w:rPr>
        <w:t xml:space="preserve"> The guidance </w:t>
      </w:r>
      <w:r>
        <w:rPr>
          <w:rFonts w:ascii="Times New Roman" w:eastAsia="Times New Roman" w:hAnsi="Times New Roman"/>
          <w:noProof/>
          <w:sz w:val="24"/>
          <w:szCs w:val="24"/>
          <w:lang w:eastAsia="en-GB"/>
        </w:rPr>
        <w:t>explains how companies involved in antitrust investigations should identify business secrets and othe</w:t>
      </w:r>
      <w:r>
        <w:rPr>
          <w:rFonts w:ascii="Times New Roman" w:eastAsia="Times New Roman" w:hAnsi="Times New Roman"/>
          <w:noProof/>
          <w:sz w:val="24"/>
          <w:szCs w:val="24"/>
          <w:lang w:eastAsia="en-GB"/>
        </w:rPr>
        <w:t>r confidential information in documents submitted to the Commission. Moreover, the guidelines explain how non-confidential versions of documents should be prepared. In addition, the guidance explains the benefits and the functioning of the confidentiality-</w:t>
      </w:r>
      <w:r>
        <w:rPr>
          <w:rFonts w:ascii="Times New Roman" w:eastAsia="Times New Roman" w:hAnsi="Times New Roman"/>
          <w:noProof/>
          <w:sz w:val="24"/>
          <w:szCs w:val="24"/>
          <w:lang w:eastAsia="en-GB"/>
        </w:rPr>
        <w:t>ring procedure for access to file in pending antitrust investigations. By means of a confidentiality ring, documents in the Commission's file are made accessible to the addressee(s) of a Statement of Objections in a restricted manner. Similar to a data roo</w:t>
      </w:r>
      <w:r>
        <w:rPr>
          <w:rFonts w:ascii="Times New Roman" w:eastAsia="Times New Roman" w:hAnsi="Times New Roman"/>
          <w:noProof/>
          <w:sz w:val="24"/>
          <w:szCs w:val="24"/>
          <w:lang w:eastAsia="en-GB"/>
        </w:rPr>
        <w:t>m, the number of persons having access to and who may use the information is restricted to what is strictly necessary for the rights of defence. The guidance include a template for a non-disclosure agreement between the addressee(s) of a Statement of Objec</w:t>
      </w:r>
      <w:r>
        <w:rPr>
          <w:rFonts w:ascii="Times New Roman" w:eastAsia="Times New Roman" w:hAnsi="Times New Roman"/>
          <w:noProof/>
          <w:sz w:val="24"/>
          <w:szCs w:val="24"/>
          <w:lang w:eastAsia="en-GB"/>
        </w:rPr>
        <w:t xml:space="preserve">tions and the information providers. </w:t>
      </w:r>
    </w:p>
    <w:p w:rsidR="00320198" w:rsidRDefault="005C0948">
      <w:pPr>
        <w:spacing w:after="12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lang w:val="en-US"/>
        </w:rPr>
        <w:t xml:space="preserve">In 2018, </w:t>
      </w:r>
      <w:r>
        <w:rPr>
          <w:rFonts w:ascii="Times New Roman" w:eastAsiaTheme="minorHAnsi" w:hAnsi="Times New Roman"/>
          <w:noProof/>
          <w:sz w:val="24"/>
          <w:szCs w:val="24"/>
        </w:rPr>
        <w:t>the Commission started a reflection process how competition policy can best serve European consumers in a fast-changing world.</w:t>
      </w:r>
      <w:r>
        <w:rPr>
          <w:rFonts w:ascii="Times New Roman" w:eastAsiaTheme="minorHAnsi" w:hAnsi="Times New Roman"/>
          <w:noProof/>
          <w:sz w:val="24"/>
          <w:szCs w:val="24"/>
          <w:lang w:val="en-US"/>
        </w:rPr>
        <w:t xml:space="preserve"> To this end, the Commission </w:t>
      </w:r>
      <w:r>
        <w:rPr>
          <w:rFonts w:ascii="Times New Roman" w:eastAsiaTheme="minorHAnsi" w:hAnsi="Times New Roman"/>
          <w:noProof/>
          <w:sz w:val="24"/>
          <w:szCs w:val="24"/>
        </w:rPr>
        <w:t xml:space="preserve">appointed, </w:t>
      </w:r>
      <w:r>
        <w:rPr>
          <w:rFonts w:ascii="Times New Roman" w:eastAsiaTheme="minorHAnsi" w:hAnsi="Times New Roman"/>
          <w:noProof/>
          <w:color w:val="000000"/>
          <w:sz w:val="24"/>
          <w:szCs w:val="24"/>
        </w:rPr>
        <w:t>Professors Heike Schweitzer, Jacques Crémer</w:t>
      </w:r>
      <w:r>
        <w:rPr>
          <w:rFonts w:ascii="Times New Roman" w:eastAsiaTheme="minorHAnsi" w:hAnsi="Times New Roman"/>
          <w:noProof/>
          <w:color w:val="000000"/>
          <w:sz w:val="24"/>
          <w:szCs w:val="24"/>
        </w:rPr>
        <w:t xml:space="preserve"> and Assistant Professor Yves-Alexandre de Montjoye as Special Advisers </w:t>
      </w:r>
      <w:r>
        <w:rPr>
          <w:rFonts w:ascii="Times New Roman" w:eastAsiaTheme="minorHAnsi" w:hAnsi="Times New Roman"/>
          <w:noProof/>
          <w:sz w:val="24"/>
          <w:szCs w:val="24"/>
        </w:rPr>
        <w:t>on the future challenges of digitisation for competition policy.</w:t>
      </w:r>
      <w:r>
        <w:rPr>
          <w:rFonts w:ascii="Times New Roman" w:eastAsiaTheme="minorHAnsi" w:hAnsi="Times New Roman"/>
          <w:noProof/>
          <w:sz w:val="24"/>
          <w:szCs w:val="24"/>
          <w:vertAlign w:val="superscript"/>
        </w:rPr>
        <w:footnoteReference w:id="6"/>
      </w:r>
      <w:r>
        <w:rPr>
          <w:rFonts w:ascii="Times New Roman" w:eastAsiaTheme="minorHAnsi" w:hAnsi="Times New Roman"/>
          <w:noProof/>
          <w:sz w:val="24"/>
          <w:szCs w:val="24"/>
        </w:rPr>
        <w:t xml:space="preserve"> The Special Advisers’ Report “Competition Policy for the Digital Era” was published on 4 April 2019.</w:t>
      </w:r>
      <w:r>
        <w:rPr>
          <w:rStyle w:val="FootnoteReference"/>
          <w:rFonts w:ascii="Times New Roman" w:eastAsiaTheme="minorHAnsi" w:hAnsi="Times New Roman"/>
          <w:noProof/>
          <w:sz w:val="24"/>
          <w:szCs w:val="24"/>
        </w:rPr>
        <w:footnoteReference w:id="7"/>
      </w:r>
      <w:r>
        <w:rPr>
          <w:rFonts w:ascii="Times New Roman" w:eastAsiaTheme="minorHAnsi" w:hAnsi="Times New Roman"/>
          <w:noProof/>
          <w:sz w:val="24"/>
          <w:szCs w:val="24"/>
        </w:rPr>
        <w:t xml:space="preserve"> In their report,</w:t>
      </w:r>
      <w:r>
        <w:rPr>
          <w:rFonts w:ascii="Times New Roman" w:eastAsiaTheme="minorHAnsi" w:hAnsi="Times New Roman"/>
          <w:noProof/>
          <w:sz w:val="24"/>
          <w:szCs w:val="24"/>
        </w:rPr>
        <w:t xml:space="preserve"> the Special Advisers (i) identify what they see as the main specific features of digital markets; (ii) provide their views on the goals of EU competition law in the digital era; and (iii) discuss the application of competition rules to digital platforms a</w:t>
      </w:r>
      <w:r>
        <w:rPr>
          <w:rFonts w:ascii="Times New Roman" w:eastAsiaTheme="minorHAnsi" w:hAnsi="Times New Roman"/>
          <w:noProof/>
          <w:sz w:val="24"/>
          <w:szCs w:val="24"/>
        </w:rPr>
        <w:t xml:space="preserve">nd data, as well as the role of merger control in preserving competition and innovation.  </w:t>
      </w:r>
    </w:p>
    <w:p w:rsidR="00320198" w:rsidRDefault="005C0948">
      <w:pPr>
        <w:spacing w:after="120" w:line="240" w:lineRule="auto"/>
        <w:jc w:val="both"/>
        <w:rPr>
          <w:rFonts w:ascii="Times New Roman" w:eastAsiaTheme="minorHAnsi" w:hAnsi="Times New Roman" w:cstheme="minorBidi"/>
          <w:noProof/>
          <w:sz w:val="24"/>
          <w:szCs w:val="24"/>
        </w:rPr>
      </w:pPr>
      <w:r>
        <w:rPr>
          <w:rFonts w:ascii="Times New Roman" w:eastAsiaTheme="minorHAnsi" w:hAnsi="Times New Roman" w:cstheme="minorBidi"/>
          <w:noProof/>
          <w:sz w:val="24"/>
          <w:szCs w:val="24"/>
        </w:rPr>
        <w:t xml:space="preserve">On 11 October 2018, DG Competition Director-General Johannes Leitenberger gave a </w:t>
      </w:r>
      <w:r>
        <w:rPr>
          <w:rFonts w:ascii="Times New Roman" w:eastAsiaTheme="minorHAnsi" w:hAnsi="Times New Roman"/>
          <w:noProof/>
          <w:sz w:val="24"/>
          <w:szCs w:val="24"/>
        </w:rPr>
        <w:t xml:space="preserve">speech which addressed current </w:t>
      </w:r>
      <w:r>
        <w:rPr>
          <w:rFonts w:ascii="Times New Roman" w:eastAsiaTheme="minorHAnsi" w:hAnsi="Times New Roman"/>
          <w:bCs/>
          <w:noProof/>
          <w:sz w:val="24"/>
          <w:szCs w:val="24"/>
        </w:rPr>
        <w:t>challenges for competition policy and enforcement, in</w:t>
      </w:r>
      <w:r>
        <w:rPr>
          <w:rFonts w:ascii="Times New Roman" w:eastAsiaTheme="minorHAnsi" w:hAnsi="Times New Roman"/>
          <w:bCs/>
          <w:noProof/>
          <w:sz w:val="24"/>
          <w:szCs w:val="24"/>
        </w:rPr>
        <w:t>cluding digital platforms, algorithms and the relevance of data</w:t>
      </w:r>
      <w:r>
        <w:rPr>
          <w:rFonts w:ascii="Times New Roman" w:eastAsiaTheme="minorHAnsi" w:hAnsi="Times New Roman" w:cstheme="minorBidi"/>
          <w:noProof/>
          <w:sz w:val="24"/>
          <w:szCs w:val="24"/>
        </w:rPr>
        <w:t>.</w:t>
      </w:r>
      <w:r>
        <w:rPr>
          <w:rFonts w:ascii="Times New Roman" w:eastAsiaTheme="minorHAnsi" w:hAnsi="Times New Roman" w:cstheme="minorBidi"/>
          <w:noProof/>
          <w:sz w:val="24"/>
          <w:szCs w:val="24"/>
          <w:vertAlign w:val="superscript"/>
        </w:rPr>
        <w:footnoteReference w:id="8"/>
      </w:r>
      <w:r>
        <w:rPr>
          <w:rFonts w:ascii="Times New Roman" w:eastAsiaTheme="minorHAnsi" w:hAnsi="Times New Roman" w:cstheme="minorBidi"/>
          <w:noProof/>
          <w:sz w:val="24"/>
          <w:szCs w:val="24"/>
        </w:rPr>
        <w:t xml:space="preserve"> </w:t>
      </w:r>
    </w:p>
    <w:p w:rsidR="00320198" w:rsidRDefault="005C0948">
      <w:pPr>
        <w:spacing w:after="240" w:line="240" w:lineRule="auto"/>
        <w:jc w:val="both"/>
        <w:rPr>
          <w:rFonts w:ascii="Times New Roman" w:eastAsiaTheme="minorHAnsi" w:hAnsi="Times New Roman"/>
          <w:iCs/>
          <w:noProof/>
          <w:sz w:val="24"/>
          <w:szCs w:val="24"/>
        </w:rPr>
      </w:pPr>
      <w:r>
        <w:rPr>
          <w:rFonts w:ascii="Times New Roman" w:eastAsiaTheme="minorHAnsi" w:hAnsi="Times New Roman"/>
          <w:noProof/>
          <w:sz w:val="24"/>
          <w:szCs w:val="24"/>
        </w:rPr>
        <w:t>In October 2018, the Commission launched the review of the Vertical Block Exemption Regulation (VBER) which will expire in May 2022.</w:t>
      </w:r>
      <w:r>
        <w:rPr>
          <w:rFonts w:ascii="Times New Roman" w:eastAsiaTheme="minorHAnsi" w:hAnsi="Times New Roman"/>
          <w:noProof/>
          <w:sz w:val="24"/>
          <w:szCs w:val="24"/>
          <w:vertAlign w:val="superscript"/>
        </w:rPr>
        <w:footnoteReference w:id="9"/>
      </w:r>
      <w:r>
        <w:rPr>
          <w:rFonts w:ascii="Times New Roman" w:eastAsiaTheme="minorHAnsi" w:hAnsi="Times New Roman"/>
          <w:noProof/>
          <w:sz w:val="24"/>
          <w:szCs w:val="24"/>
        </w:rPr>
        <w:t xml:space="preserve"> The review is carried out </w:t>
      </w:r>
      <w:r>
        <w:rPr>
          <w:rFonts w:ascii="Times New Roman" w:eastAsiaTheme="minorHAnsi" w:hAnsi="Times New Roman"/>
          <w:iCs/>
          <w:noProof/>
          <w:sz w:val="24"/>
          <w:szCs w:val="24"/>
        </w:rPr>
        <w:t>in line with the Commission’s</w:t>
      </w:r>
      <w:r>
        <w:rPr>
          <w:rFonts w:ascii="Times New Roman" w:eastAsiaTheme="minorHAnsi" w:hAnsi="Times New Roman"/>
          <w:iCs/>
          <w:noProof/>
          <w:sz w:val="24"/>
          <w:szCs w:val="24"/>
        </w:rPr>
        <w:t xml:space="preserve"> Better Regulation requirements. The purpose of the evaluation exercise is to allow the Commission to decide whether to let the VBER-rules lapse, prolong their duration or revise them. An evaluation roadmap for stakeholder comments was published on 8 Novem</w:t>
      </w:r>
      <w:r>
        <w:rPr>
          <w:rFonts w:ascii="Times New Roman" w:eastAsiaTheme="minorHAnsi" w:hAnsi="Times New Roman"/>
          <w:iCs/>
          <w:noProof/>
          <w:sz w:val="24"/>
          <w:szCs w:val="24"/>
        </w:rPr>
        <w:t>ber 2018.</w:t>
      </w:r>
      <w:r>
        <w:rPr>
          <w:rFonts w:ascii="Times New Roman" w:eastAsiaTheme="minorHAnsi" w:hAnsi="Times New Roman"/>
          <w:noProof/>
          <w:sz w:val="24"/>
          <w:szCs w:val="24"/>
          <w:vertAlign w:val="superscript"/>
        </w:rPr>
        <w:footnoteReference w:id="10"/>
      </w:r>
      <w:r>
        <w:rPr>
          <w:rFonts w:ascii="Times New Roman" w:eastAsiaTheme="minorHAnsi" w:hAnsi="Times New Roman"/>
          <w:iCs/>
          <w:noProof/>
          <w:sz w:val="24"/>
          <w:szCs w:val="24"/>
        </w:rPr>
        <w:t xml:space="preserve"> Stakeholders will be able to provide further comments at subsequent stages of the review process. In addition to stakeholder contributions, the review will take into account information gathered by the Commission in the E-commerce Sector Inquiry</w:t>
      </w:r>
      <w:r>
        <w:rPr>
          <w:rFonts w:ascii="Times New Roman" w:eastAsiaTheme="minorHAnsi" w:hAnsi="Times New Roman"/>
          <w:iCs/>
          <w:noProof/>
          <w:sz w:val="24"/>
          <w:szCs w:val="24"/>
        </w:rPr>
        <w:t xml:space="preserve"> and the experience gained through the 2018 antitrust decisions against four consumer-electronics manufacturers for fixing online resale prices.</w:t>
      </w:r>
      <w:r>
        <w:rPr>
          <w:rFonts w:ascii="Times New Roman" w:eastAsiaTheme="minorHAnsi" w:hAnsi="Times New Roman"/>
          <w:iCs/>
          <w:noProof/>
          <w:sz w:val="24"/>
          <w:szCs w:val="24"/>
          <w:vertAlign w:val="superscript"/>
        </w:rPr>
        <w:footnoteReference w:id="11"/>
      </w:r>
      <w:r>
        <w:rPr>
          <w:rFonts w:ascii="Times New Roman" w:eastAsiaTheme="minorHAnsi" w:hAnsi="Times New Roman"/>
          <w:iCs/>
          <w:noProof/>
          <w:sz w:val="24"/>
          <w:szCs w:val="24"/>
        </w:rPr>
        <w:t xml:space="preserve"> Moreover, the evaluation will draw on the national competition authorities’ (NCAs) experience from enforcing t</w:t>
      </w:r>
      <w:r>
        <w:rPr>
          <w:rFonts w:ascii="Times New Roman" w:eastAsiaTheme="minorHAnsi" w:hAnsi="Times New Roman"/>
          <w:iCs/>
          <w:noProof/>
          <w:sz w:val="24"/>
          <w:szCs w:val="24"/>
        </w:rPr>
        <w:t xml:space="preserve">he EU competition rules in this area. </w:t>
      </w:r>
    </w:p>
    <w:p w:rsidR="00320198" w:rsidRDefault="005C0948">
      <w:pPr>
        <w:widowControl w:val="0"/>
        <w:spacing w:line="240" w:lineRule="auto"/>
        <w:ind w:left="360"/>
        <w:outlineLvl w:val="2"/>
        <w:rPr>
          <w:rFonts w:ascii="Times New Roman" w:eastAsia="Times New Roman" w:hAnsi="Times New Roman"/>
          <w:b/>
          <w:bCs/>
          <w:noProof/>
          <w:sz w:val="24"/>
          <w:szCs w:val="24"/>
          <w:lang w:eastAsia="en-GB"/>
        </w:rPr>
      </w:pPr>
      <w:bookmarkStart w:id="9" w:name="_Toc478566427"/>
      <w:bookmarkStart w:id="10" w:name="_Toc8831299"/>
      <w:r>
        <w:rPr>
          <w:rFonts w:ascii="Times New Roman" w:eastAsia="Times New Roman" w:hAnsi="Times New Roman"/>
          <w:b/>
          <w:bCs/>
          <w:noProof/>
          <w:sz w:val="24"/>
          <w:szCs w:val="24"/>
          <w:lang w:eastAsia="en-GB"/>
        </w:rPr>
        <w:t>1.2 Important judgments by the European Union Courts</w:t>
      </w:r>
      <w:bookmarkEnd w:id="9"/>
      <w:bookmarkEnd w:id="10"/>
    </w:p>
    <w:p w:rsidR="00320198" w:rsidRDefault="005C0948">
      <w:pPr>
        <w:spacing w:after="120" w:line="240" w:lineRule="auto"/>
        <w:jc w:val="both"/>
        <w:rPr>
          <w:rFonts w:ascii="Times New Roman" w:eastAsiaTheme="minorHAnsi" w:hAnsi="Times New Roman"/>
          <w:b/>
          <w:noProof/>
          <w:sz w:val="24"/>
          <w:szCs w:val="24"/>
        </w:rPr>
      </w:pPr>
      <w:r>
        <w:rPr>
          <w:rFonts w:ascii="Times New Roman" w:eastAsiaTheme="minorHAnsi" w:hAnsi="Times New Roman"/>
          <w:b/>
          <w:noProof/>
          <w:sz w:val="24"/>
          <w:szCs w:val="24"/>
        </w:rPr>
        <w:t>Preliminary rulings</w:t>
      </w:r>
    </w:p>
    <w:p w:rsidR="00320198" w:rsidRDefault="005C0948">
      <w:pPr>
        <w:keepNext/>
        <w:jc w:val="both"/>
        <w:rPr>
          <w:rFonts w:ascii="Times New Roman" w:eastAsiaTheme="minorHAnsi" w:hAnsi="Times New Roman"/>
          <w:i/>
          <w:noProof/>
          <w:sz w:val="24"/>
          <w:szCs w:val="24"/>
        </w:rPr>
      </w:pPr>
      <w:r>
        <w:rPr>
          <w:rFonts w:ascii="Times New Roman" w:eastAsiaTheme="minorHAnsi" w:hAnsi="Times New Roman"/>
          <w:i/>
          <w:noProof/>
          <w:sz w:val="24"/>
          <w:szCs w:val="24"/>
        </w:rPr>
        <w:t>Dissemination of misleading information</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Hoffmann-La Roche Ltd and Others v Autorità Garante della Concorrenza e del Mercato,</w:t>
      </w:r>
      <w:r>
        <w:rPr>
          <w:rFonts w:ascii="Times New Roman" w:hAnsi="Times New Roman"/>
          <w:noProof/>
          <w:sz w:val="24"/>
          <w:szCs w:val="24"/>
          <w:vertAlign w:val="superscript"/>
        </w:rPr>
        <w:footnoteReference w:id="12"/>
      </w:r>
      <w:r>
        <w:rPr>
          <w:rFonts w:ascii="Times New Roman" w:hAnsi="Times New Roman"/>
          <w:i/>
          <w:noProof/>
          <w:sz w:val="24"/>
          <w:szCs w:val="24"/>
        </w:rPr>
        <w:t xml:space="preserve"> </w:t>
      </w:r>
      <w:r>
        <w:rPr>
          <w:rFonts w:ascii="Times New Roman" w:hAnsi="Times New Roman"/>
          <w:noProof/>
          <w:sz w:val="24"/>
          <w:szCs w:val="24"/>
        </w:rPr>
        <w:t xml:space="preserve">the Court of </w:t>
      </w:r>
      <w:r>
        <w:rPr>
          <w:rFonts w:ascii="Times New Roman" w:hAnsi="Times New Roman"/>
          <w:noProof/>
          <w:sz w:val="24"/>
          <w:szCs w:val="24"/>
        </w:rPr>
        <w:t>Justice stated that an arrangement between competing undertakings to disseminate misleading information</w:t>
      </w:r>
      <w:r>
        <w:rPr>
          <w:rFonts w:ascii="Times New Roman" w:hAnsi="Times New Roman"/>
          <w:noProof/>
          <w:sz w:val="24"/>
          <w:szCs w:val="24"/>
          <w:vertAlign w:val="superscript"/>
        </w:rPr>
        <w:footnoteReference w:id="13"/>
      </w:r>
      <w:r>
        <w:rPr>
          <w:rFonts w:ascii="Times New Roman" w:hAnsi="Times New Roman"/>
          <w:noProof/>
          <w:sz w:val="24"/>
          <w:szCs w:val="24"/>
          <w:vertAlign w:val="superscript"/>
        </w:rPr>
        <w:t xml:space="preserve"> </w:t>
      </w:r>
      <w:r>
        <w:rPr>
          <w:rFonts w:ascii="Times New Roman" w:hAnsi="Times New Roman"/>
          <w:noProof/>
          <w:sz w:val="24"/>
          <w:szCs w:val="24"/>
        </w:rPr>
        <w:t>about adverse reactions resulting from the off-label use of a medicine</w:t>
      </w:r>
      <w:r>
        <w:rPr>
          <w:rFonts w:ascii="Times New Roman" w:hAnsi="Times New Roman"/>
          <w:noProof/>
          <w:sz w:val="24"/>
          <w:szCs w:val="24"/>
          <w:vertAlign w:val="superscript"/>
        </w:rPr>
        <w:footnoteReference w:id="14"/>
      </w:r>
      <w:r>
        <w:rPr>
          <w:rFonts w:ascii="Times New Roman" w:hAnsi="Times New Roman"/>
          <w:noProof/>
          <w:sz w:val="24"/>
          <w:szCs w:val="24"/>
        </w:rPr>
        <w:t xml:space="preserve"> sold by one of the undertakings to reduce the competitive pressure on the other</w:t>
      </w:r>
      <w:r>
        <w:rPr>
          <w:rFonts w:ascii="Times New Roman" w:hAnsi="Times New Roman"/>
          <w:noProof/>
          <w:sz w:val="24"/>
          <w:szCs w:val="24"/>
        </w:rPr>
        <w:t>, may constitute a restriction of competition by object within the meaning of Article 101(1) TFEU.</w:t>
      </w:r>
      <w:r>
        <w:rPr>
          <w:rFonts w:ascii="Times New Roman" w:hAnsi="Times New Roman"/>
          <w:noProof/>
          <w:sz w:val="24"/>
          <w:szCs w:val="24"/>
          <w:vertAlign w:val="superscript"/>
        </w:rPr>
        <w:footnoteReference w:id="15"/>
      </w:r>
      <w:r>
        <w:rPr>
          <w:rFonts w:ascii="Times New Roman" w:hAnsi="Times New Roman"/>
          <w:noProof/>
          <w:sz w:val="24"/>
          <w:szCs w:val="24"/>
        </w:rPr>
        <w:t xml:space="preserve"> The Court of Justice considered that such an arrangement cannot be considered ancillary to the licensing agreement that the two undertakings had concluded s</w:t>
      </w:r>
      <w:r>
        <w:rPr>
          <w:rFonts w:ascii="Times New Roman" w:hAnsi="Times New Roman"/>
          <w:noProof/>
          <w:sz w:val="24"/>
          <w:szCs w:val="24"/>
        </w:rPr>
        <w:t>everal years before the arrangement in question, nor can it be justified under Article 101(3) TFEU. This is the first time that the Court of Justice reviewed the spreading of misleading information ("disparagement") and found it anticompetitive.</w:t>
      </w:r>
      <w:r>
        <w:rPr>
          <w:rFonts w:ascii="Times New Roman" w:hAnsi="Times New Roman"/>
          <w:noProof/>
          <w:sz w:val="24"/>
          <w:szCs w:val="24"/>
          <w:vertAlign w:val="superscript"/>
        </w:rPr>
        <w:footnoteReference w:id="16"/>
      </w:r>
      <w:r>
        <w:rPr>
          <w:rFonts w:ascii="Times New Roman" w:hAnsi="Times New Roman"/>
          <w:noProof/>
          <w:sz w:val="24"/>
          <w:szCs w:val="24"/>
          <w:vertAlign w:val="superscript"/>
        </w:rPr>
        <w:t xml:space="preserve"> </w:t>
      </w:r>
      <w:r>
        <w:rPr>
          <w:rFonts w:ascii="Times New Roman" w:hAnsi="Times New Roman"/>
          <w:noProof/>
          <w:sz w:val="24"/>
          <w:szCs w:val="24"/>
        </w:rPr>
        <w:t>In the ru</w:t>
      </w:r>
      <w:r>
        <w:rPr>
          <w:rFonts w:ascii="Times New Roman" w:hAnsi="Times New Roman"/>
          <w:noProof/>
          <w:sz w:val="24"/>
          <w:szCs w:val="24"/>
        </w:rPr>
        <w:t>ling the Court of Justice concluded that, in so far as a pharmaceutical product used on-label is substitutable by another product used off-label (for the same therapeutic indications), they can be included in the same product market.</w:t>
      </w:r>
    </w:p>
    <w:p w:rsidR="00320198" w:rsidRDefault="005C0948">
      <w:pPr>
        <w:widowControl w:val="0"/>
        <w:spacing w:line="240" w:lineRule="auto"/>
        <w:jc w:val="both"/>
        <w:rPr>
          <w:rFonts w:ascii="Times New Roman" w:eastAsiaTheme="minorHAnsi" w:hAnsi="Times New Roman"/>
          <w:i/>
          <w:noProof/>
          <w:sz w:val="24"/>
          <w:szCs w:val="24"/>
        </w:rPr>
      </w:pPr>
      <w:r>
        <w:rPr>
          <w:rFonts w:ascii="Times New Roman" w:eastAsiaTheme="minorHAnsi" w:hAnsi="Times New Roman"/>
          <w:i/>
          <w:noProof/>
          <w:sz w:val="24"/>
          <w:szCs w:val="24"/>
        </w:rPr>
        <w:t>Meaning of competitive</w:t>
      </w:r>
      <w:r>
        <w:rPr>
          <w:rFonts w:ascii="Times New Roman" w:eastAsiaTheme="minorHAnsi" w:hAnsi="Times New Roman"/>
          <w:i/>
          <w:noProof/>
          <w:sz w:val="24"/>
          <w:szCs w:val="24"/>
        </w:rPr>
        <w:t xml:space="preserve"> disadvantage</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MEO</w:t>
      </w:r>
      <w:r>
        <w:rPr>
          <w:rFonts w:ascii="Times New Roman" w:hAnsi="Times New Roman"/>
          <w:noProof/>
          <w:sz w:val="24"/>
          <w:szCs w:val="24"/>
        </w:rPr>
        <w:t>,</w:t>
      </w:r>
      <w:r>
        <w:rPr>
          <w:rFonts w:ascii="Times New Roman" w:hAnsi="Times New Roman"/>
          <w:noProof/>
          <w:sz w:val="24"/>
          <w:szCs w:val="24"/>
          <w:vertAlign w:val="superscript"/>
        </w:rPr>
        <w:footnoteReference w:id="17"/>
      </w:r>
      <w:r>
        <w:rPr>
          <w:rFonts w:ascii="Times New Roman" w:hAnsi="Times New Roman"/>
          <w:i/>
          <w:noProof/>
          <w:sz w:val="24"/>
          <w:szCs w:val="24"/>
        </w:rPr>
        <w:t xml:space="preserve"> </w:t>
      </w:r>
      <w:r>
        <w:rPr>
          <w:rFonts w:ascii="Times New Roman" w:hAnsi="Times New Roman"/>
          <w:noProof/>
          <w:sz w:val="24"/>
          <w:szCs w:val="24"/>
        </w:rPr>
        <w:t xml:space="preserve">the Court of Justice gave guidance on the interpretation of the concept of competitive disadvantage in Article 102(c) TFEU which precludes dominant undertakings from </w:t>
      </w:r>
      <w:r>
        <w:rPr>
          <w:rFonts w:ascii="Times New Roman" w:hAnsi="Times New Roman"/>
          <w:i/>
          <w:noProof/>
          <w:sz w:val="24"/>
          <w:szCs w:val="24"/>
        </w:rPr>
        <w:t>"applying dissimilar conditions to equivalent transactions with oth</w:t>
      </w:r>
      <w:r>
        <w:rPr>
          <w:rFonts w:ascii="Times New Roman" w:hAnsi="Times New Roman"/>
          <w:i/>
          <w:noProof/>
          <w:sz w:val="24"/>
          <w:szCs w:val="24"/>
        </w:rPr>
        <w:t>er trading parties, thereby placing them at a competitive disadvantage".</w:t>
      </w:r>
      <w:r>
        <w:rPr>
          <w:rFonts w:ascii="Times New Roman" w:hAnsi="Times New Roman"/>
          <w:noProof/>
          <w:sz w:val="24"/>
          <w:szCs w:val="24"/>
        </w:rPr>
        <w:t xml:space="preserve"> The Court of Justice held that the mere presence of an immediate disadvantage affecting trading partners, who were charged more, compared to their competitors for an equivalent servic</w:t>
      </w:r>
      <w:r>
        <w:rPr>
          <w:rFonts w:ascii="Times New Roman" w:hAnsi="Times New Roman"/>
          <w:noProof/>
          <w:sz w:val="24"/>
          <w:szCs w:val="24"/>
        </w:rPr>
        <w:t>e, does not mean that competition is distorted or is capable of being distorted. Instead, a finding of a competitive disadvantage must be based on an analysis of all the relevant circumstances of the case leading to the conclusion that the behaviour at iss</w:t>
      </w:r>
      <w:r>
        <w:rPr>
          <w:rFonts w:ascii="Times New Roman" w:hAnsi="Times New Roman"/>
          <w:noProof/>
          <w:sz w:val="24"/>
          <w:szCs w:val="24"/>
        </w:rPr>
        <w:t>ue has or is capable of having an effect on the costs, profits or any other relevant interest of one or more of those partners. While this finding does not require proof of actual quantifiable deterioration in the competitive situation, it does require sho</w:t>
      </w:r>
      <w:r>
        <w:rPr>
          <w:rFonts w:ascii="Times New Roman" w:hAnsi="Times New Roman"/>
          <w:noProof/>
          <w:sz w:val="24"/>
          <w:szCs w:val="24"/>
        </w:rPr>
        <w:t>wing that the conduct is capable of affecting that situation. Furthermore, the Court of Justice concluded that the seriousness of a possible competitive disadvantage is not a requirement for finding an infringement of Article 102(c) TFEU given that there i</w:t>
      </w:r>
      <w:r>
        <w:rPr>
          <w:rFonts w:ascii="Times New Roman" w:hAnsi="Times New Roman"/>
          <w:noProof/>
          <w:sz w:val="24"/>
          <w:szCs w:val="24"/>
        </w:rPr>
        <w:t>s no appreciability (</w:t>
      </w:r>
      <w:r>
        <w:rPr>
          <w:rFonts w:ascii="Times New Roman" w:hAnsi="Times New Roman"/>
          <w:i/>
          <w:noProof/>
          <w:sz w:val="24"/>
          <w:szCs w:val="24"/>
        </w:rPr>
        <w:t>de minimis</w:t>
      </w:r>
      <w:r>
        <w:rPr>
          <w:rFonts w:ascii="Times New Roman" w:hAnsi="Times New Roman"/>
          <w:noProof/>
          <w:sz w:val="24"/>
          <w:szCs w:val="24"/>
        </w:rPr>
        <w:t>) threshold for the application of Article 102 TFEU.</w:t>
      </w:r>
    </w:p>
    <w:p w:rsidR="00320198" w:rsidRDefault="005C0948">
      <w:pPr>
        <w:widowControl w:val="0"/>
        <w:spacing w:line="240" w:lineRule="auto"/>
        <w:jc w:val="both"/>
        <w:rPr>
          <w:rFonts w:ascii="Times New Roman" w:eastAsiaTheme="minorHAnsi" w:hAnsi="Times New Roman"/>
          <w:i/>
          <w:noProof/>
          <w:sz w:val="24"/>
          <w:szCs w:val="24"/>
        </w:rPr>
      </w:pPr>
      <w:r>
        <w:rPr>
          <w:rFonts w:ascii="Times New Roman" w:eastAsiaTheme="minorHAnsi" w:hAnsi="Times New Roman"/>
          <w:i/>
          <w:noProof/>
          <w:sz w:val="24"/>
          <w:szCs w:val="24"/>
        </w:rPr>
        <w:t>Actions for damages</w:t>
      </w:r>
    </w:p>
    <w:p w:rsidR="00320198" w:rsidRDefault="005C0948">
      <w:pPr>
        <w:widowControl w:val="0"/>
        <w:spacing w:line="240" w:lineRule="auto"/>
        <w:jc w:val="both"/>
        <w:rPr>
          <w:rFonts w:ascii="Times New Roman" w:eastAsiaTheme="minorHAnsi" w:hAnsi="Times New Roman"/>
          <w:i/>
          <w:noProof/>
          <w:sz w:val="24"/>
          <w:szCs w:val="24"/>
        </w:rPr>
      </w:pPr>
      <w:r>
        <w:rPr>
          <w:rFonts w:ascii="Times New Roman" w:hAnsi="Times New Roman" w:cs="Calibri"/>
          <w:noProof/>
          <w:sz w:val="24"/>
          <w:szCs w:val="24"/>
        </w:rPr>
        <w:t xml:space="preserve">In </w:t>
      </w:r>
      <w:r>
        <w:rPr>
          <w:rFonts w:ascii="Times New Roman" w:hAnsi="Times New Roman" w:cs="Calibri"/>
          <w:i/>
          <w:noProof/>
          <w:sz w:val="24"/>
          <w:szCs w:val="24"/>
        </w:rPr>
        <w:t>Apple Sales International</w:t>
      </w:r>
      <w:r>
        <w:rPr>
          <w:rFonts w:ascii="Times New Roman" w:hAnsi="Times New Roman" w:cs="Calibri"/>
          <w:noProof/>
          <w:sz w:val="24"/>
          <w:szCs w:val="24"/>
        </w:rPr>
        <w:t>,</w:t>
      </w:r>
      <w:r>
        <w:rPr>
          <w:rFonts w:ascii="Times New Roman" w:hAnsi="Times New Roman" w:cs="Calibri"/>
          <w:noProof/>
          <w:sz w:val="24"/>
          <w:szCs w:val="24"/>
          <w:vertAlign w:val="superscript"/>
        </w:rPr>
        <w:footnoteReference w:id="18"/>
      </w:r>
      <w:r>
        <w:rPr>
          <w:rFonts w:ascii="Times New Roman" w:hAnsi="Times New Roman" w:cs="Calibri"/>
          <w:noProof/>
          <w:sz w:val="24"/>
          <w:szCs w:val="24"/>
        </w:rPr>
        <w:t xml:space="preserve"> a preliminary ruling concerning the interpretation of Council Regulation No 44/2001 ("Brussels Regulation"),</w:t>
      </w:r>
      <w:r>
        <w:rPr>
          <w:rFonts w:ascii="Times New Roman" w:hAnsi="Times New Roman" w:cs="Calibri"/>
          <w:noProof/>
          <w:sz w:val="24"/>
          <w:szCs w:val="24"/>
          <w:vertAlign w:val="superscript"/>
        </w:rPr>
        <w:footnoteReference w:id="19"/>
      </w:r>
      <w:r>
        <w:rPr>
          <w:rFonts w:ascii="Times New Roman" w:hAnsi="Times New Roman" w:cs="Calibri"/>
          <w:noProof/>
          <w:sz w:val="24"/>
          <w:szCs w:val="24"/>
        </w:rPr>
        <w:t xml:space="preserve"> the Court o</w:t>
      </w:r>
      <w:r>
        <w:rPr>
          <w:rFonts w:ascii="Times New Roman" w:hAnsi="Times New Roman" w:cs="Calibri"/>
          <w:noProof/>
          <w:sz w:val="24"/>
          <w:szCs w:val="24"/>
        </w:rPr>
        <w:t>f Justice concluded that, in the context of an action for damages for an infringement of Article 102 TFEU, brought by a distributor against its supplier, the application of a contractual jurisdiction clause is not excluded on the sole ground that it does n</w:t>
      </w:r>
      <w:r>
        <w:rPr>
          <w:rFonts w:ascii="Times New Roman" w:hAnsi="Times New Roman" w:cs="Calibri"/>
          <w:noProof/>
          <w:sz w:val="24"/>
          <w:szCs w:val="24"/>
        </w:rPr>
        <w:t xml:space="preserve">ot expressly refer to disputes relating to liability incurred as a result of an infringement of competition law. The Court </w:t>
      </w:r>
      <w:r>
        <w:rPr>
          <w:rFonts w:ascii="Times New Roman" w:hAnsi="Times New Roman"/>
          <w:noProof/>
          <w:sz w:val="24"/>
          <w:szCs w:val="24"/>
        </w:rPr>
        <w:t>of Justice</w:t>
      </w:r>
      <w:r>
        <w:rPr>
          <w:rFonts w:ascii="Times New Roman" w:hAnsi="Times New Roman" w:cs="Calibri"/>
          <w:noProof/>
          <w:sz w:val="24"/>
          <w:szCs w:val="24"/>
        </w:rPr>
        <w:t xml:space="preserve"> thus made clear that in Article 102 TFEU cases where an anticompetitive behaviour is related to a contractual relationship</w:t>
      </w:r>
      <w:r>
        <w:rPr>
          <w:rFonts w:ascii="Times New Roman" w:hAnsi="Times New Roman" w:cs="Calibri"/>
          <w:noProof/>
          <w:sz w:val="24"/>
          <w:szCs w:val="24"/>
        </w:rPr>
        <w:t>, jurisdictional clauses in the agreement governing the commercial relationship between the parties will also affect any related antitrust damages claims.</w:t>
      </w:r>
    </w:p>
    <w:p w:rsidR="00320198" w:rsidRDefault="005C0948">
      <w:pPr>
        <w:keepNext/>
        <w:jc w:val="both"/>
        <w:rPr>
          <w:rFonts w:ascii="Times New Roman" w:eastAsiaTheme="minorHAnsi" w:hAnsi="Times New Roman"/>
          <w:b/>
          <w:noProof/>
          <w:sz w:val="24"/>
          <w:szCs w:val="24"/>
        </w:rPr>
      </w:pPr>
      <w:r>
        <w:rPr>
          <w:rFonts w:ascii="Times New Roman" w:eastAsiaTheme="minorHAnsi" w:hAnsi="Times New Roman"/>
          <w:b/>
          <w:noProof/>
          <w:sz w:val="24"/>
          <w:szCs w:val="24"/>
        </w:rPr>
        <w:t>Review of decisions finding an infringement</w:t>
      </w:r>
    </w:p>
    <w:p w:rsidR="00320198" w:rsidRDefault="005C0948">
      <w:pPr>
        <w:keepNext/>
        <w:jc w:val="both"/>
        <w:rPr>
          <w:rFonts w:ascii="Times New Roman" w:eastAsiaTheme="minorHAnsi" w:hAnsi="Times New Roman"/>
          <w:i/>
          <w:noProof/>
          <w:sz w:val="24"/>
          <w:szCs w:val="24"/>
        </w:rPr>
      </w:pPr>
      <w:r>
        <w:rPr>
          <w:rFonts w:ascii="Times New Roman" w:eastAsiaTheme="minorHAnsi" w:hAnsi="Times New Roman"/>
          <w:i/>
          <w:noProof/>
          <w:sz w:val="24"/>
          <w:szCs w:val="24"/>
        </w:rPr>
        <w:t>“Pay for delay” and market definition</w:t>
      </w:r>
    </w:p>
    <w:p w:rsidR="00320198" w:rsidRDefault="005C0948">
      <w:pPr>
        <w:spacing w:line="240" w:lineRule="auto"/>
        <w:jc w:val="both"/>
        <w:rPr>
          <w:rFonts w:ascii="Times New Roman" w:hAnsi="Times New Roman"/>
          <w:noProof/>
          <w:sz w:val="24"/>
          <w:szCs w:val="24"/>
        </w:rPr>
      </w:pPr>
      <w:r>
        <w:rPr>
          <w:rFonts w:ascii="Times New Roman" w:hAnsi="Times New Roman"/>
          <w:noProof/>
          <w:sz w:val="24"/>
          <w:szCs w:val="24"/>
        </w:rPr>
        <w:t>In eight judgments</w:t>
      </w:r>
      <w:r>
        <w:rPr>
          <w:rFonts w:ascii="Times New Roman" w:hAnsi="Times New Roman"/>
          <w:noProof/>
          <w:sz w:val="24"/>
          <w:szCs w:val="24"/>
          <w:vertAlign w:val="superscript"/>
        </w:rPr>
        <w:footnoteReference w:id="20"/>
      </w:r>
      <w:r>
        <w:rPr>
          <w:rFonts w:ascii="Times New Roman" w:hAnsi="Times New Roman"/>
          <w:noProof/>
          <w:sz w:val="24"/>
          <w:szCs w:val="24"/>
        </w:rPr>
        <w:t xml:space="preserve"> t</w:t>
      </w:r>
      <w:r>
        <w:rPr>
          <w:rFonts w:ascii="Times New Roman" w:hAnsi="Times New Roman"/>
          <w:bCs/>
          <w:noProof/>
          <w:sz w:val="24"/>
          <w:szCs w:val="24"/>
        </w:rPr>
        <w:t>he General Court confirmed large parts of the Commission’s decisions finding that a number of companies producing generic pharmaceuticals which had concluded anticompetitive “pay-for-delay” agreements.</w:t>
      </w:r>
      <w:r>
        <w:rPr>
          <w:rFonts w:ascii="Times New Roman" w:hAnsi="Times New Roman"/>
          <w:bCs/>
          <w:noProof/>
          <w:sz w:val="24"/>
          <w:szCs w:val="24"/>
          <w:vertAlign w:val="superscript"/>
        </w:rPr>
        <w:footnoteReference w:id="21"/>
      </w:r>
      <w:r>
        <w:rPr>
          <w:rFonts w:ascii="Times New Roman" w:hAnsi="Times New Roman"/>
          <w:bCs/>
          <w:noProof/>
          <w:sz w:val="24"/>
          <w:szCs w:val="24"/>
        </w:rPr>
        <w:t xml:space="preserve"> </w:t>
      </w:r>
    </w:p>
    <w:p w:rsidR="00320198" w:rsidRDefault="005C0948">
      <w:pPr>
        <w:spacing w:line="240" w:lineRule="auto"/>
        <w:jc w:val="both"/>
        <w:rPr>
          <w:rFonts w:ascii="Times New Roman" w:hAnsi="Times New Roman"/>
          <w:noProof/>
          <w:sz w:val="24"/>
          <w:szCs w:val="24"/>
        </w:rPr>
      </w:pPr>
      <w:r>
        <w:rPr>
          <w:rFonts w:ascii="Times New Roman" w:hAnsi="Times New Roman"/>
          <w:noProof/>
          <w:sz w:val="24"/>
          <w:szCs w:val="24"/>
        </w:rPr>
        <w:t xml:space="preserve">In line with its previous ruling in </w:t>
      </w:r>
      <w:r>
        <w:rPr>
          <w:rFonts w:ascii="Times New Roman" w:hAnsi="Times New Roman"/>
          <w:i/>
          <w:noProof/>
          <w:sz w:val="24"/>
          <w:szCs w:val="24"/>
        </w:rPr>
        <w:t>Lundbeck,</w:t>
      </w:r>
      <w:r>
        <w:rPr>
          <w:rFonts w:ascii="Times New Roman" w:hAnsi="Times New Roman"/>
          <w:noProof/>
          <w:sz w:val="24"/>
          <w:szCs w:val="24"/>
          <w:vertAlign w:val="superscript"/>
        </w:rPr>
        <w:footnoteReference w:id="22"/>
      </w:r>
      <w:r>
        <w:rPr>
          <w:rFonts w:ascii="Times New Roman" w:hAnsi="Times New Roman"/>
          <w:noProof/>
          <w:sz w:val="24"/>
          <w:szCs w:val="24"/>
        </w:rPr>
        <w:t xml:space="preserve"> the</w:t>
      </w:r>
      <w:r>
        <w:rPr>
          <w:rFonts w:ascii="Times New Roman" w:hAnsi="Times New Roman"/>
          <w:noProof/>
          <w:sz w:val="24"/>
          <w:szCs w:val="24"/>
        </w:rPr>
        <w:t xml:space="preserve"> General Court confirmed in </w:t>
      </w:r>
      <w:r>
        <w:rPr>
          <w:rFonts w:ascii="Times New Roman" w:hAnsi="Times New Roman"/>
          <w:i/>
          <w:noProof/>
          <w:sz w:val="24"/>
          <w:szCs w:val="24"/>
        </w:rPr>
        <w:t>Servier</w:t>
      </w:r>
      <w:r>
        <w:rPr>
          <w:rStyle w:val="FootnoteReference"/>
          <w:rFonts w:ascii="Times New Roman" w:hAnsi="Times New Roman"/>
          <w:i/>
          <w:noProof/>
          <w:sz w:val="24"/>
          <w:szCs w:val="24"/>
        </w:rPr>
        <w:footnoteReference w:id="23"/>
      </w:r>
      <w:r>
        <w:rPr>
          <w:rFonts w:ascii="Times New Roman" w:hAnsi="Times New Roman"/>
          <w:noProof/>
          <w:sz w:val="24"/>
          <w:szCs w:val="24"/>
        </w:rPr>
        <w:t xml:space="preserve"> that patent settlements involving payments from the originator to the generics producer can constitute pay-for-delay agreements having an anticompetitive object. The General Court  therefore upheld the Commission's find</w:t>
      </w:r>
      <w:r>
        <w:rPr>
          <w:rFonts w:ascii="Times New Roman" w:hAnsi="Times New Roman"/>
          <w:noProof/>
          <w:sz w:val="24"/>
          <w:szCs w:val="24"/>
        </w:rPr>
        <w:t>ing that the agreements concluded by Servier with five generic companies had such an object in breach of Article 101 TFEU. The General Court considered that it was the inducement (that is to say the reverse payment), and not a recognition of the validity o</w:t>
      </w:r>
      <w:r>
        <w:rPr>
          <w:rFonts w:ascii="Times New Roman" w:hAnsi="Times New Roman"/>
          <w:noProof/>
          <w:sz w:val="24"/>
          <w:szCs w:val="24"/>
        </w:rPr>
        <w:t xml:space="preserve">f the patent, that led the generics producers to agree to withdraw from the markets. </w:t>
      </w:r>
    </w:p>
    <w:p w:rsidR="00320198" w:rsidRDefault="005C0948">
      <w:pPr>
        <w:spacing w:line="240" w:lineRule="auto"/>
        <w:jc w:val="both"/>
        <w:rPr>
          <w:rFonts w:ascii="Times New Roman" w:hAnsi="Times New Roman"/>
          <w:noProof/>
          <w:sz w:val="24"/>
          <w:szCs w:val="24"/>
        </w:rPr>
      </w:pPr>
      <w:r>
        <w:rPr>
          <w:rFonts w:ascii="Times New Roman" w:hAnsi="Times New Roman"/>
          <w:noProof/>
          <w:sz w:val="24"/>
          <w:szCs w:val="24"/>
        </w:rPr>
        <w:t xml:space="preserve">Moreover, the General Court ruled that while in principle, side deals similar to direct payments can induce generics producers to withdraw from competition, not all side </w:t>
      </w:r>
      <w:r>
        <w:rPr>
          <w:rFonts w:ascii="Times New Roman" w:hAnsi="Times New Roman"/>
          <w:noProof/>
          <w:sz w:val="24"/>
          <w:szCs w:val="24"/>
        </w:rPr>
        <w:t xml:space="preserve">deals constitute an anticompetitive inducement. In particular, the General Court was not convinced that the license provided to </w:t>
      </w:r>
      <w:r>
        <w:rPr>
          <w:rFonts w:ascii="Times New Roman" w:hAnsi="Times New Roman"/>
          <w:i/>
          <w:noProof/>
          <w:sz w:val="24"/>
          <w:szCs w:val="24"/>
        </w:rPr>
        <w:t>Krka</w:t>
      </w:r>
      <w:r>
        <w:rPr>
          <w:rFonts w:ascii="Times New Roman" w:hAnsi="Times New Roman"/>
          <w:noProof/>
          <w:sz w:val="24"/>
          <w:szCs w:val="24"/>
          <w:vertAlign w:val="superscript"/>
        </w:rPr>
        <w:footnoteReference w:id="24"/>
      </w:r>
      <w:r>
        <w:rPr>
          <w:rFonts w:ascii="Times New Roman" w:hAnsi="Times New Roman"/>
          <w:i/>
          <w:noProof/>
          <w:sz w:val="24"/>
          <w:szCs w:val="24"/>
        </w:rPr>
        <w:t xml:space="preserve"> </w:t>
      </w:r>
      <w:r>
        <w:rPr>
          <w:rFonts w:ascii="Times New Roman" w:hAnsi="Times New Roman"/>
          <w:noProof/>
          <w:sz w:val="24"/>
          <w:szCs w:val="24"/>
        </w:rPr>
        <w:t>constituted an inducement for Krka’s withdrawal from a number of markets and therefore rejected the Commission’s finding t</w:t>
      </w:r>
      <w:r>
        <w:rPr>
          <w:rFonts w:ascii="Times New Roman" w:hAnsi="Times New Roman"/>
          <w:noProof/>
          <w:sz w:val="24"/>
          <w:szCs w:val="24"/>
        </w:rPr>
        <w:t xml:space="preserve">hat the Krka agreement restricted competition by object. Moreover, the General Court found that the Commission decision did not prove that the Krka agreement had restrictive effects under Article 101 TFEU. The General Court took the view that, considering </w:t>
      </w:r>
      <w:r>
        <w:rPr>
          <w:rFonts w:ascii="Times New Roman" w:hAnsi="Times New Roman"/>
          <w:noProof/>
          <w:sz w:val="24"/>
          <w:szCs w:val="24"/>
        </w:rPr>
        <w:t>that the agreement had been implemented, the Commission should have assessed actual, and not only potential effects on competition, taking into account also factual developments occurring after the agreement had been concluded.</w:t>
      </w:r>
    </w:p>
    <w:p w:rsidR="00320198" w:rsidRDefault="005C0948">
      <w:pPr>
        <w:spacing w:line="240" w:lineRule="auto"/>
        <w:jc w:val="both"/>
        <w:rPr>
          <w:rFonts w:ascii="Times New Roman" w:hAnsi="Times New Roman"/>
          <w:noProof/>
          <w:sz w:val="24"/>
          <w:szCs w:val="24"/>
        </w:rPr>
      </w:pPr>
      <w:r>
        <w:rPr>
          <w:rFonts w:ascii="Times New Roman" w:hAnsi="Times New Roman"/>
          <w:bCs/>
          <w:noProof/>
          <w:sz w:val="24"/>
          <w:szCs w:val="24"/>
        </w:rPr>
        <w:t>Finally, the General Court a</w:t>
      </w:r>
      <w:r>
        <w:rPr>
          <w:rFonts w:ascii="Times New Roman" w:hAnsi="Times New Roman"/>
          <w:bCs/>
          <w:noProof/>
          <w:sz w:val="24"/>
          <w:szCs w:val="24"/>
        </w:rPr>
        <w:t>nnulled the Commission’s finding that Servier had abused its dominant position on the market for perindopril, a medicine used to treat hypertension and heart failure.</w:t>
      </w:r>
      <w:r>
        <w:rPr>
          <w:rFonts w:ascii="Times New Roman" w:hAnsi="Times New Roman"/>
          <w:b/>
          <w:bCs/>
          <w:noProof/>
          <w:sz w:val="24"/>
          <w:szCs w:val="24"/>
        </w:rPr>
        <w:t xml:space="preserve"> </w:t>
      </w:r>
      <w:r>
        <w:rPr>
          <w:rFonts w:ascii="Times New Roman" w:hAnsi="Times New Roman"/>
          <w:bCs/>
          <w:noProof/>
          <w:sz w:val="24"/>
          <w:szCs w:val="24"/>
        </w:rPr>
        <w:t>T</w:t>
      </w:r>
      <w:r>
        <w:rPr>
          <w:rFonts w:ascii="Times New Roman" w:hAnsi="Times New Roman"/>
          <w:noProof/>
          <w:sz w:val="24"/>
          <w:szCs w:val="24"/>
        </w:rPr>
        <w:t>he General Court held that the Commission failed to show that the relevant product marke</w:t>
      </w:r>
      <w:r>
        <w:rPr>
          <w:rFonts w:ascii="Times New Roman" w:hAnsi="Times New Roman"/>
          <w:noProof/>
          <w:sz w:val="24"/>
          <w:szCs w:val="24"/>
        </w:rPr>
        <w:t>t was limited to the perindopril molecule alone. The General Court found that the Commission had made an incorrect assessment of the therapeutic substitution of perindropil with other medicines in the same therapeutic class. Moreover, the Commission had re</w:t>
      </w:r>
      <w:r>
        <w:rPr>
          <w:rFonts w:ascii="Times New Roman" w:hAnsi="Times New Roman"/>
          <w:noProof/>
          <w:sz w:val="24"/>
          <w:szCs w:val="24"/>
        </w:rPr>
        <w:t xml:space="preserve">lied excessively on price-related factors. The General Court therefore concluded that the Commission erred in finding Servier in a dominant position in accordance with Article 102 TFEU. </w:t>
      </w:r>
    </w:p>
    <w:p w:rsidR="00320198" w:rsidRDefault="005C0948">
      <w:pPr>
        <w:keepNext/>
        <w:jc w:val="both"/>
        <w:rPr>
          <w:rFonts w:ascii="Times New Roman" w:eastAsiaTheme="minorHAnsi" w:hAnsi="Times New Roman"/>
          <w:i/>
          <w:noProof/>
          <w:sz w:val="24"/>
          <w:szCs w:val="24"/>
        </w:rPr>
      </w:pPr>
      <w:r>
        <w:rPr>
          <w:rFonts w:ascii="Times New Roman" w:eastAsiaTheme="minorHAnsi" w:hAnsi="Times New Roman"/>
          <w:i/>
          <w:noProof/>
          <w:sz w:val="24"/>
          <w:szCs w:val="24"/>
        </w:rPr>
        <w:t>Cartel participation and single and continuous infringement</w:t>
      </w:r>
    </w:p>
    <w:p w:rsidR="00320198" w:rsidRDefault="005C0948">
      <w:pPr>
        <w:widowControl w:val="0"/>
        <w:spacing w:line="240" w:lineRule="auto"/>
        <w:jc w:val="both"/>
        <w:rPr>
          <w:rFonts w:ascii="Times New Roman" w:hAnsi="Times New Roman"/>
          <w:noProof/>
          <w:sz w:val="24"/>
          <w:szCs w:val="24"/>
          <w:lang w:val="en-US"/>
        </w:rPr>
      </w:pPr>
      <w:r>
        <w:rPr>
          <w:rFonts w:ascii="Times New Roman" w:eastAsiaTheme="minorHAnsi" w:hAnsi="Times New Roman"/>
          <w:noProof/>
        </w:rPr>
        <w:t xml:space="preserve">In </w:t>
      </w:r>
      <w:r>
        <w:rPr>
          <w:rFonts w:ascii="Times New Roman" w:eastAsiaTheme="minorHAnsi" w:hAnsi="Times New Roman"/>
          <w:i/>
          <w:noProof/>
        </w:rPr>
        <w:t xml:space="preserve">Power </w:t>
      </w:r>
      <w:r>
        <w:rPr>
          <w:rFonts w:ascii="Times New Roman" w:eastAsiaTheme="minorHAnsi" w:hAnsi="Times New Roman"/>
          <w:i/>
          <w:noProof/>
        </w:rPr>
        <w:t>Cables,</w:t>
      </w:r>
      <w:r>
        <w:rPr>
          <w:rFonts w:asciiTheme="minorHAnsi" w:eastAsiaTheme="minorHAnsi" w:hAnsiTheme="minorHAnsi" w:cstheme="minorBidi"/>
          <w:noProof/>
          <w:vertAlign w:val="superscript"/>
        </w:rPr>
        <w:footnoteReference w:id="25"/>
      </w:r>
      <w:r>
        <w:rPr>
          <w:rFonts w:asciiTheme="minorHAnsi" w:eastAsiaTheme="minorHAnsi" w:hAnsiTheme="minorHAnsi" w:cstheme="minorBidi"/>
          <w:noProof/>
        </w:rPr>
        <w:t xml:space="preserve"> </w:t>
      </w:r>
      <w:r>
        <w:rPr>
          <w:rFonts w:ascii="Times New Roman" w:eastAsiaTheme="minorHAnsi" w:hAnsi="Times New Roman"/>
          <w:noProof/>
          <w:sz w:val="24"/>
          <w:szCs w:val="24"/>
        </w:rPr>
        <w:t>the General Court referred to the necessary conditions for holding a cartel participant liable for a single and continuous infringement depending on the form of its participation. The General Court confirmed that even if a participant is unaware o</w:t>
      </w:r>
      <w:r>
        <w:rPr>
          <w:rFonts w:ascii="Times New Roman" w:eastAsiaTheme="minorHAnsi" w:hAnsi="Times New Roman"/>
          <w:noProof/>
          <w:sz w:val="24"/>
          <w:szCs w:val="24"/>
        </w:rPr>
        <w:t>f, but</w:t>
      </w:r>
      <w:r>
        <w:rPr>
          <w:rFonts w:asciiTheme="minorHAnsi" w:eastAsiaTheme="minorHAnsi" w:hAnsiTheme="minorHAnsi" w:cstheme="minorBidi"/>
          <w:i/>
          <w:noProof/>
        </w:rPr>
        <w:t xml:space="preserve"> </w:t>
      </w:r>
      <w:r>
        <w:rPr>
          <w:rFonts w:ascii="Times New Roman" w:eastAsiaTheme="minorHAnsi" w:hAnsi="Times New Roman"/>
          <w:noProof/>
          <w:sz w:val="24"/>
          <w:szCs w:val="24"/>
        </w:rPr>
        <w:t>could reasonably have foreseen the unlawful conduct planned and was prepared to take the risk, the cartel participant’s potential lack of knowledge of some forms of that conduct does not exempt it from liability.</w:t>
      </w:r>
      <w:r>
        <w:rPr>
          <w:rFonts w:asciiTheme="minorHAnsi" w:eastAsiaTheme="minorHAnsi" w:hAnsiTheme="minorHAnsi" w:cstheme="minorBidi"/>
          <w:noProof/>
          <w:vertAlign w:val="superscript"/>
        </w:rPr>
        <w:footnoteReference w:id="26"/>
      </w:r>
      <w:r>
        <w:rPr>
          <w:rFonts w:asciiTheme="minorHAnsi" w:eastAsiaTheme="minorHAnsi" w:hAnsiTheme="minorHAnsi" w:cstheme="minorBidi"/>
          <w:noProof/>
        </w:rPr>
        <w:t xml:space="preserve"> </w:t>
      </w:r>
      <w:r>
        <w:rPr>
          <w:rFonts w:ascii="Times New Roman" w:eastAsiaTheme="minorHAnsi" w:hAnsi="Times New Roman"/>
          <w:noProof/>
          <w:sz w:val="24"/>
          <w:szCs w:val="24"/>
        </w:rPr>
        <w:t>Moreover, the General Court held th</w:t>
      </w:r>
      <w:r>
        <w:rPr>
          <w:rFonts w:ascii="Times New Roman" w:eastAsiaTheme="minorHAnsi" w:hAnsi="Times New Roman"/>
          <w:noProof/>
          <w:sz w:val="24"/>
          <w:szCs w:val="24"/>
        </w:rPr>
        <w:t>at when an undertaking has infringed Article 101 TFEU, it cannot escape being penalised on the ground that another cartel participant has not been fined.</w:t>
      </w:r>
      <w:r>
        <w:rPr>
          <w:rFonts w:ascii="Times New Roman" w:hAnsi="Times New Roman"/>
          <w:noProof/>
          <w:sz w:val="24"/>
          <w:szCs w:val="24"/>
          <w:lang w:val="en-US"/>
        </w:rPr>
        <w:t xml:space="preserve"> </w:t>
      </w:r>
    </w:p>
    <w:p w:rsidR="00320198" w:rsidRDefault="005C0948">
      <w:pPr>
        <w:keepNext/>
        <w:jc w:val="both"/>
        <w:rPr>
          <w:rFonts w:ascii="Times New Roman" w:eastAsiaTheme="minorHAnsi" w:hAnsi="Times New Roman"/>
          <w:i/>
          <w:noProof/>
          <w:sz w:val="24"/>
          <w:szCs w:val="24"/>
        </w:rPr>
      </w:pPr>
      <w:r>
        <w:rPr>
          <w:rFonts w:ascii="Times New Roman" w:eastAsiaTheme="minorHAnsi" w:hAnsi="Times New Roman"/>
          <w:i/>
          <w:noProof/>
          <w:sz w:val="24"/>
          <w:szCs w:val="24"/>
        </w:rPr>
        <w:t>Constructive refusal to deal and margin squeeze</w:t>
      </w:r>
    </w:p>
    <w:p w:rsidR="00320198" w:rsidRDefault="005C0948">
      <w:pPr>
        <w:widowControl w:val="0"/>
        <w:spacing w:line="240" w:lineRule="auto"/>
        <w:jc w:val="both"/>
        <w:rPr>
          <w:rFonts w:ascii="Times New Roman" w:hAnsi="Times New Roman"/>
          <w:noProof/>
          <w:sz w:val="24"/>
          <w:szCs w:val="24"/>
          <w:lang w:val="en-US"/>
        </w:rPr>
      </w:pPr>
      <w:r>
        <w:rPr>
          <w:rFonts w:ascii="Times New Roman" w:hAnsi="Times New Roman"/>
          <w:noProof/>
          <w:sz w:val="24"/>
          <w:szCs w:val="24"/>
          <w:lang w:val="en-US"/>
        </w:rPr>
        <w:t xml:space="preserve">With its rulings in </w:t>
      </w:r>
      <w:r>
        <w:rPr>
          <w:rFonts w:ascii="Times New Roman" w:hAnsi="Times New Roman"/>
          <w:i/>
          <w:noProof/>
          <w:sz w:val="24"/>
          <w:szCs w:val="24"/>
          <w:lang w:val="en-US"/>
        </w:rPr>
        <w:t>Deutsche Telekom</w:t>
      </w:r>
      <w:r>
        <w:rPr>
          <w:rStyle w:val="FootnoteReference"/>
          <w:rFonts w:ascii="Times New Roman" w:hAnsi="Times New Roman"/>
          <w:noProof/>
          <w:sz w:val="24"/>
          <w:szCs w:val="24"/>
          <w:lang w:val="en-US"/>
        </w:rPr>
        <w:footnoteReference w:id="27"/>
      </w:r>
      <w:r>
        <w:rPr>
          <w:rFonts w:ascii="Times New Roman" w:hAnsi="Times New Roman"/>
          <w:noProof/>
          <w:sz w:val="24"/>
          <w:szCs w:val="24"/>
          <w:lang w:val="en-US"/>
        </w:rPr>
        <w:t xml:space="preserve"> and </w:t>
      </w:r>
      <w:r>
        <w:rPr>
          <w:rFonts w:ascii="Times New Roman" w:hAnsi="Times New Roman"/>
          <w:i/>
          <w:noProof/>
          <w:sz w:val="24"/>
          <w:szCs w:val="24"/>
          <w:lang w:val="en-US"/>
        </w:rPr>
        <w:t>Slovak Tele</w:t>
      </w:r>
      <w:r>
        <w:rPr>
          <w:rFonts w:ascii="Times New Roman" w:hAnsi="Times New Roman"/>
          <w:i/>
          <w:noProof/>
          <w:sz w:val="24"/>
          <w:szCs w:val="24"/>
          <w:lang w:val="en-US"/>
        </w:rPr>
        <w:t>kom</w:t>
      </w:r>
      <w:r>
        <w:rPr>
          <w:rFonts w:ascii="Times New Roman" w:hAnsi="Times New Roman"/>
          <w:noProof/>
          <w:sz w:val="24"/>
          <w:szCs w:val="24"/>
          <w:vertAlign w:val="superscript"/>
          <w:lang w:val="en-US"/>
        </w:rPr>
        <w:footnoteReference w:id="28"/>
      </w:r>
      <w:r>
        <w:rPr>
          <w:rFonts w:ascii="Times New Roman" w:hAnsi="Times New Roman"/>
          <w:noProof/>
          <w:sz w:val="24"/>
          <w:szCs w:val="24"/>
          <w:lang w:val="en-US"/>
        </w:rPr>
        <w:t xml:space="preserve"> the General Court largely upheld the Commission decision finding that Slovak Telekom, a subsidiary of Deutsche Telekom, had abused its dominant position by refusing access to its local loop and by engaging in margin squeeze practices. The General Cour</w:t>
      </w:r>
      <w:r>
        <w:rPr>
          <w:rFonts w:ascii="Times New Roman" w:hAnsi="Times New Roman"/>
          <w:noProof/>
          <w:sz w:val="24"/>
          <w:szCs w:val="24"/>
          <w:lang w:val="en-US"/>
        </w:rPr>
        <w:t>t noted that the relevant regulatory framework had imposed on Slovak Telekom an obligation to grant unbundled access to the local loop. Moreover, the General Court acknowledged the need for alternative operators to access the local loop to allow the develo</w:t>
      </w:r>
      <w:r>
        <w:rPr>
          <w:rFonts w:ascii="Times New Roman" w:hAnsi="Times New Roman"/>
          <w:noProof/>
          <w:sz w:val="24"/>
          <w:szCs w:val="24"/>
          <w:lang w:val="en-US"/>
        </w:rPr>
        <w:t>pment of effective competition. Therefore, the General Court concluded that the Commission was not required to demonstrate that access to Slovak Telekom's local loop was indispensable for potential competitors. While largely upholding the Commission's find</w:t>
      </w:r>
      <w:r>
        <w:rPr>
          <w:rFonts w:ascii="Times New Roman" w:hAnsi="Times New Roman"/>
          <w:noProof/>
          <w:sz w:val="24"/>
          <w:szCs w:val="24"/>
          <w:lang w:val="en-US"/>
        </w:rPr>
        <w:t>ing of margin squeeze, the General Court held that the Commission had failed to show exclusionary effects for a period of four months when the margins were positive according to the "year-by-year" assessment method. Accordingly, the General Court reduced t</w:t>
      </w:r>
      <w:r>
        <w:rPr>
          <w:rFonts w:ascii="Times New Roman" w:hAnsi="Times New Roman"/>
          <w:noProof/>
          <w:sz w:val="24"/>
          <w:szCs w:val="24"/>
          <w:lang w:val="en-US"/>
        </w:rPr>
        <w:t xml:space="preserve">he amount of the fine. </w:t>
      </w:r>
    </w:p>
    <w:p w:rsidR="00320198" w:rsidRDefault="005C0948">
      <w:pPr>
        <w:keepNext/>
        <w:jc w:val="both"/>
        <w:rPr>
          <w:rFonts w:ascii="Times New Roman" w:eastAsiaTheme="minorHAnsi" w:hAnsi="Times New Roman"/>
          <w:i/>
          <w:noProof/>
          <w:sz w:val="24"/>
          <w:szCs w:val="24"/>
        </w:rPr>
      </w:pPr>
      <w:r>
        <w:rPr>
          <w:rFonts w:ascii="Times New Roman" w:eastAsiaTheme="minorHAnsi" w:hAnsi="Times New Roman"/>
          <w:i/>
          <w:noProof/>
          <w:sz w:val="24"/>
          <w:szCs w:val="24"/>
        </w:rPr>
        <w:t>Parental liability</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Deutsche Telekom,</w:t>
      </w:r>
      <w:r>
        <w:rPr>
          <w:rFonts w:ascii="Times New Roman" w:eastAsiaTheme="minorHAnsi" w:hAnsi="Times New Roman"/>
          <w:noProof/>
          <w:sz w:val="24"/>
          <w:szCs w:val="24"/>
        </w:rPr>
        <w:footnoteReference w:id="29"/>
      </w:r>
      <w:r>
        <w:rPr>
          <w:rFonts w:ascii="Times New Roman" w:eastAsiaTheme="minorHAnsi" w:hAnsi="Times New Roman"/>
          <w:noProof/>
          <w:sz w:val="24"/>
          <w:szCs w:val="24"/>
        </w:rPr>
        <w:t xml:space="preserve"> the General Court upheld Deutsche Telekom's parental liability for the infringement, but found that Deutsche Telekom’s turnover did not reflect the company’s individual conduct in the infringement. Deutsche Telekom’s turnover could therefore not serve as </w:t>
      </w:r>
      <w:r>
        <w:rPr>
          <w:rFonts w:ascii="Times New Roman" w:eastAsiaTheme="minorHAnsi" w:hAnsi="Times New Roman"/>
          <w:noProof/>
          <w:sz w:val="24"/>
          <w:szCs w:val="24"/>
        </w:rPr>
        <w:t>a basis for a calculation of an additional fine to be imposed on the company. The General Court consequently reduced the amount of the fine.</w:t>
      </w:r>
    </w:p>
    <w:p w:rsidR="00320198" w:rsidRDefault="005C0948">
      <w:pPr>
        <w:spacing w:line="240" w:lineRule="auto"/>
        <w:jc w:val="both"/>
        <w:rPr>
          <w:rFonts w:ascii="Times New Roman" w:eastAsiaTheme="minorHAnsi" w:hAnsi="Times New Roman"/>
          <w:iCs/>
          <w:noProof/>
          <w:sz w:val="24"/>
          <w:szCs w:val="24"/>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Power Cables,</w:t>
      </w:r>
      <w:r>
        <w:rPr>
          <w:rFonts w:ascii="Times New Roman" w:eastAsiaTheme="minorHAnsi" w:hAnsi="Times New Roman"/>
          <w:noProof/>
          <w:sz w:val="20"/>
          <w:szCs w:val="20"/>
          <w:vertAlign w:val="superscript"/>
        </w:rPr>
        <w:footnoteReference w:id="30"/>
      </w:r>
      <w:r>
        <w:rPr>
          <w:rFonts w:ascii="Times New Roman" w:eastAsiaTheme="minorHAnsi" w:hAnsi="Times New Roman"/>
          <w:noProof/>
          <w:sz w:val="24"/>
          <w:szCs w:val="24"/>
        </w:rPr>
        <w:t xml:space="preserve"> the General Court confirmed the line taken by the Commission and concluded that the fact that an </w:t>
      </w:r>
      <w:r>
        <w:rPr>
          <w:rFonts w:ascii="Times New Roman" w:eastAsiaTheme="minorHAnsi" w:hAnsi="Times New Roman"/>
          <w:noProof/>
          <w:sz w:val="24"/>
          <w:szCs w:val="24"/>
        </w:rPr>
        <w:t xml:space="preserve">undertaking is </w:t>
      </w:r>
      <w:r>
        <w:rPr>
          <w:rFonts w:ascii="Times New Roman" w:eastAsiaTheme="minorHAnsi" w:hAnsi="Times New Roman"/>
          <w:iCs/>
          <w:noProof/>
          <w:sz w:val="24"/>
          <w:szCs w:val="24"/>
        </w:rPr>
        <w:t>a</w:t>
      </w:r>
      <w:r>
        <w:rPr>
          <w:rFonts w:ascii="Times New Roman" w:eastAsiaTheme="minorHAnsi" w:hAnsi="Times New Roman"/>
          <w:i/>
          <w:iCs/>
          <w:noProof/>
          <w:sz w:val="24"/>
          <w:szCs w:val="24"/>
        </w:rPr>
        <w:t xml:space="preserve"> ‘pure financial investor’ </w:t>
      </w:r>
      <w:r>
        <w:rPr>
          <w:rFonts w:ascii="Times New Roman" w:eastAsiaTheme="minorHAnsi" w:hAnsi="Times New Roman"/>
          <w:iCs/>
          <w:noProof/>
          <w:sz w:val="24"/>
          <w:szCs w:val="24"/>
        </w:rPr>
        <w:t>does not constitute a legal criterion for the non-imputation of liability for the parent company. Therefore, a financial investor is to be treated like any other parent. In the case in question, the parent company</w:t>
      </w:r>
      <w:r>
        <w:rPr>
          <w:rFonts w:ascii="Times New Roman" w:eastAsiaTheme="minorHAnsi" w:hAnsi="Times New Roman"/>
          <w:iCs/>
          <w:noProof/>
          <w:sz w:val="24"/>
          <w:szCs w:val="24"/>
        </w:rPr>
        <w:t xml:space="preserve"> had to assume parental liability based on 100% voting rights, even if its shareholding was as low as 33%.</w:t>
      </w:r>
      <w:r>
        <w:rPr>
          <w:rStyle w:val="FootnoteReference"/>
          <w:rFonts w:ascii="Times New Roman" w:eastAsiaTheme="minorHAnsi" w:hAnsi="Times New Roman"/>
          <w:iCs/>
          <w:noProof/>
          <w:sz w:val="24"/>
          <w:szCs w:val="24"/>
        </w:rPr>
        <w:footnoteReference w:id="31"/>
      </w:r>
      <w:r>
        <w:rPr>
          <w:rFonts w:ascii="Times New Roman" w:eastAsiaTheme="minorHAnsi" w:hAnsi="Times New Roman"/>
          <w:iCs/>
          <w:noProof/>
          <w:sz w:val="24"/>
          <w:szCs w:val="24"/>
        </w:rPr>
        <w:t xml:space="preserve"> </w:t>
      </w:r>
    </w:p>
    <w:p w:rsidR="00320198" w:rsidRDefault="005C0948">
      <w:pPr>
        <w:keepNext/>
        <w:jc w:val="both"/>
        <w:rPr>
          <w:rFonts w:ascii="Times New Roman" w:eastAsiaTheme="minorHAnsi" w:hAnsi="Times New Roman"/>
          <w:i/>
          <w:noProof/>
          <w:sz w:val="24"/>
          <w:szCs w:val="24"/>
        </w:rPr>
      </w:pPr>
      <w:r>
        <w:rPr>
          <w:rFonts w:ascii="Times New Roman" w:eastAsiaTheme="minorHAnsi" w:hAnsi="Times New Roman"/>
          <w:i/>
          <w:noProof/>
          <w:sz w:val="24"/>
          <w:szCs w:val="24"/>
        </w:rPr>
        <w:t>Territorial jurisdiction</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Power Cables,</w:t>
      </w:r>
      <w:r>
        <w:rPr>
          <w:rFonts w:asciiTheme="minorHAnsi" w:eastAsiaTheme="minorHAnsi" w:hAnsiTheme="minorHAnsi" w:cstheme="minorBidi"/>
          <w:noProof/>
          <w:vertAlign w:val="superscript"/>
        </w:rPr>
        <w:footnoteReference w:id="32"/>
      </w:r>
      <w:r>
        <w:rPr>
          <w:rFonts w:asciiTheme="minorHAnsi" w:eastAsiaTheme="minorHAnsi" w:hAnsiTheme="minorHAnsi" w:cstheme="minorBidi"/>
          <w:noProof/>
        </w:rPr>
        <w:t xml:space="preserve"> </w:t>
      </w:r>
      <w:r>
        <w:rPr>
          <w:rFonts w:ascii="Times New Roman" w:eastAsiaTheme="minorHAnsi" w:hAnsi="Times New Roman"/>
          <w:noProof/>
          <w:sz w:val="24"/>
          <w:szCs w:val="24"/>
        </w:rPr>
        <w:t>the General Court confirmed the Commission's practice as regards territorial jurisdiction. The General C</w:t>
      </w:r>
      <w:r>
        <w:rPr>
          <w:rFonts w:ascii="Times New Roman" w:eastAsiaTheme="minorHAnsi" w:hAnsi="Times New Roman"/>
          <w:noProof/>
          <w:sz w:val="24"/>
          <w:szCs w:val="24"/>
        </w:rPr>
        <w:t>ourt held that the Commission is entitled to penalise practices implemented outside the EEA, when it is foreseeable that the practices in question will have an immediate and substantial effect in the internal market.</w:t>
      </w:r>
    </w:p>
    <w:p w:rsidR="00320198" w:rsidRDefault="005C0948">
      <w:pPr>
        <w:keepNext/>
        <w:jc w:val="both"/>
        <w:rPr>
          <w:rFonts w:ascii="Times New Roman" w:eastAsiaTheme="minorHAnsi" w:hAnsi="Times New Roman"/>
          <w:b/>
          <w:noProof/>
          <w:sz w:val="24"/>
          <w:szCs w:val="24"/>
        </w:rPr>
      </w:pPr>
      <w:r>
        <w:rPr>
          <w:rFonts w:ascii="Times New Roman" w:eastAsiaTheme="minorHAnsi" w:hAnsi="Times New Roman"/>
          <w:b/>
          <w:noProof/>
          <w:sz w:val="24"/>
          <w:szCs w:val="24"/>
        </w:rPr>
        <w:t xml:space="preserve">Review of investigatory powers - </w:t>
      </w:r>
      <w:r>
        <w:rPr>
          <w:rFonts w:ascii="Times New Roman" w:eastAsiaTheme="minorHAnsi" w:hAnsi="Times New Roman"/>
          <w:b/>
          <w:noProof/>
          <w:sz w:val="24"/>
          <w:szCs w:val="24"/>
        </w:rPr>
        <w:t>inspections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General Court rendered two rulings on the actions for annulment brought by </w:t>
      </w:r>
      <w:r>
        <w:rPr>
          <w:rFonts w:ascii="Times New Roman" w:hAnsi="Times New Roman"/>
          <w:i/>
          <w:noProof/>
          <w:sz w:val="24"/>
          <w:szCs w:val="24"/>
        </w:rPr>
        <w:t>České dráhy,</w:t>
      </w:r>
      <w:r>
        <w:rPr>
          <w:rFonts w:ascii="Times New Roman" w:hAnsi="Times New Roman"/>
          <w:noProof/>
          <w:sz w:val="24"/>
          <w:szCs w:val="24"/>
          <w:vertAlign w:val="superscript"/>
        </w:rPr>
        <w:footnoteReference w:id="33"/>
      </w:r>
      <w:r>
        <w:rPr>
          <w:rFonts w:ascii="Times New Roman" w:hAnsi="Times New Roman"/>
          <w:i/>
          <w:noProof/>
          <w:sz w:val="24"/>
          <w:szCs w:val="24"/>
        </w:rPr>
        <w:t xml:space="preserve"> </w:t>
      </w:r>
      <w:r>
        <w:rPr>
          <w:rFonts w:ascii="Times New Roman" w:hAnsi="Times New Roman"/>
          <w:noProof/>
          <w:sz w:val="24"/>
          <w:szCs w:val="24"/>
        </w:rPr>
        <w:t>concerning</w:t>
      </w:r>
      <w:r>
        <w:rPr>
          <w:rFonts w:ascii="Times New Roman" w:hAnsi="Times New Roman"/>
          <w:i/>
          <w:noProof/>
          <w:sz w:val="24"/>
          <w:szCs w:val="24"/>
        </w:rPr>
        <w:t xml:space="preserve"> </w:t>
      </w:r>
      <w:r>
        <w:rPr>
          <w:rFonts w:ascii="Times New Roman" w:hAnsi="Times New Roman"/>
          <w:noProof/>
          <w:sz w:val="24"/>
          <w:szCs w:val="24"/>
        </w:rPr>
        <w:t>two Commission inspection decisions.</w:t>
      </w:r>
      <w:r>
        <w:rPr>
          <w:rFonts w:ascii="Times New Roman" w:hAnsi="Times New Roman"/>
          <w:noProof/>
          <w:sz w:val="24"/>
          <w:szCs w:val="24"/>
          <w:vertAlign w:val="superscript"/>
        </w:rPr>
        <w:footnoteReference w:id="34"/>
      </w:r>
      <w:r>
        <w:rPr>
          <w:rFonts w:ascii="Times New Roman" w:hAnsi="Times New Roman"/>
          <w:noProof/>
          <w:sz w:val="24"/>
          <w:szCs w:val="24"/>
        </w:rPr>
        <w:t xml:space="preserv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In the first ruling, which partially upheld the Commission inspection decision, the General Court ass</w:t>
      </w:r>
      <w:r>
        <w:rPr>
          <w:rFonts w:ascii="Times New Roman" w:hAnsi="Times New Roman"/>
          <w:noProof/>
          <w:sz w:val="24"/>
          <w:szCs w:val="24"/>
        </w:rPr>
        <w:t xml:space="preserve">essed whether the Commission had reasonable grounds to suspect an infringement of the competition rules and whether the inspections powers circumscribed by the inspection decision were restricted to the suspected infringement. The General Court found that </w:t>
      </w:r>
      <w:r>
        <w:rPr>
          <w:rFonts w:ascii="Times New Roman" w:hAnsi="Times New Roman"/>
          <w:noProof/>
          <w:sz w:val="24"/>
          <w:szCs w:val="24"/>
        </w:rPr>
        <w:t>the Commission had reasonable grounds to suspect an infringement of Article 102 TFEU by way of predatory pricing on the railway route Praha – Ostrava. However, the General Court concluded that the Commission had no grounds to suspect other types of anticom</w:t>
      </w:r>
      <w:r>
        <w:rPr>
          <w:rFonts w:ascii="Times New Roman" w:hAnsi="Times New Roman"/>
          <w:noProof/>
          <w:sz w:val="24"/>
          <w:szCs w:val="24"/>
        </w:rPr>
        <w:t>petitive conduct under Article 102 TFEU on the Praha – Ostrava route or on other routes. The General Court dismissed the other grounds for annulment put forward by České dráhy. In doing so, the General Court confirmed that parallel inspections by the Commi</w:t>
      </w:r>
      <w:r>
        <w:rPr>
          <w:rFonts w:ascii="Times New Roman" w:hAnsi="Times New Roman"/>
          <w:noProof/>
          <w:sz w:val="24"/>
          <w:szCs w:val="24"/>
        </w:rPr>
        <w:t>ssion and NCAs, cannot give rise to legitimate expectations that the Commission would refrain from intervening in the case. The General Court also made clear that the fact that the route under investigation was domestic does not preclude the Commission fro</w:t>
      </w:r>
      <w:r>
        <w:rPr>
          <w:rFonts w:ascii="Times New Roman" w:hAnsi="Times New Roman"/>
          <w:noProof/>
          <w:sz w:val="24"/>
          <w:szCs w:val="24"/>
        </w:rPr>
        <w:t xml:space="preserve">m considering that the potential infringement could have an effect on trade between Member States. </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noProof/>
          <w:sz w:val="24"/>
          <w:szCs w:val="24"/>
        </w:rPr>
        <w:t xml:space="preserve">In the second ruling, the General Court upheld the second Commission inspection decision addressed to České dráhy. The second inspection decision concerned </w:t>
      </w:r>
      <w:r>
        <w:rPr>
          <w:rFonts w:ascii="Times New Roman" w:hAnsi="Times New Roman"/>
          <w:noProof/>
          <w:sz w:val="24"/>
          <w:szCs w:val="24"/>
        </w:rPr>
        <w:t>a suspected infringement of Article 101 TFEU based on documents obtained during the first inspection. The General Court's review focused on whether the underlying evidence for the second inspection decision had been lawfully obtained during the first inspe</w:t>
      </w:r>
      <w:r>
        <w:rPr>
          <w:rFonts w:ascii="Times New Roman" w:hAnsi="Times New Roman"/>
          <w:noProof/>
          <w:sz w:val="24"/>
          <w:szCs w:val="24"/>
        </w:rPr>
        <w:t>ction. The General Court explored whether the documents that served as a basis for the second inspection decision concerning a suspected infringement of Article 101 TFEU were related to possible predatory pricing (the subject-matter of the first inspection</w:t>
      </w:r>
      <w:r>
        <w:rPr>
          <w:rFonts w:ascii="Times New Roman" w:hAnsi="Times New Roman"/>
          <w:noProof/>
          <w:sz w:val="24"/>
          <w:szCs w:val="24"/>
        </w:rPr>
        <w:t xml:space="preserve"> under Article 102 TFEU). The General Court confirmed that the indications contained in these documents, albeit imprecise, were related to the costs of České dráhy and therefore relevant for the assessment of an alleged predatory pricing strategy on the Pr</w:t>
      </w:r>
      <w:r>
        <w:rPr>
          <w:rFonts w:ascii="Times New Roman" w:hAnsi="Times New Roman"/>
          <w:noProof/>
          <w:sz w:val="24"/>
          <w:szCs w:val="24"/>
        </w:rPr>
        <w:t xml:space="preserve">aha-Ostrava route. The documents were therefore found to have been lawfully obtained. </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The judgment of the General Court in the </w:t>
      </w:r>
      <w:r>
        <w:rPr>
          <w:rFonts w:ascii="Times New Roman" w:eastAsiaTheme="minorHAnsi" w:hAnsi="Times New Roman"/>
          <w:i/>
          <w:noProof/>
          <w:sz w:val="24"/>
          <w:szCs w:val="24"/>
        </w:rPr>
        <w:t>Bio-ethanol</w:t>
      </w:r>
      <w:r>
        <w:rPr>
          <w:rFonts w:ascii="Times New Roman" w:eastAsiaTheme="minorHAnsi" w:hAnsi="Times New Roman"/>
          <w:noProof/>
          <w:vertAlign w:val="superscript"/>
        </w:rPr>
        <w:footnoteReference w:id="35"/>
      </w:r>
      <w:r>
        <w:rPr>
          <w:rFonts w:ascii="Times New Roman" w:eastAsiaTheme="minorHAnsi" w:hAnsi="Times New Roman"/>
          <w:noProof/>
        </w:rPr>
        <w:t xml:space="preserve"> </w:t>
      </w:r>
      <w:r>
        <w:rPr>
          <w:rFonts w:ascii="Times New Roman" w:eastAsiaTheme="minorHAnsi" w:hAnsi="Times New Roman"/>
          <w:noProof/>
          <w:sz w:val="24"/>
          <w:szCs w:val="24"/>
        </w:rPr>
        <w:t>case declared as inadmissible all claims that the Commission had violated, through its methodology for electronic s</w:t>
      </w:r>
      <w:r>
        <w:rPr>
          <w:rFonts w:ascii="Times New Roman" w:eastAsiaTheme="minorHAnsi" w:hAnsi="Times New Roman"/>
          <w:noProof/>
          <w:sz w:val="24"/>
          <w:szCs w:val="24"/>
        </w:rPr>
        <w:t>earches during the inspection, the principles of protection of legal and professional communication. Such claims are subject to Court review only in the context of a final Commission decision. It follows that companies cannot use arguments that the inspect</w:t>
      </w:r>
      <w:r>
        <w:rPr>
          <w:rFonts w:ascii="Times New Roman" w:eastAsiaTheme="minorHAnsi" w:hAnsi="Times New Roman"/>
          <w:noProof/>
          <w:sz w:val="24"/>
          <w:szCs w:val="24"/>
        </w:rPr>
        <w:t>ion was carried out in an unlawful manner to support claims for annulment of the inspection decision itself. Moreover, the General Court stated that any prior letter from the Commission refusing to suspend its investigation based on such claims is not an a</w:t>
      </w:r>
      <w:r>
        <w:rPr>
          <w:rFonts w:ascii="Times New Roman" w:eastAsiaTheme="minorHAnsi" w:hAnsi="Times New Roman"/>
          <w:noProof/>
          <w:sz w:val="24"/>
          <w:szCs w:val="24"/>
        </w:rPr>
        <w:t xml:space="preserve">ct that can be challenged in Court before the conclusion of the investigation.  </w:t>
      </w:r>
    </w:p>
    <w:p w:rsidR="00320198" w:rsidRDefault="005C0948">
      <w:pPr>
        <w:spacing w:line="240" w:lineRule="auto"/>
        <w:jc w:val="both"/>
        <w:rPr>
          <w:rFonts w:asciiTheme="minorHAnsi" w:eastAsiaTheme="minorHAnsi" w:hAnsiTheme="minorHAnsi" w:cstheme="minorBidi"/>
          <w:noProof/>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Power Cables,</w:t>
      </w:r>
      <w:r>
        <w:rPr>
          <w:rFonts w:ascii="Times New Roman" w:eastAsiaTheme="minorHAnsi" w:hAnsi="Times New Roman"/>
          <w:noProof/>
          <w:vertAlign w:val="superscript"/>
        </w:rPr>
        <w:footnoteReference w:id="36"/>
      </w:r>
      <w:r>
        <w:rPr>
          <w:rFonts w:ascii="Times New Roman" w:eastAsiaTheme="minorHAnsi" w:hAnsi="Times New Roman"/>
          <w:noProof/>
          <w:sz w:val="24"/>
          <w:szCs w:val="24"/>
        </w:rPr>
        <w:t xml:space="preserve"> the General Court reviewed the continued inspection procedure. If the document review has not been concluded at the envisaged end of the on-site inspection, </w:t>
      </w:r>
      <w:r>
        <w:rPr>
          <w:rFonts w:ascii="Times New Roman" w:eastAsiaTheme="minorHAnsi" w:hAnsi="Times New Roman"/>
          <w:noProof/>
          <w:sz w:val="24"/>
          <w:szCs w:val="24"/>
        </w:rPr>
        <w:t>a copy of the dataset still to be searched may be sealed and brought to the Commission’s premises, where the inspection is continued within a reasonable time limit. The General Court found that Article 20(2)(b) of Regulation No 1/2003 does not prescribe th</w:t>
      </w:r>
      <w:r>
        <w:rPr>
          <w:rFonts w:ascii="Times New Roman" w:eastAsiaTheme="minorHAnsi" w:hAnsi="Times New Roman"/>
          <w:noProof/>
          <w:sz w:val="24"/>
          <w:szCs w:val="24"/>
        </w:rPr>
        <w:t>at the examination of business records must be carried out exclusively at the inspected company’s premises. However, when examining documents at its own premises, the Commission must offer the same guarantees as those given when the examination takes place</w:t>
      </w:r>
      <w:r>
        <w:rPr>
          <w:rFonts w:ascii="Times New Roman" w:eastAsiaTheme="minorHAnsi" w:hAnsi="Times New Roman"/>
          <w:noProof/>
          <w:sz w:val="24"/>
          <w:szCs w:val="24"/>
        </w:rPr>
        <w:t xml:space="preserve"> at the inspected undertaking’s premises. Finally, the </w:t>
      </w:r>
      <w:r>
        <w:rPr>
          <w:rFonts w:ascii="Times New Roman" w:hAnsi="Times New Roman"/>
          <w:noProof/>
          <w:sz w:val="24"/>
          <w:szCs w:val="24"/>
        </w:rPr>
        <w:t>General</w:t>
      </w:r>
      <w:r>
        <w:rPr>
          <w:rFonts w:ascii="Times New Roman" w:eastAsiaTheme="minorHAnsi" w:hAnsi="Times New Roman"/>
          <w:noProof/>
          <w:sz w:val="24"/>
          <w:szCs w:val="24"/>
        </w:rPr>
        <w:t xml:space="preserve"> Court considered that the intermediate step of copying or copy-imaging documents as a part of the forensic IT analysis falls within the scope of the powers provided for in Article 20(2)(b) and (c) of Regulation No 1/2003.</w:t>
      </w:r>
      <w:r>
        <w:rPr>
          <w:rFonts w:asciiTheme="minorHAnsi" w:eastAsiaTheme="minorHAnsi" w:hAnsiTheme="minorHAnsi" w:cstheme="minorBidi"/>
          <w:noProof/>
        </w:rPr>
        <w:t xml:space="preserve"> </w:t>
      </w:r>
    </w:p>
    <w:p w:rsidR="00320198" w:rsidRDefault="005C0948">
      <w:pPr>
        <w:keepNext/>
        <w:jc w:val="both"/>
        <w:rPr>
          <w:rFonts w:ascii="Times New Roman" w:eastAsiaTheme="minorHAnsi" w:hAnsi="Times New Roman"/>
          <w:b/>
          <w:noProof/>
          <w:sz w:val="24"/>
          <w:szCs w:val="24"/>
        </w:rPr>
      </w:pPr>
      <w:r>
        <w:rPr>
          <w:rFonts w:ascii="Times New Roman" w:eastAsiaTheme="minorHAnsi" w:hAnsi="Times New Roman"/>
          <w:b/>
          <w:noProof/>
          <w:sz w:val="24"/>
          <w:szCs w:val="24"/>
        </w:rPr>
        <w:t>Review of fines</w:t>
      </w:r>
    </w:p>
    <w:p w:rsidR="00320198" w:rsidRDefault="005C0948">
      <w:pPr>
        <w:spacing w:line="240" w:lineRule="auto"/>
        <w:jc w:val="both"/>
        <w:rPr>
          <w:rFonts w:ascii="Times New Roman" w:eastAsiaTheme="minorHAnsi" w:hAnsi="Times New Roman"/>
          <w:i/>
          <w:iCs/>
          <w:noProof/>
          <w:sz w:val="24"/>
          <w:szCs w:val="24"/>
        </w:rPr>
      </w:pPr>
      <w:r>
        <w:rPr>
          <w:rFonts w:ascii="Times New Roman" w:eastAsiaTheme="minorHAnsi" w:hAnsi="Times New Roman"/>
          <w:noProof/>
          <w:sz w:val="24"/>
          <w:szCs w:val="24"/>
        </w:rPr>
        <w:t>The judgments of</w:t>
      </w:r>
      <w:r>
        <w:rPr>
          <w:rFonts w:ascii="Times New Roman" w:eastAsiaTheme="minorHAnsi" w:hAnsi="Times New Roman"/>
          <w:noProof/>
          <w:sz w:val="24"/>
          <w:szCs w:val="24"/>
        </w:rPr>
        <w:t xml:space="preserve"> the Court of Justice in the </w:t>
      </w:r>
      <w:r>
        <w:rPr>
          <w:rFonts w:ascii="Times New Roman" w:eastAsiaTheme="minorHAnsi" w:hAnsi="Times New Roman"/>
          <w:i/>
          <w:noProof/>
          <w:sz w:val="24"/>
          <w:szCs w:val="24"/>
        </w:rPr>
        <w:t>Freight Forwarding</w:t>
      </w:r>
      <w:r>
        <w:rPr>
          <w:rFonts w:asciiTheme="minorHAnsi" w:eastAsiaTheme="minorHAnsi" w:hAnsiTheme="minorHAnsi" w:cstheme="minorBidi"/>
          <w:noProof/>
          <w:vertAlign w:val="superscript"/>
        </w:rPr>
        <w:footnoteReference w:id="37"/>
      </w:r>
      <w:r>
        <w:rPr>
          <w:rFonts w:asciiTheme="minorHAnsi" w:eastAsiaTheme="minorHAnsi" w:hAnsiTheme="minorHAnsi" w:cstheme="minorBidi"/>
          <w:noProof/>
        </w:rPr>
        <w:t xml:space="preserve"> </w:t>
      </w:r>
      <w:r>
        <w:rPr>
          <w:rFonts w:ascii="Times New Roman" w:eastAsiaTheme="minorHAnsi" w:hAnsi="Times New Roman"/>
          <w:iCs/>
          <w:noProof/>
          <w:sz w:val="24"/>
          <w:szCs w:val="24"/>
        </w:rPr>
        <w:t>cases confirm several policy points crucial for the Commission's decision-making practice, that is to say the leniency regime, the Commission’s discretionary powers in choosing the entities to be addressed a</w:t>
      </w:r>
      <w:r>
        <w:rPr>
          <w:rFonts w:ascii="Times New Roman" w:eastAsiaTheme="minorHAnsi" w:hAnsi="Times New Roman"/>
          <w:iCs/>
          <w:noProof/>
          <w:sz w:val="24"/>
          <w:szCs w:val="24"/>
        </w:rPr>
        <w:t xml:space="preserve">nd its fining methodology. As regards fining, the Court of Justice affirmed that the cartelised services were international airfreight forwarding and not solely the various components of such services on which the parties colluded. Consequently, the Court </w:t>
      </w:r>
      <w:r>
        <w:rPr>
          <w:rFonts w:ascii="Times New Roman" w:eastAsiaTheme="minorHAnsi" w:hAnsi="Times New Roman"/>
          <w:iCs/>
          <w:noProof/>
          <w:sz w:val="24"/>
          <w:szCs w:val="24"/>
        </w:rPr>
        <w:t xml:space="preserve">of Justice considered that </w:t>
      </w:r>
      <w:r>
        <w:rPr>
          <w:rFonts w:ascii="Times New Roman" w:eastAsiaTheme="minorHAnsi" w:hAnsi="Times New Roman"/>
          <w:i/>
          <w:iCs/>
          <w:noProof/>
          <w:sz w:val="24"/>
          <w:szCs w:val="24"/>
        </w:rPr>
        <w:t xml:space="preserve">"since the sales falling within the sphere of the infringements at issue were made on that market" </w:t>
      </w:r>
      <w:r>
        <w:rPr>
          <w:rFonts w:ascii="Times New Roman" w:eastAsiaTheme="minorHAnsi" w:hAnsi="Times New Roman"/>
          <w:iCs/>
          <w:noProof/>
          <w:sz w:val="24"/>
          <w:szCs w:val="24"/>
        </w:rPr>
        <w:t>the Commission set the fines correctly based on the entire sales value of the overall market for international air freight forward</w:t>
      </w:r>
      <w:r>
        <w:rPr>
          <w:rFonts w:ascii="Times New Roman" w:eastAsiaTheme="minorHAnsi" w:hAnsi="Times New Roman"/>
          <w:iCs/>
          <w:noProof/>
          <w:sz w:val="24"/>
          <w:szCs w:val="24"/>
        </w:rPr>
        <w:t>ing services</w:t>
      </w:r>
      <w:r>
        <w:rPr>
          <w:rFonts w:ascii="Times New Roman" w:eastAsiaTheme="minorHAnsi" w:hAnsi="Times New Roman"/>
          <w:i/>
          <w:iCs/>
          <w:noProof/>
          <w:sz w:val="24"/>
          <w:szCs w:val="24"/>
        </w:rPr>
        <w:t>.</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The judgment of the General Court in the </w:t>
      </w:r>
      <w:r>
        <w:rPr>
          <w:rFonts w:ascii="Times New Roman" w:eastAsiaTheme="minorHAnsi" w:hAnsi="Times New Roman"/>
          <w:i/>
          <w:noProof/>
          <w:sz w:val="24"/>
          <w:szCs w:val="24"/>
        </w:rPr>
        <w:t>North Sea Shrimps</w:t>
      </w:r>
      <w:r>
        <w:rPr>
          <w:rFonts w:ascii="Times New Roman" w:eastAsiaTheme="minorHAnsi" w:hAnsi="Times New Roman"/>
          <w:noProof/>
          <w:sz w:val="20"/>
          <w:szCs w:val="20"/>
          <w:vertAlign w:val="superscript"/>
        </w:rPr>
        <w:footnoteReference w:id="38"/>
      </w:r>
      <w:r>
        <w:rPr>
          <w:rFonts w:ascii="Times New Roman" w:eastAsiaTheme="minorHAnsi" w:hAnsi="Times New Roman"/>
          <w:noProof/>
          <w:sz w:val="20"/>
          <w:szCs w:val="20"/>
        </w:rPr>
        <w:t xml:space="preserve"> </w:t>
      </w:r>
      <w:r>
        <w:rPr>
          <w:rFonts w:ascii="Times New Roman" w:eastAsiaTheme="minorHAnsi" w:hAnsi="Times New Roman"/>
          <w:noProof/>
          <w:sz w:val="24"/>
          <w:szCs w:val="24"/>
        </w:rPr>
        <w:t>case confirmed the existence and scope of the cartel and the company Stührk's participation in it. However, the General Court reminded the Commission of the fact that it must properl</w:t>
      </w:r>
      <w:r>
        <w:rPr>
          <w:rFonts w:ascii="Times New Roman" w:eastAsiaTheme="minorHAnsi" w:hAnsi="Times New Roman"/>
          <w:noProof/>
          <w:sz w:val="24"/>
          <w:szCs w:val="24"/>
        </w:rPr>
        <w:t>y justify and explain the calculation of its fine, in particular when deviating from its own Fining Guidelines,</w:t>
      </w:r>
      <w:r>
        <w:rPr>
          <w:rFonts w:ascii="Times New Roman" w:eastAsiaTheme="minorHAnsi" w:hAnsi="Times New Roman"/>
          <w:noProof/>
          <w:sz w:val="24"/>
          <w:szCs w:val="24"/>
        </w:rPr>
        <w:footnoteReference w:id="39"/>
      </w:r>
      <w:r>
        <w:rPr>
          <w:rFonts w:ascii="Times New Roman" w:eastAsiaTheme="minorHAnsi" w:hAnsi="Times New Roman"/>
          <w:noProof/>
          <w:sz w:val="24"/>
          <w:szCs w:val="24"/>
        </w:rPr>
        <w:t xml:space="preserve"> even when it does so in favour of the parties.</w:t>
      </w:r>
      <w:r>
        <w:rPr>
          <w:rFonts w:ascii="Times New Roman" w:eastAsiaTheme="minorHAnsi" w:hAnsi="Times New Roman"/>
          <w:noProof/>
          <w:sz w:val="20"/>
          <w:szCs w:val="20"/>
        </w:rPr>
        <w:footnoteReference w:id="40"/>
      </w:r>
      <w:r>
        <w:rPr>
          <w:rFonts w:ascii="Times New Roman" w:eastAsiaTheme="minorHAnsi" w:hAnsi="Times New Roman"/>
          <w:noProof/>
          <w:sz w:val="20"/>
          <w:szCs w:val="20"/>
        </w:rPr>
        <w:t xml:space="preserve"> </w:t>
      </w:r>
      <w:r>
        <w:rPr>
          <w:rFonts w:ascii="Times New Roman" w:eastAsiaTheme="minorHAnsi" w:hAnsi="Times New Roman"/>
          <w:noProof/>
          <w:sz w:val="24"/>
          <w:szCs w:val="24"/>
        </w:rPr>
        <w:t xml:space="preserve">On this basis, the fine was annulled.  </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Power Cables,</w:t>
      </w:r>
      <w:r>
        <w:rPr>
          <w:rFonts w:ascii="Times New Roman" w:eastAsiaTheme="minorHAnsi" w:hAnsi="Times New Roman"/>
          <w:noProof/>
          <w:sz w:val="20"/>
          <w:szCs w:val="20"/>
          <w:vertAlign w:val="superscript"/>
        </w:rPr>
        <w:footnoteReference w:id="41"/>
      </w:r>
      <w:r>
        <w:rPr>
          <w:rFonts w:ascii="Times New Roman" w:eastAsiaTheme="minorHAnsi" w:hAnsi="Times New Roman"/>
          <w:noProof/>
          <w:sz w:val="24"/>
          <w:szCs w:val="24"/>
        </w:rPr>
        <w:t xml:space="preserve"> the General Court confirmed the use of Point 18 of the Fining Guidelines to re-distribute the value of sales (in this case the sales within the EEA) amongst all the cartel participants. In this case, the undertakings active in the EEA reserved the EEA for</w:t>
      </w:r>
      <w:r>
        <w:rPr>
          <w:rFonts w:ascii="Times New Roman" w:eastAsiaTheme="minorHAnsi" w:hAnsi="Times New Roman"/>
          <w:noProof/>
          <w:sz w:val="24"/>
          <w:szCs w:val="24"/>
        </w:rPr>
        <w:t xml:space="preserve"> themselves while the Asian undertakings committed to stay out of the EEA. The cartel participants allocated projects between themselves according to the geographic region or customer. In particular, the companies active in the EEA agreed to allocate proje</w:t>
      </w:r>
      <w:r>
        <w:rPr>
          <w:rFonts w:ascii="Times New Roman" w:eastAsiaTheme="minorHAnsi" w:hAnsi="Times New Roman"/>
          <w:noProof/>
          <w:sz w:val="24"/>
          <w:szCs w:val="24"/>
        </w:rPr>
        <w:t>cts within the EEA.</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this case, a direct application of point 13 of the Fining Guidelines (where the Commission uses the value of sales of each undertaking in the EEA) would result in zero sales (and therefore zero fines) for the Asian undertakings, beca</w:t>
      </w:r>
      <w:r>
        <w:rPr>
          <w:rFonts w:ascii="Times New Roman" w:eastAsiaTheme="minorHAnsi" w:hAnsi="Times New Roman"/>
          <w:noProof/>
          <w:sz w:val="24"/>
          <w:szCs w:val="24"/>
        </w:rPr>
        <w:t>use they had no sales in the EEA. By applying Point 18 of the Fining Guidelines, the sales achieved in the EEA amongst all the cartelists (regardless of activity within the EEA) were re-distributed in proportion with the market shares that the cartelists h</w:t>
      </w:r>
      <w:r>
        <w:rPr>
          <w:rFonts w:ascii="Times New Roman" w:eastAsiaTheme="minorHAnsi" w:hAnsi="Times New Roman"/>
          <w:noProof/>
          <w:sz w:val="24"/>
          <w:szCs w:val="24"/>
        </w:rPr>
        <w:t>ave in the entire geographic area covered by the infringement.</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Regarding gravity and mitigating circumstances for the fines set by the Commission, the General Court confirmed the Commission's approach that less active participation in the infringement of a</w:t>
      </w:r>
      <w:r>
        <w:rPr>
          <w:rFonts w:ascii="Times New Roman" w:eastAsiaTheme="minorHAnsi" w:hAnsi="Times New Roman"/>
          <w:noProof/>
          <w:sz w:val="24"/>
          <w:szCs w:val="24"/>
        </w:rPr>
        <w:t>n undertaking was correctly taken into account when the Commission assessed the mitigating circumstances.</w:t>
      </w:r>
      <w:r>
        <w:rPr>
          <w:rFonts w:ascii="Times New Roman" w:eastAsiaTheme="minorHAnsi" w:hAnsi="Times New Roman"/>
          <w:noProof/>
          <w:sz w:val="20"/>
          <w:szCs w:val="20"/>
          <w:vertAlign w:val="superscript"/>
        </w:rPr>
        <w:footnoteReference w:id="42"/>
      </w:r>
      <w:r>
        <w:rPr>
          <w:rFonts w:ascii="Times New Roman" w:eastAsiaTheme="minorHAnsi" w:hAnsi="Times New Roman"/>
          <w:noProof/>
          <w:sz w:val="20"/>
          <w:szCs w:val="20"/>
          <w:vertAlign w:val="superscript"/>
        </w:rPr>
        <w:t xml:space="preserve"> </w:t>
      </w:r>
    </w:p>
    <w:p w:rsidR="00320198" w:rsidRDefault="005C0948">
      <w:pPr>
        <w:spacing w:line="240" w:lineRule="auto"/>
        <w:jc w:val="both"/>
        <w:rPr>
          <w:rFonts w:ascii="Times New Roman" w:eastAsiaTheme="minorHAnsi" w:hAnsi="Times New Roman"/>
          <w:noProof/>
          <w:color w:val="1F497D"/>
          <w:sz w:val="24"/>
          <w:szCs w:val="24"/>
        </w:rPr>
      </w:pPr>
      <w:r>
        <w:rPr>
          <w:rFonts w:ascii="Times New Roman" w:eastAsiaTheme="minorHAnsi" w:hAnsi="Times New Roman"/>
          <w:noProof/>
          <w:sz w:val="24"/>
          <w:szCs w:val="24"/>
        </w:rPr>
        <w:t>Moreover,</w:t>
      </w:r>
      <w:r>
        <w:rPr>
          <w:rFonts w:ascii="Times New Roman" w:eastAsiaTheme="minorHAnsi" w:hAnsi="Times New Roman"/>
          <w:noProof/>
          <w:sz w:val="20"/>
          <w:szCs w:val="20"/>
        </w:rPr>
        <w:t xml:space="preserve"> </w:t>
      </w:r>
      <w:r>
        <w:rPr>
          <w:rFonts w:ascii="Times New Roman" w:eastAsiaTheme="minorHAnsi" w:hAnsi="Times New Roman"/>
          <w:noProof/>
          <w:sz w:val="24"/>
          <w:szCs w:val="24"/>
        </w:rPr>
        <w:t xml:space="preserve">the General Court held that the Commission did not have to allocate the internal shares of the overall fine imposed on those held jointly </w:t>
      </w:r>
      <w:r>
        <w:rPr>
          <w:rFonts w:ascii="Times New Roman" w:eastAsiaTheme="minorHAnsi" w:hAnsi="Times New Roman"/>
          <w:noProof/>
          <w:sz w:val="24"/>
          <w:szCs w:val="24"/>
        </w:rPr>
        <w:t>and severally liable. According to the General Court, such an allocation would harm the objective of the joint and several liability mechanisms, the purpose of which is to provide an additional legal device available to the Commission to strengthen both th</w:t>
      </w:r>
      <w:r>
        <w:rPr>
          <w:rFonts w:ascii="Times New Roman" w:eastAsiaTheme="minorHAnsi" w:hAnsi="Times New Roman"/>
          <w:noProof/>
          <w:sz w:val="24"/>
          <w:szCs w:val="24"/>
        </w:rPr>
        <w:t xml:space="preserve">e effectiveness of the recovery of fines imposed and the objective of deterrence pursued generally by competition law. </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the </w:t>
      </w:r>
      <w:r>
        <w:rPr>
          <w:rFonts w:ascii="Times New Roman" w:eastAsiaTheme="minorHAnsi" w:hAnsi="Times New Roman"/>
          <w:i/>
          <w:noProof/>
          <w:sz w:val="24"/>
          <w:szCs w:val="24"/>
        </w:rPr>
        <w:t>Heat stabiliser</w:t>
      </w:r>
      <w:r>
        <w:rPr>
          <w:rFonts w:ascii="Times New Roman" w:eastAsiaTheme="minorHAnsi" w:hAnsi="Times New Roman"/>
          <w:noProof/>
          <w:sz w:val="24"/>
          <w:szCs w:val="24"/>
          <w:vertAlign w:val="superscript"/>
        </w:rPr>
        <w:footnoteReference w:id="43"/>
      </w:r>
      <w:r>
        <w:rPr>
          <w:rFonts w:ascii="Times New Roman" w:eastAsiaTheme="minorHAnsi" w:hAnsi="Times New Roman"/>
          <w:noProof/>
          <w:sz w:val="24"/>
          <w:szCs w:val="24"/>
        </w:rPr>
        <w:t xml:space="preserve"> judgement, the General Court annulled the Commission's decision amending the attribution of joint and several li</w:t>
      </w:r>
      <w:r>
        <w:rPr>
          <w:rFonts w:ascii="Times New Roman" w:eastAsiaTheme="minorHAnsi" w:hAnsi="Times New Roman"/>
          <w:noProof/>
          <w:sz w:val="24"/>
          <w:szCs w:val="24"/>
        </w:rPr>
        <w:t>ability, finding an infringement of the equal treatment principle when determining the joint and several liability for the fine. The issue arose on the facts that - at the time of the infringement - three entities were part of the undertaking, one (ACW) di</w:t>
      </w:r>
      <w:r>
        <w:rPr>
          <w:rFonts w:ascii="Times New Roman" w:eastAsiaTheme="minorHAnsi" w:hAnsi="Times New Roman"/>
          <w:noProof/>
          <w:sz w:val="24"/>
          <w:szCs w:val="24"/>
        </w:rPr>
        <w:t>rectly participating throughout the infringement, one (GEA) being the ultimate parent throughout the infringement and one being intermediate parent for part of the infringement (Chemson). After the infringement, but before the adoption of the decision, GEA</w:t>
      </w:r>
      <w:r>
        <w:rPr>
          <w:rFonts w:ascii="Times New Roman" w:eastAsiaTheme="minorHAnsi" w:hAnsi="Times New Roman"/>
          <w:noProof/>
          <w:sz w:val="24"/>
          <w:szCs w:val="24"/>
        </w:rPr>
        <w:t xml:space="preserve"> sold ACW and Chemson. ACW’s fine was capped due to the application of the 10% ceiling. The General Court found that this fine reduction for one party (ACW) breached the principle of equal treatment, and should have been attributed proportionately between </w:t>
      </w:r>
      <w:r>
        <w:rPr>
          <w:rFonts w:ascii="Times New Roman" w:eastAsiaTheme="minorHAnsi" w:hAnsi="Times New Roman"/>
          <w:noProof/>
          <w:sz w:val="24"/>
          <w:szCs w:val="24"/>
        </w:rPr>
        <w:t>the two other parties (GEA and Chemson).</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noProof/>
          <w:sz w:val="24"/>
          <w:szCs w:val="24"/>
        </w:rPr>
        <w:t xml:space="preserve">In </w:t>
      </w:r>
      <w:r>
        <w:rPr>
          <w:rFonts w:ascii="Times New Roman" w:hAnsi="Times New Roman"/>
          <w:i/>
          <w:noProof/>
          <w:sz w:val="24"/>
          <w:szCs w:val="24"/>
        </w:rPr>
        <w:t>Orange Polska</w:t>
      </w:r>
      <w:r>
        <w:rPr>
          <w:rFonts w:ascii="Times New Roman" w:hAnsi="Times New Roman"/>
          <w:noProof/>
          <w:sz w:val="24"/>
          <w:szCs w:val="24"/>
        </w:rPr>
        <w:t>,</w:t>
      </w:r>
      <w:r>
        <w:rPr>
          <w:rFonts w:ascii="Times New Roman" w:hAnsi="Times New Roman"/>
          <w:noProof/>
          <w:sz w:val="20"/>
          <w:szCs w:val="20"/>
          <w:vertAlign w:val="superscript"/>
        </w:rPr>
        <w:footnoteReference w:id="44"/>
      </w:r>
      <w:r>
        <w:rPr>
          <w:rFonts w:ascii="Times New Roman" w:hAnsi="Times New Roman"/>
          <w:noProof/>
          <w:sz w:val="24"/>
          <w:szCs w:val="24"/>
        </w:rPr>
        <w:t xml:space="preserve"> the Court of Justice dismissed the appeal by Orange Polska against a General Court judgment</w:t>
      </w:r>
      <w:r>
        <w:rPr>
          <w:rFonts w:ascii="Times New Roman" w:hAnsi="Times New Roman"/>
          <w:noProof/>
          <w:sz w:val="20"/>
          <w:szCs w:val="20"/>
          <w:vertAlign w:val="superscript"/>
        </w:rPr>
        <w:footnoteReference w:id="45"/>
      </w:r>
      <w:r>
        <w:rPr>
          <w:rFonts w:ascii="Times New Roman" w:hAnsi="Times New Roman"/>
          <w:noProof/>
          <w:sz w:val="24"/>
          <w:szCs w:val="24"/>
        </w:rPr>
        <w:t xml:space="preserve"> </w:t>
      </w:r>
      <w:r>
        <w:rPr>
          <w:rFonts w:ascii="Times New Roman" w:eastAsiaTheme="minorHAnsi" w:hAnsi="Times New Roman"/>
          <w:noProof/>
          <w:sz w:val="24"/>
          <w:szCs w:val="24"/>
        </w:rPr>
        <w:t>which upheld the European Commission's decision</w:t>
      </w:r>
      <w:r>
        <w:rPr>
          <w:rFonts w:ascii="Times New Roman" w:eastAsiaTheme="minorHAnsi" w:hAnsi="Times New Roman"/>
          <w:noProof/>
          <w:sz w:val="24"/>
          <w:szCs w:val="24"/>
          <w:vertAlign w:val="superscript"/>
        </w:rPr>
        <w:footnoteReference w:id="46"/>
      </w:r>
      <w:r>
        <w:rPr>
          <w:rFonts w:ascii="Times New Roman" w:eastAsiaTheme="minorHAnsi" w:hAnsi="Times New Roman"/>
          <w:noProof/>
          <w:sz w:val="24"/>
          <w:szCs w:val="24"/>
        </w:rPr>
        <w:t xml:space="preserve"> fining Telekomunikacja Polska (now Orange Polska) for abusing its dominant position on Polish broadband markets. The Court of Justice ruling confirms that, when imposing a fine for an infringement that has ended, the Commission is not obliged to justify i</w:t>
      </w:r>
      <w:r>
        <w:rPr>
          <w:rFonts w:ascii="Times New Roman" w:eastAsiaTheme="minorHAnsi" w:hAnsi="Times New Roman"/>
          <w:noProof/>
          <w:sz w:val="24"/>
          <w:szCs w:val="24"/>
        </w:rPr>
        <w:t>n its decision the existence of a legitimate interest in finding that infringement. The Court of Justice also confirmed that in assessing the gravity of the infringement for the purpose of calculating the fine, the Commission is not required to take into a</w:t>
      </w:r>
      <w:r>
        <w:rPr>
          <w:rFonts w:ascii="Times New Roman" w:eastAsiaTheme="minorHAnsi" w:hAnsi="Times New Roman"/>
          <w:noProof/>
          <w:sz w:val="24"/>
          <w:szCs w:val="24"/>
        </w:rPr>
        <w:t>ccount the actual or likely effects of the infringement committed</w:t>
      </w:r>
      <w:r>
        <w:rPr>
          <w:rFonts w:ascii="Times New Roman" w:hAnsi="Times New Roman"/>
          <w:noProof/>
          <w:sz w:val="24"/>
          <w:szCs w:val="24"/>
        </w:rPr>
        <w:t xml:space="preserve">.  </w:t>
      </w:r>
    </w:p>
    <w:p w:rsidR="00320198" w:rsidRDefault="005C0948">
      <w:pPr>
        <w:keepNext/>
        <w:jc w:val="both"/>
        <w:rPr>
          <w:rFonts w:ascii="Times New Roman" w:eastAsiaTheme="minorHAnsi" w:hAnsi="Times New Roman"/>
          <w:b/>
          <w:noProof/>
          <w:sz w:val="24"/>
          <w:szCs w:val="24"/>
        </w:rPr>
      </w:pPr>
      <w:r>
        <w:rPr>
          <w:rFonts w:ascii="Times New Roman" w:eastAsiaTheme="minorHAnsi" w:hAnsi="Times New Roman"/>
          <w:b/>
          <w:noProof/>
          <w:sz w:val="24"/>
          <w:szCs w:val="24"/>
        </w:rPr>
        <w:t>Review of commitment decisions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Canal+</w:t>
      </w:r>
      <w:r>
        <w:rPr>
          <w:rFonts w:ascii="Times New Roman" w:hAnsi="Times New Roman"/>
          <w:noProof/>
          <w:sz w:val="24"/>
          <w:szCs w:val="24"/>
          <w:vertAlign w:val="superscript"/>
        </w:rPr>
        <w:footnoteReference w:id="47"/>
      </w:r>
      <w:r>
        <w:rPr>
          <w:rFonts w:ascii="Times New Roman" w:hAnsi="Times New Roman"/>
          <w:noProof/>
          <w:sz w:val="24"/>
          <w:szCs w:val="24"/>
        </w:rPr>
        <w:t xml:space="preserve"> the General Court dismissed the application for annulment brought by Canal+ against the Commission decision making binding the commitments offere</w:t>
      </w:r>
      <w:r>
        <w:rPr>
          <w:rFonts w:ascii="Times New Roman" w:hAnsi="Times New Roman"/>
          <w:noProof/>
          <w:sz w:val="24"/>
          <w:szCs w:val="24"/>
        </w:rPr>
        <w:t>d by Paramount Pictures Ltd (“Paramount”). The commitments addressed the Commission’s concerns that clauses in Paramount’s pay-tv film licensing agreement with Sky UK prevented cross-border passive sales and therefore amounted to absolute territorial prote</w:t>
      </w:r>
      <w:r>
        <w:rPr>
          <w:rFonts w:ascii="Times New Roman" w:hAnsi="Times New Roman"/>
          <w:noProof/>
          <w:sz w:val="24"/>
          <w:szCs w:val="24"/>
        </w:rPr>
        <w:t xml:space="preserve">ction eliminating all cross-border competition between pay-tv broadcasters. In its commitments, Paramount committed not to enforce and not to honour contractual restrictions on passive sales for a period of five years throughout the EEA. Canal+ challenged </w:t>
      </w:r>
      <w:r>
        <w:rPr>
          <w:rFonts w:ascii="Times New Roman" w:hAnsi="Times New Roman"/>
          <w:noProof/>
          <w:sz w:val="24"/>
          <w:szCs w:val="24"/>
        </w:rPr>
        <w:t xml:space="preserve">the commitment decision as a third party, claiming that the contested clauses are not restrictive of competition and that the Commission decision breaches the principle of proportionality.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General Court examined the legal and economic context of the </w:t>
      </w:r>
      <w:r>
        <w:rPr>
          <w:rFonts w:ascii="Times New Roman" w:hAnsi="Times New Roman"/>
          <w:noProof/>
          <w:sz w:val="24"/>
          <w:szCs w:val="24"/>
        </w:rPr>
        <w:t xml:space="preserve">contested clauses and confirmed the Commission's concerns that the contested clauses amounted to absolute territorial protection and have as their object the elimination of all cross-border competition between pay-tv broadcasters. According to the General </w:t>
      </w:r>
      <w:r>
        <w:rPr>
          <w:rFonts w:ascii="Times New Roman" w:hAnsi="Times New Roman"/>
          <w:noProof/>
          <w:sz w:val="24"/>
          <w:szCs w:val="24"/>
        </w:rPr>
        <w:t>Court, this finding applies to the licensed work, whether it is copyright-protected or not. In addition, the General Court noted that the clauses imposed restrictions that went beyond what was indispensable for the improvement of the production and distrib</w:t>
      </w:r>
      <w:r>
        <w:rPr>
          <w:rFonts w:ascii="Times New Roman" w:hAnsi="Times New Roman"/>
          <w:noProof/>
          <w:sz w:val="24"/>
          <w:szCs w:val="24"/>
        </w:rPr>
        <w:t>ution of copyright-protected works.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As regards the principle of proportionality, the General Court stated that, where a commitment consists of the non-implementation of a contractual clause, a Commission commitment decision will make binding such a commitm</w:t>
      </w:r>
      <w:r>
        <w:rPr>
          <w:rFonts w:ascii="Times New Roman" w:hAnsi="Times New Roman"/>
          <w:noProof/>
          <w:sz w:val="24"/>
          <w:szCs w:val="24"/>
        </w:rPr>
        <w:t xml:space="preserve">ent only on the undertakings that offered them, and not on third parties that could see their rights affected by the commitment. Third parties have the possibility to protect their legal rights before national courts. The General Court also confirmed that </w:t>
      </w:r>
      <w:r>
        <w:rPr>
          <w:rFonts w:ascii="Times New Roman" w:hAnsi="Times New Roman"/>
          <w:noProof/>
          <w:sz w:val="24"/>
          <w:szCs w:val="24"/>
        </w:rPr>
        <w:t>the Commission was entitled to, without breaching the principle of proportionality, accept Paramount's commitment not to implement the contested clauses in its contract with Sky UK for the United Kingdom and Ireland (countries where the Commission had expr</w:t>
      </w:r>
      <w:r>
        <w:rPr>
          <w:rFonts w:ascii="Times New Roman" w:hAnsi="Times New Roman"/>
          <w:noProof/>
          <w:sz w:val="24"/>
          <w:szCs w:val="24"/>
        </w:rPr>
        <w:t>essed concerns), but also in license agreements with other broadcasters in the EEA for different national territories.</w:t>
      </w:r>
    </w:p>
    <w:p w:rsidR="00320198" w:rsidRDefault="005C0948">
      <w:pPr>
        <w:keepNext/>
        <w:jc w:val="both"/>
        <w:rPr>
          <w:rFonts w:ascii="Times New Roman" w:eastAsiaTheme="minorHAnsi" w:hAnsi="Times New Roman"/>
          <w:b/>
          <w:noProof/>
          <w:sz w:val="24"/>
          <w:szCs w:val="24"/>
        </w:rPr>
      </w:pPr>
      <w:r>
        <w:rPr>
          <w:rFonts w:ascii="Times New Roman" w:eastAsiaTheme="minorHAnsi" w:hAnsi="Times New Roman"/>
          <w:b/>
          <w:noProof/>
          <w:sz w:val="24"/>
          <w:szCs w:val="24"/>
        </w:rPr>
        <w:t>Review of decisions rejecting complaints</w:t>
      </w:r>
    </w:p>
    <w:p w:rsidR="00320198" w:rsidRDefault="005C0948">
      <w:pPr>
        <w:tabs>
          <w:tab w:val="left" w:pos="7080"/>
        </w:tabs>
        <w:spacing w:after="240" w:line="240" w:lineRule="auto"/>
        <w:jc w:val="both"/>
        <w:rPr>
          <w:rFonts w:ascii="Times New Roman" w:hAnsi="Times New Roman" w:cs="Calibri"/>
          <w:noProof/>
          <w:sz w:val="24"/>
          <w:szCs w:val="24"/>
        </w:rPr>
      </w:pPr>
      <w:r>
        <w:rPr>
          <w:rFonts w:ascii="Times New Roman" w:hAnsi="Times New Roman" w:cs="Calibri"/>
          <w:noProof/>
          <w:sz w:val="24"/>
          <w:szCs w:val="24"/>
        </w:rPr>
        <w:t>In </w:t>
      </w:r>
      <w:r>
        <w:rPr>
          <w:rFonts w:ascii="Times New Roman" w:hAnsi="Times New Roman" w:cs="Calibri"/>
          <w:i/>
          <w:noProof/>
          <w:sz w:val="24"/>
          <w:szCs w:val="24"/>
        </w:rPr>
        <w:t>Agria Polska</w:t>
      </w:r>
      <w:r>
        <w:rPr>
          <w:rFonts w:ascii="Times New Roman" w:hAnsi="Times New Roman" w:cs="Calibri"/>
          <w:noProof/>
          <w:sz w:val="24"/>
          <w:szCs w:val="24"/>
        </w:rPr>
        <w:t>,</w:t>
      </w:r>
      <w:r>
        <w:rPr>
          <w:rFonts w:ascii="Times New Roman" w:hAnsi="Times New Roman" w:cs="Calibri"/>
          <w:noProof/>
          <w:sz w:val="24"/>
          <w:szCs w:val="24"/>
          <w:vertAlign w:val="superscript"/>
        </w:rPr>
        <w:footnoteReference w:id="48"/>
      </w:r>
      <w:r>
        <w:rPr>
          <w:rFonts w:ascii="Times New Roman" w:hAnsi="Times New Roman" w:cs="Calibri"/>
          <w:noProof/>
          <w:sz w:val="24"/>
          <w:szCs w:val="24"/>
        </w:rPr>
        <w:t xml:space="preserve"> the Court of Justice dismissed an appeal against the General Court's ruling upholding the Commission decision rejecting a complaint due to lack of EU interest. The Court of Justice found that the scope and cost of an investigation sought by a complainant </w:t>
      </w:r>
      <w:r>
        <w:rPr>
          <w:rFonts w:ascii="Times New Roman" w:hAnsi="Times New Roman" w:cs="Calibri"/>
          <w:noProof/>
          <w:sz w:val="24"/>
          <w:szCs w:val="24"/>
        </w:rPr>
        <w:t>cannot be regarded as decisive criteria for finding EU interest, even where the investigation would cover several Member States. Moreover, the Court of Justice dismissed the argument that the Commission should open an investigation to ensure the effectiven</w:t>
      </w:r>
      <w:r>
        <w:rPr>
          <w:rFonts w:ascii="Times New Roman" w:hAnsi="Times New Roman" w:cs="Calibri"/>
          <w:noProof/>
          <w:sz w:val="24"/>
          <w:szCs w:val="24"/>
        </w:rPr>
        <w:t>ess of the competition rules if the complainant faces procedural or institutional obstacles to bring an action before national courts. The Commission has no obligation to compensate shortcomings in judicial protection at national level by opening an invest</w:t>
      </w:r>
      <w:r>
        <w:rPr>
          <w:rFonts w:ascii="Times New Roman" w:hAnsi="Times New Roman" w:cs="Calibri"/>
          <w:noProof/>
          <w:sz w:val="24"/>
          <w:szCs w:val="24"/>
        </w:rPr>
        <w:t>igation. It is the Member States’ responsibility to ensure effective judicial protection for individual parties, the Court of Justice concluded.</w:t>
      </w:r>
    </w:p>
    <w:p w:rsidR="00320198" w:rsidRDefault="005C0948">
      <w:pPr>
        <w:spacing w:after="0" w:line="240" w:lineRule="auto"/>
        <w:jc w:val="both"/>
        <w:rPr>
          <w:rFonts w:ascii="Times New Roman" w:eastAsiaTheme="minorHAnsi" w:hAnsi="Times New Roman"/>
          <w:b/>
          <w:noProof/>
          <w:sz w:val="24"/>
          <w:szCs w:val="24"/>
        </w:rPr>
      </w:pPr>
      <w:r>
        <w:rPr>
          <w:rFonts w:ascii="Times New Roman" w:eastAsia="Times New Roman" w:hAnsi="Times New Roman"/>
          <w:noProof/>
          <w:sz w:val="24"/>
          <w:szCs w:val="24"/>
        </w:rPr>
        <w:t xml:space="preserve">In </w:t>
      </w:r>
      <w:r>
        <w:rPr>
          <w:rFonts w:ascii="Times New Roman" w:eastAsia="Times New Roman" w:hAnsi="Times New Roman"/>
          <w:i/>
          <w:noProof/>
          <w:sz w:val="24"/>
          <w:szCs w:val="24"/>
        </w:rPr>
        <w:t>EAEPC</w:t>
      </w:r>
      <w:r>
        <w:rPr>
          <w:rFonts w:ascii="Times New Roman" w:eastAsia="Times New Roman" w:hAnsi="Times New Roman"/>
          <w:noProof/>
          <w:sz w:val="24"/>
          <w:szCs w:val="24"/>
        </w:rPr>
        <w:t>,</w:t>
      </w:r>
      <w:r>
        <w:rPr>
          <w:rFonts w:eastAsia="Times New Roman" w:cs="Consolas"/>
          <w:noProof/>
          <w:sz w:val="24"/>
          <w:szCs w:val="24"/>
          <w:vertAlign w:val="superscript"/>
        </w:rPr>
        <w:footnoteReference w:id="49"/>
      </w:r>
      <w:r>
        <w:rPr>
          <w:rFonts w:ascii="Times New Roman" w:eastAsia="Times New Roman" w:hAnsi="Times New Roman"/>
          <w:noProof/>
          <w:sz w:val="24"/>
          <w:szCs w:val="24"/>
        </w:rPr>
        <w:t xml:space="preserve"> the General Court fully upheld a Commission decision rejecting the complaint of the European Associa</w:t>
      </w:r>
      <w:r>
        <w:rPr>
          <w:rFonts w:ascii="Times New Roman" w:eastAsia="Times New Roman" w:hAnsi="Times New Roman"/>
          <w:noProof/>
          <w:sz w:val="24"/>
          <w:szCs w:val="24"/>
        </w:rPr>
        <w:t>tion of Euro-Pharmaceutical Companies (EAEPC) alleging that GlaxoSmithKline (GSK) had violated Article 101 TFEU by applying a dual pricing scheme. GSK had notified the scheme to the Commission in 1998 under the previous authorisation regime of Regulation 1</w:t>
      </w:r>
      <w:r>
        <w:rPr>
          <w:rFonts w:ascii="Times New Roman" w:eastAsia="Times New Roman" w:hAnsi="Times New Roman"/>
          <w:noProof/>
          <w:sz w:val="24"/>
          <w:szCs w:val="24"/>
        </w:rPr>
        <w:t>7/1962</w:t>
      </w:r>
      <w:r>
        <w:rPr>
          <w:rFonts w:eastAsia="Times New Roman" w:cs="Consolas"/>
          <w:noProof/>
          <w:sz w:val="24"/>
          <w:szCs w:val="24"/>
          <w:vertAlign w:val="superscript"/>
        </w:rPr>
        <w:footnoteReference w:id="50"/>
      </w:r>
      <w:r>
        <w:rPr>
          <w:rFonts w:ascii="Times New Roman" w:eastAsia="Times New Roman" w:hAnsi="Times New Roman"/>
          <w:noProof/>
          <w:sz w:val="24"/>
          <w:szCs w:val="24"/>
        </w:rPr>
        <w:t xml:space="preserve"> and EAEPC had filed its original complaint in 1999. Acting on the EAEPC complaint, the Commission adopted in 2001 a decision finding that the dual pricing scheme was a restriction by object and refused to exempt it. In 2006, the General Court annul</w:t>
      </w:r>
      <w:r>
        <w:rPr>
          <w:rFonts w:ascii="Times New Roman" w:eastAsia="Times New Roman" w:hAnsi="Times New Roman"/>
          <w:noProof/>
          <w:sz w:val="24"/>
          <w:szCs w:val="24"/>
        </w:rPr>
        <w:t>led the Commission decision because the Commission had incorrectly found that the practice in question restricted competition by object and had failed to carry out an adequate assessment under Article 101(3) TFEU. In 2009, the Court of Justice partially ov</w:t>
      </w:r>
      <w:r>
        <w:rPr>
          <w:rFonts w:ascii="Times New Roman" w:eastAsia="Times New Roman" w:hAnsi="Times New Roman"/>
          <w:noProof/>
          <w:sz w:val="24"/>
          <w:szCs w:val="24"/>
        </w:rPr>
        <w:t>erturned the General Court’s judgment. The Court of Justice upheld the Commission’s conclusion that the practice was a restriction by object but confirmed the General Court’s finding that the Commission had failed to conduct a full examination under Articl</w:t>
      </w:r>
      <w:r>
        <w:rPr>
          <w:rFonts w:ascii="Times New Roman" w:eastAsia="Times New Roman" w:hAnsi="Times New Roman"/>
          <w:noProof/>
          <w:sz w:val="24"/>
          <w:szCs w:val="24"/>
        </w:rPr>
        <w:t xml:space="preserve">e 101(3) TFEU. Following the Court of Justice judgment, GSK formally withdrew the application for an individual exemption of the practice under Article 101(3) TFEU. However, the EAEPC did not withdraw its complaint against GSK. In 2013, the EAEPC required </w:t>
      </w:r>
      <w:r>
        <w:rPr>
          <w:rFonts w:ascii="Times New Roman" w:eastAsia="Times New Roman" w:hAnsi="Times New Roman"/>
          <w:noProof/>
          <w:sz w:val="24"/>
          <w:szCs w:val="24"/>
        </w:rPr>
        <w:t xml:space="preserve">that the Commission adopt a decision on the complaint. The Commission rejected the complaint for lack of EU interest considering among other things that the conduct at issue took place many years ago, was only in operation for a very short period, did not </w:t>
      </w:r>
      <w:r>
        <w:rPr>
          <w:rFonts w:ascii="Times New Roman" w:eastAsia="Times New Roman" w:hAnsi="Times New Roman"/>
          <w:noProof/>
          <w:sz w:val="24"/>
          <w:szCs w:val="24"/>
        </w:rPr>
        <w:t xml:space="preserve">produce any persisting effects, and that the case could be brought before national authorities.  </w:t>
      </w:r>
    </w:p>
    <w:p w:rsidR="00320198" w:rsidRDefault="005C0948">
      <w:pPr>
        <w:keepNext/>
        <w:jc w:val="both"/>
        <w:rPr>
          <w:rFonts w:ascii="Times New Roman" w:eastAsiaTheme="minorHAnsi" w:hAnsi="Times New Roman"/>
          <w:b/>
          <w:noProof/>
          <w:sz w:val="24"/>
          <w:szCs w:val="24"/>
        </w:rPr>
      </w:pPr>
      <w:r>
        <w:rPr>
          <w:rFonts w:ascii="Times New Roman" w:eastAsiaTheme="minorHAnsi" w:hAnsi="Times New Roman"/>
          <w:b/>
          <w:noProof/>
          <w:sz w:val="24"/>
          <w:szCs w:val="24"/>
        </w:rPr>
        <w:t>Review of publication decisions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EU Courts reaffirmed the Commission’s publication policy in competition cases with two orders rejecting applications for inter</w:t>
      </w:r>
      <w:r>
        <w:rPr>
          <w:rFonts w:ascii="Times New Roman" w:hAnsi="Times New Roman"/>
          <w:noProof/>
          <w:sz w:val="24"/>
          <w:szCs w:val="24"/>
        </w:rPr>
        <w:t xml:space="preserve">im measures. </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In </w:t>
      </w:r>
      <w:r>
        <w:rPr>
          <w:rFonts w:ascii="Times New Roman" w:eastAsiaTheme="minorHAnsi" w:hAnsi="Times New Roman"/>
          <w:i/>
          <w:noProof/>
          <w:sz w:val="24"/>
          <w:szCs w:val="24"/>
        </w:rPr>
        <w:t>Power Cables,</w:t>
      </w:r>
      <w:r>
        <w:rPr>
          <w:rFonts w:ascii="Times New Roman" w:eastAsiaTheme="minorHAnsi" w:hAnsi="Times New Roman"/>
          <w:noProof/>
          <w:sz w:val="24"/>
          <w:szCs w:val="24"/>
          <w:vertAlign w:val="superscript"/>
        </w:rPr>
        <w:footnoteReference w:id="51"/>
      </w:r>
      <w:r>
        <w:rPr>
          <w:rFonts w:ascii="Times New Roman" w:eastAsiaTheme="minorHAnsi" w:hAnsi="Times New Roman"/>
          <w:noProof/>
          <w:sz w:val="24"/>
          <w:szCs w:val="24"/>
        </w:rPr>
        <w:t xml:space="preserve"> the Vice-President of the Court of Justice issued an order upholding the order by the General Court President, refusing interim measures against the Hearing Officer’s decision to publish a non-confidential version of the Pow</w:t>
      </w:r>
      <w:r>
        <w:rPr>
          <w:rFonts w:ascii="Times New Roman" w:eastAsiaTheme="minorHAnsi" w:hAnsi="Times New Roman"/>
          <w:noProof/>
          <w:sz w:val="24"/>
          <w:szCs w:val="24"/>
        </w:rPr>
        <w:t>er Cables decision, with minor amendments. The order by the Court of Justice confirms that the Commission has no obligation to wait for a final judgment on the substance of its decision before publishing. The Vice-President of the Court of Justice stated t</w:t>
      </w:r>
      <w:r>
        <w:rPr>
          <w:rFonts w:ascii="Times New Roman" w:eastAsiaTheme="minorHAnsi" w:hAnsi="Times New Roman"/>
          <w:noProof/>
          <w:sz w:val="24"/>
          <w:szCs w:val="24"/>
        </w:rPr>
        <w:t>hat the applicants’ rights to be heard and to obtain redress in the main case would not be affected by the publication. Finally, the Court of Justice Vice-President concluded that the publication would not infringe the applicants’ rights to an effective re</w:t>
      </w:r>
      <w:r>
        <w:rPr>
          <w:rFonts w:ascii="Times New Roman" w:eastAsiaTheme="minorHAnsi" w:hAnsi="Times New Roman"/>
          <w:noProof/>
          <w:sz w:val="24"/>
          <w:szCs w:val="24"/>
        </w:rPr>
        <w:t>medy in the main case.</w:t>
      </w:r>
    </w:p>
    <w:p w:rsidR="00320198" w:rsidRDefault="005C0948">
      <w:pPr>
        <w:spacing w:after="120" w:line="240" w:lineRule="auto"/>
        <w:jc w:val="both"/>
        <w:rPr>
          <w:rFonts w:ascii="Times New Roman" w:hAnsi="Times New Roman"/>
          <w:noProof/>
          <w:sz w:val="24"/>
          <w:szCs w:val="24"/>
        </w:rPr>
      </w:pPr>
      <w:r>
        <w:rPr>
          <w:rFonts w:ascii="Times New Roman" w:eastAsiaTheme="minorHAnsi" w:hAnsi="Times New Roman"/>
          <w:noProof/>
          <w:sz w:val="24"/>
          <w:szCs w:val="24"/>
        </w:rPr>
        <w:t xml:space="preserve">The orders of the President of the General Court in </w:t>
      </w:r>
      <w:r>
        <w:rPr>
          <w:rFonts w:ascii="Times New Roman" w:eastAsiaTheme="minorHAnsi" w:hAnsi="Times New Roman"/>
          <w:i/>
          <w:noProof/>
          <w:sz w:val="24"/>
          <w:szCs w:val="24"/>
        </w:rPr>
        <w:t>Euribor</w:t>
      </w:r>
      <w:r>
        <w:rPr>
          <w:rFonts w:ascii="Times New Roman" w:eastAsiaTheme="minorHAnsi" w:hAnsi="Times New Roman"/>
          <w:noProof/>
          <w:sz w:val="24"/>
          <w:szCs w:val="24"/>
          <w:vertAlign w:val="superscript"/>
        </w:rPr>
        <w:footnoteReference w:id="52"/>
      </w:r>
      <w:r>
        <w:rPr>
          <w:rFonts w:ascii="Times New Roman" w:eastAsiaTheme="minorHAnsi" w:hAnsi="Times New Roman"/>
          <w:noProof/>
          <w:sz w:val="24"/>
          <w:szCs w:val="24"/>
        </w:rPr>
        <w:t xml:space="preserve"> stipulated that the publication of a Commission decision under Article 101 TFEU cannot be stopped because the decision is being challenged in Court. T</w:t>
      </w:r>
      <w:r>
        <w:rPr>
          <w:rFonts w:ascii="Times New Roman" w:hAnsi="Times New Roman"/>
          <w:noProof/>
          <w:sz w:val="24"/>
          <w:szCs w:val="24"/>
        </w:rPr>
        <w:t>he applicants’ argumen</w:t>
      </w:r>
      <w:r>
        <w:rPr>
          <w:rFonts w:ascii="Times New Roman" w:hAnsi="Times New Roman"/>
          <w:noProof/>
          <w:sz w:val="24"/>
          <w:szCs w:val="24"/>
        </w:rPr>
        <w:t>t that the presumption of innocence would preclude the Commission from publishing a decision with the parties’ names and details of the behaviour found to be anticompetitive, was rejected since the parties can submit an application for annulment of the dec</w:t>
      </w:r>
      <w:r>
        <w:rPr>
          <w:rFonts w:ascii="Times New Roman" w:hAnsi="Times New Roman"/>
          <w:noProof/>
          <w:sz w:val="24"/>
          <w:szCs w:val="24"/>
        </w:rPr>
        <w:t>ision in question. In Power Cables,</w:t>
      </w:r>
      <w:r>
        <w:rPr>
          <w:rFonts w:ascii="Times New Roman" w:hAnsi="Times New Roman"/>
          <w:noProof/>
          <w:sz w:val="24"/>
          <w:szCs w:val="24"/>
          <w:vertAlign w:val="superscript"/>
        </w:rPr>
        <w:footnoteReference w:id="53"/>
      </w:r>
      <w:r>
        <w:rPr>
          <w:rFonts w:ascii="Times New Roman" w:hAnsi="Times New Roman"/>
          <w:noProof/>
          <w:sz w:val="24"/>
          <w:szCs w:val="24"/>
        </w:rPr>
        <w:t xml:space="preserve"> the Vice President of the Court of Justice confirmed the Order of the President of the General Court which rejected the claim that the information included in the decision should be covered by professional secrecy because of an ongoing appeal against that</w:t>
      </w:r>
      <w:r>
        <w:rPr>
          <w:rFonts w:ascii="Times New Roman" w:hAnsi="Times New Roman"/>
          <w:noProof/>
          <w:sz w:val="24"/>
          <w:szCs w:val="24"/>
        </w:rPr>
        <w:t xml:space="preserve"> decision.   </w:t>
      </w:r>
    </w:p>
    <w:p w:rsidR="00320198" w:rsidRDefault="00320198">
      <w:pPr>
        <w:widowControl w:val="0"/>
        <w:spacing w:line="240" w:lineRule="auto"/>
        <w:ind w:firstLine="720"/>
        <w:outlineLvl w:val="2"/>
        <w:rPr>
          <w:rFonts w:ascii="Times New Roman" w:eastAsia="Times New Roman" w:hAnsi="Times New Roman"/>
          <w:b/>
          <w:bCs/>
          <w:noProof/>
          <w:sz w:val="24"/>
          <w:szCs w:val="24"/>
          <w:lang w:eastAsia="en-GB"/>
        </w:rPr>
      </w:pPr>
      <w:bookmarkStart w:id="11" w:name="_Toc478566428"/>
      <w:bookmarkStart w:id="12" w:name="_Toc8831300"/>
    </w:p>
    <w:p w:rsidR="00320198" w:rsidRDefault="005C0948">
      <w:pPr>
        <w:widowControl w:val="0"/>
        <w:spacing w:line="240" w:lineRule="auto"/>
        <w:ind w:firstLine="720"/>
        <w:outlineLvl w:val="2"/>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1.3 The fight against cartels remains a top priority</w:t>
      </w:r>
      <w:bookmarkEnd w:id="11"/>
      <w:bookmarkEnd w:id="12"/>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Cartels are secret agreements between sellers or buyers of the same product or service. They are made with the objective of fixing prices, limiting output or allocating clients and supplie</w:t>
      </w:r>
      <w:r>
        <w:rPr>
          <w:rFonts w:ascii="Times New Roman" w:eastAsiaTheme="minorHAnsi" w:hAnsi="Times New Roman"/>
          <w:noProof/>
          <w:sz w:val="24"/>
          <w:szCs w:val="24"/>
        </w:rPr>
        <w:t>rs. Cartels harm the consumers at all levels of the value chain and the economy as a whole. Cartelists charge inflated prices, limit the choice of the consumers and block innovation. Only undistorted competition guarantees that scarce resources are used in</w:t>
      </w:r>
      <w:r>
        <w:rPr>
          <w:rFonts w:ascii="Times New Roman" w:eastAsiaTheme="minorHAnsi" w:hAnsi="Times New Roman"/>
          <w:noProof/>
          <w:sz w:val="24"/>
          <w:szCs w:val="24"/>
        </w:rPr>
        <w:t xml:space="preserve"> the most efficient way. The Commission's action to stop hard core cartels prevents companies from continuing to profit from illegal overcharges and thereby contributes to fair and balanced business relationships. The significant sanctions imposed by the C</w:t>
      </w:r>
      <w:r>
        <w:rPr>
          <w:rFonts w:ascii="Times New Roman" w:eastAsiaTheme="minorHAnsi" w:hAnsi="Times New Roman"/>
          <w:noProof/>
          <w:sz w:val="24"/>
          <w:szCs w:val="24"/>
        </w:rPr>
        <w:t xml:space="preserve">ommission deter companies from entering into cartels or from remaining in cartels, sending a clear signal that operating a cartel will ultimately not pay off. </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The Commission's strong enforcement record against hard core cartels continued in 2018. As in pr</w:t>
      </w:r>
      <w:r>
        <w:rPr>
          <w:rFonts w:ascii="Times New Roman" w:eastAsiaTheme="minorHAnsi" w:hAnsi="Times New Roman"/>
          <w:noProof/>
          <w:sz w:val="24"/>
          <w:szCs w:val="24"/>
        </w:rPr>
        <w:t>eceding years, the Commission adopted cartel decisions in important sectors for innovation and investment, such as the electronic components market and the automotive industry. The settlement procedure remains an efficient tool regularly used by the Commis</w:t>
      </w:r>
      <w:r>
        <w:rPr>
          <w:rFonts w:ascii="Times New Roman" w:eastAsiaTheme="minorHAnsi" w:hAnsi="Times New Roman"/>
          <w:noProof/>
          <w:sz w:val="24"/>
          <w:szCs w:val="24"/>
        </w:rPr>
        <w:t xml:space="preserve">sion in its fight against cartels as shown by the fact that the procedure accounted for 75% of the decisions adopted this year. </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The Commission fined eight producers of capacitors - </w:t>
      </w:r>
      <w:r>
        <w:rPr>
          <w:rFonts w:ascii="Times New Roman" w:eastAsiaTheme="minorHAnsi" w:hAnsi="Times New Roman"/>
          <w:i/>
          <w:noProof/>
          <w:sz w:val="24"/>
          <w:szCs w:val="24"/>
        </w:rPr>
        <w:t>Elna, Hitachi Chemical, Holy Stone, Matsuo, NEC Tokin, Nichicon, Nippon Ch</w:t>
      </w:r>
      <w:r>
        <w:rPr>
          <w:rFonts w:ascii="Times New Roman" w:eastAsiaTheme="minorHAnsi" w:hAnsi="Times New Roman"/>
          <w:i/>
          <w:noProof/>
          <w:sz w:val="24"/>
          <w:szCs w:val="24"/>
        </w:rPr>
        <w:t>emi-Con, Rubycon</w:t>
      </w:r>
      <w:r>
        <w:rPr>
          <w:rFonts w:ascii="Times New Roman" w:eastAsiaTheme="minorHAnsi" w:hAnsi="Times New Roman"/>
          <w:noProof/>
          <w:sz w:val="24"/>
          <w:szCs w:val="24"/>
        </w:rPr>
        <w:t xml:space="preserve"> (</w:t>
      </w:r>
      <w:r>
        <w:rPr>
          <w:rFonts w:ascii="Times New Roman" w:eastAsiaTheme="minorHAnsi" w:hAnsi="Times New Roman"/>
          <w:i/>
          <w:noProof/>
          <w:sz w:val="24"/>
          <w:szCs w:val="24"/>
        </w:rPr>
        <w:t>Sanyo</w:t>
      </w:r>
      <w:r>
        <w:rPr>
          <w:rFonts w:ascii="Times New Roman" w:eastAsiaTheme="minorHAnsi" w:hAnsi="Times New Roman"/>
          <w:noProof/>
          <w:sz w:val="24"/>
          <w:szCs w:val="24"/>
        </w:rPr>
        <w:t xml:space="preserve"> received immunity) – EUR 254 million for participating in a cartel between 1998 and 2012.</w:t>
      </w:r>
      <w:r>
        <w:rPr>
          <w:rStyle w:val="FootnoteReference"/>
          <w:rFonts w:ascii="Times New Roman" w:eastAsiaTheme="minorHAnsi" w:hAnsi="Times New Roman"/>
          <w:noProof/>
          <w:sz w:val="24"/>
          <w:szCs w:val="24"/>
        </w:rPr>
        <w:footnoteReference w:id="54"/>
      </w:r>
      <w:r>
        <w:rPr>
          <w:rFonts w:ascii="Times New Roman" w:eastAsiaTheme="minorHAnsi" w:hAnsi="Times New Roman"/>
          <w:noProof/>
          <w:sz w:val="24"/>
          <w:szCs w:val="24"/>
        </w:rPr>
        <w:t xml:space="preserve"> Capacitors are electrical components that store energy electrostatically in an electric field and are used in a wide variety of electronic pr</w:t>
      </w:r>
      <w:r>
        <w:rPr>
          <w:rFonts w:ascii="Times New Roman" w:eastAsiaTheme="minorHAnsi" w:hAnsi="Times New Roman"/>
          <w:noProof/>
          <w:sz w:val="24"/>
          <w:szCs w:val="24"/>
        </w:rPr>
        <w:t>oducts. As these products included smart phones, appliances in homes and electronic systems in cars the cartel operated at the expense of both manufacturers and consumers. Although the meetings and contacts took place outside the EU, the cartel was impleme</w:t>
      </w:r>
      <w:r>
        <w:rPr>
          <w:rFonts w:ascii="Times New Roman" w:eastAsiaTheme="minorHAnsi" w:hAnsi="Times New Roman"/>
          <w:noProof/>
          <w:sz w:val="24"/>
          <w:szCs w:val="24"/>
        </w:rPr>
        <w:t>nted on a global scale including in the EEA. This decision, in contrast to the other cartel infringements in 2018, was conducted under the ordinary procedure.</w:t>
      </w:r>
      <w:hyperlink r:id="rId19" w:history="1"/>
      <w:r>
        <w:rPr>
          <w:rFonts w:ascii="Times New Roman" w:eastAsiaTheme="minorHAnsi" w:hAnsi="Times New Roman"/>
          <w:noProof/>
          <w:sz w:val="24"/>
          <w:szCs w:val="24"/>
        </w:rPr>
        <w:t xml:space="preserve"> </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Ordinary procedures remai</w:t>
      </w:r>
      <w:r>
        <w:rPr>
          <w:rFonts w:ascii="Times New Roman" w:eastAsiaTheme="minorHAnsi" w:hAnsi="Times New Roman"/>
          <w:noProof/>
          <w:sz w:val="24"/>
          <w:szCs w:val="24"/>
        </w:rPr>
        <w:t>n significant because not all investigations may be eligible for settlement discussions. Relevant factors include the number of parties, the proportion of leniency applicants in relation to the total number of parties, the degree of contestation, conflicti</w:t>
      </w:r>
      <w:r>
        <w:rPr>
          <w:rFonts w:ascii="Times New Roman" w:eastAsiaTheme="minorHAnsi" w:hAnsi="Times New Roman"/>
          <w:noProof/>
          <w:sz w:val="24"/>
          <w:szCs w:val="24"/>
        </w:rPr>
        <w:t xml:space="preserve">ng positions between the parties and the existence of novel features or aggravating circumstances in the investigated practices. When the right circumstances are not met, as the Capacitors case shows, the Commission will apply the ordinary procedure. </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The </w:t>
      </w:r>
      <w:r>
        <w:rPr>
          <w:rFonts w:ascii="Times New Roman" w:eastAsiaTheme="minorHAnsi" w:hAnsi="Times New Roman"/>
          <w:noProof/>
          <w:sz w:val="24"/>
          <w:szCs w:val="24"/>
        </w:rPr>
        <w:t xml:space="preserve">Commission continued its work against cartels in the maritime transport services and the automotive sectors. With regard to the maritime transport sector, it fined four maritime car carriers </w:t>
      </w:r>
      <w:r>
        <w:rPr>
          <w:rFonts w:ascii="Times New Roman" w:eastAsiaTheme="minorHAnsi" w:hAnsi="Times New Roman"/>
          <w:b/>
          <w:noProof/>
          <w:sz w:val="24"/>
          <w:szCs w:val="24"/>
        </w:rPr>
        <w:t xml:space="preserve">– </w:t>
      </w:r>
      <w:r>
        <w:rPr>
          <w:rFonts w:ascii="Times New Roman" w:eastAsiaTheme="minorHAnsi" w:hAnsi="Times New Roman"/>
          <w:i/>
          <w:noProof/>
          <w:sz w:val="24"/>
          <w:szCs w:val="24"/>
        </w:rPr>
        <w:t>CSAV, "K" Line, NYK and WWL-EUKOR</w:t>
      </w:r>
      <w:r>
        <w:rPr>
          <w:rFonts w:ascii="Times New Roman" w:eastAsiaTheme="minorHAnsi" w:hAnsi="Times New Roman"/>
          <w:noProof/>
          <w:sz w:val="24"/>
          <w:szCs w:val="24"/>
        </w:rPr>
        <w:t xml:space="preserve"> (</w:t>
      </w:r>
      <w:r>
        <w:rPr>
          <w:rFonts w:ascii="Times New Roman" w:eastAsiaTheme="minorHAnsi" w:hAnsi="Times New Roman"/>
          <w:i/>
          <w:noProof/>
          <w:sz w:val="24"/>
          <w:szCs w:val="24"/>
        </w:rPr>
        <w:t>MOL</w:t>
      </w:r>
      <w:r>
        <w:rPr>
          <w:rFonts w:ascii="Times New Roman" w:eastAsiaTheme="minorHAnsi" w:hAnsi="Times New Roman"/>
          <w:noProof/>
          <w:sz w:val="24"/>
          <w:szCs w:val="24"/>
        </w:rPr>
        <w:t xml:space="preserve"> received immunity)</w:t>
      </w:r>
      <w:r>
        <w:rPr>
          <w:rFonts w:ascii="Times New Roman" w:eastAsiaTheme="minorHAnsi" w:hAnsi="Times New Roman"/>
          <w:noProof/>
          <w:sz w:val="24"/>
          <w:szCs w:val="24"/>
          <w:vertAlign w:val="superscript"/>
        </w:rPr>
        <w:footnoteReference w:id="55"/>
      </w:r>
      <w:r>
        <w:rPr>
          <w:rFonts w:ascii="Times New Roman" w:eastAsiaTheme="minorHAnsi" w:hAnsi="Times New Roman"/>
          <w:noProof/>
          <w:sz w:val="24"/>
          <w:szCs w:val="24"/>
          <w:vertAlign w:val="superscript"/>
        </w:rPr>
        <w:t xml:space="preserve"> </w:t>
      </w:r>
      <w:r>
        <w:rPr>
          <w:rFonts w:ascii="Times New Roman" w:eastAsiaTheme="minorHAnsi" w:hAnsi="Times New Roman"/>
          <w:noProof/>
          <w:sz w:val="24"/>
          <w:szCs w:val="24"/>
        </w:rPr>
        <w:t>- EU</w:t>
      </w:r>
      <w:r>
        <w:rPr>
          <w:rFonts w:ascii="Times New Roman" w:eastAsiaTheme="minorHAnsi" w:hAnsi="Times New Roman"/>
          <w:noProof/>
          <w:sz w:val="24"/>
          <w:szCs w:val="24"/>
        </w:rPr>
        <w:t>R 395 million for taking part in a cartel. For almost 6 years, from October 2006 to September 2012, the five carriers formed a cartel in the market for deep sea transport of new cars, trucks and other large vehicles such as combine harvesters and tractors,</w:t>
      </w:r>
      <w:r>
        <w:rPr>
          <w:rFonts w:ascii="Times New Roman" w:eastAsiaTheme="minorHAnsi" w:hAnsi="Times New Roman"/>
          <w:noProof/>
          <w:sz w:val="24"/>
          <w:szCs w:val="24"/>
        </w:rPr>
        <w:t xml:space="preserve"> on various routes between Europe and other continents. The cartel affected both European car importers and final customers, as imported vehicles were sold within the EEA, and European vehicle manufacturers, as their vehicles were exported outside the EEA.</w:t>
      </w:r>
      <w:r>
        <w:rPr>
          <w:rFonts w:ascii="Times New Roman" w:eastAsiaTheme="minorHAnsi" w:hAnsi="Times New Roman"/>
          <w:noProof/>
          <w:sz w:val="24"/>
          <w:szCs w:val="24"/>
        </w:rPr>
        <w:t xml:space="preserve"> In 2016, some 3.4 million motor vehicles were imported from non-EU countries, while the EU exported more than 6.3 million vehicles to non-EU countries in 2016. Almost half of these vehicles were transported by the carriers that were fined by the Commissio</w:t>
      </w:r>
      <w:r>
        <w:rPr>
          <w:rFonts w:ascii="Times New Roman" w:eastAsiaTheme="minorHAnsi" w:hAnsi="Times New Roman"/>
          <w:noProof/>
          <w:sz w:val="24"/>
          <w:szCs w:val="24"/>
        </w:rPr>
        <w:t>n. During its investigation, the Commission cooperated with several competition authorities around the world, including in Australia, Canada, Japan and the US.</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With regard to the automotive sector, two further cartels were sanctioned. The Commission also fined two suppliers of spark plugs (automotive electric devices) - </w:t>
      </w:r>
      <w:r>
        <w:rPr>
          <w:rFonts w:ascii="Times New Roman" w:eastAsiaTheme="minorHAnsi" w:hAnsi="Times New Roman"/>
          <w:i/>
          <w:noProof/>
          <w:sz w:val="24"/>
          <w:szCs w:val="24"/>
        </w:rPr>
        <w:t>Bosch</w:t>
      </w:r>
      <w:r>
        <w:rPr>
          <w:rFonts w:ascii="Times New Roman" w:eastAsiaTheme="minorHAnsi" w:hAnsi="Times New Roman"/>
          <w:noProof/>
          <w:sz w:val="24"/>
          <w:szCs w:val="24"/>
        </w:rPr>
        <w:t xml:space="preserve"> and</w:t>
      </w:r>
      <w:r>
        <w:rPr>
          <w:rFonts w:ascii="Times New Roman" w:eastAsiaTheme="minorHAnsi" w:hAnsi="Times New Roman"/>
          <w:i/>
          <w:noProof/>
          <w:sz w:val="24"/>
          <w:szCs w:val="24"/>
        </w:rPr>
        <w:t xml:space="preserve"> NGK</w:t>
      </w:r>
      <w:r>
        <w:rPr>
          <w:rFonts w:ascii="Times New Roman" w:eastAsiaTheme="minorHAnsi" w:hAnsi="Times New Roman"/>
          <w:noProof/>
          <w:sz w:val="24"/>
          <w:szCs w:val="24"/>
        </w:rPr>
        <w:t xml:space="preserve"> - EUR 76 million for participating in a cartel with immunity applicant Denso. Th</w:t>
      </w:r>
      <w:r>
        <w:rPr>
          <w:rFonts w:ascii="Times New Roman" w:eastAsiaTheme="minorHAnsi" w:hAnsi="Times New Roman"/>
          <w:noProof/>
          <w:sz w:val="24"/>
          <w:szCs w:val="24"/>
        </w:rPr>
        <w:t>e Commission also found two cartels relating to braking systems. The first concerned the supply of hydraulic braking systems and involved TRW (immunity applicant; now ZF TRW), Bosch and Continental. The second cartel concerned the supply of electronic brak</w:t>
      </w:r>
      <w:r>
        <w:rPr>
          <w:rFonts w:ascii="Times New Roman" w:eastAsiaTheme="minorHAnsi" w:hAnsi="Times New Roman"/>
          <w:noProof/>
          <w:sz w:val="24"/>
          <w:szCs w:val="24"/>
        </w:rPr>
        <w:t xml:space="preserve">ing systems and involved Bosch and Continental (immunity applicant) with the Commission imposing total fines of EUR 75 million. </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The Commission remains committed to pursuing all cartels across all sectors where it has sufficient evidence of an infringement</w:t>
      </w:r>
      <w:r>
        <w:rPr>
          <w:rFonts w:ascii="Times New Roman" w:eastAsiaTheme="minorHAnsi" w:hAnsi="Times New Roman"/>
          <w:noProof/>
          <w:sz w:val="24"/>
          <w:szCs w:val="24"/>
        </w:rPr>
        <w:t xml:space="preserve"> detected either through its leniency programme or its ex officio action (more information on the cartel decisions is available in the sectoral overview). The Commission's cartel enforcement was effective, with four decisions imposing fines in excess of EU</w:t>
      </w:r>
      <w:r>
        <w:rPr>
          <w:rFonts w:ascii="Times New Roman" w:eastAsiaTheme="minorHAnsi" w:hAnsi="Times New Roman"/>
          <w:noProof/>
          <w:sz w:val="24"/>
          <w:szCs w:val="24"/>
        </w:rPr>
        <w:t>R 800 million, and customer savings of approximately EUR 1.6 billion (or three euro per EU citizen).</w:t>
      </w:r>
      <w:r>
        <w:rPr>
          <w:rStyle w:val="FootnoteReference"/>
          <w:rFonts w:ascii="Times New Roman" w:eastAsiaTheme="minorHAnsi" w:hAnsi="Times New Roman"/>
          <w:noProof/>
          <w:sz w:val="24"/>
          <w:szCs w:val="24"/>
        </w:rPr>
        <w:footnoteReference w:id="56"/>
      </w:r>
      <w:r>
        <w:rPr>
          <w:rFonts w:ascii="Times New Roman" w:eastAsiaTheme="minorHAnsi" w:hAnsi="Times New Roman"/>
          <w:noProof/>
          <w:sz w:val="24"/>
          <w:szCs w:val="24"/>
        </w:rPr>
        <w:t xml:space="preserve"> Enforcement is expected to remain effective also in the future due to </w:t>
      </w:r>
      <w:r>
        <w:rPr>
          <w:noProof/>
          <w:sz w:val="23"/>
          <w:szCs w:val="23"/>
        </w:rPr>
        <w:t>solid enforcement work in 2018</w:t>
      </w:r>
      <w:r>
        <w:rPr>
          <w:rFonts w:ascii="Times New Roman" w:eastAsiaTheme="minorHAnsi" w:hAnsi="Times New Roman"/>
          <w:noProof/>
          <w:sz w:val="24"/>
          <w:szCs w:val="24"/>
        </w:rPr>
        <w:t>.</w:t>
      </w:r>
    </w:p>
    <w:tbl>
      <w:tblPr>
        <w:tblW w:w="9072" w:type="dxa"/>
        <w:tblInd w:w="108" w:type="dxa"/>
        <w:tblBorders>
          <w:top w:val="single" w:sz="8" w:space="0" w:color="C0504D"/>
          <w:bottom w:val="single" w:sz="8" w:space="0" w:color="C0504D"/>
        </w:tblBorders>
        <w:tblLayout w:type="fixed"/>
        <w:tblLook w:val="04A0" w:firstRow="1" w:lastRow="0" w:firstColumn="1" w:lastColumn="0" w:noHBand="0" w:noVBand="1"/>
      </w:tblPr>
      <w:tblGrid>
        <w:gridCol w:w="2552"/>
        <w:gridCol w:w="1701"/>
        <w:gridCol w:w="1701"/>
        <w:gridCol w:w="1701"/>
        <w:gridCol w:w="1417"/>
      </w:tblGrid>
      <w:tr w:rsidR="00320198">
        <w:trPr>
          <w:trHeight w:val="579"/>
        </w:trPr>
        <w:tc>
          <w:tcPr>
            <w:tcW w:w="2552" w:type="dxa"/>
            <w:tcBorders>
              <w:top w:val="single" w:sz="8" w:space="0" w:color="C0504D"/>
              <w:left w:val="nil"/>
              <w:bottom w:val="single" w:sz="8" w:space="0" w:color="C0504D"/>
              <w:right w:val="nil"/>
            </w:tcBorders>
            <w:hideMark/>
          </w:tcPr>
          <w:p w:rsidR="00320198" w:rsidRDefault="005C0948">
            <w:pPr>
              <w:widowControl w:val="0"/>
              <w:spacing w:after="0" w:line="240" w:lineRule="auto"/>
              <w:jc w:val="both"/>
              <w:rPr>
                <w:rFonts w:ascii="Times New Roman" w:hAnsi="Times New Roman"/>
                <w:b/>
                <w:bCs/>
                <w:noProof/>
                <w:color w:val="943634"/>
                <w:sz w:val="24"/>
                <w:szCs w:val="24"/>
              </w:rPr>
            </w:pPr>
            <w:r>
              <w:rPr>
                <w:rFonts w:ascii="Times New Roman" w:hAnsi="Times New Roman"/>
                <w:b/>
                <w:bCs/>
                <w:noProof/>
                <w:color w:val="943634"/>
                <w:sz w:val="24"/>
                <w:szCs w:val="24"/>
              </w:rPr>
              <w:t>Case name</w:t>
            </w:r>
          </w:p>
        </w:tc>
        <w:tc>
          <w:tcPr>
            <w:tcW w:w="1701" w:type="dxa"/>
            <w:tcBorders>
              <w:top w:val="single" w:sz="8" w:space="0" w:color="C0504D"/>
              <w:left w:val="nil"/>
              <w:bottom w:val="single" w:sz="8" w:space="0" w:color="C0504D"/>
              <w:right w:val="nil"/>
            </w:tcBorders>
            <w:hideMark/>
          </w:tcPr>
          <w:p w:rsidR="00320198" w:rsidRDefault="005C0948">
            <w:pPr>
              <w:widowControl w:val="0"/>
              <w:spacing w:after="0" w:line="240" w:lineRule="auto"/>
              <w:jc w:val="both"/>
              <w:rPr>
                <w:rFonts w:ascii="Times New Roman" w:hAnsi="Times New Roman"/>
                <w:b/>
                <w:bCs/>
                <w:noProof/>
                <w:color w:val="943634"/>
                <w:sz w:val="24"/>
                <w:szCs w:val="24"/>
              </w:rPr>
            </w:pPr>
            <w:r>
              <w:rPr>
                <w:rFonts w:ascii="Times New Roman" w:hAnsi="Times New Roman"/>
                <w:b/>
                <w:bCs/>
                <w:noProof/>
                <w:color w:val="943634"/>
                <w:sz w:val="24"/>
                <w:szCs w:val="24"/>
              </w:rPr>
              <w:t>Adoption date</w:t>
            </w:r>
          </w:p>
        </w:tc>
        <w:tc>
          <w:tcPr>
            <w:tcW w:w="1701" w:type="dxa"/>
            <w:tcBorders>
              <w:top w:val="single" w:sz="8" w:space="0" w:color="C0504D"/>
              <w:left w:val="nil"/>
              <w:bottom w:val="single" w:sz="8" w:space="0" w:color="C0504D"/>
              <w:right w:val="nil"/>
            </w:tcBorders>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Fine imposed</w:t>
            </w:r>
            <w:r>
              <w:rPr>
                <w:rFonts w:ascii="Times New Roman" w:hAnsi="Times New Roman"/>
                <w:b/>
                <w:bCs/>
                <w:noProof/>
                <w:color w:val="943634"/>
                <w:sz w:val="24"/>
                <w:szCs w:val="24"/>
              </w:rPr>
              <w:br/>
              <w:t>EUR</w:t>
            </w:r>
          </w:p>
        </w:tc>
        <w:tc>
          <w:tcPr>
            <w:tcW w:w="1701" w:type="dxa"/>
            <w:tcBorders>
              <w:top w:val="single" w:sz="8" w:space="0" w:color="C0504D"/>
              <w:left w:val="nil"/>
              <w:bottom w:val="single" w:sz="8" w:space="0" w:color="C0504D"/>
              <w:right w:val="nil"/>
            </w:tcBorders>
            <w:hideMark/>
          </w:tcPr>
          <w:p w:rsidR="00320198" w:rsidRDefault="005C0948">
            <w:pPr>
              <w:keepNext/>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Undertakings concerned</w:t>
            </w:r>
          </w:p>
        </w:tc>
        <w:tc>
          <w:tcPr>
            <w:tcW w:w="1417" w:type="dxa"/>
            <w:tcBorders>
              <w:top w:val="single" w:sz="8" w:space="0" w:color="C0504D"/>
              <w:left w:val="nil"/>
              <w:bottom w:val="single" w:sz="8" w:space="0" w:color="C0504D"/>
              <w:right w:val="nil"/>
            </w:tcBorders>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Prohibition Procedure</w:t>
            </w:r>
          </w:p>
        </w:tc>
      </w:tr>
      <w:tr w:rsidR="00320198">
        <w:trPr>
          <w:trHeight w:val="560"/>
        </w:trPr>
        <w:tc>
          <w:tcPr>
            <w:tcW w:w="2552" w:type="dxa"/>
            <w:tcBorders>
              <w:top w:val="nil"/>
              <w:left w:val="nil"/>
              <w:bottom w:val="nil"/>
              <w:right w:val="nil"/>
            </w:tcBorders>
            <w:shd w:val="clear" w:color="auto" w:fill="EFD3D2"/>
            <w:hideMark/>
          </w:tcPr>
          <w:p w:rsidR="00320198" w:rsidRDefault="005C0948">
            <w:pPr>
              <w:widowControl w:val="0"/>
              <w:spacing w:after="0" w:line="240" w:lineRule="auto"/>
              <w:rPr>
                <w:rFonts w:ascii="Times New Roman" w:hAnsi="Times New Roman"/>
                <w:b/>
                <w:bCs/>
                <w:noProof/>
                <w:color w:val="943634"/>
                <w:sz w:val="24"/>
                <w:szCs w:val="24"/>
              </w:rPr>
            </w:pPr>
            <w:r>
              <w:rPr>
                <w:rFonts w:ascii="Times New Roman" w:hAnsi="Times New Roman"/>
                <w:b/>
                <w:bCs/>
                <w:noProof/>
                <w:color w:val="943634"/>
                <w:sz w:val="24"/>
                <w:szCs w:val="24"/>
              </w:rPr>
              <w:t>Maritime Car Carriers</w:t>
            </w:r>
          </w:p>
        </w:tc>
        <w:tc>
          <w:tcPr>
            <w:tcW w:w="1701" w:type="dxa"/>
            <w:tcBorders>
              <w:top w:val="nil"/>
              <w:left w:val="nil"/>
              <w:bottom w:val="nil"/>
              <w:right w:val="nil"/>
            </w:tcBorders>
            <w:shd w:val="clear" w:color="auto" w:fill="EFD3D2"/>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21/02/2018</w:t>
            </w:r>
          </w:p>
        </w:tc>
        <w:tc>
          <w:tcPr>
            <w:tcW w:w="1701" w:type="dxa"/>
            <w:tcBorders>
              <w:top w:val="nil"/>
              <w:left w:val="nil"/>
              <w:bottom w:val="nil"/>
              <w:right w:val="nil"/>
            </w:tcBorders>
            <w:shd w:val="clear" w:color="auto" w:fill="EFD3D2"/>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395 288 000</w:t>
            </w:r>
          </w:p>
        </w:tc>
        <w:tc>
          <w:tcPr>
            <w:tcW w:w="1701" w:type="dxa"/>
            <w:tcBorders>
              <w:top w:val="nil"/>
              <w:left w:val="nil"/>
              <w:bottom w:val="nil"/>
              <w:right w:val="nil"/>
            </w:tcBorders>
            <w:shd w:val="clear" w:color="auto" w:fill="EFD3D2"/>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4</w:t>
            </w:r>
          </w:p>
        </w:tc>
        <w:tc>
          <w:tcPr>
            <w:tcW w:w="1417" w:type="dxa"/>
            <w:tcBorders>
              <w:top w:val="nil"/>
              <w:left w:val="nil"/>
              <w:bottom w:val="nil"/>
              <w:right w:val="nil"/>
            </w:tcBorders>
            <w:shd w:val="clear" w:color="auto" w:fill="EFD3D2"/>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Settlement</w:t>
            </w:r>
          </w:p>
        </w:tc>
      </w:tr>
      <w:tr w:rsidR="00320198">
        <w:trPr>
          <w:trHeight w:val="427"/>
        </w:trPr>
        <w:tc>
          <w:tcPr>
            <w:tcW w:w="2552" w:type="dxa"/>
            <w:tcBorders>
              <w:top w:val="nil"/>
              <w:left w:val="nil"/>
              <w:bottom w:val="nil"/>
              <w:right w:val="nil"/>
            </w:tcBorders>
            <w:shd w:val="clear" w:color="auto" w:fill="FFFFFF"/>
            <w:hideMark/>
          </w:tcPr>
          <w:p w:rsidR="00320198" w:rsidRDefault="005C0948">
            <w:pPr>
              <w:widowControl w:val="0"/>
              <w:spacing w:after="0" w:line="240" w:lineRule="auto"/>
              <w:rPr>
                <w:rFonts w:ascii="Times New Roman" w:hAnsi="Times New Roman"/>
                <w:b/>
                <w:bCs/>
                <w:noProof/>
                <w:color w:val="943634"/>
                <w:sz w:val="24"/>
                <w:szCs w:val="24"/>
              </w:rPr>
            </w:pPr>
            <w:r>
              <w:rPr>
                <w:rFonts w:ascii="Times New Roman" w:hAnsi="Times New Roman"/>
                <w:b/>
                <w:bCs/>
                <w:noProof/>
                <w:color w:val="943634"/>
                <w:sz w:val="24"/>
                <w:szCs w:val="24"/>
              </w:rPr>
              <w:t>Braking systems</w:t>
            </w:r>
          </w:p>
        </w:tc>
        <w:tc>
          <w:tcPr>
            <w:tcW w:w="1701" w:type="dxa"/>
            <w:tcBorders>
              <w:top w:val="nil"/>
              <w:left w:val="nil"/>
              <w:bottom w:val="nil"/>
              <w:right w:val="nil"/>
            </w:tcBorders>
            <w:shd w:val="clear" w:color="auto" w:fill="FFFFFF"/>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21/02/2018</w:t>
            </w:r>
          </w:p>
        </w:tc>
        <w:tc>
          <w:tcPr>
            <w:tcW w:w="1701" w:type="dxa"/>
            <w:tcBorders>
              <w:top w:val="nil"/>
              <w:left w:val="nil"/>
              <w:bottom w:val="nil"/>
              <w:right w:val="nil"/>
            </w:tcBorders>
            <w:shd w:val="clear" w:color="auto" w:fill="FFFFFF"/>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75 426 000</w:t>
            </w:r>
          </w:p>
        </w:tc>
        <w:tc>
          <w:tcPr>
            <w:tcW w:w="1701" w:type="dxa"/>
            <w:tcBorders>
              <w:top w:val="nil"/>
              <w:left w:val="nil"/>
              <w:bottom w:val="nil"/>
              <w:right w:val="nil"/>
            </w:tcBorders>
            <w:shd w:val="clear" w:color="auto" w:fill="FFFFFF"/>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3</w:t>
            </w:r>
          </w:p>
        </w:tc>
        <w:tc>
          <w:tcPr>
            <w:tcW w:w="1417" w:type="dxa"/>
            <w:tcBorders>
              <w:top w:val="nil"/>
              <w:left w:val="nil"/>
              <w:bottom w:val="nil"/>
              <w:right w:val="nil"/>
            </w:tcBorders>
            <w:shd w:val="clear" w:color="auto" w:fill="FFFFFF"/>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Settlement</w:t>
            </w:r>
          </w:p>
        </w:tc>
      </w:tr>
      <w:tr w:rsidR="00320198">
        <w:trPr>
          <w:trHeight w:val="427"/>
        </w:trPr>
        <w:tc>
          <w:tcPr>
            <w:tcW w:w="2552" w:type="dxa"/>
            <w:tcBorders>
              <w:top w:val="nil"/>
              <w:left w:val="nil"/>
              <w:bottom w:val="nil"/>
              <w:right w:val="nil"/>
            </w:tcBorders>
            <w:shd w:val="clear" w:color="auto" w:fill="EFD3D2"/>
            <w:hideMark/>
          </w:tcPr>
          <w:p w:rsidR="00320198" w:rsidRDefault="005C0948">
            <w:pPr>
              <w:widowControl w:val="0"/>
              <w:spacing w:after="0" w:line="240" w:lineRule="auto"/>
              <w:rPr>
                <w:rFonts w:ascii="Times New Roman" w:hAnsi="Times New Roman"/>
                <w:b/>
                <w:bCs/>
                <w:noProof/>
                <w:color w:val="943634"/>
                <w:sz w:val="24"/>
                <w:szCs w:val="24"/>
              </w:rPr>
            </w:pPr>
            <w:r>
              <w:rPr>
                <w:rFonts w:ascii="Times New Roman" w:hAnsi="Times New Roman"/>
                <w:b/>
                <w:bCs/>
                <w:noProof/>
                <w:color w:val="943634"/>
                <w:sz w:val="24"/>
                <w:szCs w:val="24"/>
              </w:rPr>
              <w:t>Spark plugs</w:t>
            </w:r>
          </w:p>
        </w:tc>
        <w:tc>
          <w:tcPr>
            <w:tcW w:w="1701" w:type="dxa"/>
            <w:tcBorders>
              <w:top w:val="nil"/>
              <w:left w:val="nil"/>
              <w:bottom w:val="nil"/>
              <w:right w:val="nil"/>
            </w:tcBorders>
            <w:shd w:val="clear" w:color="auto" w:fill="EFD3D2"/>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21/02/2018</w:t>
            </w:r>
          </w:p>
        </w:tc>
        <w:tc>
          <w:tcPr>
            <w:tcW w:w="1701" w:type="dxa"/>
            <w:tcBorders>
              <w:top w:val="nil"/>
              <w:left w:val="nil"/>
              <w:bottom w:val="nil"/>
              <w:right w:val="nil"/>
            </w:tcBorders>
            <w:shd w:val="clear" w:color="auto" w:fill="EFD3D2"/>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76 099 000</w:t>
            </w:r>
          </w:p>
        </w:tc>
        <w:tc>
          <w:tcPr>
            <w:tcW w:w="1701" w:type="dxa"/>
            <w:tcBorders>
              <w:top w:val="nil"/>
              <w:left w:val="nil"/>
              <w:bottom w:val="nil"/>
              <w:right w:val="nil"/>
            </w:tcBorders>
            <w:shd w:val="clear" w:color="auto" w:fill="EFD3D2"/>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3</w:t>
            </w:r>
          </w:p>
        </w:tc>
        <w:tc>
          <w:tcPr>
            <w:tcW w:w="1417" w:type="dxa"/>
            <w:tcBorders>
              <w:top w:val="nil"/>
              <w:left w:val="nil"/>
              <w:bottom w:val="nil"/>
              <w:right w:val="nil"/>
            </w:tcBorders>
            <w:shd w:val="clear" w:color="auto" w:fill="EFD3D2"/>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Settlement</w:t>
            </w:r>
          </w:p>
        </w:tc>
      </w:tr>
      <w:tr w:rsidR="00320198">
        <w:trPr>
          <w:trHeight w:val="414"/>
        </w:trPr>
        <w:tc>
          <w:tcPr>
            <w:tcW w:w="2552" w:type="dxa"/>
            <w:tcBorders>
              <w:top w:val="nil"/>
              <w:left w:val="nil"/>
              <w:bottom w:val="nil"/>
              <w:right w:val="nil"/>
            </w:tcBorders>
            <w:hideMark/>
          </w:tcPr>
          <w:p w:rsidR="00320198" w:rsidRDefault="005C0948">
            <w:pPr>
              <w:widowControl w:val="0"/>
              <w:spacing w:after="0" w:line="240" w:lineRule="auto"/>
              <w:rPr>
                <w:rFonts w:ascii="Times New Roman" w:hAnsi="Times New Roman"/>
                <w:b/>
                <w:bCs/>
                <w:noProof/>
                <w:color w:val="943634"/>
                <w:sz w:val="24"/>
                <w:szCs w:val="24"/>
              </w:rPr>
            </w:pPr>
            <w:r>
              <w:rPr>
                <w:rFonts w:ascii="Times New Roman" w:hAnsi="Times New Roman"/>
                <w:b/>
                <w:bCs/>
                <w:noProof/>
                <w:color w:val="943634"/>
                <w:sz w:val="24"/>
                <w:szCs w:val="24"/>
              </w:rPr>
              <w:t>Capacitors</w:t>
            </w:r>
          </w:p>
        </w:tc>
        <w:tc>
          <w:tcPr>
            <w:tcW w:w="1701" w:type="dxa"/>
            <w:tcBorders>
              <w:top w:val="nil"/>
              <w:left w:val="nil"/>
              <w:bottom w:val="nil"/>
              <w:right w:val="nil"/>
            </w:tcBorders>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21/03/2018</w:t>
            </w:r>
          </w:p>
        </w:tc>
        <w:tc>
          <w:tcPr>
            <w:tcW w:w="1701" w:type="dxa"/>
            <w:tcBorders>
              <w:top w:val="nil"/>
              <w:left w:val="nil"/>
              <w:bottom w:val="nil"/>
              <w:right w:val="nil"/>
            </w:tcBorders>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253 935 000</w:t>
            </w:r>
          </w:p>
        </w:tc>
        <w:tc>
          <w:tcPr>
            <w:tcW w:w="1701" w:type="dxa"/>
            <w:tcBorders>
              <w:top w:val="nil"/>
              <w:left w:val="nil"/>
              <w:bottom w:val="nil"/>
              <w:right w:val="nil"/>
            </w:tcBorders>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9</w:t>
            </w:r>
          </w:p>
        </w:tc>
        <w:tc>
          <w:tcPr>
            <w:tcW w:w="1417" w:type="dxa"/>
            <w:tcBorders>
              <w:top w:val="nil"/>
              <w:left w:val="nil"/>
              <w:bottom w:val="nil"/>
              <w:right w:val="nil"/>
            </w:tcBorders>
            <w:hideMark/>
          </w:tcPr>
          <w:p w:rsidR="00320198" w:rsidRDefault="005C0948">
            <w:pPr>
              <w:widowControl w:val="0"/>
              <w:spacing w:after="0" w:line="240" w:lineRule="auto"/>
              <w:jc w:val="center"/>
              <w:rPr>
                <w:rFonts w:ascii="Times New Roman" w:hAnsi="Times New Roman"/>
                <w:b/>
                <w:bCs/>
                <w:noProof/>
                <w:color w:val="943634"/>
                <w:sz w:val="24"/>
                <w:szCs w:val="24"/>
              </w:rPr>
            </w:pPr>
            <w:r>
              <w:rPr>
                <w:rFonts w:ascii="Times New Roman" w:hAnsi="Times New Roman"/>
                <w:b/>
                <w:bCs/>
                <w:noProof/>
                <w:color w:val="943634"/>
                <w:sz w:val="24"/>
                <w:szCs w:val="24"/>
              </w:rPr>
              <w:t>Prohibition</w:t>
            </w:r>
          </w:p>
        </w:tc>
      </w:tr>
    </w:tbl>
    <w:p w:rsidR="00320198" w:rsidRDefault="00320198">
      <w:pPr>
        <w:widowControl w:val="0"/>
        <w:spacing w:line="240" w:lineRule="auto"/>
        <w:ind w:left="360"/>
        <w:outlineLvl w:val="2"/>
        <w:rPr>
          <w:rFonts w:ascii="Times New Roman" w:eastAsia="Times New Roman" w:hAnsi="Times New Roman"/>
          <w:b/>
          <w:bCs/>
          <w:noProof/>
          <w:sz w:val="24"/>
          <w:szCs w:val="24"/>
          <w:lang w:eastAsia="en-GB"/>
        </w:rPr>
      </w:pPr>
      <w:bookmarkStart w:id="13" w:name="_Toc436752814"/>
      <w:bookmarkStart w:id="14" w:name="_Toc436816397"/>
      <w:bookmarkStart w:id="15" w:name="_Toc436752815"/>
      <w:bookmarkStart w:id="16" w:name="_Toc436816398"/>
      <w:bookmarkStart w:id="17" w:name="_Toc478566429"/>
      <w:bookmarkStart w:id="18" w:name="_Toc8831301"/>
      <w:bookmarkEnd w:id="13"/>
      <w:bookmarkEnd w:id="14"/>
      <w:bookmarkEnd w:id="15"/>
      <w:bookmarkEnd w:id="16"/>
    </w:p>
    <w:p w:rsidR="00320198" w:rsidRDefault="005C0948">
      <w:pPr>
        <w:widowControl w:val="0"/>
        <w:spacing w:line="240" w:lineRule="auto"/>
        <w:ind w:left="360"/>
        <w:outlineLvl w:val="2"/>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1.4 Continuing close cooperation within the European Competition Network and with national courts</w:t>
      </w:r>
      <w:bookmarkEnd w:id="17"/>
      <w:bookmarkEnd w:id="18"/>
      <w:r>
        <w:rPr>
          <w:rFonts w:ascii="Times New Roman" w:eastAsia="Times New Roman" w:hAnsi="Times New Roman"/>
          <w:b/>
          <w:bCs/>
          <w:noProof/>
          <w:sz w:val="24"/>
          <w:szCs w:val="24"/>
          <w:lang w:eastAsia="en-GB"/>
        </w:rPr>
        <w:t xml:space="preserve"> </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The NCAs play a key role in applying the EU competition rules alongside the Commission. Action by the NCAs accounts for 85% of public enforcement of the EU a</w:t>
      </w:r>
      <w:r>
        <w:rPr>
          <w:rFonts w:ascii="Times New Roman" w:hAnsi="Times New Roman"/>
          <w:noProof/>
          <w:sz w:val="24"/>
          <w:szCs w:val="24"/>
        </w:rPr>
        <w:t xml:space="preserve">ntitrust rules. This is a significant contribution to further drive economic growth and to make sure that markets work well, empowering consumers and businesses alike. </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eastAsia="ヒラギノ角ゴ Pro W3" w:hAnsi="Times New Roman"/>
          <w:b/>
          <w:noProof/>
          <w:sz w:val="20"/>
          <w:szCs w:val="20"/>
          <w:lang w:eastAsia="en-GB"/>
        </w:rPr>
      </w:pPr>
      <w:r>
        <w:rPr>
          <w:rFonts w:ascii="Times New Roman" w:hAnsi="Times New Roman"/>
          <w:noProof/>
          <w:sz w:val="24"/>
          <w:szCs w:val="24"/>
        </w:rPr>
        <w:t xml:space="preserve">However, there is room for improvement. The 2014 Commission </w:t>
      </w:r>
      <w:r>
        <w:rPr>
          <w:rFonts w:ascii="Times New Roman" w:hAnsi="Times New Roman"/>
          <w:i/>
          <w:noProof/>
          <w:sz w:val="24"/>
          <w:szCs w:val="24"/>
        </w:rPr>
        <w:t xml:space="preserve">Communication on Ten Years </w:t>
      </w:r>
      <w:r>
        <w:rPr>
          <w:rFonts w:ascii="Times New Roman" w:hAnsi="Times New Roman"/>
          <w:i/>
          <w:noProof/>
          <w:sz w:val="24"/>
          <w:szCs w:val="24"/>
        </w:rPr>
        <w:t>of Regulation 1/2003</w:t>
      </w:r>
      <w:r>
        <w:rPr>
          <w:rFonts w:ascii="Times New Roman" w:hAnsi="Times New Roman"/>
          <w:noProof/>
          <w:sz w:val="24"/>
          <w:szCs w:val="24"/>
          <w:vertAlign w:val="superscript"/>
        </w:rPr>
        <w:footnoteReference w:id="57"/>
      </w:r>
      <w:r>
        <w:rPr>
          <w:rFonts w:ascii="Times New Roman" w:hAnsi="Times New Roman"/>
          <w:noProof/>
          <w:sz w:val="24"/>
          <w:szCs w:val="24"/>
        </w:rPr>
        <w:t xml:space="preserve"> identified a number of areas of action to make enforcement by the NCAs more effective, in particular that they have effective enforcement powers and fining tools, and have adequate resources and are sufficiently independent when enfor</w:t>
      </w:r>
      <w:r>
        <w:rPr>
          <w:rFonts w:ascii="Times New Roman" w:hAnsi="Times New Roman"/>
          <w:noProof/>
          <w:sz w:val="24"/>
          <w:szCs w:val="24"/>
        </w:rPr>
        <w:t>cing EU competition law. By way of follow-up, the Commission carried out a public consultation</w:t>
      </w:r>
      <w:r>
        <w:rPr>
          <w:rFonts w:ascii="Times New Roman" w:hAnsi="Times New Roman"/>
          <w:noProof/>
          <w:sz w:val="24"/>
          <w:szCs w:val="24"/>
          <w:vertAlign w:val="superscript"/>
        </w:rPr>
        <w:footnoteReference w:id="58"/>
      </w:r>
      <w:r>
        <w:rPr>
          <w:rFonts w:ascii="Times New Roman" w:hAnsi="Times New Roman"/>
          <w:noProof/>
          <w:sz w:val="24"/>
          <w:szCs w:val="24"/>
        </w:rPr>
        <w:t xml:space="preserve"> between November 2015 and February 2016 and sounded out options for concrete action with both the NCAs and the Member State ministries. In the public consultati</w:t>
      </w:r>
      <w:r>
        <w:rPr>
          <w:rFonts w:ascii="Times New Roman" w:hAnsi="Times New Roman"/>
          <w:noProof/>
          <w:sz w:val="24"/>
          <w:szCs w:val="24"/>
        </w:rPr>
        <w:t>on, 80% of stakeholders considered that action should be taken to ensure that NCAs have the means and instruments they need.</w:t>
      </w:r>
      <w:r>
        <w:rPr>
          <w:rFonts w:ascii="Times New Roman" w:hAnsi="Times New Roman"/>
          <w:noProof/>
          <w:sz w:val="24"/>
          <w:szCs w:val="24"/>
          <w:vertAlign w:val="superscript"/>
        </w:rPr>
        <w:footnoteReference w:id="59"/>
      </w:r>
      <w:r>
        <w:rPr>
          <w:rFonts w:ascii="Times New Roman" w:hAnsi="Times New Roman"/>
          <w:noProof/>
          <w:sz w:val="24"/>
          <w:szCs w:val="24"/>
        </w:rPr>
        <w:t xml:space="preserve"> On 22 March 2017, the Commission proposed a Directive to empower NCAs to be more effective enforcers.</w:t>
      </w:r>
      <w:r>
        <w:rPr>
          <w:rFonts w:ascii="Times New Roman" w:hAnsi="Times New Roman"/>
          <w:noProof/>
          <w:sz w:val="24"/>
          <w:szCs w:val="24"/>
          <w:vertAlign w:val="superscript"/>
        </w:rPr>
        <w:footnoteReference w:id="60"/>
      </w:r>
      <w:r>
        <w:rPr>
          <w:rFonts w:ascii="Times New Roman" w:hAnsi="Times New Roman"/>
          <w:noProof/>
          <w:sz w:val="24"/>
          <w:szCs w:val="24"/>
        </w:rPr>
        <w:t xml:space="preserve"> The co-legislators adopted </w:t>
      </w:r>
      <w:r>
        <w:rPr>
          <w:rFonts w:ascii="Times New Roman" w:hAnsi="Times New Roman"/>
          <w:noProof/>
          <w:sz w:val="24"/>
          <w:szCs w:val="24"/>
        </w:rPr>
        <w:t>the Directive on 11 December 2018, and it was published in the Official Journal on 14 January 2019.</w:t>
      </w:r>
      <w:r>
        <w:rPr>
          <w:rFonts w:ascii="Times New Roman" w:hAnsi="Times New Roman"/>
          <w:noProof/>
          <w:sz w:val="24"/>
          <w:szCs w:val="24"/>
          <w:vertAlign w:val="superscript"/>
        </w:rPr>
        <w:footnoteReference w:id="61"/>
      </w:r>
      <w:r>
        <w:rPr>
          <w:rFonts w:ascii="Times New Roman" w:hAnsi="Times New Roman"/>
          <w:noProof/>
          <w:sz w:val="24"/>
          <w:szCs w:val="24"/>
          <w:vertAlign w:val="superscript"/>
        </w:rPr>
        <w:t xml:space="preserve"> </w:t>
      </w:r>
      <w:r>
        <w:rPr>
          <w:rFonts w:ascii="Times New Roman" w:hAnsi="Times New Roman"/>
          <w:noProof/>
          <w:sz w:val="24"/>
          <w:szCs w:val="24"/>
        </w:rPr>
        <w:t xml:space="preserve">Member States shall bring into force the laws, regulations and administrative provisions necessary to comply with this Directive by 4 February 2021. </w:t>
      </w:r>
    </w:p>
    <w:p w:rsidR="00320198" w:rsidRDefault="005C0948">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line="240" w:lineRule="auto"/>
        <w:jc w:val="both"/>
        <w:rPr>
          <w:rFonts w:ascii="Times New Roman" w:eastAsia="ヒラギノ角ゴ Pro W3" w:hAnsi="Times New Roman"/>
          <w:b/>
          <w:noProof/>
          <w:sz w:val="20"/>
          <w:szCs w:val="20"/>
          <w:lang w:eastAsia="en-GB"/>
        </w:rPr>
      </w:pPr>
      <w:r>
        <w:rPr>
          <w:rFonts w:ascii="Times New Roman" w:eastAsia="ヒラギノ角ゴ Pro W3" w:hAnsi="Times New Roman"/>
          <w:b/>
          <w:noProof/>
          <w:sz w:val="20"/>
          <w:szCs w:val="20"/>
          <w:lang w:eastAsia="en-GB"/>
        </w:rPr>
        <w:t>Empow</w:t>
      </w:r>
      <w:r>
        <w:rPr>
          <w:rFonts w:ascii="Times New Roman" w:eastAsia="ヒラギノ角ゴ Pro W3" w:hAnsi="Times New Roman"/>
          <w:b/>
          <w:noProof/>
          <w:sz w:val="20"/>
          <w:szCs w:val="20"/>
          <w:lang w:eastAsia="en-GB"/>
        </w:rPr>
        <w:t>ering NCAs to become more effective enforcers</w:t>
      </w:r>
    </w:p>
    <w:p w:rsidR="00320198" w:rsidRDefault="005C0948">
      <w:pPr>
        <w:widowControl w:val="0"/>
        <w:pBdr>
          <w:top w:val="single" w:sz="4" w:space="1" w:color="auto"/>
          <w:left w:val="single" w:sz="4" w:space="4" w:color="auto"/>
          <w:bottom w:val="single" w:sz="4" w:space="1" w:color="auto"/>
          <w:right w:val="single" w:sz="4" w:space="4" w:color="auto"/>
        </w:pBd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0"/>
          <w:szCs w:val="20"/>
        </w:rPr>
      </w:pPr>
      <w:r>
        <w:rPr>
          <w:rFonts w:ascii="Times New Roman" w:hAnsi="Times New Roman"/>
          <w:noProof/>
          <w:sz w:val="20"/>
          <w:szCs w:val="20"/>
        </w:rPr>
        <w:t>Once transposed by Member States into national law, the Directive to empower NCAs to be more effective enforcers will ensure that all NCAs:</w:t>
      </w:r>
    </w:p>
    <w:p w:rsidR="00320198" w:rsidRDefault="005C0948">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t xml:space="preserve">benefit from the guarantees of independence when applying EU </w:t>
      </w:r>
      <w:r>
        <w:rPr>
          <w:rFonts w:ascii="Times New Roman" w:hAnsi="Times New Roman"/>
          <w:noProof/>
          <w:sz w:val="20"/>
          <w:szCs w:val="20"/>
        </w:rPr>
        <w:t>competition rules;</w:t>
      </w:r>
    </w:p>
    <w:p w:rsidR="00320198" w:rsidRDefault="005C0948">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t>have the basic guarantee of the human and financial resources they need to perform their tasks;</w:t>
      </w:r>
    </w:p>
    <w:p w:rsidR="00320198" w:rsidRDefault="005C0948">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ind w:left="708" w:hanging="708"/>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t>have an effective investigative and decision-making toolbox, including to gather digital evidence stored on mobile devices;</w:t>
      </w:r>
    </w:p>
    <w:p w:rsidR="00320198" w:rsidRDefault="005C0948">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t xml:space="preserve">be able to </w:t>
      </w:r>
      <w:r>
        <w:rPr>
          <w:rFonts w:ascii="Times New Roman" w:hAnsi="Times New Roman"/>
          <w:noProof/>
          <w:sz w:val="20"/>
          <w:szCs w:val="20"/>
        </w:rPr>
        <w:t>impose deterrent fines, for example companies can no longer escape fines by restructuring;</w:t>
      </w:r>
    </w:p>
    <w:p w:rsidR="00320198" w:rsidRDefault="005C0948">
      <w:pPr>
        <w:widowControl w:val="0"/>
        <w:pBdr>
          <w:top w:val="single" w:sz="4" w:space="1" w:color="auto"/>
          <w:left w:val="single" w:sz="4" w:space="4" w:color="auto"/>
          <w:bottom w:val="single" w:sz="4" w:space="1" w:color="auto"/>
          <w:right w:val="single" w:sz="4" w:space="4" w:color="auto"/>
        </w:pBdr>
        <w:tabs>
          <w:tab w:val="left" w:pos="709"/>
          <w:tab w:val="left" w:pos="1418"/>
          <w:tab w:val="left" w:pos="2126"/>
          <w:tab w:val="left" w:pos="2835"/>
          <w:tab w:val="left" w:pos="3543"/>
          <w:tab w:val="left" w:pos="4253"/>
          <w:tab w:val="left" w:pos="4961"/>
          <w:tab w:val="left" w:pos="5669"/>
          <w:tab w:val="left" w:pos="6378"/>
          <w:tab w:val="left" w:pos="7087"/>
          <w:tab w:val="left" w:pos="7795"/>
          <w:tab w:val="left" w:pos="8504"/>
          <w:tab w:val="left" w:pos="9213"/>
        </w:tabs>
        <w:spacing w:after="120" w:line="240" w:lineRule="auto"/>
        <w:ind w:left="708" w:hanging="708"/>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t>have effective leniency programmes in place which encourage companies to report cartels throughout the EU;</w:t>
      </w:r>
    </w:p>
    <w:p w:rsidR="00320198" w:rsidRDefault="005C0948">
      <w:pPr>
        <w:widowControl w:val="0"/>
        <w:pBdr>
          <w:top w:val="single" w:sz="4" w:space="1" w:color="auto"/>
          <w:left w:val="single" w:sz="4" w:space="4" w:color="auto"/>
          <w:bottom w:val="single" w:sz="4" w:space="1" w:color="auto"/>
          <w:right w:val="single" w:sz="4" w:space="4" w:color="auto"/>
        </w:pBdr>
        <w:tabs>
          <w:tab w:val="left" w:pos="284"/>
          <w:tab w:val="left" w:pos="709"/>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left="705" w:hanging="705"/>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 xml:space="preserve">provide each other with mutual assistance so that, </w:t>
      </w:r>
      <w:r>
        <w:rPr>
          <w:rFonts w:ascii="Times New Roman" w:hAnsi="Times New Roman"/>
          <w:noProof/>
          <w:sz w:val="20"/>
          <w:szCs w:val="20"/>
        </w:rPr>
        <w:t>for example companies with assets in other Member States cannot escape from paying fines.</w:t>
      </w:r>
    </w:p>
    <w:p w:rsidR="00320198" w:rsidRDefault="005C0948">
      <w:pPr>
        <w:widowControl w:val="0"/>
        <w:pBdr>
          <w:top w:val="single" w:sz="4" w:space="1" w:color="auto"/>
          <w:left w:val="single" w:sz="4" w:space="4" w:color="auto"/>
          <w:bottom w:val="single" w:sz="4" w:space="1" w:color="auto"/>
          <w:right w:val="single" w:sz="4" w:space="4" w:color="auto"/>
        </w:pBd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bCs/>
          <w:noProof/>
          <w:sz w:val="20"/>
          <w:szCs w:val="20"/>
        </w:rPr>
      </w:pPr>
      <w:r>
        <w:rPr>
          <w:rFonts w:ascii="Times New Roman" w:hAnsi="Times New Roman"/>
          <w:noProof/>
          <w:sz w:val="20"/>
          <w:szCs w:val="20"/>
        </w:rPr>
        <w:t>The importance of companies' fundamental rights is underlined. Appropriate safeguards</w:t>
      </w:r>
      <w:r>
        <w:rPr>
          <w:rFonts w:ascii="Times New Roman" w:hAnsi="Times New Roman"/>
          <w:b/>
          <w:noProof/>
          <w:sz w:val="20"/>
          <w:szCs w:val="20"/>
        </w:rPr>
        <w:t xml:space="preserve"> </w:t>
      </w:r>
      <w:r>
        <w:rPr>
          <w:rFonts w:ascii="Times New Roman" w:hAnsi="Times New Roman"/>
          <w:noProof/>
          <w:sz w:val="20"/>
          <w:szCs w:val="20"/>
        </w:rPr>
        <w:t>will be put in when NCAs exercise their powers, in accordance with the EU Charte</w:t>
      </w:r>
      <w:r>
        <w:rPr>
          <w:rFonts w:ascii="Times New Roman" w:hAnsi="Times New Roman"/>
          <w:noProof/>
          <w:sz w:val="20"/>
          <w:szCs w:val="20"/>
        </w:rPr>
        <w:t>r of Fundamental Rights and general principles of EU law.</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rPr>
        <w:t>Cooperation with national courts</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Effective overall enforcement of antitrust rules in the EU, for the benefit of for both EU households and businesses, requires interplay between public and private enforcement. In addition to its cooperation with NCAs in the context of the European Competi</w:t>
      </w:r>
      <w:r>
        <w:rPr>
          <w:rFonts w:ascii="Times New Roman" w:hAnsi="Times New Roman"/>
          <w:noProof/>
          <w:sz w:val="24"/>
          <w:szCs w:val="24"/>
        </w:rPr>
        <w:t>tion Network (ECN), the Commission also continued its cooperation with national courts under Article 15 of Regulation 1/2003. The Commission helps national courts to enforce the EU competition rules in an effective and coherent manner by providing case-rel</w:t>
      </w:r>
      <w:r>
        <w:rPr>
          <w:rFonts w:ascii="Times New Roman" w:hAnsi="Times New Roman"/>
          <w:noProof/>
          <w:sz w:val="24"/>
          <w:szCs w:val="24"/>
        </w:rPr>
        <w:t xml:space="preserve">ated information or an opinion on matters of substance or by intervening as </w:t>
      </w:r>
      <w:r>
        <w:rPr>
          <w:rFonts w:ascii="Times New Roman" w:hAnsi="Times New Roman"/>
          <w:i/>
          <w:noProof/>
          <w:sz w:val="24"/>
          <w:szCs w:val="24"/>
        </w:rPr>
        <w:t>amicus curiae</w:t>
      </w:r>
      <w:r>
        <w:rPr>
          <w:rFonts w:ascii="Times New Roman" w:hAnsi="Times New Roman"/>
          <w:noProof/>
          <w:sz w:val="24"/>
          <w:szCs w:val="24"/>
        </w:rPr>
        <w:t xml:space="preserve"> in proceedings pending before the national courts.</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i/>
          <w:noProof/>
          <w:sz w:val="24"/>
          <w:szCs w:val="24"/>
        </w:rPr>
      </w:pPr>
      <w:r>
        <w:rPr>
          <w:rFonts w:ascii="Times New Roman" w:hAnsi="Times New Roman"/>
          <w:noProof/>
          <w:sz w:val="24"/>
          <w:szCs w:val="24"/>
        </w:rPr>
        <w:t xml:space="preserve">Following approval from the concerned courts, the Commission publishes its opinions and </w:t>
      </w:r>
      <w:r>
        <w:rPr>
          <w:rFonts w:ascii="Times New Roman" w:hAnsi="Times New Roman"/>
          <w:i/>
          <w:noProof/>
          <w:sz w:val="24"/>
          <w:szCs w:val="24"/>
        </w:rPr>
        <w:t>amicus curiae</w:t>
      </w:r>
      <w:r>
        <w:rPr>
          <w:rFonts w:ascii="Times New Roman" w:hAnsi="Times New Roman"/>
          <w:noProof/>
          <w:sz w:val="24"/>
          <w:szCs w:val="24"/>
        </w:rPr>
        <w:t xml:space="preserve"> observations </w:t>
      </w:r>
      <w:r>
        <w:rPr>
          <w:rFonts w:ascii="Times New Roman" w:hAnsi="Times New Roman"/>
          <w:noProof/>
          <w:sz w:val="24"/>
          <w:szCs w:val="24"/>
        </w:rPr>
        <w:t>on its website.</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i/>
          <w:noProof/>
          <w:sz w:val="24"/>
          <w:szCs w:val="24"/>
        </w:rPr>
      </w:pPr>
      <w:r>
        <w:rPr>
          <w:rFonts w:ascii="Times New Roman" w:hAnsi="Times New Roman"/>
          <w:i/>
          <w:noProof/>
          <w:sz w:val="24"/>
          <w:szCs w:val="24"/>
        </w:rPr>
        <w:t>Private enforcement</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Directive 2014/104/EU on antitrust damages actions (Damages Directive)</w:t>
      </w:r>
      <w:r>
        <w:rPr>
          <w:rFonts w:ascii="Times New Roman" w:hAnsi="Times New Roman"/>
          <w:noProof/>
          <w:sz w:val="24"/>
          <w:szCs w:val="24"/>
          <w:vertAlign w:val="superscript"/>
        </w:rPr>
        <w:footnoteReference w:id="62"/>
      </w:r>
      <w:r>
        <w:rPr>
          <w:rFonts w:ascii="Times New Roman" w:hAnsi="Times New Roman"/>
          <w:noProof/>
          <w:sz w:val="24"/>
          <w:szCs w:val="24"/>
        </w:rPr>
        <w:t xml:space="preserve"> aims at ensuring that anyone harmed by infringements of the EU competition rules can effectively avail itself of the right to compensation before na</w:t>
      </w:r>
      <w:r>
        <w:rPr>
          <w:rFonts w:ascii="Times New Roman" w:hAnsi="Times New Roman"/>
          <w:noProof/>
          <w:sz w:val="24"/>
          <w:szCs w:val="24"/>
        </w:rPr>
        <w:t>tional courts. The deadline to implement the Damages Directive in Member States' legal systems expired on 27 December 2016.</w:t>
      </w:r>
      <w:r>
        <w:rPr>
          <w:noProof/>
        </w:rPr>
        <w:t xml:space="preserve"> </w:t>
      </w:r>
      <w:r>
        <w:rPr>
          <w:rFonts w:ascii="Times New Roman" w:hAnsi="Times New Roman"/>
          <w:noProof/>
          <w:sz w:val="24"/>
          <w:szCs w:val="24"/>
        </w:rPr>
        <w:t>Seven Member States transposed it before the deadline expired. On 18 January 2017, the Commission sent Letters of Formal Notice open</w:t>
      </w:r>
      <w:r>
        <w:rPr>
          <w:rFonts w:ascii="Times New Roman" w:hAnsi="Times New Roman"/>
          <w:noProof/>
          <w:sz w:val="24"/>
          <w:szCs w:val="24"/>
        </w:rPr>
        <w:t>ing infringement procedures for non-communication of transposing measures by the deadline against 21 Member States. Of those, 18 Member States fully transposed the Directive in 2017 and the respective infringements proceedings were closed. Bulgaria, Greece</w:t>
      </w:r>
      <w:r>
        <w:rPr>
          <w:rFonts w:ascii="Times New Roman" w:hAnsi="Times New Roman"/>
          <w:noProof/>
          <w:sz w:val="24"/>
          <w:szCs w:val="24"/>
        </w:rPr>
        <w:t xml:space="preserve"> and Portugal adopted transposing measures in the first half of 2018 The Commission is finalising the completeness checks of their transposing measures before the closure of the respective three infringement proceedings. The Commission is also proceeding t</w:t>
      </w:r>
      <w:r>
        <w:rPr>
          <w:rFonts w:ascii="Times New Roman" w:hAnsi="Times New Roman"/>
          <w:noProof/>
          <w:sz w:val="24"/>
          <w:szCs w:val="24"/>
        </w:rPr>
        <w:t xml:space="preserve">o the conformity check of all the 28 national transpositions. </w:t>
      </w:r>
    </w:p>
    <w:p w:rsidR="00320198" w:rsidRDefault="005C0948">
      <w:pPr>
        <w:widowControl w:val="0"/>
        <w:spacing w:line="240" w:lineRule="auto"/>
        <w:jc w:val="both"/>
        <w:rPr>
          <w:rFonts w:ascii="Times New Roman" w:hAnsi="Times New Roman"/>
          <w:noProof/>
          <w:sz w:val="24"/>
          <w:szCs w:val="24"/>
          <w:vertAlign w:val="superscript"/>
        </w:rPr>
      </w:pPr>
      <w:r>
        <w:rPr>
          <w:rFonts w:ascii="Times New Roman" w:hAnsi="Times New Roman"/>
          <w:noProof/>
          <w:sz w:val="24"/>
          <w:szCs w:val="24"/>
        </w:rPr>
        <w:t xml:space="preserve">In addition, following the publication of a “Study on quantifying passing-on effects in antitrust damages actions” in October 2016, the Commission launched in July 2018 a targeted public </w:t>
      </w:r>
      <w:r>
        <w:rPr>
          <w:rFonts w:ascii="Times New Roman" w:hAnsi="Times New Roman"/>
          <w:noProof/>
          <w:sz w:val="24"/>
          <w:szCs w:val="24"/>
        </w:rPr>
        <w:t>consultation on draft guidelines in order to estimate the share of the overcharge passed on to indirect customers. The Commission intends to adopt a final version in 2019.</w:t>
      </w:r>
      <w:r>
        <w:rPr>
          <w:rFonts w:ascii="Times New Roman" w:hAnsi="Times New Roman"/>
          <w:noProof/>
          <w:sz w:val="24"/>
          <w:szCs w:val="24"/>
          <w:vertAlign w:val="superscript"/>
        </w:rPr>
        <w:footnoteReference w:id="63"/>
      </w:r>
      <w:r>
        <w:rPr>
          <w:rFonts w:ascii="Times New Roman" w:hAnsi="Times New Roman"/>
          <w:noProof/>
          <w:sz w:val="24"/>
          <w:szCs w:val="24"/>
          <w:vertAlign w:val="superscript"/>
        </w:rPr>
        <w:t xml:space="preserve"> </w:t>
      </w:r>
      <w:r>
        <w:rPr>
          <w:rFonts w:ascii="Times New Roman" w:hAnsi="Times New Roman"/>
          <w:noProof/>
          <w:sz w:val="24"/>
          <w:szCs w:val="24"/>
          <w:vertAlign w:val="superscript"/>
        </w:rPr>
        <w:footnoteReference w:id="64"/>
      </w:r>
      <w:r>
        <w:rPr>
          <w:rFonts w:ascii="Times New Roman" w:hAnsi="Times New Roman"/>
          <w:noProof/>
          <w:sz w:val="24"/>
          <w:szCs w:val="24"/>
          <w:vertAlign w:val="superscript"/>
        </w:rPr>
        <w:t xml:space="preserve"> </w:t>
      </w:r>
    </w:p>
    <w:p w:rsidR="00320198" w:rsidRDefault="00320198">
      <w:pPr>
        <w:widowControl w:val="0"/>
        <w:spacing w:line="240" w:lineRule="auto"/>
        <w:jc w:val="both"/>
        <w:rPr>
          <w:rFonts w:ascii="Times New Roman" w:hAnsi="Times New Roman"/>
          <w:noProof/>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320198">
        <w:trPr>
          <w:trHeight w:val="360"/>
        </w:trPr>
        <w:tc>
          <w:tcPr>
            <w:tcW w:w="9120" w:type="dxa"/>
          </w:tcPr>
          <w:p w:rsidR="00320198" w:rsidRDefault="005C0948">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bookmarkStart w:id="19" w:name="_Toc478566430"/>
            <w:bookmarkStart w:id="20" w:name="_Toc8831302"/>
            <w:r>
              <w:rPr>
                <w:rFonts w:ascii="Times New Roman" w:eastAsia="Times New Roman" w:hAnsi="Times New Roman"/>
                <w:b/>
                <w:smallCaps/>
                <w:noProof/>
                <w:sz w:val="24"/>
                <w:szCs w:val="24"/>
              </w:rPr>
              <w:t>Merger control</w:t>
            </w:r>
            <w:bookmarkEnd w:id="19"/>
            <w:bookmarkEnd w:id="20"/>
          </w:p>
        </w:tc>
      </w:tr>
    </w:tbl>
    <w:p w:rsidR="00320198" w:rsidRDefault="0032019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imes New Roman" w:hAnsi="Times New Roman"/>
          <w:noProof/>
          <w:sz w:val="20"/>
          <w:szCs w:val="20"/>
        </w:rPr>
      </w:pPr>
    </w:p>
    <w:p w:rsidR="00320198" w:rsidRDefault="005C0948">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szCs w:val="20"/>
        </w:rPr>
        <w:t xml:space="preserve">EU merger control </w:t>
      </w:r>
    </w:p>
    <w:p w:rsidR="00320198" w:rsidRDefault="005C0948">
      <w:pPr>
        <w:widowControl w:val="0"/>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The purpose of EU merger control is to ensure that market structures remain competitive while enabling smooth restructuring of the industry. This applies not only to EU-based companies, but also to any company active on the EU markets. Industry restructuri</w:t>
      </w:r>
      <w:r>
        <w:rPr>
          <w:rFonts w:ascii="Times New Roman" w:hAnsi="Times New Roman"/>
          <w:noProof/>
          <w:sz w:val="20"/>
          <w:szCs w:val="20"/>
        </w:rPr>
        <w:t>ng is an important way of fostering efficient allocation of production assets. However, there are also situations where industry consolidation can give rise to harmful effects on competition, taking into account the merging companies' degree of market powe</w:t>
      </w:r>
      <w:r>
        <w:rPr>
          <w:rFonts w:ascii="Times New Roman" w:hAnsi="Times New Roman"/>
          <w:noProof/>
          <w:sz w:val="20"/>
          <w:szCs w:val="20"/>
        </w:rPr>
        <w:t xml:space="preserve">r and other market features. EU merger control ensures that changes in the market structure which lead to harmful effects on competition do not occur. </w:t>
      </w:r>
    </w:p>
    <w:p w:rsidR="00320198" w:rsidRDefault="005C0948">
      <w:pPr>
        <w:widowControl w:val="0"/>
        <w:spacing w:line="240" w:lineRule="auto"/>
        <w:jc w:val="both"/>
        <w:rPr>
          <w:rFonts w:ascii="Times New Roman" w:hAnsi="Times New Roman"/>
          <w:noProof/>
          <w:sz w:val="24"/>
          <w:szCs w:val="24"/>
        </w:rPr>
      </w:pPr>
      <w:bookmarkStart w:id="21" w:name="_Toc478566431"/>
      <w:r>
        <w:rPr>
          <w:rFonts w:ascii="Times New Roman" w:hAnsi="Times New Roman"/>
          <w:noProof/>
          <w:sz w:val="24"/>
          <w:szCs w:val="24"/>
        </w:rPr>
        <w:t>EU merger control seeks to maintain open and competitive markets, which is the best way to ensure that b</w:t>
      </w:r>
      <w:r>
        <w:rPr>
          <w:rFonts w:ascii="Times New Roman" w:hAnsi="Times New Roman"/>
          <w:noProof/>
          <w:sz w:val="24"/>
          <w:szCs w:val="24"/>
        </w:rPr>
        <w:t>usinesses and final consumers obtain fair outcomes. It strives to protect all aspects of competition. As a result, merger control helps to preserve market structures, in which companies compete not only on price, but also on other competitive parameters su</w:t>
      </w:r>
      <w:r>
        <w:rPr>
          <w:rFonts w:ascii="Times New Roman" w:hAnsi="Times New Roman"/>
          <w:noProof/>
          <w:sz w:val="24"/>
          <w:szCs w:val="24"/>
        </w:rPr>
        <w:t>ch as innovation. The Commission's merger enforcement practice in 2018, in the agri-chemical,</w:t>
      </w:r>
      <w:r>
        <w:rPr>
          <w:rFonts w:ascii="Times New Roman" w:hAnsi="Times New Roman"/>
          <w:noProof/>
          <w:sz w:val="24"/>
          <w:szCs w:val="24"/>
          <w:vertAlign w:val="superscript"/>
        </w:rPr>
        <w:footnoteReference w:id="65"/>
      </w:r>
      <w:r>
        <w:rPr>
          <w:rFonts w:ascii="Times New Roman" w:hAnsi="Times New Roman"/>
          <w:noProof/>
          <w:sz w:val="24"/>
          <w:szCs w:val="24"/>
        </w:rPr>
        <w:t xml:space="preserve"> pharmaceutical</w:t>
      </w:r>
      <w:r>
        <w:rPr>
          <w:rFonts w:ascii="Times New Roman" w:hAnsi="Times New Roman"/>
          <w:noProof/>
          <w:sz w:val="24"/>
          <w:szCs w:val="24"/>
        </w:rPr>
        <w:footnoteReference w:id="66"/>
      </w:r>
      <w:r>
        <w:rPr>
          <w:rFonts w:ascii="Times New Roman" w:hAnsi="Times New Roman"/>
          <w:noProof/>
          <w:sz w:val="24"/>
          <w:szCs w:val="24"/>
        </w:rPr>
        <w:t xml:space="preserve"> and oxygen systems</w:t>
      </w:r>
      <w:r>
        <w:rPr>
          <w:rFonts w:ascii="Times New Roman" w:hAnsi="Times New Roman"/>
          <w:noProof/>
          <w:sz w:val="24"/>
          <w:szCs w:val="24"/>
        </w:rPr>
        <w:footnoteReference w:id="67"/>
      </w:r>
      <w:r>
        <w:rPr>
          <w:rFonts w:ascii="Times New Roman" w:hAnsi="Times New Roman"/>
          <w:noProof/>
          <w:sz w:val="24"/>
          <w:szCs w:val="24"/>
        </w:rPr>
        <w:t xml:space="preserve"> sectors, shows that the Commission considers innovation and investments as important aspects of competition. The Commission w</w:t>
      </w:r>
      <w:r>
        <w:rPr>
          <w:rFonts w:ascii="Times New Roman" w:hAnsi="Times New Roman"/>
          <w:noProof/>
          <w:sz w:val="24"/>
          <w:szCs w:val="24"/>
        </w:rPr>
        <w:t>ill continue to assess the effects on innovation in future cases.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EU merger control ensures that all firms active in EU markets can compete on fair and equal terms. Proposed transactions which may distort competition are subject to close scrutiny by the Co</w:t>
      </w:r>
      <w:r>
        <w:rPr>
          <w:rFonts w:ascii="Times New Roman" w:hAnsi="Times New Roman"/>
          <w:noProof/>
          <w:sz w:val="24"/>
          <w:szCs w:val="24"/>
        </w:rPr>
        <w:t>mmission. If necessary to protect competition, the Commission can give merging firms the possibility to dispel competition concerns by offering commitments. If sufficient commitments cannot be found or agreed upon, the Commission may prohibit the transacti</w:t>
      </w:r>
      <w:r>
        <w:rPr>
          <w:rFonts w:ascii="Times New Roman" w:hAnsi="Times New Roman"/>
          <w:noProof/>
          <w:sz w:val="24"/>
          <w:szCs w:val="24"/>
        </w:rPr>
        <w:t xml:space="preserve">on.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In its assessments, the Commission takes into account efficiencies possibly brought about by mergers. Efficiencies may have positive effects on costs and innovation, for example, provided that they are verifiable, merger-specific and likely to be pass</w:t>
      </w:r>
      <w:r>
        <w:rPr>
          <w:rFonts w:ascii="Times New Roman" w:hAnsi="Times New Roman"/>
          <w:noProof/>
          <w:sz w:val="24"/>
          <w:szCs w:val="24"/>
        </w:rPr>
        <w:t xml:space="preserve">ed on to consumers.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As highlighted in previous reports on competition policy, the Commission continuously evaluates the substantive and procedural rules that make up the legal framework for merger control. Such reflections are conducted both internally, b</w:t>
      </w:r>
      <w:r>
        <w:rPr>
          <w:rFonts w:ascii="Times New Roman" w:hAnsi="Times New Roman"/>
          <w:noProof/>
          <w:sz w:val="24"/>
          <w:szCs w:val="24"/>
        </w:rPr>
        <w:t>ased on experience, and by using external input. In this context, the Commission regularly assesses concerns and suggestions for further improvements expressed by stakeholders. It evaluates the need for reform and policy changes in specific areas, and chec</w:t>
      </w:r>
      <w:r>
        <w:rPr>
          <w:rFonts w:ascii="Times New Roman" w:hAnsi="Times New Roman"/>
          <w:noProof/>
          <w:sz w:val="24"/>
          <w:szCs w:val="24"/>
        </w:rPr>
        <w:t>ks that its policies and enforcement practices do not create unduly high compliance costs for merging companies, thereby hampering investment and innovation.</w:t>
      </w:r>
    </w:p>
    <w:p w:rsidR="00320198" w:rsidRDefault="005C0948">
      <w:pPr>
        <w:widowControl w:val="0"/>
        <w:spacing w:line="240" w:lineRule="auto"/>
        <w:ind w:left="360"/>
        <w:outlineLvl w:val="2"/>
        <w:rPr>
          <w:rFonts w:ascii="Times New Roman" w:eastAsia="Times New Roman" w:hAnsi="Times New Roman"/>
          <w:bCs/>
          <w:noProof/>
          <w:sz w:val="24"/>
          <w:szCs w:val="24"/>
          <w:lang w:eastAsia="en-GB"/>
        </w:rPr>
      </w:pPr>
      <w:bookmarkStart w:id="22" w:name="_Toc8831303"/>
      <w:r>
        <w:rPr>
          <w:rFonts w:ascii="Times New Roman" w:eastAsia="Times New Roman" w:hAnsi="Times New Roman"/>
          <w:b/>
          <w:bCs/>
          <w:noProof/>
          <w:sz w:val="24"/>
          <w:szCs w:val="24"/>
          <w:lang w:eastAsia="en-GB"/>
        </w:rPr>
        <w:t>2.1 Recent enforcement trends</w:t>
      </w:r>
      <w:bookmarkEnd w:id="22"/>
      <w:r>
        <w:rPr>
          <w:rFonts w:ascii="Times New Roman" w:eastAsia="Times New Roman" w:hAnsi="Times New Roman"/>
          <w:b/>
          <w:bCs/>
          <w:noProof/>
          <w:sz w:val="24"/>
          <w:szCs w:val="24"/>
          <w:lang w:eastAsia="en-GB"/>
        </w:rPr>
        <w:t xml:space="preserve"> </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In 2018, 414 mergers were notified to the Commission, the highest </w:t>
      </w:r>
      <w:r>
        <w:rPr>
          <w:rFonts w:ascii="Times New Roman" w:hAnsi="Times New Roman"/>
          <w:noProof/>
          <w:sz w:val="24"/>
          <w:szCs w:val="24"/>
        </w:rPr>
        <w:t>number in the history of EU merger control. This number represents a substantial increase compared with preceding years.</w:t>
      </w:r>
      <w:r>
        <w:rPr>
          <w:noProof/>
        </w:rPr>
        <w:t xml:space="preserve"> </w:t>
      </w:r>
      <w:r>
        <w:rPr>
          <w:rFonts w:ascii="Times New Roman" w:hAnsi="Times New Roman"/>
          <w:noProof/>
          <w:sz w:val="24"/>
          <w:szCs w:val="24"/>
        </w:rPr>
        <w:t>The total number of notifications received in 2018 was 9% higher than in 2017 and almost 50% higher than in 2013. Moreover, the Commiss</w:t>
      </w:r>
      <w:r>
        <w:rPr>
          <w:rFonts w:ascii="Times New Roman" w:hAnsi="Times New Roman"/>
          <w:noProof/>
          <w:sz w:val="24"/>
          <w:szCs w:val="24"/>
        </w:rPr>
        <w:t xml:space="preserve">ion received 23 reasoned pre-notification submissions by notifying parties, requesting referral of a proposed merger from the Commission to a national competition authority or </w:t>
      </w:r>
      <w:r>
        <w:rPr>
          <w:rFonts w:ascii="Times New Roman" w:hAnsi="Times New Roman"/>
          <w:i/>
          <w:noProof/>
          <w:sz w:val="24"/>
          <w:szCs w:val="24"/>
        </w:rPr>
        <w:t>vice versa</w:t>
      </w:r>
      <w:r>
        <w:rPr>
          <w:rFonts w:ascii="Times New Roman" w:hAnsi="Times New Roman"/>
          <w:noProof/>
          <w:sz w:val="24"/>
          <w:szCs w:val="24"/>
        </w:rPr>
        <w:t>.</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Like previous years, most notified mergers did not raise competition</w:t>
      </w:r>
      <w:r>
        <w:rPr>
          <w:rFonts w:ascii="Times New Roman" w:hAnsi="Times New Roman"/>
          <w:noProof/>
          <w:sz w:val="24"/>
          <w:szCs w:val="24"/>
        </w:rPr>
        <w:t xml:space="preserve"> concerns and could be processed speedily. The simplified procedure was used in 75% of all notified transactions in 2018, showing the impact of the simplification package adopted by the Commission in December 2013. The proportion of simplified cases in the</w:t>
      </w:r>
      <w:r>
        <w:rPr>
          <w:rFonts w:ascii="Times New Roman" w:hAnsi="Times New Roman"/>
          <w:noProof/>
          <w:sz w:val="24"/>
          <w:szCs w:val="24"/>
        </w:rPr>
        <w:t xml:space="preserve"> period 2004-2013 was substantially lower, at 59%.</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The year 2018 required intensive work by the Commission, due to the large number of notified transactions as well as the complexity of a large number of the cases. An increasing number of notified transact</w:t>
      </w:r>
      <w:r>
        <w:rPr>
          <w:rFonts w:ascii="Times New Roman" w:hAnsi="Times New Roman"/>
          <w:noProof/>
          <w:sz w:val="24"/>
          <w:szCs w:val="24"/>
        </w:rPr>
        <w:t>ions concerned already concentrated industries, such as the agri-chemical and steel sectors. This development required the Commission to carefully assess the proposed mergers’ potential impact on competition, employing sophisticated quantitative techniques</w:t>
      </w:r>
      <w:r>
        <w:rPr>
          <w:rFonts w:ascii="Times New Roman" w:hAnsi="Times New Roman"/>
          <w:noProof/>
          <w:sz w:val="24"/>
          <w:szCs w:val="24"/>
        </w:rPr>
        <w:t xml:space="preserve"> and carrying out comprehensive qualitative investigations.</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2018, the Commission opened in-depth investigations (second phase) in twelve cases. These cases concerned sectors such as telecommunications, steel, industrial gases and, railway transport.</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The</w:t>
      </w:r>
      <w:r>
        <w:rPr>
          <w:rFonts w:ascii="Times New Roman" w:hAnsi="Times New Roman"/>
          <w:noProof/>
          <w:sz w:val="24"/>
          <w:szCs w:val="24"/>
        </w:rPr>
        <w:t xml:space="preserve"> Commission adopted 393 merger decisions in 2018,</w:t>
      </w:r>
      <w:r>
        <w:rPr>
          <w:rFonts w:ascii="Times New Roman" w:hAnsi="Times New Roman"/>
          <w:noProof/>
          <w:sz w:val="24"/>
          <w:szCs w:val="24"/>
          <w:vertAlign w:val="superscript"/>
        </w:rPr>
        <w:footnoteReference w:id="68"/>
      </w:r>
      <w:r>
        <w:rPr>
          <w:rFonts w:ascii="Times New Roman" w:hAnsi="Times New Roman"/>
          <w:noProof/>
          <w:sz w:val="24"/>
          <w:szCs w:val="24"/>
        </w:rPr>
        <w:t xml:space="preserve"> and intervened in 25 cases, resulting in customer savings of approximately EUR 20 billion (or EUR 39 per EU citizen).</w:t>
      </w:r>
      <w:r>
        <w:rPr>
          <w:rStyle w:val="FootnoteReference"/>
          <w:rFonts w:ascii="Times New Roman" w:hAnsi="Times New Roman"/>
          <w:noProof/>
          <w:sz w:val="24"/>
          <w:szCs w:val="24"/>
        </w:rPr>
        <w:footnoteReference w:id="69"/>
      </w:r>
      <w:r>
        <w:rPr>
          <w:rFonts w:ascii="Times New Roman" w:hAnsi="Times New Roman"/>
          <w:noProof/>
          <w:sz w:val="24"/>
          <w:szCs w:val="24"/>
        </w:rPr>
        <w:t xml:space="preserve"> The number of interventions was somewhat higher compared to the average of the last se</w:t>
      </w:r>
      <w:r>
        <w:rPr>
          <w:rFonts w:ascii="Times New Roman" w:hAnsi="Times New Roman"/>
          <w:noProof/>
          <w:sz w:val="24"/>
          <w:szCs w:val="24"/>
        </w:rPr>
        <w:t>ven years, with approximately 20 interventions per year.</w:t>
      </w:r>
      <w:r>
        <w:rPr>
          <w:rFonts w:ascii="Times New Roman" w:hAnsi="Times New Roman"/>
          <w:noProof/>
          <w:sz w:val="24"/>
          <w:szCs w:val="24"/>
          <w:vertAlign w:val="superscript"/>
        </w:rPr>
        <w:footnoteReference w:id="70"/>
      </w:r>
      <w:r>
        <w:rPr>
          <w:rFonts w:ascii="Times New Roman" w:hAnsi="Times New Roman"/>
          <w:noProof/>
          <w:sz w:val="24"/>
          <w:szCs w:val="24"/>
        </w:rPr>
        <w:t xml:space="preserve"> In 2018, 17 mergers were cleared subject to commitments in the first phase, four were cleared without remedies after second- phase investigations, and six were cleared with remedies after second pha</w:t>
      </w:r>
      <w:r>
        <w:rPr>
          <w:rFonts w:ascii="Times New Roman" w:hAnsi="Times New Roman"/>
          <w:noProof/>
          <w:sz w:val="24"/>
          <w:szCs w:val="24"/>
        </w:rPr>
        <w:t>se investigations. In two cases, the parties abandoned the transaction during the in-depth investigation.</w:t>
      </w:r>
      <w:r>
        <w:rPr>
          <w:rFonts w:ascii="Times New Roman" w:hAnsi="Times New Roman"/>
          <w:noProof/>
          <w:sz w:val="24"/>
          <w:szCs w:val="24"/>
          <w:vertAlign w:val="superscript"/>
        </w:rPr>
        <w:footnoteReference w:id="71"/>
      </w:r>
      <w:r>
        <w:rPr>
          <w:rFonts w:ascii="Times New Roman" w:hAnsi="Times New Roman"/>
          <w:noProof/>
          <w:sz w:val="24"/>
          <w:szCs w:val="24"/>
        </w:rPr>
        <w:t xml:space="preserve"> The Commission did not prohibit any transactions in 2018. </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When reviewing proposed concentrations, the Commission assesses their impact on all aspect</w:t>
      </w:r>
      <w:r>
        <w:rPr>
          <w:rFonts w:ascii="Times New Roman" w:hAnsi="Times New Roman"/>
          <w:noProof/>
          <w:sz w:val="24"/>
          <w:szCs w:val="24"/>
        </w:rPr>
        <w:t>s of competition. In 2018, the Commission intervened in several proposed concentrations, which, in addition to price, quality and choice concerns, risked impeding innovation. In</w:t>
      </w:r>
      <w:r>
        <w:rPr>
          <w:rFonts w:ascii="Times New Roman" w:hAnsi="Times New Roman"/>
          <w:i/>
          <w:noProof/>
          <w:sz w:val="24"/>
          <w:szCs w:val="24"/>
        </w:rPr>
        <w:t xml:space="preserve"> Bayer/Monsanto</w:t>
      </w:r>
      <w:r>
        <w:rPr>
          <w:rFonts w:ascii="Times New Roman" w:hAnsi="Times New Roman"/>
          <w:i/>
          <w:noProof/>
          <w:sz w:val="24"/>
          <w:szCs w:val="24"/>
          <w:vertAlign w:val="superscript"/>
        </w:rPr>
        <w:footnoteReference w:id="72"/>
      </w:r>
      <w:r>
        <w:rPr>
          <w:rFonts w:ascii="Times New Roman" w:hAnsi="Times New Roman"/>
          <w:i/>
          <w:noProof/>
          <w:sz w:val="24"/>
          <w:szCs w:val="24"/>
        </w:rPr>
        <w:t xml:space="preserve"> </w:t>
      </w:r>
      <w:r>
        <w:rPr>
          <w:rFonts w:ascii="Times New Roman" w:hAnsi="Times New Roman"/>
          <w:noProof/>
          <w:sz w:val="24"/>
          <w:szCs w:val="24"/>
        </w:rPr>
        <w:t>and</w:t>
      </w:r>
      <w:r>
        <w:rPr>
          <w:rFonts w:ascii="Times New Roman" w:hAnsi="Times New Roman"/>
          <w:i/>
          <w:noProof/>
          <w:sz w:val="24"/>
          <w:szCs w:val="24"/>
        </w:rPr>
        <w:t xml:space="preserve"> BASF/Bayer divestment business</w:t>
      </w:r>
      <w:r>
        <w:rPr>
          <w:rFonts w:ascii="Times New Roman" w:hAnsi="Times New Roman"/>
          <w:i/>
          <w:noProof/>
          <w:vertAlign w:val="superscript"/>
        </w:rPr>
        <w:footnoteReference w:id="73"/>
      </w:r>
      <w:r>
        <w:rPr>
          <w:rFonts w:ascii="Times New Roman" w:hAnsi="Times New Roman"/>
          <w:noProof/>
          <w:sz w:val="24"/>
          <w:szCs w:val="24"/>
          <w:vertAlign w:val="superscript"/>
        </w:rPr>
        <w:t xml:space="preserve"> </w:t>
      </w:r>
      <w:r>
        <w:rPr>
          <w:rFonts w:ascii="Times New Roman" w:hAnsi="Times New Roman"/>
          <w:noProof/>
          <w:sz w:val="24"/>
          <w:szCs w:val="24"/>
        </w:rPr>
        <w:t xml:space="preserve">the Commission identified </w:t>
      </w:r>
      <w:r>
        <w:rPr>
          <w:rFonts w:ascii="Times New Roman" w:hAnsi="Times New Roman"/>
          <w:noProof/>
          <w:sz w:val="24"/>
          <w:szCs w:val="24"/>
        </w:rPr>
        <w:t>concerns related to innovation. The Commission approved the Bayer/Monsanto transaction after the parties submitted an extensive divestiture package comprising in particular Bayer's global vegetable seed business and broadacre crop seed and trait business (</w:t>
      </w:r>
      <w:r>
        <w:rPr>
          <w:rFonts w:ascii="Times New Roman" w:hAnsi="Times New Roman"/>
          <w:noProof/>
          <w:sz w:val="24"/>
          <w:szCs w:val="24"/>
        </w:rPr>
        <w:t>including R&amp;D), its glufosinate business, and its digital agriculture activities. These divestitures addressed all competition concerns identified by the Commission, including those related to innovation. The divestiture businesses were sold to BASF. The a</w:t>
      </w:r>
      <w:r>
        <w:rPr>
          <w:rFonts w:ascii="Times New Roman" w:hAnsi="Times New Roman"/>
          <w:noProof/>
          <w:sz w:val="24"/>
          <w:szCs w:val="24"/>
        </w:rPr>
        <w:t xml:space="preserve">cquisitions would allow the company to compete and innovate as actively and effectively against the merged firms, for the benefit of European farmers and consumers. </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Most remedies accepted by the Commission in 2018 were divestitures of tangible or intangib</w:t>
      </w:r>
      <w:r>
        <w:rPr>
          <w:rFonts w:ascii="Times New Roman" w:hAnsi="Times New Roman"/>
          <w:noProof/>
          <w:sz w:val="24"/>
          <w:szCs w:val="24"/>
        </w:rPr>
        <w:t>le assets.</w:t>
      </w:r>
      <w:r>
        <w:rPr>
          <w:rFonts w:ascii="Times New Roman" w:hAnsi="Times New Roman"/>
          <w:noProof/>
          <w:sz w:val="24"/>
          <w:szCs w:val="24"/>
          <w:vertAlign w:val="superscript"/>
        </w:rPr>
        <w:footnoteReference w:id="74"/>
      </w:r>
      <w:r>
        <w:rPr>
          <w:rFonts w:ascii="Times New Roman" w:hAnsi="Times New Roman"/>
          <w:noProof/>
          <w:sz w:val="24"/>
          <w:szCs w:val="24"/>
        </w:rPr>
        <w:t xml:space="preserve"> This is in line with the Commission’s general preference for structural remedies in merger cases. In a few cases in 2018, the Commission accepted non-divestiture remedies,</w:t>
      </w:r>
      <w:r>
        <w:rPr>
          <w:rFonts w:ascii="Times New Roman" w:hAnsi="Times New Roman"/>
          <w:noProof/>
          <w:sz w:val="24"/>
          <w:szCs w:val="24"/>
          <w:vertAlign w:val="superscript"/>
        </w:rPr>
        <w:footnoteReference w:id="75"/>
      </w:r>
      <w:r>
        <w:rPr>
          <w:rFonts w:ascii="Times New Roman" w:hAnsi="Times New Roman"/>
          <w:noProof/>
          <w:sz w:val="24"/>
          <w:szCs w:val="24"/>
        </w:rPr>
        <w:t xml:space="preserve"> where they were considered to solve the underlying competition concerns</w:t>
      </w:r>
      <w:r>
        <w:rPr>
          <w:rFonts w:ascii="Times New Roman" w:hAnsi="Times New Roman"/>
          <w:noProof/>
          <w:sz w:val="24"/>
          <w:szCs w:val="24"/>
        </w:rPr>
        <w:t>.</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Moreover, in 2018 the Commission continued to make significant efforts to enforce procedural obligations under the EU Merger Regulation.</w:t>
      </w:r>
      <w:r>
        <w:rPr>
          <w:rFonts w:ascii="Times New Roman" w:hAnsi="Times New Roman"/>
          <w:noProof/>
          <w:sz w:val="24"/>
          <w:szCs w:val="24"/>
          <w:vertAlign w:val="superscript"/>
        </w:rPr>
        <w:footnoteReference w:id="76"/>
      </w:r>
      <w:r>
        <w:rPr>
          <w:rFonts w:ascii="Times New Roman" w:hAnsi="Times New Roman"/>
          <w:noProof/>
          <w:sz w:val="24"/>
          <w:szCs w:val="24"/>
        </w:rPr>
        <w:t xml:space="preserve"> Following the fine of EUR 110 million imposed on Facebook in 2017 for providing misleading information during the review of its acquisition of WhatsApp</w:t>
      </w:r>
      <w:r>
        <w:rPr>
          <w:rFonts w:ascii="Times New Roman" w:hAnsi="Times New Roman"/>
          <w:noProof/>
          <w:sz w:val="24"/>
          <w:szCs w:val="24"/>
          <w:vertAlign w:val="superscript"/>
        </w:rPr>
        <w:footnoteReference w:id="77"/>
      </w:r>
      <w:r>
        <w:rPr>
          <w:rFonts w:ascii="Times New Roman" w:hAnsi="Times New Roman"/>
          <w:noProof/>
          <w:sz w:val="24"/>
          <w:szCs w:val="24"/>
        </w:rPr>
        <w:t xml:space="preserve">, the Commission imposed in 2018 a fine of EUR 124.5 million on </w:t>
      </w:r>
      <w:r>
        <w:rPr>
          <w:rFonts w:ascii="Times New Roman" w:hAnsi="Times New Roman"/>
          <w:i/>
          <w:noProof/>
          <w:sz w:val="24"/>
          <w:szCs w:val="24"/>
        </w:rPr>
        <w:t>Altice</w:t>
      </w:r>
      <w:r>
        <w:rPr>
          <w:rFonts w:ascii="Times New Roman" w:hAnsi="Times New Roman"/>
          <w:noProof/>
          <w:sz w:val="24"/>
          <w:szCs w:val="24"/>
        </w:rPr>
        <w:footnoteReference w:id="78"/>
      </w:r>
      <w:r>
        <w:rPr>
          <w:rFonts w:ascii="Times New Roman" w:hAnsi="Times New Roman"/>
          <w:noProof/>
          <w:sz w:val="24"/>
          <w:szCs w:val="24"/>
        </w:rPr>
        <w:t xml:space="preserve"> for  implementing its acquisiti</w:t>
      </w:r>
      <w:r>
        <w:rPr>
          <w:rFonts w:ascii="Times New Roman" w:hAnsi="Times New Roman"/>
          <w:noProof/>
          <w:sz w:val="24"/>
          <w:szCs w:val="24"/>
        </w:rPr>
        <w:t xml:space="preserve">on of the Portuguese telecommunications operator PT Portugal before notification or approval by the Commission (so-called gun jumping). Three other procedural infringement cases were under investigation in 2018; two against </w:t>
      </w:r>
      <w:r>
        <w:rPr>
          <w:rFonts w:ascii="Times New Roman" w:hAnsi="Times New Roman"/>
          <w:i/>
          <w:noProof/>
          <w:sz w:val="24"/>
          <w:szCs w:val="24"/>
        </w:rPr>
        <w:t>General Electric</w:t>
      </w:r>
      <w:r>
        <w:rPr>
          <w:rFonts w:ascii="Times New Roman" w:hAnsi="Times New Roman"/>
          <w:noProof/>
          <w:sz w:val="24"/>
          <w:szCs w:val="24"/>
        </w:rPr>
        <w:t xml:space="preserve"> and </w:t>
      </w:r>
      <w:r>
        <w:rPr>
          <w:rFonts w:ascii="Times New Roman" w:hAnsi="Times New Roman"/>
          <w:i/>
          <w:noProof/>
          <w:sz w:val="24"/>
          <w:szCs w:val="24"/>
        </w:rPr>
        <w:t>Merck GmbH</w:t>
      </w:r>
      <w:r>
        <w:rPr>
          <w:rFonts w:ascii="Times New Roman" w:hAnsi="Times New Roman"/>
          <w:noProof/>
          <w:sz w:val="24"/>
          <w:szCs w:val="24"/>
        </w:rPr>
        <w:t xml:space="preserve"> </w:t>
      </w:r>
      <w:r>
        <w:rPr>
          <w:rFonts w:ascii="Times New Roman" w:hAnsi="Times New Roman"/>
          <w:noProof/>
          <w:sz w:val="24"/>
          <w:szCs w:val="24"/>
        </w:rPr>
        <w:t xml:space="preserve">(including </w:t>
      </w:r>
      <w:r>
        <w:rPr>
          <w:rFonts w:ascii="Times New Roman" w:hAnsi="Times New Roman"/>
          <w:i/>
          <w:noProof/>
          <w:sz w:val="24"/>
          <w:szCs w:val="24"/>
        </w:rPr>
        <w:t>Sigma-Aldrich</w:t>
      </w:r>
      <w:r>
        <w:rPr>
          <w:rFonts w:ascii="Times New Roman" w:hAnsi="Times New Roman"/>
          <w:noProof/>
          <w:sz w:val="24"/>
          <w:szCs w:val="24"/>
        </w:rPr>
        <w:t xml:space="preserve">) concerning their alleged provision of incorrect and/or misleading information during the Commission's merger review. Moreover, the Comission is pursuing a case against </w:t>
      </w:r>
      <w:r>
        <w:rPr>
          <w:rFonts w:ascii="Times New Roman" w:hAnsi="Times New Roman"/>
          <w:i/>
          <w:noProof/>
          <w:sz w:val="24"/>
          <w:szCs w:val="24"/>
        </w:rPr>
        <w:t>Canon</w:t>
      </w:r>
      <w:r>
        <w:rPr>
          <w:rFonts w:ascii="Times New Roman" w:hAnsi="Times New Roman"/>
          <w:noProof/>
          <w:sz w:val="24"/>
          <w:szCs w:val="24"/>
        </w:rPr>
        <w:t xml:space="preserve"> for allegedly implementing a merger before notification </w:t>
      </w:r>
      <w:r>
        <w:rPr>
          <w:rFonts w:ascii="Times New Roman" w:hAnsi="Times New Roman"/>
          <w:noProof/>
          <w:sz w:val="24"/>
          <w:szCs w:val="24"/>
        </w:rPr>
        <w:t xml:space="preserve">and clearance. </w:t>
      </w:r>
    </w:p>
    <w:p w:rsidR="00320198" w:rsidRDefault="005C0948">
      <w:pPr>
        <w:keepNext/>
        <w:widowControl w:val="0"/>
        <w:spacing w:line="240" w:lineRule="auto"/>
        <w:rPr>
          <w:rFonts w:ascii="Times New Roman" w:hAnsi="Times New Roman"/>
          <w:noProof/>
          <w:lang w:eastAsia="en-GB"/>
        </w:rPr>
      </w:pPr>
      <w:r>
        <w:rPr>
          <w:rFonts w:ascii="Times New Roman" w:hAnsi="Times New Roman"/>
          <w:b/>
          <w:noProof/>
          <w:sz w:val="24"/>
          <w:szCs w:val="24"/>
        </w:rPr>
        <w:t xml:space="preserve">Merger decisions 2010-2018: </w:t>
      </w:r>
    </w:p>
    <w:p w:rsidR="00320198" w:rsidRDefault="005C0948">
      <w:pPr>
        <w:widowControl w:val="0"/>
        <w:spacing w:line="240" w:lineRule="auto"/>
        <w:rPr>
          <w:rFonts w:ascii="Times New Roman" w:eastAsia="Times New Roman" w:hAnsi="Times New Roman"/>
          <w:b/>
          <w:bCs/>
          <w:noProof/>
          <w:sz w:val="24"/>
          <w:szCs w:val="24"/>
          <w:lang w:eastAsia="en-GB"/>
        </w:rPr>
      </w:pPr>
      <w:r>
        <w:rPr>
          <w:noProof/>
          <w:lang w:eastAsia="en-GB"/>
        </w:rPr>
        <w:drawing>
          <wp:inline distT="0" distB="0" distL="0" distR="0">
            <wp:extent cx="5758350" cy="3683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4928" cy="3687687"/>
                    </a:xfrm>
                    <a:prstGeom prst="rect">
                      <a:avLst/>
                    </a:prstGeom>
                    <a:noFill/>
                    <a:ln>
                      <a:noFill/>
                    </a:ln>
                  </pic:spPr>
                </pic:pic>
              </a:graphicData>
            </a:graphic>
          </wp:inline>
        </w:drawing>
      </w:r>
    </w:p>
    <w:p w:rsidR="00320198" w:rsidRDefault="00320198">
      <w:pPr>
        <w:widowControl w:val="0"/>
        <w:spacing w:line="240" w:lineRule="auto"/>
        <w:ind w:left="360"/>
        <w:outlineLvl w:val="2"/>
        <w:rPr>
          <w:rFonts w:ascii="Times New Roman" w:eastAsia="Times New Roman" w:hAnsi="Times New Roman"/>
          <w:b/>
          <w:bCs/>
          <w:noProof/>
          <w:sz w:val="24"/>
          <w:szCs w:val="24"/>
          <w:lang w:eastAsia="en-GB"/>
        </w:rPr>
      </w:pPr>
      <w:bookmarkStart w:id="23" w:name="_Toc8831304"/>
    </w:p>
    <w:p w:rsidR="00320198" w:rsidRDefault="00320198">
      <w:pPr>
        <w:widowControl w:val="0"/>
        <w:spacing w:line="240" w:lineRule="auto"/>
        <w:ind w:left="360"/>
        <w:outlineLvl w:val="2"/>
        <w:rPr>
          <w:rFonts w:ascii="Times New Roman" w:eastAsia="Times New Roman" w:hAnsi="Times New Roman"/>
          <w:b/>
          <w:bCs/>
          <w:noProof/>
          <w:sz w:val="24"/>
          <w:szCs w:val="24"/>
          <w:lang w:eastAsia="en-GB"/>
        </w:rPr>
      </w:pPr>
    </w:p>
    <w:p w:rsidR="00320198" w:rsidRDefault="005C0948">
      <w:pPr>
        <w:widowControl w:val="0"/>
        <w:spacing w:line="240" w:lineRule="auto"/>
        <w:ind w:left="360"/>
        <w:outlineLvl w:val="2"/>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2.2 The ongoing evaluation of EU merger controlselected procedural and jurisdictional aspects of EU mergers</w:t>
      </w:r>
      <w:bookmarkEnd w:id="23"/>
    </w:p>
    <w:p w:rsidR="00320198" w:rsidRDefault="005C0948">
      <w:pPr>
        <w:widowControl w:val="0"/>
        <w:spacing w:line="240" w:lineRule="auto"/>
        <w:jc w:val="both"/>
        <w:rPr>
          <w:rFonts w:ascii="Times New Roman" w:hAnsi="Times New Roman"/>
          <w:noProof/>
          <w:sz w:val="24"/>
        </w:rPr>
      </w:pPr>
      <w:r>
        <w:rPr>
          <w:rFonts w:ascii="Times New Roman" w:hAnsi="Times New Roman"/>
          <w:noProof/>
          <w:sz w:val="24"/>
          <w:szCs w:val="24"/>
        </w:rPr>
        <w:t xml:space="preserve">In 2016, the Commission launched a public consultation concerning an evaluation of selected </w:t>
      </w:r>
      <w:r>
        <w:rPr>
          <w:rFonts w:ascii="Times New Roman" w:hAnsi="Times New Roman"/>
          <w:noProof/>
          <w:sz w:val="24"/>
          <w:szCs w:val="24"/>
        </w:rPr>
        <w:t>procedural and jurisdictional aspects of EU merger control. The evaluation builds  upon the results of the public consultation on the 2014 Commission white paper "</w:t>
      </w:r>
      <w:r>
        <w:rPr>
          <w:rFonts w:ascii="Times New Roman" w:hAnsi="Times New Roman"/>
          <w:i/>
          <w:noProof/>
          <w:sz w:val="24"/>
          <w:szCs w:val="24"/>
        </w:rPr>
        <w:t>Towards more effective EU merger control</w:t>
      </w:r>
      <w:r>
        <w:rPr>
          <w:rFonts w:ascii="Times New Roman" w:hAnsi="Times New Roman"/>
          <w:noProof/>
          <w:sz w:val="24"/>
          <w:szCs w:val="24"/>
        </w:rPr>
        <w:t>".</w:t>
      </w:r>
      <w:r>
        <w:rPr>
          <w:rFonts w:ascii="Times New Roman" w:hAnsi="Times New Roman"/>
          <w:noProof/>
          <w:sz w:val="24"/>
          <w:szCs w:val="24"/>
          <w:vertAlign w:val="superscript"/>
        </w:rPr>
        <w:footnoteReference w:id="79"/>
      </w:r>
      <w:r>
        <w:rPr>
          <w:rFonts w:ascii="Times New Roman" w:hAnsi="Times New Roman"/>
          <w:noProof/>
          <w:sz w:val="24"/>
        </w:rPr>
        <w:t xml:space="preserve"> The evaluation</w:t>
      </w:r>
      <w:r>
        <w:rPr>
          <w:rFonts w:ascii="Times New Roman" w:hAnsi="Times New Roman"/>
          <w:noProof/>
          <w:sz w:val="24"/>
          <w:szCs w:val="24"/>
        </w:rPr>
        <w:t xml:space="preserve"> focusses </w:t>
      </w:r>
      <w:r>
        <w:rPr>
          <w:rFonts w:ascii="Times New Roman" w:hAnsi="Times New Roman"/>
          <w:noProof/>
          <w:sz w:val="24"/>
        </w:rPr>
        <w:t>on four topics, namely (i</w:t>
      </w:r>
      <w:r>
        <w:rPr>
          <w:rFonts w:ascii="Times New Roman" w:hAnsi="Times New Roman"/>
          <w:noProof/>
          <w:sz w:val="24"/>
        </w:rPr>
        <w:t xml:space="preserve">.) possible further simplification of EU merger control, (ii.) the functioning of the jurisdictional thresholds, (iii.) the functioning of the referral system, and (iv.) specific technical aspects.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public consultation was open until mid-February 2017 </w:t>
      </w:r>
      <w:r>
        <w:rPr>
          <w:rFonts w:ascii="Times New Roman" w:hAnsi="Times New Roman"/>
          <w:noProof/>
          <w:sz w:val="24"/>
          <w:szCs w:val="24"/>
        </w:rPr>
        <w:t>and attracted wide interest. A summary of the submissions received during the public consultation, together with their non-confidential versions, were published on the Commission's Competition website on 28 July 2017.</w:t>
      </w:r>
      <w:r>
        <w:rPr>
          <w:rFonts w:ascii="Times New Roman" w:hAnsi="Times New Roman"/>
          <w:noProof/>
          <w:sz w:val="24"/>
          <w:szCs w:val="24"/>
          <w:vertAlign w:val="superscript"/>
        </w:rPr>
        <w:footnoteReference w:id="80"/>
      </w:r>
      <w:r>
        <w:rPr>
          <w:rFonts w:ascii="Times New Roman" w:hAnsi="Times New Roman"/>
          <w:noProof/>
          <w:sz w:val="24"/>
          <w:szCs w:val="24"/>
        </w:rPr>
        <w:t xml:space="preserve"> The Commission is carrying out furthe</w:t>
      </w:r>
      <w:r>
        <w:rPr>
          <w:rFonts w:ascii="Times New Roman" w:hAnsi="Times New Roman"/>
          <w:noProof/>
          <w:sz w:val="24"/>
          <w:szCs w:val="24"/>
        </w:rPr>
        <w:t>r research on the topics covered by the evaluation and will reflect on whether further action would be required.</w:t>
      </w:r>
    </w:p>
    <w:p w:rsidR="00320198" w:rsidRDefault="005C0948">
      <w:pPr>
        <w:keepNext/>
        <w:spacing w:line="240" w:lineRule="auto"/>
        <w:ind w:left="357"/>
        <w:outlineLvl w:val="2"/>
        <w:rPr>
          <w:rFonts w:ascii="Times New Roman" w:eastAsia="Times New Roman" w:hAnsi="Times New Roman"/>
          <w:b/>
          <w:bCs/>
          <w:noProof/>
          <w:sz w:val="24"/>
          <w:szCs w:val="24"/>
          <w:lang w:eastAsia="en-GB"/>
        </w:rPr>
      </w:pPr>
      <w:bookmarkStart w:id="24" w:name="_Toc8831305"/>
      <w:r>
        <w:rPr>
          <w:rFonts w:ascii="Times New Roman" w:eastAsia="Times New Roman" w:hAnsi="Times New Roman"/>
          <w:b/>
          <w:bCs/>
          <w:noProof/>
          <w:sz w:val="24"/>
          <w:szCs w:val="24"/>
          <w:lang w:eastAsia="en-GB"/>
        </w:rPr>
        <w:t>2.3 Significant judgments by the European Union courts in merger control</w:t>
      </w:r>
      <w:bookmarkEnd w:id="24"/>
      <w:r>
        <w:rPr>
          <w:rFonts w:ascii="Times New Roman" w:eastAsia="Times New Roman" w:hAnsi="Times New Roman"/>
          <w:b/>
          <w:bCs/>
          <w:noProof/>
          <w:sz w:val="24"/>
          <w:szCs w:val="24"/>
          <w:lang w:eastAsia="en-GB"/>
        </w:rPr>
        <w:t xml:space="preserve"> </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In 2018, the EU Courts adopted five judgments in the field of merger </w:t>
      </w:r>
      <w:r>
        <w:rPr>
          <w:rFonts w:ascii="Times New Roman" w:hAnsi="Times New Roman"/>
          <w:noProof/>
          <w:sz w:val="24"/>
          <w:szCs w:val="24"/>
        </w:rPr>
        <w:t>control.</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its judgement of 16 May 2018,</w:t>
      </w:r>
      <w:r>
        <w:rPr>
          <w:rFonts w:ascii="Times New Roman" w:hAnsi="Times New Roman"/>
          <w:noProof/>
          <w:sz w:val="24"/>
          <w:szCs w:val="24"/>
          <w:vertAlign w:val="superscript"/>
        </w:rPr>
        <w:footnoteReference w:id="81"/>
      </w:r>
      <w:r>
        <w:rPr>
          <w:rFonts w:ascii="Times New Roman" w:hAnsi="Times New Roman"/>
          <w:noProof/>
          <w:sz w:val="24"/>
          <w:szCs w:val="24"/>
        </w:rPr>
        <w:t xml:space="preserve"> the General Court partially annulled the Commission decision of 25 July 2016,</w:t>
      </w:r>
      <w:r>
        <w:rPr>
          <w:rFonts w:ascii="Times New Roman" w:hAnsi="Times New Roman"/>
          <w:noProof/>
          <w:sz w:val="24"/>
          <w:szCs w:val="24"/>
          <w:vertAlign w:val="superscript"/>
        </w:rPr>
        <w:footnoteReference w:id="82"/>
      </w:r>
      <w:r>
        <w:rPr>
          <w:rFonts w:ascii="Times New Roman" w:hAnsi="Times New Roman"/>
          <w:noProof/>
          <w:sz w:val="24"/>
          <w:szCs w:val="24"/>
        </w:rPr>
        <w:t xml:space="preserve"> which rejected Lufthansa’s request for a waiver of the commitments made binding by the Commission in its 2005 decision  </w:t>
      </w:r>
      <w:r>
        <w:rPr>
          <w:rFonts w:ascii="Times New Roman" w:hAnsi="Times New Roman"/>
          <w:i/>
          <w:noProof/>
          <w:sz w:val="24"/>
          <w:szCs w:val="24"/>
        </w:rPr>
        <w:t>Lufthansa/Swis</w:t>
      </w:r>
      <w:r>
        <w:rPr>
          <w:rFonts w:ascii="Times New Roman" w:hAnsi="Times New Roman"/>
          <w:i/>
          <w:noProof/>
          <w:sz w:val="24"/>
          <w:szCs w:val="24"/>
        </w:rPr>
        <w:t>s</w:t>
      </w:r>
      <w:r>
        <w:rPr>
          <w:rFonts w:ascii="Times New Roman" w:hAnsi="Times New Roman"/>
          <w:noProof/>
          <w:sz w:val="24"/>
          <w:szCs w:val="24"/>
        </w:rPr>
        <w:t>.</w:t>
      </w:r>
      <w:r>
        <w:rPr>
          <w:rFonts w:ascii="Times New Roman" w:hAnsi="Times New Roman"/>
          <w:noProof/>
          <w:sz w:val="24"/>
          <w:szCs w:val="24"/>
          <w:vertAlign w:val="superscript"/>
        </w:rPr>
        <w:footnoteReference w:id="83"/>
      </w:r>
      <w:r>
        <w:rPr>
          <w:rFonts w:ascii="Times New Roman" w:hAnsi="Times New Roman"/>
          <w:noProof/>
          <w:sz w:val="24"/>
          <w:szCs w:val="24"/>
          <w:vertAlign w:val="superscript"/>
        </w:rPr>
        <w:t xml:space="preserve"> </w:t>
      </w:r>
      <w:r>
        <w:rPr>
          <w:rFonts w:ascii="Times New Roman" w:hAnsi="Times New Roman"/>
          <w:noProof/>
          <w:sz w:val="24"/>
          <w:szCs w:val="24"/>
        </w:rPr>
        <w:t>The General Court annulled the Commission’s decision to reject the request for a waiver for the Zürich-Stockholm route. The General Court considered that the Commission made a manifest error of assessment by failing to take into account and carefully e</w:t>
      </w:r>
      <w:r>
        <w:rPr>
          <w:rFonts w:ascii="Times New Roman" w:hAnsi="Times New Roman"/>
          <w:noProof/>
          <w:sz w:val="24"/>
          <w:szCs w:val="24"/>
        </w:rPr>
        <w:t>xamine all relevant information. The General Court concluded that the Commission has no obligation to review long-term commitments on its own initiative. It is for the parties bound by the commitments to make a waiver request and to provide the necessary e</w:t>
      </w:r>
      <w:r>
        <w:rPr>
          <w:rFonts w:ascii="Times New Roman" w:hAnsi="Times New Roman"/>
          <w:noProof/>
          <w:sz w:val="24"/>
          <w:szCs w:val="24"/>
        </w:rPr>
        <w:t xml:space="preserve">vidence. However, the Commission must supplement or refute such evidence by way of an investigation. According the the General Court, the Commission had not adequately investigated the change in competitive conditions that had occurred on this route since </w:t>
      </w:r>
      <w:r>
        <w:rPr>
          <w:rFonts w:ascii="Times New Roman" w:hAnsi="Times New Roman"/>
          <w:noProof/>
          <w:sz w:val="24"/>
          <w:szCs w:val="24"/>
        </w:rPr>
        <w:t>the adoption of its decision. However, the General Court dismissed the appeal in relation to the Zürich-Warsaw route.</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 xml:space="preserve">On 31 May 2018, the European Court of Justice issued its preliminary ruling on a question referred to it by a Danish Court concerning the </w:t>
      </w:r>
      <w:r>
        <w:rPr>
          <w:rFonts w:ascii="Times New Roman" w:hAnsi="Times New Roman"/>
          <w:noProof/>
          <w:sz w:val="24"/>
          <w:szCs w:val="24"/>
        </w:rPr>
        <w:t>interpreation of Article</w:t>
      </w:r>
      <w:r>
        <w:rPr>
          <w:noProof/>
        </w:rPr>
        <w:t xml:space="preserve"> </w:t>
      </w:r>
      <w:r>
        <w:rPr>
          <w:rFonts w:ascii="Times New Roman" w:hAnsi="Times New Roman"/>
          <w:noProof/>
          <w:sz w:val="24"/>
          <w:szCs w:val="24"/>
        </w:rPr>
        <w:t>7(1) of the Merger Regulation, which prohibits companies from implementing a concentration before the Commission has cleared it.</w:t>
      </w:r>
      <w:r>
        <w:rPr>
          <w:rFonts w:ascii="Times New Roman" w:hAnsi="Times New Roman"/>
          <w:noProof/>
          <w:sz w:val="24"/>
          <w:szCs w:val="24"/>
          <w:vertAlign w:val="superscript"/>
        </w:rPr>
        <w:footnoteReference w:id="84"/>
      </w:r>
      <w:r>
        <w:rPr>
          <w:rFonts w:ascii="Times New Roman" w:hAnsi="Times New Roman"/>
          <w:noProof/>
          <w:sz w:val="24"/>
          <w:szCs w:val="24"/>
        </w:rPr>
        <w:t xml:space="preserve"> The issue at stake in the national proceedings was whether the termination by KPMG of its cooperation</w:t>
      </w:r>
      <w:r>
        <w:rPr>
          <w:rFonts w:ascii="Times New Roman" w:hAnsi="Times New Roman"/>
          <w:noProof/>
          <w:sz w:val="24"/>
          <w:szCs w:val="24"/>
        </w:rPr>
        <w:t xml:space="preserve"> agreement with the KPMG international network prior to the approval of its merger with Ernst &amp; Young by the Danish Competition Authority amounted to gun jumping or not. In its judgment, the Court of Justice concluded that Article 7(1) of the Merger Regula</w:t>
      </w:r>
      <w:r>
        <w:rPr>
          <w:rFonts w:ascii="Times New Roman" w:hAnsi="Times New Roman"/>
          <w:noProof/>
          <w:sz w:val="24"/>
          <w:szCs w:val="24"/>
        </w:rPr>
        <w:t>tion must be interpreted in such a way that a concentration is considered to be implemented only by a transaction which, in whole or in part, in fact or in law, contributes to the change in control of the target undertaking. The Court of Justice applied th</w:t>
      </w:r>
      <w:r>
        <w:rPr>
          <w:rFonts w:ascii="Times New Roman" w:hAnsi="Times New Roman"/>
          <w:noProof/>
          <w:sz w:val="24"/>
          <w:szCs w:val="24"/>
        </w:rPr>
        <w:t xml:space="preserve">is test to the specific circumstances in the Danish proceedings and concluded that the termination of the cooperation agreement does not constitute gun-jumping, even if it had a conditional link with the concentration and was likely to be of ancillary and </w:t>
      </w:r>
      <w:r>
        <w:rPr>
          <w:rFonts w:ascii="Times New Roman" w:hAnsi="Times New Roman"/>
          <w:noProof/>
          <w:sz w:val="24"/>
          <w:szCs w:val="24"/>
        </w:rPr>
        <w:t>preparatory nature.</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On 9 October 2018, the General Court delivered judgements in three cases</w:t>
      </w:r>
      <w:r>
        <w:rPr>
          <w:rFonts w:ascii="Times New Roman" w:hAnsi="Times New Roman"/>
          <w:noProof/>
          <w:sz w:val="24"/>
          <w:szCs w:val="24"/>
          <w:vertAlign w:val="superscript"/>
        </w:rPr>
        <w:footnoteReference w:id="85"/>
      </w:r>
      <w:r>
        <w:rPr>
          <w:rFonts w:ascii="Times New Roman" w:hAnsi="Times New Roman"/>
          <w:noProof/>
          <w:sz w:val="24"/>
          <w:szCs w:val="24"/>
          <w:vertAlign w:val="superscript"/>
        </w:rPr>
        <w:t xml:space="preserve"> </w:t>
      </w:r>
      <w:r>
        <w:rPr>
          <w:rFonts w:ascii="Times New Roman" w:hAnsi="Times New Roman"/>
          <w:noProof/>
          <w:sz w:val="24"/>
          <w:szCs w:val="24"/>
        </w:rPr>
        <w:t xml:space="preserve">concerning the implementation of remedies in the case </w:t>
      </w:r>
      <w:r>
        <w:rPr>
          <w:rFonts w:ascii="Times New Roman" w:hAnsi="Times New Roman"/>
          <w:i/>
          <w:noProof/>
          <w:sz w:val="24"/>
          <w:szCs w:val="24"/>
        </w:rPr>
        <w:t>Telefónica Deutschland/ E-Plus</w:t>
      </w:r>
      <w:r>
        <w:rPr>
          <w:rFonts w:ascii="Times New Roman" w:hAnsi="Times New Roman"/>
          <w:i/>
          <w:noProof/>
          <w:sz w:val="24"/>
          <w:szCs w:val="24"/>
          <w:vertAlign w:val="superscript"/>
        </w:rPr>
        <w:footnoteReference w:id="86"/>
      </w:r>
      <w:r>
        <w:rPr>
          <w:rFonts w:ascii="Times New Roman" w:hAnsi="Times New Roman"/>
          <w:noProof/>
          <w:sz w:val="24"/>
          <w:szCs w:val="24"/>
          <w:vertAlign w:val="superscript"/>
        </w:rPr>
        <w:t xml:space="preserve"> </w:t>
      </w:r>
      <w:r>
        <w:rPr>
          <w:rFonts w:ascii="Times New Roman" w:hAnsi="Times New Roman"/>
          <w:noProof/>
          <w:sz w:val="24"/>
          <w:szCs w:val="24"/>
        </w:rPr>
        <w:t xml:space="preserve">that had been cleared conditionally in 2014. Each of the three applicants </w:t>
      </w:r>
      <w:r>
        <w:rPr>
          <w:rFonts w:ascii="Times New Roman" w:hAnsi="Times New Roman"/>
          <w:i/>
          <w:noProof/>
          <w:sz w:val="24"/>
          <w:szCs w:val="24"/>
        </w:rPr>
        <w:t>1&amp;</w:t>
      </w:r>
      <w:r>
        <w:rPr>
          <w:rFonts w:ascii="Times New Roman" w:hAnsi="Times New Roman"/>
          <w:i/>
          <w:noProof/>
          <w:sz w:val="24"/>
          <w:szCs w:val="24"/>
        </w:rPr>
        <w:t>1 Telecom</w:t>
      </w:r>
      <w:r>
        <w:rPr>
          <w:rFonts w:ascii="Times New Roman" w:hAnsi="Times New Roman"/>
          <w:noProof/>
          <w:sz w:val="24"/>
          <w:szCs w:val="24"/>
        </w:rPr>
        <w:t xml:space="preserve">, </w:t>
      </w:r>
      <w:r>
        <w:rPr>
          <w:rFonts w:ascii="Times New Roman" w:hAnsi="Times New Roman"/>
          <w:i/>
          <w:noProof/>
          <w:sz w:val="24"/>
          <w:szCs w:val="24"/>
        </w:rPr>
        <w:t>Mass Response</w:t>
      </w:r>
      <w:r>
        <w:rPr>
          <w:rFonts w:ascii="Times New Roman" w:hAnsi="Times New Roman"/>
          <w:noProof/>
          <w:sz w:val="24"/>
          <w:szCs w:val="24"/>
        </w:rPr>
        <w:t xml:space="preserve"> and</w:t>
      </w:r>
      <w:r>
        <w:rPr>
          <w:rFonts w:ascii="Times New Roman" w:hAnsi="Times New Roman"/>
          <w:b/>
          <w:i/>
          <w:noProof/>
          <w:sz w:val="24"/>
          <w:szCs w:val="24"/>
          <w:u w:val="single"/>
        </w:rPr>
        <w:t xml:space="preserve"> </w:t>
      </w:r>
      <w:r>
        <w:rPr>
          <w:rFonts w:ascii="Times New Roman" w:hAnsi="Times New Roman"/>
          <w:i/>
          <w:noProof/>
          <w:sz w:val="24"/>
          <w:szCs w:val="24"/>
        </w:rPr>
        <w:t>Multiconnect</w:t>
      </w:r>
      <w:r>
        <w:rPr>
          <w:rFonts w:ascii="Times New Roman" w:hAnsi="Times New Roman"/>
          <w:noProof/>
          <w:sz w:val="24"/>
          <w:szCs w:val="24"/>
        </w:rPr>
        <w:t xml:space="preserve"> claimed that the Commission incorrectly interpreted the scope of Telefónica's obligations under its commitments. The General Court declared the appeals inadmissible. </w:t>
      </w:r>
    </w:p>
    <w:p w:rsidR="00320198" w:rsidRDefault="0032019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320198">
        <w:trPr>
          <w:trHeight w:val="540"/>
        </w:trPr>
        <w:tc>
          <w:tcPr>
            <w:tcW w:w="9214" w:type="dxa"/>
            <w:vAlign w:val="center"/>
          </w:tcPr>
          <w:p w:rsidR="00320198" w:rsidRDefault="005C0948">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bookmarkStart w:id="25" w:name="_Toc478566433"/>
            <w:bookmarkStart w:id="26" w:name="_Toc8831306"/>
            <w:bookmarkEnd w:id="21"/>
            <w:r>
              <w:rPr>
                <w:rFonts w:ascii="Times New Roman" w:eastAsia="Times New Roman" w:hAnsi="Times New Roman"/>
                <w:b/>
                <w:smallCaps/>
                <w:noProof/>
                <w:sz w:val="24"/>
                <w:szCs w:val="24"/>
              </w:rPr>
              <w:t>State aid control</w:t>
            </w:r>
            <w:bookmarkEnd w:id="25"/>
            <w:bookmarkEnd w:id="26"/>
          </w:p>
        </w:tc>
      </w:tr>
    </w:tbl>
    <w:p w:rsidR="00320198" w:rsidRDefault="00320198">
      <w:pPr>
        <w:widowControl w:val="0"/>
        <w:spacing w:after="0" w:line="240" w:lineRule="auto"/>
        <w:jc w:val="both"/>
        <w:rPr>
          <w:rFonts w:ascii="Times New Roman" w:hAnsi="Times New Roman"/>
          <w:noProof/>
          <w:sz w:val="24"/>
          <w:szCs w:val="24"/>
        </w:rPr>
      </w:pPr>
    </w:p>
    <w:p w:rsidR="00320198" w:rsidRDefault="005C0948">
      <w:pPr>
        <w:widowControl w:val="0"/>
        <w:pBdr>
          <w:top w:val="single" w:sz="4" w:space="1" w:color="auto"/>
          <w:left w:val="single" w:sz="4" w:space="0"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b/>
          <w:noProof/>
          <w:sz w:val="20"/>
          <w:szCs w:val="20"/>
        </w:rPr>
        <w:t xml:space="preserve">State aid control </w:t>
      </w:r>
      <w:r>
        <w:rPr>
          <w:rFonts w:ascii="Times New Roman" w:hAnsi="Times New Roman"/>
          <w:noProof/>
          <w:sz w:val="20"/>
          <w:szCs w:val="20"/>
        </w:rPr>
        <w:t xml:space="preserve">is an </w:t>
      </w:r>
      <w:r>
        <w:rPr>
          <w:rFonts w:ascii="Times New Roman" w:hAnsi="Times New Roman"/>
          <w:noProof/>
          <w:sz w:val="20"/>
          <w:szCs w:val="20"/>
        </w:rPr>
        <w:t>integral part of EU competition policy and a necessary safeguard to preserve effective competition and free trade in the single market.</w:t>
      </w:r>
    </w:p>
    <w:p w:rsidR="00320198" w:rsidRDefault="005C0948">
      <w:pPr>
        <w:widowControl w:val="0"/>
        <w:pBdr>
          <w:top w:val="single" w:sz="4" w:space="1" w:color="auto"/>
          <w:left w:val="single" w:sz="4" w:space="0"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The Treaty establishes the principle that State aid which distorts or threatens to distort competition is prohibited in </w:t>
      </w:r>
      <w:r>
        <w:rPr>
          <w:rFonts w:ascii="Times New Roman" w:hAnsi="Times New Roman"/>
          <w:noProof/>
          <w:sz w:val="20"/>
          <w:szCs w:val="20"/>
        </w:rPr>
        <w:t>so far as it affects trade between Member States (Article 107(1) TFEU). However, State aid, which contributes to well-defined objectives of common interest without unduly distorting competition between undertakings and trade between Member States, may be c</w:t>
      </w:r>
      <w:r>
        <w:rPr>
          <w:rFonts w:ascii="Times New Roman" w:hAnsi="Times New Roman"/>
          <w:noProof/>
          <w:sz w:val="20"/>
          <w:szCs w:val="20"/>
        </w:rPr>
        <w:t>onsidered compatible with the internal market (under Article 107(3) TFEU).</w:t>
      </w:r>
      <w:r>
        <w:rPr>
          <w:rFonts w:ascii="Times New Roman" w:eastAsia="Times New Roman" w:hAnsi="Times New Roman"/>
          <w:noProof/>
          <w:sz w:val="18"/>
          <w:szCs w:val="20"/>
          <w:lang w:eastAsia="en-GB"/>
        </w:rPr>
        <w:t xml:space="preserve"> </w:t>
      </w:r>
    </w:p>
    <w:p w:rsidR="00320198" w:rsidRDefault="005C0948">
      <w:pPr>
        <w:widowControl w:val="0"/>
        <w:pBdr>
          <w:top w:val="single" w:sz="4" w:space="1" w:color="auto"/>
          <w:left w:val="single" w:sz="4" w:space="0"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The objectives of the Commission's control of State aid are to ensure that aid is growth-enhancing, efficient and effective, and better targeted in times of budgetary constraints t</w:t>
      </w:r>
      <w:r>
        <w:rPr>
          <w:rFonts w:ascii="Times New Roman" w:hAnsi="Times New Roman"/>
          <w:noProof/>
          <w:sz w:val="20"/>
          <w:szCs w:val="20"/>
        </w:rPr>
        <w:t>hat aid does not restrict competition but addresses market failures for the benefit of society as a whole. In addition to this, the Commission acts to prevent and recover State aid which is incompatible with the internal market.</w:t>
      </w:r>
    </w:p>
    <w:p w:rsidR="00320198" w:rsidRDefault="005C0948">
      <w:pPr>
        <w:widowControl w:val="0"/>
        <w:spacing w:line="240" w:lineRule="auto"/>
        <w:ind w:left="720"/>
        <w:outlineLvl w:val="2"/>
        <w:rPr>
          <w:rFonts w:ascii="Times New Roman" w:eastAsia="Times New Roman" w:hAnsi="Times New Roman"/>
          <w:b/>
          <w:bCs/>
          <w:noProof/>
          <w:sz w:val="24"/>
          <w:szCs w:val="24"/>
          <w:lang w:eastAsia="en-GB"/>
        </w:rPr>
      </w:pPr>
      <w:bookmarkStart w:id="27" w:name="_Toc8831307"/>
      <w:bookmarkStart w:id="28" w:name="_Toc478566434"/>
      <w:r>
        <w:rPr>
          <w:rFonts w:ascii="Times New Roman" w:eastAsia="Times New Roman" w:hAnsi="Times New Roman"/>
          <w:b/>
          <w:bCs/>
          <w:noProof/>
          <w:sz w:val="24"/>
          <w:szCs w:val="24"/>
          <w:lang w:eastAsia="en-GB"/>
        </w:rPr>
        <w:t>3.1 Uptake of the State Aid</w:t>
      </w:r>
      <w:r>
        <w:rPr>
          <w:rFonts w:ascii="Times New Roman" w:eastAsia="Times New Roman" w:hAnsi="Times New Roman"/>
          <w:b/>
          <w:bCs/>
          <w:noProof/>
          <w:sz w:val="24"/>
          <w:szCs w:val="24"/>
          <w:lang w:eastAsia="en-GB"/>
        </w:rPr>
        <w:t xml:space="preserve"> Modernisation</w:t>
      </w:r>
      <w:bookmarkEnd w:id="27"/>
      <w:r>
        <w:rPr>
          <w:rFonts w:ascii="Times New Roman" w:eastAsia="Times New Roman" w:hAnsi="Times New Roman"/>
          <w:b/>
          <w:bCs/>
          <w:noProof/>
          <w:sz w:val="24"/>
          <w:szCs w:val="24"/>
          <w:lang w:eastAsia="en-GB"/>
        </w:rPr>
        <w:t xml:space="preserv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Since 2014, as part of the State Aid Modernisation (SAM), there has been a surge in State aid granted without prior notification to the Commission, indicating an important reduction in red tape. The 2018 State Aid Scoreboard</w:t>
      </w:r>
      <w:r>
        <w:rPr>
          <w:rFonts w:ascii="Times New Roman" w:hAnsi="Times New Roman"/>
          <w:noProof/>
          <w:sz w:val="24"/>
          <w:szCs w:val="24"/>
          <w:vertAlign w:val="superscript"/>
        </w:rPr>
        <w:footnoteReference w:id="87"/>
      </w:r>
      <w:r>
        <w:rPr>
          <w:rFonts w:ascii="Times New Roman" w:hAnsi="Times New Roman"/>
          <w:noProof/>
          <w:sz w:val="24"/>
          <w:szCs w:val="24"/>
        </w:rPr>
        <w:t xml:space="preserve"> confirms that </w:t>
      </w:r>
      <w:r>
        <w:rPr>
          <w:rFonts w:ascii="Times New Roman" w:hAnsi="Times New Roman"/>
          <w:noProof/>
          <w:sz w:val="24"/>
          <w:szCs w:val="24"/>
        </w:rPr>
        <w:t>modernisation has lead to quicker implementation of public support by Member States. This is possible due to the General Block Exemption Regulation (GBER)</w:t>
      </w:r>
      <w:r>
        <w:rPr>
          <w:rFonts w:ascii="Times New Roman" w:hAnsi="Times New Roman"/>
          <w:noProof/>
          <w:sz w:val="24"/>
          <w:szCs w:val="24"/>
          <w:vertAlign w:val="superscript"/>
        </w:rPr>
        <w:footnoteReference w:id="88"/>
      </w:r>
      <w:r>
        <w:rPr>
          <w:rFonts w:ascii="Times New Roman" w:hAnsi="Times New Roman"/>
          <w:noProof/>
          <w:sz w:val="24"/>
          <w:szCs w:val="24"/>
        </w:rPr>
        <w:t>, adopted in the context of the State aid reform, which simplifies the aid-granting procedure for Mem</w:t>
      </w:r>
      <w:r>
        <w:rPr>
          <w:rFonts w:ascii="Times New Roman" w:hAnsi="Times New Roman"/>
          <w:noProof/>
          <w:sz w:val="24"/>
          <w:szCs w:val="24"/>
        </w:rPr>
        <w:t>ber States by authorising - without prior notification - a wide range of measures fulfilling certain criteria and specific EU objectives in the common interest. For the aid categories covered by the GBER, only cases with the largest potential to distort co</w:t>
      </w:r>
      <w:r>
        <w:rPr>
          <w:rFonts w:ascii="Times New Roman" w:hAnsi="Times New Roman"/>
          <w:noProof/>
          <w:sz w:val="24"/>
          <w:szCs w:val="24"/>
        </w:rPr>
        <w:t xml:space="preserve">mpetition in the single market have to be notified.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As shown in the graph below,</w:t>
      </w:r>
      <w:r>
        <w:rPr>
          <w:rFonts w:ascii="Times New Roman" w:hAnsi="Times New Roman"/>
          <w:noProof/>
          <w:sz w:val="24"/>
          <w:szCs w:val="24"/>
          <w:vertAlign w:val="superscript"/>
        </w:rPr>
        <w:footnoteReference w:id="89"/>
      </w:r>
      <w:r>
        <w:rPr>
          <w:rFonts w:ascii="Times New Roman" w:hAnsi="Times New Roman"/>
          <w:noProof/>
          <w:sz w:val="24"/>
          <w:szCs w:val="24"/>
        </w:rPr>
        <w:t xml:space="preserve"> since 2015 more than 96% of new measures for which expenditure was reported for the first time were covered by the GBER, entailing an increase of some 28 percentage points c</w:t>
      </w:r>
      <w:r>
        <w:rPr>
          <w:rFonts w:ascii="Times New Roman" w:hAnsi="Times New Roman"/>
          <w:noProof/>
          <w:sz w:val="24"/>
          <w:szCs w:val="24"/>
        </w:rPr>
        <w:t>ompared to 2013. Approximately 82% of all measures with reported expenditure (that is to say not only new measures), fell under the block exemption in 2017. Expenditure on GBER measures in the EU was approximately EUR 41.7 billion in 2017, which correspond</w:t>
      </w:r>
      <w:r>
        <w:rPr>
          <w:rFonts w:ascii="Times New Roman" w:hAnsi="Times New Roman"/>
          <w:noProof/>
          <w:sz w:val="24"/>
          <w:szCs w:val="24"/>
        </w:rPr>
        <w:t>s to about 38% of total expenditure. However, when considering the average of individual Member States' expenditure, in 2017 Member States spent some 48% of their total spending on GBER measures, an increase of approximately 14 percentage points compared t</w:t>
      </w:r>
      <w:r>
        <w:rPr>
          <w:rFonts w:ascii="Times New Roman" w:hAnsi="Times New Roman"/>
          <w:noProof/>
          <w:sz w:val="24"/>
          <w:szCs w:val="24"/>
        </w:rPr>
        <w:t>o 2013.</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lang w:eastAsia="en-GB"/>
        </w:rPr>
        <w:drawing>
          <wp:inline distT="0" distB="0" distL="0" distR="0">
            <wp:extent cx="5675630" cy="3010619"/>
            <wp:effectExtent l="0" t="0" r="127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2998" cy="3030441"/>
                    </a:xfrm>
                    <a:prstGeom prst="rect">
                      <a:avLst/>
                    </a:prstGeom>
                    <a:noFill/>
                  </pic:spPr>
                </pic:pic>
              </a:graphicData>
            </a:graphic>
          </wp:inline>
        </w:drawing>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2014 GBER introduced new aid categories</w:t>
      </w:r>
      <w:r>
        <w:rPr>
          <w:rFonts w:ascii="Times New Roman" w:hAnsi="Times New Roman"/>
          <w:noProof/>
          <w:sz w:val="24"/>
          <w:szCs w:val="24"/>
          <w:vertAlign w:val="superscript"/>
        </w:rPr>
        <w:footnoteReference w:id="90"/>
      </w:r>
      <w:r>
        <w:rPr>
          <w:rFonts w:ascii="Times New Roman" w:hAnsi="Times New Roman"/>
          <w:noProof/>
          <w:sz w:val="24"/>
          <w:szCs w:val="24"/>
        </w:rPr>
        <w:t xml:space="preserve"> and to a large extent, the reported increase in expenditure of GBER measures reflects the impact of the new Regulation. In 2017, as compared to 2014, total GBER spending for aid to culture and heritage conservation, for broadband and for local infrastruct</w:t>
      </w:r>
      <w:r>
        <w:rPr>
          <w:rFonts w:ascii="Times New Roman" w:hAnsi="Times New Roman"/>
          <w:noProof/>
          <w:sz w:val="24"/>
          <w:szCs w:val="24"/>
        </w:rPr>
        <w:t>ure has increased dramatically, while it more than doubled for SMEs, including risk finance. Large increases were also recorded for environmental protection and energy savings (+80%), for research, development and innovation (+69%) and for aid to compensat</w:t>
      </w:r>
      <w:r>
        <w:rPr>
          <w:rFonts w:ascii="Times New Roman" w:hAnsi="Times New Roman"/>
          <w:noProof/>
          <w:sz w:val="24"/>
          <w:szCs w:val="24"/>
        </w:rPr>
        <w:t>e damages caused by natural disasters (+50%). The GBER was further extended in 2017, especially as regards aid to ports and airports.</w:t>
      </w:r>
      <w:r>
        <w:rPr>
          <w:rFonts w:ascii="Times New Roman" w:hAnsi="Times New Roman"/>
          <w:noProof/>
          <w:sz w:val="24"/>
          <w:szCs w:val="24"/>
          <w:vertAlign w:val="superscript"/>
        </w:rPr>
        <w:footnoteReference w:id="91"/>
      </w:r>
      <w:r>
        <w:rPr>
          <w:rFonts w:ascii="Times New Roman" w:hAnsi="Times New Roman"/>
          <w:noProof/>
          <w:sz w:val="24"/>
          <w:szCs w:val="24"/>
        </w:rPr>
        <w:t xml:space="preserve"> It is therefore to be expected that block-exempted aid as a share of total aid granted by Member States will increase eve</w:t>
      </w:r>
      <w:r>
        <w:rPr>
          <w:rFonts w:ascii="Times New Roman" w:hAnsi="Times New Roman"/>
          <w:noProof/>
          <w:sz w:val="24"/>
          <w:szCs w:val="24"/>
        </w:rPr>
        <w:t xml:space="preserve">n further in the coming years. </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lang w:eastAsia="en-GB"/>
        </w:rPr>
        <w:drawing>
          <wp:inline distT="0" distB="0" distL="0" distR="0">
            <wp:extent cx="5728335" cy="2626946"/>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5193" cy="2643849"/>
                    </a:xfrm>
                    <a:prstGeom prst="rect">
                      <a:avLst/>
                    </a:prstGeom>
                    <a:noFill/>
                  </pic:spPr>
                </pic:pic>
              </a:graphicData>
            </a:graphic>
          </wp:inline>
        </w:drawing>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growing share of spending falling under the GBER implies that on average State aid measures registered by the Commission are implemented much more quickly than in the past by Member States. Compared to 2013, the averag</w:t>
      </w:r>
      <w:r>
        <w:rPr>
          <w:rFonts w:ascii="Times New Roman" w:hAnsi="Times New Roman"/>
          <w:noProof/>
          <w:sz w:val="24"/>
          <w:szCs w:val="24"/>
        </w:rPr>
        <w:t>e time to implement State aid measures decreased by 15%.</w:t>
      </w:r>
      <w:r>
        <w:rPr>
          <w:noProof/>
        </w:rPr>
        <w:t xml:space="preserve"> </w:t>
      </w:r>
      <w:r>
        <w:rPr>
          <w:rFonts w:ascii="Times New Roman" w:hAnsi="Times New Roman"/>
          <w:noProof/>
          <w:sz w:val="24"/>
          <w:szCs w:val="24"/>
        </w:rPr>
        <w:t xml:space="preserve">However, notified measures that are still subject to scrutiny tend to cover bigger budgets and spending than in the past, in line with the Commission's approach to be 'big on big things and small on </w:t>
      </w:r>
      <w:r>
        <w:rPr>
          <w:rFonts w:ascii="Times New Roman" w:hAnsi="Times New Roman"/>
          <w:noProof/>
          <w:sz w:val="24"/>
          <w:szCs w:val="24"/>
        </w:rPr>
        <w:t>small things'.</w:t>
      </w:r>
      <w:r>
        <w:rPr>
          <w:rFonts w:ascii="Times New Roman" w:hAnsi="Times New Roman"/>
          <w:noProof/>
          <w:sz w:val="24"/>
          <w:szCs w:val="24"/>
          <w:vertAlign w:val="superscript"/>
        </w:rPr>
        <w:footnoteReference w:id="92"/>
      </w:r>
      <w:r>
        <w:rPr>
          <w:rFonts w:ascii="Times New Roman" w:hAnsi="Times New Roman"/>
          <w:noProof/>
          <w:sz w:val="24"/>
          <w:szCs w:val="24"/>
        </w:rPr>
        <w:t xml:space="preserve"> In 2017, the average annual budget of implemented notified measures was some EUR 230 million, an absolute increase of approximately 126% compared to 2013.</w:t>
      </w:r>
    </w:p>
    <w:p w:rsidR="00320198" w:rsidRDefault="005C0948">
      <w:pPr>
        <w:widowControl w:val="0"/>
        <w:spacing w:line="240" w:lineRule="auto"/>
        <w:jc w:val="both"/>
        <w:rPr>
          <w:rFonts w:ascii="Times New Roman" w:hAnsi="Times New Roman"/>
          <w:b/>
          <w:noProof/>
          <w:sz w:val="24"/>
          <w:szCs w:val="24"/>
        </w:rPr>
      </w:pPr>
      <w:r>
        <w:rPr>
          <w:rFonts w:ascii="Times New Roman" w:hAnsi="Times New Roman"/>
          <w:b/>
          <w:noProof/>
          <w:sz w:val="24"/>
          <w:szCs w:val="24"/>
        </w:rPr>
        <w:t>State aid enforcement (Commission decisions, monitoring and Member States' Evaluation</w:t>
      </w:r>
      <w:r>
        <w:rPr>
          <w:rFonts w:ascii="Times New Roman" w:hAnsi="Times New Roman"/>
          <w:b/>
          <w:noProof/>
          <w:sz w:val="24"/>
          <w:szCs w:val="24"/>
        </w:rPr>
        <w:t xml:space="preserve"> Plans) 2010-2018</w:t>
      </w:r>
    </w:p>
    <w:p w:rsidR="00320198" w:rsidRDefault="005C0948">
      <w:pPr>
        <w:widowControl w:val="0"/>
        <w:spacing w:line="240" w:lineRule="auto"/>
        <w:jc w:val="both"/>
        <w:rPr>
          <w:rFonts w:ascii="Times New Roman" w:hAnsi="Times New Roman"/>
          <w:noProof/>
          <w:sz w:val="24"/>
          <w:szCs w:val="24"/>
        </w:rPr>
      </w:pPr>
      <w:r>
        <w:rPr>
          <w:noProof/>
          <w:lang w:eastAsia="en-GB"/>
        </w:rPr>
        <w:drawing>
          <wp:inline distT="0" distB="0" distL="0" distR="0">
            <wp:extent cx="5993417" cy="3368842"/>
            <wp:effectExtent l="0" t="0" r="762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97705" cy="3371252"/>
                    </a:xfrm>
                    <a:prstGeom prst="rect">
                      <a:avLst/>
                    </a:prstGeom>
                    <a:noFill/>
                    <a:ln>
                      <a:noFill/>
                    </a:ln>
                  </pic:spPr>
                </pic:pic>
              </a:graphicData>
            </a:graphic>
          </wp:inline>
        </w:drawing>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rPr>
        <w:t>Cooperation with Member States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To facilitate the implementation of SAM, the Commission supports Member States in various ways in the framework of a multilateral partnership. The Working Group on SAM implementation (SAM WG) is a forum for Member States to exchange best practices on their</w:t>
      </w:r>
      <w:r>
        <w:rPr>
          <w:rFonts w:ascii="Times New Roman" w:hAnsi="Times New Roman"/>
          <w:noProof/>
          <w:sz w:val="24"/>
          <w:szCs w:val="24"/>
        </w:rPr>
        <w:t xml:space="preserve"> systems for State aid control, creating an effective network for the informal discussion of issues concerning the implementation of State aid rules among Member States and with the Commission. Other dedicated working groups or workshops deal with specific</w:t>
      </w:r>
      <w:r>
        <w:rPr>
          <w:rFonts w:ascii="Times New Roman" w:hAnsi="Times New Roman"/>
          <w:noProof/>
          <w:sz w:val="24"/>
          <w:szCs w:val="24"/>
        </w:rPr>
        <w:t xml:space="preserve"> aspects of SAM implementation, in particular the requirements for transparency and evaluation (see respective sections infra) or issues related to international subsidy policy and State aid to infrastructure. Once a year, all these working groups report t</w:t>
      </w:r>
      <w:r>
        <w:rPr>
          <w:rFonts w:ascii="Times New Roman" w:hAnsi="Times New Roman"/>
          <w:noProof/>
          <w:sz w:val="24"/>
          <w:szCs w:val="24"/>
        </w:rPr>
        <w:t xml:space="preserve">o a High Level Forum, which takes place in Brussels. The High Level Forum provides guidance on the future work of the SAM WG and is also the occasion for the Commission and Member States to discuss State aid policy more generally.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SAM WG met three ti</w:t>
      </w:r>
      <w:r>
        <w:rPr>
          <w:rFonts w:ascii="Times New Roman" w:hAnsi="Times New Roman"/>
          <w:noProof/>
          <w:sz w:val="24"/>
          <w:szCs w:val="24"/>
        </w:rPr>
        <w:t>mes in 2018, under the Chairmanship of France, and addressed several policy and compliance topics related to SAM implementation, such as specific aspects of the notion of aid and the interplay between State aid rules and Structural Funds implementation. It</w:t>
      </w:r>
      <w:r>
        <w:rPr>
          <w:rFonts w:ascii="Times New Roman" w:hAnsi="Times New Roman"/>
          <w:noProof/>
          <w:sz w:val="24"/>
          <w:szCs w:val="24"/>
        </w:rPr>
        <w:t xml:space="preserve"> reported on the main topics discussed during the past year and on the follow-up to recommendations from past Chairs (Finland, Sweden and the United Kingdom) to the High Level Forum held on 19 June, in Brussels. On this occasion the High Level Forum also e</w:t>
      </w:r>
      <w:r>
        <w:rPr>
          <w:rFonts w:ascii="Times New Roman" w:hAnsi="Times New Roman"/>
          <w:noProof/>
          <w:sz w:val="24"/>
          <w:szCs w:val="24"/>
        </w:rPr>
        <w:t xml:space="preserve">ndorsed the work plan submitted by the Chair for the period 2018-2019.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Commission also continued its bilateral cooperation with Member States. Launched in 2015, the overall objective of this process is to achieve both good State aid policy an</w:t>
      </w:r>
      <w:r>
        <w:rPr>
          <w:rFonts w:ascii="Times New Roman" w:hAnsi="Times New Roman"/>
          <w:noProof/>
          <w:sz w:val="24"/>
          <w:szCs w:val="24"/>
        </w:rPr>
        <w:t>d effective State aid control at the national level. Tailored to each Member State's specific needs, bilateral cooperations have taken a variety of dimensions, from structured cooperation processes (with Italy, Bulgaria and Romania), to more bespoke inform</w:t>
      </w:r>
      <w:r>
        <w:rPr>
          <w:rFonts w:ascii="Times New Roman" w:hAnsi="Times New Roman"/>
          <w:noProof/>
          <w:sz w:val="24"/>
          <w:szCs w:val="24"/>
        </w:rPr>
        <w:t>al bilateral interactions (with Belgium, Croatia, Greece, Hungary, the Netherlands, Poland, Portugal, Slovenia and Spain). These various cooperation processes generally deal with horizontal cross-cutting State aid issues, such as country-specific complianc</w:t>
      </w:r>
      <w:r>
        <w:rPr>
          <w:rFonts w:ascii="Times New Roman" w:hAnsi="Times New Roman"/>
          <w:noProof/>
          <w:sz w:val="24"/>
          <w:szCs w:val="24"/>
        </w:rPr>
        <w:t>e and implementation issues, governance issues and issues concerning State-owned enterprises, as well as cases in problematic sectors. Each Member State also has a dedicated State Aid Country Coordinator at the Commission, who acts as a first entry point f</w:t>
      </w:r>
      <w:r>
        <w:rPr>
          <w:rFonts w:ascii="Times New Roman" w:hAnsi="Times New Roman"/>
          <w:noProof/>
          <w:sz w:val="24"/>
          <w:szCs w:val="24"/>
        </w:rPr>
        <w:t xml:space="preserve">or this Member State's horizontal State Aid questions. After several years of operation, work is on-going towards refining the various bilateral cooperation processes with all Member States. </w:t>
      </w:r>
    </w:p>
    <w:p w:rsidR="00320198" w:rsidRDefault="005C0948">
      <w:pPr>
        <w:widowControl w:val="0"/>
        <w:jc w:val="both"/>
        <w:rPr>
          <w:rFonts w:ascii="Times New Roman" w:hAnsi="Times New Roman"/>
          <w:i/>
          <w:noProof/>
          <w:sz w:val="24"/>
          <w:szCs w:val="24"/>
        </w:rPr>
      </w:pPr>
      <w:r>
        <w:rPr>
          <w:rFonts w:ascii="Times New Roman" w:hAnsi="Times New Roman"/>
          <w:i/>
          <w:noProof/>
          <w:sz w:val="24"/>
          <w:szCs w:val="24"/>
        </w:rPr>
        <w:t>Transparency Award Module</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transparency provisions currently </w:t>
      </w:r>
      <w:r>
        <w:rPr>
          <w:rFonts w:ascii="Times New Roman" w:hAnsi="Times New Roman"/>
          <w:noProof/>
          <w:sz w:val="24"/>
          <w:szCs w:val="24"/>
        </w:rPr>
        <w:t>part of SAM are in force since 1 July 2016 and require Member States to publish information about the beneficiaries of aid awards above EUR 500 000.</w:t>
      </w:r>
      <w:r>
        <w:rPr>
          <w:rFonts w:ascii="Times New Roman" w:hAnsi="Times New Roman"/>
          <w:noProof/>
          <w:sz w:val="24"/>
          <w:szCs w:val="24"/>
          <w:vertAlign w:val="superscript"/>
        </w:rPr>
        <w:footnoteReference w:id="93"/>
      </w:r>
      <w:r>
        <w:rPr>
          <w:rFonts w:ascii="Times New Roman" w:hAnsi="Times New Roman"/>
          <w:noProof/>
          <w:sz w:val="24"/>
          <w:szCs w:val="24"/>
        </w:rPr>
        <w:t xml:space="preserve"> Member States have six months starting from the date of granting to provide the required aid awards' data,</w:t>
      </w:r>
      <w:r>
        <w:rPr>
          <w:rFonts w:ascii="Times New Roman" w:hAnsi="Times New Roman"/>
          <w:noProof/>
          <w:sz w:val="24"/>
          <w:szCs w:val="24"/>
        </w:rPr>
        <w:t xml:space="preserve"> with the exception of awards in the form of fiscal aid for which the information needs to be provided within one year from the date of granting. The Commission services facilitated compliance with this requirement by developing, in cooperation with Member</w:t>
      </w:r>
      <w:r>
        <w:rPr>
          <w:rFonts w:ascii="Times New Roman" w:hAnsi="Times New Roman"/>
          <w:noProof/>
          <w:sz w:val="24"/>
          <w:szCs w:val="24"/>
        </w:rPr>
        <w:t xml:space="preserve"> States, the Transparency Award Module (TAM) – an informatics tool for submission and publication of data required under the transparency provisions.</w:t>
      </w:r>
      <w:r>
        <w:rPr>
          <w:rFonts w:ascii="Times New Roman" w:hAnsi="Times New Roman"/>
          <w:noProof/>
          <w:sz w:val="24"/>
          <w:szCs w:val="24"/>
          <w:vertAlign w:val="superscript"/>
        </w:rPr>
        <w:footnoteReference w:id="94"/>
      </w:r>
      <w:r>
        <w:rPr>
          <w:rFonts w:ascii="Times New Roman" w:hAnsi="Times New Roman"/>
          <w:noProof/>
          <w:sz w:val="24"/>
          <w:szCs w:val="24"/>
        </w:rPr>
        <w:t xml:space="preserv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TAM ensures that information submitted by granting authorities is consistent and comparable across M</w:t>
      </w:r>
      <w:r>
        <w:rPr>
          <w:rFonts w:ascii="Times New Roman" w:hAnsi="Times New Roman"/>
          <w:noProof/>
          <w:sz w:val="24"/>
          <w:szCs w:val="24"/>
        </w:rPr>
        <w:t>ember States. In addition, the associated transparency public search page provides all stakeholders, i.a. citizens, competitors and researchers, with a single entry point allowing them to make comparable extractions and analysis. For these reasons, the Com</w:t>
      </w:r>
      <w:r>
        <w:rPr>
          <w:rFonts w:ascii="Times New Roman" w:hAnsi="Times New Roman"/>
          <w:noProof/>
          <w:sz w:val="24"/>
          <w:szCs w:val="24"/>
        </w:rPr>
        <w:t xml:space="preserve">mission pursues efforts to improve the user friendliness and the interoperability capabilities of the tools, to incentivise those Member States already having National State Aid Registries in place to use the TAM as well.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At the end of 2018, 25 Member </w:t>
      </w:r>
      <w:r>
        <w:rPr>
          <w:rFonts w:ascii="Times New Roman" w:hAnsi="Times New Roman"/>
          <w:noProof/>
          <w:sz w:val="24"/>
          <w:szCs w:val="24"/>
        </w:rPr>
        <w:t>States have joined the TAM and more than 43 000 aid grantings have been published by 25 Member States and Iceland. The Commission services support the implementation of the TAM by facilitating, together with Member States' representatives, the Transparency</w:t>
      </w:r>
      <w:r>
        <w:rPr>
          <w:rFonts w:ascii="Times New Roman" w:hAnsi="Times New Roman"/>
          <w:noProof/>
          <w:sz w:val="24"/>
          <w:szCs w:val="24"/>
        </w:rPr>
        <w:t xml:space="preserve"> Steering Group (one meeting in 2018) and by organising dedicated training courses upon request. In addition, the Commission conducted the first compliance checks in early 2018 to verify the completeness and accuracy of the information published by Member </w:t>
      </w:r>
      <w:r>
        <w:rPr>
          <w:rFonts w:ascii="Times New Roman" w:hAnsi="Times New Roman"/>
          <w:noProof/>
          <w:sz w:val="24"/>
          <w:szCs w:val="24"/>
        </w:rPr>
        <w:t>States under the transparency requirements through either the TAM or National State Aid Registries. This first round of compliance checks proved to be very effective in improving compliance with the transparency obligations. The scopoe of the compliance ch</w:t>
      </w:r>
      <w:r>
        <w:rPr>
          <w:rFonts w:ascii="Times New Roman" w:hAnsi="Times New Roman"/>
          <w:noProof/>
          <w:sz w:val="24"/>
          <w:szCs w:val="24"/>
        </w:rPr>
        <w:t>ecks will be substantially extended in 2019.</w:t>
      </w:r>
    </w:p>
    <w:p w:rsidR="00320198" w:rsidRDefault="005C0948">
      <w:pPr>
        <w:widowControl w:val="0"/>
        <w:jc w:val="both"/>
        <w:rPr>
          <w:rFonts w:ascii="Times New Roman" w:hAnsi="Times New Roman"/>
          <w:i/>
          <w:noProof/>
          <w:sz w:val="24"/>
          <w:szCs w:val="24"/>
        </w:rPr>
      </w:pPr>
      <w:r>
        <w:rPr>
          <w:rFonts w:ascii="Times New Roman" w:hAnsi="Times New Roman"/>
          <w:i/>
          <w:noProof/>
          <w:sz w:val="24"/>
          <w:szCs w:val="24"/>
        </w:rPr>
        <w:t>Evaluation of aid schemes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Evaluation of aid schemes is another requirement introduced by SAM. The aim is to gather the necessary evidence to better identify impacts, both positive and negative, of the aid and to</w:t>
      </w:r>
      <w:r>
        <w:rPr>
          <w:rFonts w:ascii="Times New Roman" w:hAnsi="Times New Roman"/>
          <w:noProof/>
          <w:sz w:val="24"/>
          <w:szCs w:val="24"/>
        </w:rPr>
        <w:t xml:space="preserve"> provide input for future policy-making by the Member States and the Commission.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Since 1 July 2014, evaluation is required for large GBER schemes in certain aid categories</w:t>
      </w:r>
      <w:r>
        <w:rPr>
          <w:rFonts w:ascii="Times New Roman" w:hAnsi="Times New Roman"/>
          <w:noProof/>
          <w:sz w:val="24"/>
          <w:szCs w:val="24"/>
          <w:vertAlign w:val="superscript"/>
        </w:rPr>
        <w:footnoteReference w:id="95"/>
      </w:r>
      <w:r>
        <w:rPr>
          <w:rFonts w:ascii="Times New Roman" w:hAnsi="Times New Roman"/>
          <w:noProof/>
          <w:sz w:val="24"/>
          <w:szCs w:val="24"/>
          <w:vertAlign w:val="superscript"/>
        </w:rPr>
        <w:t xml:space="preserve"> </w:t>
      </w:r>
      <w:r>
        <w:rPr>
          <w:rFonts w:ascii="Times New Roman" w:hAnsi="Times New Roman"/>
          <w:noProof/>
          <w:sz w:val="24"/>
          <w:szCs w:val="24"/>
        </w:rPr>
        <w:t>as well as for a selection of notified schemes under the new generation of State a</w:t>
      </w:r>
      <w:r>
        <w:rPr>
          <w:rFonts w:ascii="Times New Roman" w:hAnsi="Times New Roman"/>
          <w:noProof/>
          <w:sz w:val="24"/>
          <w:szCs w:val="24"/>
        </w:rPr>
        <w:t>id guidelines.</w:t>
      </w:r>
      <w:r>
        <w:rPr>
          <w:rFonts w:ascii="Times New Roman" w:hAnsi="Times New Roman"/>
          <w:noProof/>
          <w:sz w:val="24"/>
          <w:szCs w:val="24"/>
          <w:vertAlign w:val="superscript"/>
        </w:rPr>
        <w:footnoteReference w:id="96"/>
      </w:r>
      <w:r>
        <w:rPr>
          <w:rFonts w:ascii="Times New Roman" w:hAnsi="Times New Roman"/>
          <w:noProof/>
          <w:sz w:val="24"/>
          <w:szCs w:val="24"/>
        </w:rPr>
        <w:t xml:space="preserv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By the end of 2018, the Commission had approved evaluation plans covering 40 State aid schemes. Five additional schemes are currently under analysis, covering a total of 15 Member States.</w:t>
      </w:r>
      <w:r>
        <w:rPr>
          <w:rFonts w:ascii="Times New Roman" w:hAnsi="Times New Roman"/>
          <w:noProof/>
          <w:sz w:val="24"/>
          <w:szCs w:val="24"/>
          <w:vertAlign w:val="superscript"/>
        </w:rPr>
        <w:footnoteReference w:id="97"/>
      </w:r>
      <w:r>
        <w:rPr>
          <w:rFonts w:ascii="Times New Roman" w:hAnsi="Times New Roman"/>
          <w:noProof/>
          <w:sz w:val="24"/>
          <w:szCs w:val="24"/>
        </w:rPr>
        <w:t xml:space="preserve"> Most of these decisions concerned either large reg</w:t>
      </w:r>
      <w:r>
        <w:rPr>
          <w:rFonts w:ascii="Times New Roman" w:hAnsi="Times New Roman"/>
          <w:noProof/>
          <w:sz w:val="24"/>
          <w:szCs w:val="24"/>
        </w:rPr>
        <w:t xml:space="preserve">ional aid projects or R&amp;D&amp;I aid schemes under the GBER or notified energy and broadband schemes. These schemes account, in total, for over EUR 50 billion of annual State aid budget. The first evaluation report was submitted in January 2018.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w:t>
      </w:r>
      <w:r>
        <w:rPr>
          <w:rFonts w:ascii="Times New Roman" w:hAnsi="Times New Roman"/>
          <w:noProof/>
          <w:sz w:val="24"/>
          <w:szCs w:val="24"/>
        </w:rPr>
        <w:t xml:space="preserve"> services have continued to accompany the implementation of the evaluation requirement by publishing policy briefs</w:t>
      </w:r>
      <w:r>
        <w:rPr>
          <w:rFonts w:ascii="Times New Roman" w:hAnsi="Times New Roman"/>
          <w:noProof/>
          <w:sz w:val="24"/>
          <w:szCs w:val="24"/>
          <w:vertAlign w:val="superscript"/>
        </w:rPr>
        <w:footnoteReference w:id="98"/>
      </w:r>
      <w:r>
        <w:rPr>
          <w:rFonts w:ascii="Times New Roman" w:hAnsi="Times New Roman"/>
          <w:noProof/>
          <w:sz w:val="24"/>
          <w:szCs w:val="24"/>
          <w:vertAlign w:val="superscript"/>
        </w:rPr>
        <w:t xml:space="preserve"> </w:t>
      </w:r>
      <w:r>
        <w:rPr>
          <w:rFonts w:ascii="Times New Roman" w:hAnsi="Times New Roman"/>
          <w:noProof/>
          <w:sz w:val="24"/>
          <w:szCs w:val="24"/>
        </w:rPr>
        <w:t>and by organising dedicated workshops with Member States' representatives and evaluation experts. The current priorities of the Commission s</w:t>
      </w:r>
      <w:r>
        <w:rPr>
          <w:rFonts w:ascii="Times New Roman" w:hAnsi="Times New Roman"/>
          <w:noProof/>
          <w:sz w:val="24"/>
          <w:szCs w:val="24"/>
        </w:rPr>
        <w:t>ervices are: (i.) to enlarge the scope of the evaluation initiative to additional Member States, including through bilateral contacts; and (ii.) to prepare the ground for a comprehensive assessment of evaluation reports, both intermediate and final, to pro</w:t>
      </w:r>
      <w:r>
        <w:rPr>
          <w:rFonts w:ascii="Times New Roman" w:hAnsi="Times New Roman"/>
          <w:noProof/>
          <w:sz w:val="24"/>
          <w:szCs w:val="24"/>
        </w:rPr>
        <w:t>vide appropriate feedback to Member States and make sure that results are effectively used for better policy-making.</w:t>
      </w:r>
    </w:p>
    <w:p w:rsidR="00320198" w:rsidRDefault="005C0948">
      <w:pPr>
        <w:widowControl w:val="0"/>
        <w:jc w:val="both"/>
        <w:rPr>
          <w:rFonts w:ascii="Times New Roman" w:hAnsi="Times New Roman"/>
          <w:i/>
          <w:noProof/>
          <w:sz w:val="24"/>
          <w:szCs w:val="24"/>
        </w:rPr>
      </w:pPr>
      <w:r>
        <w:rPr>
          <w:rFonts w:ascii="Times New Roman" w:hAnsi="Times New Roman"/>
          <w:i/>
          <w:noProof/>
          <w:sz w:val="24"/>
          <w:szCs w:val="24"/>
        </w:rPr>
        <w:t xml:space="preserve">Aid for research, development and innovation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While one of the headline targets of the Europe 2020 Strategy</w:t>
      </w:r>
      <w:r>
        <w:rPr>
          <w:rFonts w:ascii="Times New Roman" w:hAnsi="Times New Roman"/>
          <w:noProof/>
          <w:sz w:val="24"/>
          <w:szCs w:val="24"/>
          <w:vertAlign w:val="superscript"/>
        </w:rPr>
        <w:footnoteReference w:id="99"/>
      </w:r>
      <w:r>
        <w:rPr>
          <w:rFonts w:ascii="Times New Roman" w:hAnsi="Times New Roman"/>
          <w:noProof/>
          <w:sz w:val="24"/>
          <w:szCs w:val="24"/>
        </w:rPr>
        <w:t xml:space="preserve"> is for Research, Development a</w:t>
      </w:r>
      <w:r>
        <w:rPr>
          <w:rFonts w:ascii="Times New Roman" w:hAnsi="Times New Roman"/>
          <w:noProof/>
          <w:sz w:val="24"/>
          <w:szCs w:val="24"/>
        </w:rPr>
        <w:t>nd Innovation (R&amp;D&amp;I) investments in the EU to reach 3% of EU GDP, R&amp;D&amp;I spending in the EU has been lagging behind major global competitors, mainly due to lower levels of private investment. To achieve the greatest possible impact with the available budge</w:t>
      </w:r>
      <w:r>
        <w:rPr>
          <w:rFonts w:ascii="Times New Roman" w:hAnsi="Times New Roman"/>
          <w:noProof/>
          <w:sz w:val="24"/>
          <w:szCs w:val="24"/>
        </w:rPr>
        <w:t>ts R&amp;D&amp;I aid measures should not replace or crowd out private financing. On the contrary, efforts should be directed at encouraging more private investments. The very purpose of R&amp;D&amp;I aid is that it should bring added value where markets and companies do n</w:t>
      </w:r>
      <w:r>
        <w:rPr>
          <w:rFonts w:ascii="Times New Roman" w:hAnsi="Times New Roman"/>
          <w:noProof/>
          <w:sz w:val="24"/>
          <w:szCs w:val="24"/>
        </w:rPr>
        <w:t xml:space="preserve">ot deliver the investments for promising but highly risky innovative projects.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Therefore, the State aid rules for R&amp;D&amp;I help ensure that public funding goes to research projects that would not otherwise be realised due to market failures, that is to say p</w:t>
      </w:r>
      <w:r>
        <w:rPr>
          <w:rFonts w:ascii="Times New Roman" w:hAnsi="Times New Roman"/>
          <w:noProof/>
          <w:sz w:val="24"/>
          <w:szCs w:val="24"/>
        </w:rPr>
        <w:t>rojects that truly go beyond the state of the art and which bring innovative products and services to the market and ultimately to consumers. The rules, using flexible and simple criteria for assessing the compatibility of State aid, facilitate the impleme</w:t>
      </w:r>
      <w:r>
        <w:rPr>
          <w:rFonts w:ascii="Times New Roman" w:hAnsi="Times New Roman"/>
          <w:noProof/>
          <w:sz w:val="24"/>
          <w:szCs w:val="24"/>
        </w:rPr>
        <w:t xml:space="preserve">ntation of support for R&amp;D&amp;I projects by Member States.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Commission ensured that aid schemes and individual measures notified or pre-notified under the R&amp;D&amp;I rules were well targeted to projects enabling ground-breaking research and innovation</w:t>
      </w:r>
      <w:r>
        <w:rPr>
          <w:rFonts w:ascii="Times New Roman" w:hAnsi="Times New Roman"/>
          <w:noProof/>
          <w:sz w:val="24"/>
          <w:szCs w:val="24"/>
        </w:rPr>
        <w:t xml:space="preserve"> activities. Its State aid control activities covered a variety of sectors including the automated/connected driving, e-mobility, aeronautic, space, microelectronic sectors as well as virtual research infrastructures and innovation clusters.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Moreover, in a</w:t>
      </w:r>
      <w:r>
        <w:rPr>
          <w:rFonts w:ascii="Times New Roman" w:hAnsi="Times New Roman"/>
          <w:noProof/>
          <w:sz w:val="24"/>
          <w:szCs w:val="24"/>
        </w:rPr>
        <w:t xml:space="preserve"> significant number cases the Commission cooperated with a number of Member States with a view to enabling them to adjust certain envisaged R&amp;D&amp;I measures and bring them in line with the GBER. This way, aid measures could be granted swiftly without having </w:t>
      </w:r>
      <w:r>
        <w:rPr>
          <w:rFonts w:ascii="Times New Roman" w:hAnsi="Times New Roman"/>
          <w:noProof/>
          <w:sz w:val="24"/>
          <w:szCs w:val="24"/>
        </w:rPr>
        <w:t>to be notified to the Commission, thereby speeding up public support for R&amp;D&amp;I. It is noteworthy that following the State Aid Modernisation in 2014, 95% of all R&amp;D&amp;I measures (70% in value terms) in the Union are implemented under the GBER.</w:t>
      </w:r>
    </w:p>
    <w:p w:rsidR="00320198" w:rsidRDefault="005C0948">
      <w:pPr>
        <w:keepNext/>
        <w:spacing w:before="200" w:after="0" w:line="240" w:lineRule="auto"/>
        <w:jc w:val="both"/>
        <w:rPr>
          <w:rFonts w:ascii="Times New Roman" w:eastAsiaTheme="minorHAnsi" w:hAnsi="Times New Roman"/>
          <w:i/>
          <w:noProof/>
          <w:sz w:val="24"/>
          <w:szCs w:val="24"/>
        </w:rPr>
      </w:pPr>
      <w:r>
        <w:rPr>
          <w:rFonts w:ascii="Times New Roman" w:eastAsiaTheme="minorHAnsi" w:hAnsi="Times New Roman"/>
          <w:i/>
          <w:noProof/>
          <w:sz w:val="24"/>
          <w:szCs w:val="24"/>
        </w:rPr>
        <w:t>Aid enabling Me</w:t>
      </w:r>
      <w:r>
        <w:rPr>
          <w:rFonts w:ascii="Times New Roman" w:eastAsiaTheme="minorHAnsi" w:hAnsi="Times New Roman"/>
          <w:i/>
          <w:noProof/>
          <w:sz w:val="24"/>
          <w:szCs w:val="24"/>
        </w:rPr>
        <w:t xml:space="preserve">mber States jointly to support important projects of common European interest </w:t>
      </w:r>
    </w:p>
    <w:p w:rsidR="00320198" w:rsidRDefault="005C0948">
      <w:pPr>
        <w:spacing w:before="200" w:after="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June 2014, the Commission adopted a Communication on Important Projects of Common European Interest (IPCEI)</w:t>
      </w:r>
      <w:r>
        <w:rPr>
          <w:rFonts w:ascii="Times New Roman" w:eastAsiaTheme="minorHAnsi" w:hAnsi="Times New Roman"/>
          <w:noProof/>
          <w:sz w:val="24"/>
          <w:szCs w:val="24"/>
          <w:vertAlign w:val="superscript"/>
        </w:rPr>
        <w:footnoteReference w:id="100"/>
      </w:r>
      <w:r>
        <w:rPr>
          <w:rFonts w:ascii="Times New Roman" w:eastAsiaTheme="minorHAnsi" w:hAnsi="Times New Roman"/>
          <w:noProof/>
          <w:sz w:val="24"/>
          <w:szCs w:val="24"/>
        </w:rPr>
        <w:t xml:space="preserve">, aiming to encourage Member States to support projects that make </w:t>
      </w:r>
      <w:r>
        <w:rPr>
          <w:rFonts w:ascii="Times New Roman" w:eastAsiaTheme="minorHAnsi" w:hAnsi="Times New Roman"/>
          <w:noProof/>
          <w:sz w:val="24"/>
          <w:szCs w:val="24"/>
        </w:rPr>
        <w:t>a clear contribution to economic growth, jobs and the competitiveness of Europe. The IPCEI framework complements other State aid rules such as the General Block Exemption Regulation</w:t>
      </w:r>
      <w:r>
        <w:rPr>
          <w:rFonts w:ascii="Times New Roman" w:eastAsiaTheme="minorHAnsi" w:hAnsi="Times New Roman"/>
          <w:noProof/>
          <w:sz w:val="24"/>
          <w:szCs w:val="24"/>
          <w:vertAlign w:val="superscript"/>
        </w:rPr>
        <w:footnoteReference w:id="101"/>
      </w:r>
      <w:r>
        <w:rPr>
          <w:rFonts w:ascii="Times New Roman" w:eastAsiaTheme="minorHAnsi" w:hAnsi="Times New Roman"/>
          <w:noProof/>
          <w:sz w:val="24"/>
          <w:szCs w:val="24"/>
        </w:rPr>
        <w:t xml:space="preserve"> and the Research, Development and Innovation Framework</w:t>
      </w:r>
      <w:r>
        <w:rPr>
          <w:rFonts w:ascii="Times New Roman" w:eastAsiaTheme="minorHAnsi" w:hAnsi="Times New Roman"/>
          <w:noProof/>
          <w:sz w:val="24"/>
          <w:szCs w:val="24"/>
          <w:vertAlign w:val="superscript"/>
        </w:rPr>
        <w:footnoteReference w:id="102"/>
      </w:r>
      <w:r>
        <w:rPr>
          <w:rFonts w:ascii="Times New Roman" w:eastAsiaTheme="minorHAnsi" w:hAnsi="Times New Roman"/>
          <w:noProof/>
          <w:sz w:val="24"/>
          <w:szCs w:val="24"/>
        </w:rPr>
        <w:t>, which allows sup</w:t>
      </w:r>
      <w:r>
        <w:rPr>
          <w:rFonts w:ascii="Times New Roman" w:eastAsiaTheme="minorHAnsi" w:hAnsi="Times New Roman"/>
          <w:noProof/>
          <w:sz w:val="24"/>
          <w:szCs w:val="24"/>
        </w:rPr>
        <w:t>porting innovative projects whilst ensuring that potential competition distortions are limited. The rules thus enable ground-breaking research and innovation and sharing of the results widely, whilst ensuring that the support by taxpayer money truly serves</w:t>
      </w:r>
      <w:r>
        <w:rPr>
          <w:rFonts w:ascii="Times New Roman" w:eastAsiaTheme="minorHAnsi" w:hAnsi="Times New Roman"/>
          <w:noProof/>
          <w:sz w:val="24"/>
          <w:szCs w:val="24"/>
        </w:rPr>
        <w:t xml:space="preserve"> European citizens.</w:t>
      </w:r>
    </w:p>
    <w:p w:rsidR="00320198" w:rsidRDefault="005C0948">
      <w:pPr>
        <w:spacing w:before="200" w:after="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December 2018, the Commission found that an integrated project jointly notified by France</w:t>
      </w:r>
      <w:r>
        <w:rPr>
          <w:rFonts w:ascii="Times New Roman" w:eastAsiaTheme="minorHAnsi" w:hAnsi="Times New Roman"/>
          <w:noProof/>
          <w:sz w:val="24"/>
          <w:szCs w:val="24"/>
          <w:vertAlign w:val="superscript"/>
        </w:rPr>
        <w:footnoteReference w:id="103"/>
      </w:r>
      <w:r>
        <w:rPr>
          <w:rFonts w:ascii="Times New Roman" w:eastAsiaTheme="minorHAnsi" w:hAnsi="Times New Roman"/>
          <w:noProof/>
          <w:sz w:val="24"/>
          <w:szCs w:val="24"/>
        </w:rPr>
        <w:t>, Germany</w:t>
      </w:r>
      <w:r>
        <w:rPr>
          <w:rFonts w:ascii="Times New Roman" w:eastAsiaTheme="minorHAnsi" w:hAnsi="Times New Roman"/>
          <w:noProof/>
          <w:sz w:val="24"/>
          <w:szCs w:val="24"/>
          <w:vertAlign w:val="superscript"/>
        </w:rPr>
        <w:footnoteReference w:id="104"/>
      </w:r>
      <w:r>
        <w:rPr>
          <w:rFonts w:ascii="Times New Roman" w:eastAsiaTheme="minorHAnsi" w:hAnsi="Times New Roman"/>
          <w:noProof/>
          <w:sz w:val="24"/>
          <w:szCs w:val="24"/>
        </w:rPr>
        <w:t>, Italy</w:t>
      </w:r>
      <w:r>
        <w:rPr>
          <w:rFonts w:ascii="Times New Roman" w:eastAsiaTheme="minorHAnsi" w:hAnsi="Times New Roman"/>
          <w:noProof/>
          <w:sz w:val="24"/>
          <w:szCs w:val="24"/>
          <w:vertAlign w:val="superscript"/>
        </w:rPr>
        <w:footnoteReference w:id="105"/>
      </w:r>
      <w:r>
        <w:rPr>
          <w:rFonts w:ascii="Times New Roman" w:eastAsiaTheme="minorHAnsi" w:hAnsi="Times New Roman"/>
          <w:noProof/>
          <w:sz w:val="24"/>
          <w:szCs w:val="24"/>
        </w:rPr>
        <w:t xml:space="preserve"> and the United Kingdom</w:t>
      </w:r>
      <w:r>
        <w:rPr>
          <w:rFonts w:ascii="Times New Roman" w:eastAsiaTheme="minorHAnsi" w:hAnsi="Times New Roman"/>
          <w:noProof/>
          <w:sz w:val="24"/>
          <w:szCs w:val="24"/>
          <w:vertAlign w:val="superscript"/>
        </w:rPr>
        <w:footnoteReference w:id="106"/>
      </w:r>
      <w:r>
        <w:rPr>
          <w:rFonts w:ascii="Times New Roman" w:eastAsiaTheme="minorHAnsi" w:hAnsi="Times New Roman"/>
          <w:noProof/>
          <w:sz w:val="24"/>
          <w:szCs w:val="24"/>
        </w:rPr>
        <w:t xml:space="preserve"> for research and innovation in microelectronics is in line with EU State aid rules and contributes t</w:t>
      </w:r>
      <w:r>
        <w:rPr>
          <w:rFonts w:ascii="Times New Roman" w:eastAsiaTheme="minorHAnsi" w:hAnsi="Times New Roman"/>
          <w:noProof/>
          <w:sz w:val="24"/>
          <w:szCs w:val="24"/>
        </w:rPr>
        <w:t>o a common European interest.</w:t>
      </w:r>
      <w:r>
        <w:rPr>
          <w:rFonts w:asciiTheme="minorHAnsi" w:eastAsiaTheme="minorHAnsi" w:hAnsiTheme="minorHAnsi" w:cstheme="minorBidi"/>
          <w:noProof/>
        </w:rPr>
        <w:t xml:space="preserve"> </w:t>
      </w:r>
      <w:r>
        <w:rPr>
          <w:rFonts w:ascii="Times New Roman" w:eastAsiaTheme="minorHAnsi" w:hAnsi="Times New Roman"/>
          <w:noProof/>
          <w:sz w:val="24"/>
          <w:szCs w:val="24"/>
        </w:rPr>
        <w:t>The Commission has identified micro- and nano-electronics as one of six Key Enabling Technologies deemed to be crucial for future industrial development.</w:t>
      </w:r>
      <w:r>
        <w:rPr>
          <w:rStyle w:val="FootnoteReference"/>
          <w:rFonts w:ascii="Times New Roman" w:eastAsiaTheme="minorHAnsi" w:hAnsi="Times New Roman"/>
          <w:noProof/>
          <w:sz w:val="24"/>
          <w:szCs w:val="24"/>
        </w:rPr>
        <w:footnoteReference w:id="107"/>
      </w:r>
    </w:p>
    <w:p w:rsidR="00320198" w:rsidRDefault="005C0948">
      <w:pPr>
        <w:spacing w:before="200" w:after="0" w:line="240" w:lineRule="auto"/>
        <w:jc w:val="both"/>
        <w:rPr>
          <w:rFonts w:ascii="Times New Roman" w:eastAsiaTheme="minorHAnsi" w:hAnsi="Times New Roman"/>
          <w:noProof/>
          <w:sz w:val="24"/>
          <w:szCs w:val="24"/>
        </w:rPr>
      </w:pPr>
      <w:r>
        <w:rPr>
          <w:rFonts w:ascii="Times New Roman" w:hAnsi="Times New Roman"/>
          <w:noProof/>
          <w:sz w:val="24"/>
          <w:szCs w:val="24"/>
        </w:rPr>
        <w:t xml:space="preserve">This first case in the area of R&amp;D&amp;I of an Important Project of Common </w:t>
      </w:r>
      <w:r>
        <w:rPr>
          <w:rFonts w:ascii="Times New Roman" w:hAnsi="Times New Roman"/>
          <w:noProof/>
          <w:sz w:val="24"/>
          <w:szCs w:val="24"/>
        </w:rPr>
        <w:t xml:space="preserve">European Interest (IPCEI) demonstrates that the instrument can deliver intra-EU R&amp;D&amp;I cooperation and coordination for Key Enabling Technologies, including investment into first industrial deployment. </w:t>
      </w:r>
    </w:p>
    <w:p w:rsidR="00320198" w:rsidRDefault="005C0948">
      <w:pPr>
        <w:spacing w:before="200" w:after="0" w:line="240" w:lineRule="auto"/>
        <w:jc w:val="both"/>
        <w:rPr>
          <w:rFonts w:ascii="Times New Roman" w:eastAsiaTheme="minorHAnsi" w:hAnsi="Times New Roman"/>
          <w:noProof/>
          <w:sz w:val="24"/>
          <w:szCs w:val="24"/>
        </w:rPr>
      </w:pPr>
      <w:r>
        <w:rPr>
          <w:rFonts w:ascii="Times New Roman" w:hAnsi="Times New Roman"/>
          <w:noProof/>
          <w:sz w:val="24"/>
        </w:rPr>
        <w:t>During 2018, in line with the Commission's battery all</w:t>
      </w:r>
      <w:r>
        <w:rPr>
          <w:rFonts w:ascii="Times New Roman" w:hAnsi="Times New Roman"/>
          <w:noProof/>
          <w:sz w:val="24"/>
        </w:rPr>
        <w:t>iance initiative, discussions with a group of Member States and companies for a possible important project of common European interest (IPCEI) in the area of batteries for e-mobility and energy storage have intensified. This is in line with the Commission'</w:t>
      </w:r>
      <w:r>
        <w:rPr>
          <w:rFonts w:ascii="Times New Roman" w:hAnsi="Times New Roman"/>
          <w:noProof/>
          <w:sz w:val="24"/>
        </w:rPr>
        <w:t>s policy for a shift from the use of environmentally harmful fossil fuels to alternative fuel technologies.</w:t>
      </w:r>
    </w:p>
    <w:p w:rsidR="00320198" w:rsidRDefault="005C0948">
      <w:pPr>
        <w:widowControl w:val="0"/>
        <w:spacing w:before="200" w:line="240" w:lineRule="auto"/>
        <w:jc w:val="both"/>
        <w:rPr>
          <w:rFonts w:ascii="Times New Roman" w:hAnsi="Times New Roman"/>
          <w:i/>
          <w:noProof/>
          <w:sz w:val="24"/>
          <w:szCs w:val="24"/>
        </w:rPr>
      </w:pPr>
      <w:r>
        <w:rPr>
          <w:rFonts w:ascii="Times New Roman" w:hAnsi="Times New Roman"/>
          <w:i/>
          <w:noProof/>
          <w:sz w:val="24"/>
          <w:szCs w:val="24"/>
        </w:rPr>
        <w:t xml:space="preserve">Regional aid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Regional aid is an important instrument in the EU toolbox to promote greater economic and social cohesion. The 2014-2020 regional aid </w:t>
      </w:r>
      <w:r>
        <w:rPr>
          <w:rFonts w:ascii="Times New Roman" w:hAnsi="Times New Roman"/>
          <w:noProof/>
          <w:sz w:val="24"/>
          <w:szCs w:val="24"/>
        </w:rPr>
        <w:t>framework is in place since July 2014.</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2018, the Commission continued advising Member States' authorities on how to interpret and implement the regional aid provisions of the GBER, thus helping them to make a success of the reforms introduced under SAM </w:t>
      </w:r>
      <w:r>
        <w:rPr>
          <w:rFonts w:ascii="Times New Roman" w:hAnsi="Times New Roman"/>
          <w:noProof/>
          <w:sz w:val="24"/>
          <w:szCs w:val="24"/>
        </w:rPr>
        <w:t>to the benefit of both consumers and businesses.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2018, the Commission adopted a decision under the Regional Aid Guidelines for 2014-2020 approving a regional investment aid for a large investment project to </w:t>
      </w:r>
      <w:r>
        <w:rPr>
          <w:rFonts w:ascii="Times New Roman" w:hAnsi="Times New Roman"/>
          <w:i/>
          <w:noProof/>
          <w:sz w:val="24"/>
          <w:szCs w:val="24"/>
        </w:rPr>
        <w:t>BorsodChem</w:t>
      </w:r>
      <w:r>
        <w:rPr>
          <w:rFonts w:ascii="Times New Roman" w:hAnsi="Times New Roman"/>
          <w:noProof/>
          <w:sz w:val="24"/>
          <w:szCs w:val="24"/>
        </w:rPr>
        <w:t>.</w:t>
      </w:r>
      <w:r>
        <w:rPr>
          <w:rFonts w:ascii="Times New Roman" w:hAnsi="Times New Roman"/>
          <w:noProof/>
          <w:sz w:val="24"/>
          <w:szCs w:val="24"/>
          <w:vertAlign w:val="superscript"/>
        </w:rPr>
        <w:t xml:space="preserve"> </w:t>
      </w:r>
      <w:r>
        <w:rPr>
          <w:rFonts w:ascii="Times New Roman" w:hAnsi="Times New Roman"/>
          <w:noProof/>
          <w:sz w:val="24"/>
          <w:szCs w:val="24"/>
          <w:vertAlign w:val="superscript"/>
        </w:rPr>
        <w:footnoteReference w:id="108"/>
      </w:r>
      <w:r>
        <w:rPr>
          <w:rFonts w:ascii="Times New Roman" w:hAnsi="Times New Roman"/>
          <w:noProof/>
          <w:sz w:val="24"/>
          <w:szCs w:val="24"/>
        </w:rPr>
        <w:t xml:space="preserve"> The investment has the objective</w:t>
      </w:r>
      <w:r>
        <w:rPr>
          <w:rFonts w:ascii="Times New Roman" w:hAnsi="Times New Roman"/>
          <w:noProof/>
          <w:sz w:val="24"/>
          <w:szCs w:val="24"/>
        </w:rPr>
        <w:t xml:space="preserve"> to increase the vertical integration of BorsodChem’s existing Hungarian methylene diphenyl diisosyanate (MDI) manufacturing plant in Kazincbarcika by adding a facility for the production of aniline.The Commission found that without the public funding, the</w:t>
      </w:r>
      <w:r>
        <w:rPr>
          <w:rFonts w:ascii="Times New Roman" w:hAnsi="Times New Roman"/>
          <w:noProof/>
          <w:sz w:val="24"/>
          <w:szCs w:val="24"/>
        </w:rPr>
        <w:t xml:space="preserve"> project would not have been carried out in Hungary or another EU Member State, as it would be cheaper for the beneficiary to continue importing aniline from existing production plants outside EU. The investment project contributes to the economic developm</w:t>
      </w:r>
      <w:r>
        <w:rPr>
          <w:rFonts w:ascii="Times New Roman" w:hAnsi="Times New Roman"/>
          <w:noProof/>
          <w:sz w:val="24"/>
          <w:szCs w:val="24"/>
        </w:rPr>
        <w:t xml:space="preserve">ent of a disadvantaged region and creates direct jobs. It also leads to the reduction of environmental risks associated with long distance transportation of aniline which is a toxic material.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Commission also adopted a positive decision on regional investment aid to </w:t>
      </w:r>
      <w:r>
        <w:rPr>
          <w:rFonts w:ascii="Times New Roman" w:hAnsi="Times New Roman"/>
          <w:i/>
          <w:noProof/>
          <w:sz w:val="24"/>
          <w:szCs w:val="24"/>
        </w:rPr>
        <w:t>Jaguar Land Rover</w:t>
      </w:r>
      <w:r>
        <w:rPr>
          <w:rFonts w:ascii="Times New Roman" w:hAnsi="Times New Roman"/>
          <w:noProof/>
          <w:sz w:val="24"/>
          <w:szCs w:val="24"/>
          <w:vertAlign w:val="superscript"/>
        </w:rPr>
        <w:footnoteReference w:id="109"/>
      </w:r>
      <w:r>
        <w:rPr>
          <w:rFonts w:ascii="Times New Roman" w:hAnsi="Times New Roman"/>
          <w:i/>
          <w:noProof/>
          <w:sz w:val="24"/>
          <w:szCs w:val="24"/>
        </w:rPr>
        <w:t xml:space="preserve"> </w:t>
      </w:r>
      <w:r>
        <w:rPr>
          <w:rFonts w:ascii="Times New Roman" w:hAnsi="Times New Roman"/>
          <w:noProof/>
          <w:sz w:val="24"/>
          <w:szCs w:val="24"/>
        </w:rPr>
        <w:t>in Slovakia (car manufacturing). The Commission's formal investigation established that without the investment aid, the project would not have been carried out</w:t>
      </w:r>
      <w:r>
        <w:rPr>
          <w:rFonts w:ascii="Times New Roman" w:hAnsi="Times New Roman"/>
          <w:noProof/>
          <w:sz w:val="24"/>
          <w:szCs w:val="24"/>
        </w:rPr>
        <w:t xml:space="preserve"> in Europe. It also showed that the aid was limited to the minimum necessary to trigger the decision by Jaguar Land Rover to carry out the investment in Slovakia. The Commission found that the investment aid contributes to job creation as well as to the ec</w:t>
      </w:r>
      <w:r>
        <w:rPr>
          <w:rFonts w:ascii="Times New Roman" w:hAnsi="Times New Roman"/>
          <w:noProof/>
          <w:sz w:val="24"/>
          <w:szCs w:val="24"/>
        </w:rPr>
        <w:t>onomic development and to the competitiveness of a disadvantaged region. Finally, the Commission established, after a careful examination of all facts, that there was no causal link between the aid granted by Slovakia and the closure of activities elsewher</w:t>
      </w:r>
      <w:r>
        <w:rPr>
          <w:rFonts w:ascii="Times New Roman" w:hAnsi="Times New Roman"/>
          <w:noProof/>
          <w:sz w:val="24"/>
          <w:szCs w:val="24"/>
        </w:rPr>
        <w:t>e in Europe.</w:t>
      </w:r>
      <w:r>
        <w:rPr>
          <w:noProof/>
        </w:rPr>
        <w:t xml:space="preserve"> </w:t>
      </w:r>
      <w:r>
        <w:rPr>
          <w:rFonts w:ascii="Times New Roman" w:hAnsi="Times New Roman"/>
          <w:noProof/>
          <w:sz w:val="24"/>
          <w:szCs w:val="24"/>
        </w:rPr>
        <w:t xml:space="preserve"> Therefore, the positive effects of the project on regional development clearly outweigh any distortion of competition brought about by the State aid. The Commission also found that certain infrastructure measures financed by the Slovak state </w:t>
      </w:r>
      <w:r>
        <w:rPr>
          <w:rFonts w:ascii="Times New Roman" w:hAnsi="Times New Roman"/>
          <w:noProof/>
          <w:sz w:val="24"/>
          <w:szCs w:val="24"/>
        </w:rPr>
        <w:t xml:space="preserve">and carried out to develop the industrial estate where the new Jaguar Land Rover plant is located will not only benefit Jaguar Land Rover, but also all other companies located in the industrial estate and more generally in the Nitra region. These measures </w:t>
      </w:r>
      <w:r>
        <w:rPr>
          <w:rFonts w:ascii="Times New Roman" w:hAnsi="Times New Roman"/>
          <w:noProof/>
          <w:sz w:val="24"/>
          <w:szCs w:val="24"/>
        </w:rPr>
        <w:t>should for that reason not qualify as State aid. Finally, the Commission found that the transfer by the Slovak state to Jaguar Land Rover of the land plot, where the car plant is being built, was carried out at market price.</w:t>
      </w:r>
    </w:p>
    <w:p w:rsidR="00320198" w:rsidRDefault="005C0948">
      <w:pPr>
        <w:autoSpaceDE w:val="0"/>
        <w:autoSpaceDN w:val="0"/>
        <w:adjustRightInd w:val="0"/>
        <w:spacing w:after="240" w:line="240" w:lineRule="auto"/>
        <w:jc w:val="both"/>
        <w:rPr>
          <w:rFonts w:ascii="Times New Roman" w:hAnsi="Times New Roman"/>
          <w:noProof/>
          <w:sz w:val="24"/>
          <w:szCs w:val="24"/>
        </w:rPr>
      </w:pPr>
      <w:r>
        <w:rPr>
          <w:rFonts w:ascii="Times New Roman" w:eastAsia="Times New Roman" w:hAnsi="Times New Roman"/>
          <w:noProof/>
          <w:color w:val="000000"/>
          <w:sz w:val="24"/>
          <w:szCs w:val="24"/>
        </w:rPr>
        <w:t>Finally, the Commission adopted</w:t>
      </w:r>
      <w:r>
        <w:rPr>
          <w:rFonts w:ascii="Times New Roman" w:eastAsia="Times New Roman" w:hAnsi="Times New Roman"/>
          <w:noProof/>
          <w:color w:val="000000"/>
          <w:sz w:val="24"/>
          <w:szCs w:val="24"/>
        </w:rPr>
        <w:t xml:space="preserve"> two decisions approving evaluation plans relating to regional aid schemes </w:t>
      </w:r>
      <w:r>
        <w:rPr>
          <w:rFonts w:ascii="Times New Roman" w:eastAsiaTheme="minorHAnsi" w:hAnsi="Times New Roman"/>
          <w:noProof/>
          <w:color w:val="000000"/>
          <w:sz w:val="24"/>
          <w:szCs w:val="24"/>
        </w:rPr>
        <w:t>for Hungary (</w:t>
      </w:r>
      <w:r>
        <w:rPr>
          <w:rFonts w:ascii="Times New Roman" w:eastAsiaTheme="minorHAnsi" w:hAnsi="Times New Roman"/>
          <w:i/>
          <w:noProof/>
          <w:color w:val="000000"/>
          <w:sz w:val="24"/>
          <w:szCs w:val="24"/>
        </w:rPr>
        <w:t>'Investment incentives</w:t>
      </w:r>
      <w:r>
        <w:rPr>
          <w:rFonts w:ascii="Times New Roman" w:eastAsiaTheme="minorHAnsi" w:hAnsi="Times New Roman"/>
          <w:noProof/>
          <w:color w:val="000000"/>
          <w:sz w:val="24"/>
          <w:szCs w:val="24"/>
        </w:rPr>
        <w:t>')</w:t>
      </w:r>
      <w:r>
        <w:rPr>
          <w:rFonts w:ascii="Times New Roman" w:eastAsiaTheme="minorHAnsi" w:hAnsi="Times New Roman"/>
          <w:noProof/>
          <w:color w:val="000000"/>
          <w:sz w:val="24"/>
          <w:szCs w:val="24"/>
          <w:vertAlign w:val="superscript"/>
        </w:rPr>
        <w:footnoteReference w:id="110"/>
      </w:r>
      <w:r>
        <w:rPr>
          <w:rFonts w:ascii="Times New Roman" w:eastAsiaTheme="minorHAnsi" w:hAnsi="Times New Roman"/>
          <w:noProof/>
          <w:color w:val="000000"/>
          <w:sz w:val="24"/>
          <w:szCs w:val="24"/>
        </w:rPr>
        <w:t xml:space="preserve"> and for Greece (</w:t>
      </w:r>
      <w:r>
        <w:rPr>
          <w:rFonts w:ascii="Times New Roman" w:eastAsiaTheme="minorHAnsi" w:hAnsi="Times New Roman"/>
          <w:i/>
          <w:noProof/>
          <w:color w:val="000000"/>
          <w:sz w:val="24"/>
          <w:szCs w:val="24"/>
        </w:rPr>
        <w:t>'General Entrepreneurship' scheme</w:t>
      </w:r>
      <w:r>
        <w:rPr>
          <w:rFonts w:ascii="Times New Roman" w:eastAsiaTheme="minorHAnsi" w:hAnsi="Times New Roman"/>
          <w:noProof/>
          <w:color w:val="000000"/>
          <w:sz w:val="24"/>
          <w:szCs w:val="24"/>
          <w:vertAlign w:val="superscript"/>
        </w:rPr>
        <w:footnoteReference w:id="111"/>
      </w:r>
      <w:r>
        <w:rPr>
          <w:rFonts w:ascii="Times New Roman" w:eastAsiaTheme="minorHAnsi" w:hAnsi="Times New Roman"/>
          <w:noProof/>
          <w:color w:val="000000"/>
          <w:sz w:val="24"/>
          <w:szCs w:val="24"/>
        </w:rPr>
        <w:t>). The first decision concerns the evaluation plan of an investment aid scheme intended to a</w:t>
      </w:r>
      <w:r>
        <w:rPr>
          <w:rFonts w:ascii="Times New Roman" w:eastAsiaTheme="minorHAnsi" w:hAnsi="Times New Roman"/>
          <w:noProof/>
          <w:color w:val="000000"/>
          <w:sz w:val="24"/>
          <w:szCs w:val="24"/>
        </w:rPr>
        <w:t>ddress the low level of employment and investment in Central Hungary's “c” areas and in the less developed regions of Hungary ("a" regions). It also aims to facilitate the development of new technical and technological solutions, facilitate the development</w:t>
      </w:r>
      <w:r>
        <w:rPr>
          <w:rFonts w:ascii="Times New Roman" w:eastAsiaTheme="minorHAnsi" w:hAnsi="Times New Roman"/>
          <w:noProof/>
          <w:color w:val="000000"/>
          <w:sz w:val="24"/>
          <w:szCs w:val="24"/>
        </w:rPr>
        <w:t xml:space="preserve"> of exports and increase the competitiveness of products manufactured and services provided in compliance with the GBER. The second Commission decision concerns the evaluation plan of a regional aid scheme aiming to boost the economy and increase of employ</w:t>
      </w:r>
      <w:r>
        <w:rPr>
          <w:rFonts w:ascii="Times New Roman" w:eastAsiaTheme="minorHAnsi" w:hAnsi="Times New Roman"/>
          <w:noProof/>
          <w:color w:val="000000"/>
          <w:sz w:val="24"/>
          <w:szCs w:val="24"/>
        </w:rPr>
        <w:t>ment in Greece. The aid is directed towards enterprises of all sizes in all regions and to manufacturing and internationally traded services and products allowed by the GBER.</w:t>
      </w:r>
    </w:p>
    <w:p w:rsidR="00320198" w:rsidRDefault="005C0948">
      <w:pPr>
        <w:autoSpaceDE w:val="0"/>
        <w:autoSpaceDN w:val="0"/>
        <w:adjustRightInd w:val="0"/>
        <w:spacing w:line="240" w:lineRule="auto"/>
        <w:jc w:val="both"/>
        <w:rPr>
          <w:rFonts w:ascii="Times New Roman" w:eastAsia="Times New Roman" w:hAnsi="Times New Roman"/>
          <w:i/>
          <w:noProof/>
          <w:color w:val="000000"/>
          <w:sz w:val="24"/>
          <w:szCs w:val="24"/>
        </w:rPr>
      </w:pPr>
      <w:r>
        <w:rPr>
          <w:rFonts w:ascii="Times New Roman" w:eastAsia="Times New Roman" w:hAnsi="Times New Roman"/>
          <w:i/>
          <w:noProof/>
          <w:color w:val="000000"/>
          <w:sz w:val="24"/>
          <w:szCs w:val="24"/>
        </w:rPr>
        <w:t>Disaster aid (promotion of economic development in areas affected by a natural di</w:t>
      </w:r>
      <w:r>
        <w:rPr>
          <w:rFonts w:ascii="Times New Roman" w:eastAsia="Times New Roman" w:hAnsi="Times New Roman"/>
          <w:i/>
          <w:noProof/>
          <w:color w:val="000000"/>
          <w:sz w:val="24"/>
          <w:szCs w:val="24"/>
        </w:rPr>
        <w:t>saster of an exceptional nature)</w:t>
      </w:r>
    </w:p>
    <w:p w:rsidR="00320198" w:rsidRDefault="005C0948">
      <w:pPr>
        <w:autoSpaceDE w:val="0"/>
        <w:autoSpaceDN w:val="0"/>
        <w:adjustRightInd w:val="0"/>
        <w:spacing w:after="0" w:line="240" w:lineRule="auto"/>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In 2018, the Commission approved under Article 107(3)(c) TFEU an Italian aid scheme to support investments in regions affected by earthquakes in 2016 and 2017.</w:t>
      </w:r>
      <w:r>
        <w:rPr>
          <w:rFonts w:ascii="Times New Roman" w:eastAsiaTheme="minorHAnsi" w:hAnsi="Times New Roman"/>
          <w:noProof/>
          <w:color w:val="000000"/>
          <w:sz w:val="24"/>
          <w:szCs w:val="24"/>
          <w:vertAlign w:val="superscript"/>
        </w:rPr>
        <w:footnoteReference w:id="112"/>
      </w:r>
      <w:r>
        <w:rPr>
          <w:rFonts w:ascii="Times New Roman" w:eastAsiaTheme="minorHAnsi" w:hAnsi="Times New Roman"/>
          <w:noProof/>
          <w:color w:val="000000"/>
          <w:sz w:val="24"/>
          <w:szCs w:val="24"/>
        </w:rPr>
        <w:t xml:space="preserve"> The notified aid scheme aims at mitigating the economic and so</w:t>
      </w:r>
      <w:r>
        <w:rPr>
          <w:rFonts w:ascii="Times New Roman" w:eastAsiaTheme="minorHAnsi" w:hAnsi="Times New Roman"/>
          <w:noProof/>
          <w:color w:val="000000"/>
          <w:sz w:val="24"/>
          <w:szCs w:val="24"/>
        </w:rPr>
        <w:t xml:space="preserve">cial damages in central Italy which have been affected by abnormal seismic activity. </w:t>
      </w:r>
      <w:r>
        <w:rPr>
          <w:rFonts w:ascii="Times New Roman" w:eastAsia="Times New Roman" w:hAnsi="Times New Roman"/>
          <w:noProof/>
          <w:color w:val="000000"/>
          <w:sz w:val="24"/>
          <w:szCs w:val="24"/>
        </w:rPr>
        <w:t>The aid takes the form of a tax credit for all companies making initial investments in the area. Support to large companies is limited to aid for setting up a new company,</w:t>
      </w:r>
      <w:r>
        <w:rPr>
          <w:rFonts w:ascii="Times New Roman" w:eastAsia="Times New Roman" w:hAnsi="Times New Roman"/>
          <w:noProof/>
          <w:color w:val="000000"/>
          <w:sz w:val="24"/>
          <w:szCs w:val="24"/>
        </w:rPr>
        <w:t xml:space="preserve"> diversifying a company's activity or acquiring the assets of a company that has closed down.</w:t>
      </w:r>
      <w:r>
        <w:rPr>
          <w:rFonts w:ascii="Times New Roman" w:eastAsiaTheme="minorHAnsi" w:hAnsi="Times New Roman"/>
          <w:noProof/>
          <w:color w:val="000000"/>
          <w:sz w:val="24"/>
          <w:szCs w:val="24"/>
        </w:rPr>
        <w:t xml:space="preserve"> </w:t>
      </w:r>
      <w:r>
        <w:rPr>
          <w:rFonts w:ascii="Times New Roman" w:eastAsia="Times New Roman" w:hAnsi="Times New Roman"/>
          <w:noProof/>
          <w:color w:val="000000"/>
          <w:sz w:val="24"/>
          <w:szCs w:val="24"/>
        </w:rPr>
        <w:t xml:space="preserve">The Commission found that the aid scheme contributes in a proportionate manner to the promotion of economic development and recovery in areas affected by a </w:t>
      </w:r>
      <w:r>
        <w:rPr>
          <w:rFonts w:ascii="Times New Roman" w:eastAsia="Times New Roman" w:hAnsi="Times New Roman"/>
          <w:noProof/>
          <w:color w:val="000000"/>
          <w:sz w:val="24"/>
          <w:szCs w:val="24"/>
        </w:rPr>
        <w:t>natural disaster of an exceptional nature.</w:t>
      </w:r>
    </w:p>
    <w:p w:rsidR="00320198" w:rsidRDefault="00320198">
      <w:pPr>
        <w:autoSpaceDE w:val="0"/>
        <w:autoSpaceDN w:val="0"/>
        <w:adjustRightInd w:val="0"/>
        <w:spacing w:after="0"/>
        <w:jc w:val="both"/>
        <w:rPr>
          <w:rFonts w:ascii="Times New Roman" w:eastAsiaTheme="minorHAnsi" w:hAnsi="Times New Roman"/>
          <w:noProof/>
          <w:color w:val="000000"/>
          <w:sz w:val="24"/>
          <w:szCs w:val="24"/>
        </w:rPr>
      </w:pPr>
    </w:p>
    <w:p w:rsidR="00320198" w:rsidRDefault="005C0948">
      <w:pPr>
        <w:widowControl w:val="0"/>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Aid to risk finance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SMEs across the EU remain heavily dependent on traditional bank lending, which is still limited by banks' refinancing capacity, risk appetite and capital adequacy. The financial crisis has ex</w:t>
      </w:r>
      <w:r>
        <w:rPr>
          <w:rFonts w:ascii="Times New Roman" w:hAnsi="Times New Roman"/>
          <w:noProof/>
          <w:sz w:val="24"/>
          <w:szCs w:val="24"/>
        </w:rPr>
        <w:t xml:space="preserve">acerbated the problem with a large number of SMEs still being unable to receive the necessary finance in recent years. Given the pivotal importance of SMEs and midcaps for the whole EU economy, the situation has a significant negative impact on growth and </w:t>
      </w:r>
      <w:r>
        <w:rPr>
          <w:rFonts w:ascii="Times New Roman" w:hAnsi="Times New Roman"/>
          <w:noProof/>
          <w:sz w:val="24"/>
          <w:szCs w:val="24"/>
        </w:rPr>
        <w:t>job creation. The current Risk Finance rules aim to offer better incentives for private sector investors - including institutional ones – to increase their funding activities in the critical area of SME and midcaps financing. The rules also mirror other EU</w:t>
      </w:r>
      <w:r>
        <w:rPr>
          <w:rFonts w:ascii="Times New Roman" w:hAnsi="Times New Roman"/>
          <w:noProof/>
          <w:sz w:val="24"/>
          <w:szCs w:val="24"/>
        </w:rPr>
        <w:t xml:space="preserve"> initiatives designed to promote wider use of financial instruments in the context of new support programmes such as Horizon 2020 or COSME (the Programme for the Competitiveness of Enterprise and SMEs).</w:t>
      </w:r>
      <w:r>
        <w:rPr>
          <w:rFonts w:ascii="Times New Roman" w:hAnsi="Times New Roman"/>
          <w:noProof/>
          <w:sz w:val="24"/>
          <w:szCs w:val="24"/>
          <w:vertAlign w:val="superscript"/>
        </w:rPr>
        <w:footnoteReference w:id="113"/>
      </w:r>
    </w:p>
    <w:p w:rsidR="00320198" w:rsidRDefault="005C0948">
      <w:pPr>
        <w:widowControl w:val="0"/>
        <w:spacing w:line="240" w:lineRule="auto"/>
        <w:jc w:val="both"/>
        <w:rPr>
          <w:rFonts w:ascii="Times New Roman" w:hAnsi="Times New Roman"/>
          <w:b/>
          <w:noProof/>
          <w:sz w:val="20"/>
          <w:szCs w:val="20"/>
        </w:rPr>
      </w:pPr>
      <w:r>
        <w:rPr>
          <w:rFonts w:ascii="Times New Roman" w:hAnsi="Times New Roman"/>
          <w:noProof/>
          <w:sz w:val="24"/>
          <w:szCs w:val="24"/>
        </w:rPr>
        <w:t>The current Risk Finance Guidelines</w:t>
      </w:r>
      <w:r>
        <w:rPr>
          <w:rFonts w:ascii="Times New Roman" w:hAnsi="Times New Roman"/>
          <w:noProof/>
          <w:sz w:val="24"/>
          <w:szCs w:val="24"/>
          <w:vertAlign w:val="superscript"/>
        </w:rPr>
        <w:footnoteReference w:id="114"/>
      </w:r>
      <w:r>
        <w:rPr>
          <w:rFonts w:ascii="Times New Roman" w:hAnsi="Times New Roman"/>
          <w:noProof/>
          <w:sz w:val="24"/>
          <w:szCs w:val="24"/>
        </w:rPr>
        <w:t xml:space="preserve"> and the corresp</w:t>
      </w:r>
      <w:r>
        <w:rPr>
          <w:rFonts w:ascii="Times New Roman" w:hAnsi="Times New Roman"/>
          <w:noProof/>
          <w:sz w:val="24"/>
          <w:szCs w:val="24"/>
        </w:rPr>
        <w:t>onding parts of the GBER, provide the framework for seamless support for new ventures from their creation to their development into global players. The aim is to help new ventures to get past the critical stages where private financing is either unavailabl</w:t>
      </w:r>
      <w:r>
        <w:rPr>
          <w:rFonts w:ascii="Times New Roman" w:hAnsi="Times New Roman"/>
          <w:noProof/>
          <w:sz w:val="24"/>
          <w:szCs w:val="24"/>
        </w:rPr>
        <w:t>e or not available in the necessary amount or form.</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szCs w:val="20"/>
        </w:rPr>
        <w:t>Aid measures encouraging investment and innovation in SMEs</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In 2018, under the Risk Finance Guidelines, the Commission dealt with notified schemes aimed at encouraging investment in innovative SMEs and mid</w:t>
      </w:r>
      <w:r>
        <w:rPr>
          <w:rFonts w:ascii="Times New Roman" w:hAnsi="Times New Roman"/>
          <w:noProof/>
          <w:sz w:val="20"/>
          <w:szCs w:val="20"/>
        </w:rPr>
        <w:t xml:space="preserve">caps. In particular, it approved the prolongation of an amended scheme in Italy granting fiscal incentives for investments in innovative start-ups. </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Moreover, the Commission cooperated with a number of Member States with a view to enable them to adjust cer</w:t>
      </w:r>
      <w:r>
        <w:rPr>
          <w:rFonts w:ascii="Times New Roman" w:hAnsi="Times New Roman"/>
          <w:noProof/>
          <w:sz w:val="20"/>
          <w:szCs w:val="20"/>
        </w:rPr>
        <w:t xml:space="preserve">tain envisaged risk finance measures and bring them in line with the current GBER. This way, aid measures could be granted swiftly without having to be notified to the Commission, thereby speeding up public support to innovative SMEs. </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In all these cases, </w:t>
      </w:r>
      <w:r>
        <w:rPr>
          <w:rFonts w:ascii="Times New Roman" w:hAnsi="Times New Roman"/>
          <w:noProof/>
          <w:sz w:val="20"/>
          <w:szCs w:val="20"/>
        </w:rPr>
        <w:t>the Commission took the view that the measures at issue covered a real gap in the market, and worked together with the Member States on solutions to limit the impact on competition in the single market. In particular, the Commission considered that the ris</w:t>
      </w:r>
      <w:r>
        <w:rPr>
          <w:rFonts w:ascii="Times New Roman" w:hAnsi="Times New Roman"/>
          <w:noProof/>
          <w:sz w:val="20"/>
          <w:szCs w:val="20"/>
        </w:rPr>
        <w:t>ks inherent to the activities of these young firms and innovative companies (that is to say products/technologies not yet proven to be economically viable) and the lack of financial guarantees limited their capacity to access funding and that the aid was n</w:t>
      </w:r>
      <w:r>
        <w:rPr>
          <w:rFonts w:ascii="Times New Roman" w:hAnsi="Times New Roman"/>
          <w:noProof/>
          <w:sz w:val="20"/>
          <w:szCs w:val="20"/>
        </w:rPr>
        <w:t>ecessary to stimulate investment that, if unprompted, would not have been provided by the market.</w:t>
      </w:r>
    </w:p>
    <w:p w:rsidR="00320198" w:rsidRDefault="005C0948">
      <w:pPr>
        <w:widowControl w:val="0"/>
        <w:spacing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Infrastructure</w:t>
      </w:r>
    </w:p>
    <w:p w:rsidR="00320198" w:rsidRDefault="005C0948">
      <w:pPr>
        <w:widowControl w:val="0"/>
        <w:spacing w:line="240" w:lineRule="auto"/>
        <w:jc w:val="both"/>
        <w:rPr>
          <w:rFonts w:ascii="Times New Roman" w:eastAsia="Times New Roman" w:hAnsi="Times New Roman"/>
          <w:i/>
          <w:noProof/>
          <w:sz w:val="24"/>
          <w:szCs w:val="24"/>
        </w:rPr>
      </w:pPr>
      <w:r>
        <w:rPr>
          <w:rFonts w:ascii="Times New Roman" w:hAnsi="Times New Roman"/>
          <w:noProof/>
          <w:sz w:val="24"/>
          <w:szCs w:val="24"/>
        </w:rPr>
        <w:t>In 2018, the Commission continued providing guidance to the Member States' authorities by using analytical grids on the application of State ai</w:t>
      </w:r>
      <w:r>
        <w:rPr>
          <w:rFonts w:ascii="Times New Roman" w:hAnsi="Times New Roman"/>
          <w:noProof/>
          <w:sz w:val="24"/>
          <w:szCs w:val="24"/>
        </w:rPr>
        <w:t xml:space="preserve">d rules to the public financing of infrastructure projects. The applicable provisions were revised </w:t>
      </w:r>
      <w:r>
        <w:rPr>
          <w:rFonts w:ascii="Times New Roman" w:eastAsia="Times New Roman" w:hAnsi="Times New Roman"/>
          <w:noProof/>
          <w:sz w:val="24"/>
          <w:szCs w:val="24"/>
        </w:rPr>
        <w:t>in the light of the adoption of the Commission Notice on the notion of State aid in 2016,</w:t>
      </w:r>
      <w:r>
        <w:rPr>
          <w:rFonts w:ascii="Times New Roman" w:eastAsia="Times New Roman" w:hAnsi="Times New Roman"/>
          <w:noProof/>
          <w:sz w:val="24"/>
          <w:szCs w:val="24"/>
          <w:vertAlign w:val="superscript"/>
        </w:rPr>
        <w:footnoteReference w:id="115"/>
      </w:r>
      <w:r>
        <w:rPr>
          <w:rFonts w:ascii="Times New Roman" w:eastAsia="Times New Roman" w:hAnsi="Times New Roman"/>
          <w:noProof/>
          <w:sz w:val="24"/>
          <w:szCs w:val="24"/>
        </w:rPr>
        <w:t xml:space="preserve"> and the adoption of the revised GBER in 2017.</w:t>
      </w:r>
      <w:r>
        <w:rPr>
          <w:rFonts w:ascii="Times New Roman" w:eastAsia="Times New Roman" w:hAnsi="Times New Roman"/>
          <w:noProof/>
          <w:sz w:val="24"/>
          <w:szCs w:val="24"/>
          <w:vertAlign w:val="superscript"/>
        </w:rPr>
        <w:footnoteReference w:id="116"/>
      </w:r>
      <w:r>
        <w:rPr>
          <w:rFonts w:ascii="Times New Roman" w:eastAsia="Times New Roman" w:hAnsi="Times New Roman"/>
          <w:noProof/>
          <w:sz w:val="24"/>
          <w:szCs w:val="24"/>
        </w:rPr>
        <w:t xml:space="preserve"> The Comission continued advising Member States' authorities on how to interpret and implement the State aid provisions of the GBER on infrastructure projects, thus helping them to ensure legal certainty regarding the public funding of infrastructure.</w:t>
      </w:r>
    </w:p>
    <w:p w:rsidR="00320198" w:rsidRDefault="005C0948">
      <w:pPr>
        <w:widowControl w:val="0"/>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w:t>
      </w:r>
      <w:r>
        <w:rPr>
          <w:rFonts w:ascii="Times New Roman" w:eastAsia="Times New Roman" w:hAnsi="Times New Roman"/>
          <w:noProof/>
          <w:sz w:val="24"/>
          <w:szCs w:val="24"/>
        </w:rPr>
        <w:t xml:space="preserve">Commission also adopted three decisions on State aid for the development of motorways, notably by the approval of an investment plan for </w:t>
      </w:r>
      <w:r>
        <w:rPr>
          <w:rFonts w:ascii="Times New Roman" w:eastAsia="Times New Roman" w:hAnsi="Times New Roman"/>
          <w:i/>
          <w:noProof/>
          <w:sz w:val="24"/>
          <w:szCs w:val="24"/>
        </w:rPr>
        <w:t>Italian motorways,</w:t>
      </w:r>
      <w:r>
        <w:rPr>
          <w:rFonts w:ascii="Times New Roman" w:eastAsia="Times New Roman" w:hAnsi="Times New Roman"/>
          <w:noProof/>
          <w:sz w:val="24"/>
          <w:szCs w:val="24"/>
          <w:vertAlign w:val="superscript"/>
        </w:rPr>
        <w:footnoteReference w:id="117"/>
      </w:r>
      <w:r>
        <w:rPr>
          <w:rFonts w:ascii="Times New Roman" w:eastAsia="Times New Roman" w:hAnsi="Times New Roman"/>
          <w:noProof/>
          <w:sz w:val="24"/>
          <w:szCs w:val="24"/>
        </w:rPr>
        <w:t xml:space="preserve"> the approval of the prolongation of the existing concession agreement for the </w:t>
      </w:r>
      <w:r>
        <w:rPr>
          <w:rFonts w:ascii="Times New Roman" w:eastAsia="Times New Roman" w:hAnsi="Times New Roman"/>
          <w:i/>
          <w:noProof/>
          <w:sz w:val="24"/>
          <w:szCs w:val="24"/>
        </w:rPr>
        <w:t>Istrian Y motorway in</w:t>
      </w:r>
      <w:r>
        <w:rPr>
          <w:rFonts w:ascii="Times New Roman" w:eastAsia="Times New Roman" w:hAnsi="Times New Roman"/>
          <w:i/>
          <w:noProof/>
          <w:sz w:val="24"/>
          <w:szCs w:val="24"/>
        </w:rPr>
        <w:t xml:space="preserve"> Croatia,</w:t>
      </w:r>
      <w:r>
        <w:rPr>
          <w:rFonts w:ascii="Times New Roman" w:eastAsia="Times New Roman" w:hAnsi="Times New Roman"/>
          <w:noProof/>
          <w:sz w:val="24"/>
          <w:szCs w:val="24"/>
          <w:vertAlign w:val="superscript"/>
        </w:rPr>
        <w:footnoteReference w:id="118"/>
      </w:r>
      <w:r>
        <w:rPr>
          <w:rFonts w:ascii="Times New Roman" w:eastAsia="Times New Roman" w:hAnsi="Times New Roman"/>
          <w:noProof/>
          <w:sz w:val="24"/>
          <w:szCs w:val="24"/>
        </w:rPr>
        <w:t xml:space="preserve"> and the construction of the southern section of the </w:t>
      </w:r>
      <w:r>
        <w:rPr>
          <w:rFonts w:ascii="Times New Roman" w:eastAsia="Times New Roman" w:hAnsi="Times New Roman"/>
          <w:i/>
          <w:noProof/>
          <w:sz w:val="24"/>
          <w:szCs w:val="24"/>
        </w:rPr>
        <w:t>Central Greece Motorway</w:t>
      </w:r>
      <w:r>
        <w:rPr>
          <w:rFonts w:ascii="Times New Roman" w:eastAsia="Times New Roman" w:hAnsi="Times New Roman"/>
          <w:noProof/>
          <w:sz w:val="24"/>
          <w:szCs w:val="24"/>
        </w:rPr>
        <w:t xml:space="preserve"> (E65 concession).</w:t>
      </w:r>
      <w:r>
        <w:rPr>
          <w:rFonts w:ascii="Times New Roman" w:eastAsia="Times New Roman" w:hAnsi="Times New Roman"/>
          <w:noProof/>
          <w:sz w:val="24"/>
          <w:szCs w:val="24"/>
          <w:vertAlign w:val="superscript"/>
        </w:rPr>
        <w:footnoteReference w:id="119"/>
      </w:r>
    </w:p>
    <w:p w:rsidR="00320198" w:rsidRDefault="005C0948">
      <w:pPr>
        <w:widowControl w:val="0"/>
        <w:spacing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Italian motorways plan</w:t>
      </w:r>
      <w:r>
        <w:rPr>
          <w:rFonts w:ascii="Times New Roman" w:eastAsia="Times New Roman" w:hAnsi="Times New Roman"/>
          <w:noProof/>
          <w:sz w:val="24"/>
          <w:szCs w:val="24"/>
        </w:rPr>
        <w:t>: The Commission approved under EU State aid rules on services of general economic interest the</w:t>
      </w:r>
      <w:r>
        <w:rPr>
          <w:noProof/>
        </w:rPr>
        <w:t xml:space="preserve"> </w:t>
      </w:r>
      <w:r>
        <w:rPr>
          <w:rFonts w:ascii="Times New Roman" w:eastAsia="Times New Roman" w:hAnsi="Times New Roman"/>
          <w:noProof/>
          <w:sz w:val="24"/>
          <w:szCs w:val="24"/>
        </w:rPr>
        <w:t>Italian plans to prolong two mot</w:t>
      </w:r>
      <w:r>
        <w:rPr>
          <w:rFonts w:ascii="Times New Roman" w:eastAsia="Times New Roman" w:hAnsi="Times New Roman"/>
          <w:noProof/>
          <w:sz w:val="24"/>
          <w:szCs w:val="24"/>
        </w:rPr>
        <w:t>orway concessions and impose a cap on the tolls imposed on users. The Italian motorways plan involves the prolongation of major motorway concessions held by Autostrade per l'Italia (ASPI) and by Società Iniziative Autostradali e Servizi (SIAS). These conce</w:t>
      </w:r>
      <w:r>
        <w:rPr>
          <w:rFonts w:ascii="Times New Roman" w:eastAsia="Times New Roman" w:hAnsi="Times New Roman"/>
          <w:noProof/>
          <w:sz w:val="24"/>
          <w:szCs w:val="24"/>
        </w:rPr>
        <w:t>ssions include a cap on potential toll increases at a sustainable level for motorway users. At the same time, the prolongation of the concessions provide ASPI and SIAS with sufficient revenues to finance significant investments on the concessions concerned</w:t>
      </w:r>
      <w:r>
        <w:rPr>
          <w:rFonts w:ascii="Times New Roman" w:eastAsia="Times New Roman" w:hAnsi="Times New Roman"/>
          <w:noProof/>
          <w:sz w:val="24"/>
          <w:szCs w:val="24"/>
        </w:rPr>
        <w:t xml:space="preserve">. The approved plan is also accompanied by a series of safeguards to avoid that ASPI and SIAS are overcompensated and to limit competition distortions, including: (i) a cap on the amount that ASPI and SIAS could receive at the end of the concession from a </w:t>
      </w:r>
      <w:r>
        <w:rPr>
          <w:rFonts w:ascii="Times New Roman" w:eastAsia="Times New Roman" w:hAnsi="Times New Roman"/>
          <w:noProof/>
          <w:sz w:val="24"/>
          <w:szCs w:val="24"/>
        </w:rPr>
        <w:t>sale of the assets; (ii) a mechanism to avoid overcompensation, and (iii) a series of detailed requirements to tender out the majority of infrastructure works downstream in order to limit distortions of competition. The Commission found that the measures w</w:t>
      </w:r>
      <w:r>
        <w:rPr>
          <w:rFonts w:ascii="Times New Roman" w:eastAsia="Times New Roman" w:hAnsi="Times New Roman"/>
          <w:noProof/>
          <w:sz w:val="24"/>
          <w:szCs w:val="24"/>
        </w:rPr>
        <w:t>ill promote growth and unlock investment, while limiting the impact on motorway users. The limited prolongation of concessions and the safeguard measures minimises distortions of competition in line with the State aid rules.</w:t>
      </w:r>
    </w:p>
    <w:p w:rsidR="00320198" w:rsidRDefault="005C0948">
      <w:pPr>
        <w:widowControl w:val="0"/>
        <w:spacing w:line="240" w:lineRule="auto"/>
        <w:jc w:val="both"/>
        <w:rPr>
          <w:rFonts w:ascii="Times New Roman" w:hAnsi="Times New Roman"/>
          <w:noProof/>
          <w:sz w:val="24"/>
          <w:szCs w:val="24"/>
        </w:rPr>
      </w:pPr>
      <w:r>
        <w:rPr>
          <w:rFonts w:ascii="Times New Roman" w:eastAsia="Times New Roman" w:hAnsi="Times New Roman"/>
          <w:i/>
          <w:noProof/>
          <w:sz w:val="24"/>
          <w:szCs w:val="24"/>
        </w:rPr>
        <w:t>Croatian Istrian Y motorway</w:t>
      </w:r>
      <w:r>
        <w:rPr>
          <w:rFonts w:ascii="Times New Roman" w:eastAsia="Times New Roman" w:hAnsi="Times New Roman"/>
          <w:noProof/>
          <w:sz w:val="24"/>
          <w:szCs w:val="24"/>
        </w:rPr>
        <w:t>: Th</w:t>
      </w:r>
      <w:r>
        <w:rPr>
          <w:rFonts w:ascii="Times New Roman" w:eastAsia="Times New Roman" w:hAnsi="Times New Roman"/>
          <w:noProof/>
          <w:sz w:val="24"/>
          <w:szCs w:val="24"/>
        </w:rPr>
        <w:t xml:space="preserve">e Commission approved under EU State aid rules on services of general economic interest the Croatian plan to prolong the existing Istrian Y motorway concession agreement. The positive decision allows new investments to go ahead, while limiting distortions </w:t>
      </w:r>
      <w:r>
        <w:rPr>
          <w:rFonts w:ascii="Times New Roman" w:eastAsia="Times New Roman" w:hAnsi="Times New Roman"/>
          <w:noProof/>
          <w:sz w:val="24"/>
          <w:szCs w:val="24"/>
        </w:rPr>
        <w:t>of competition.The Commission found that the Croatian plan to prolong the Istrian Y motorway concession agreement does not overcompensated the concessionaire. It also found that the prolongation of the motorway concession is proportionate to the amount nee</w:t>
      </w:r>
      <w:r>
        <w:rPr>
          <w:rFonts w:ascii="Times New Roman" w:eastAsia="Times New Roman" w:hAnsi="Times New Roman"/>
          <w:noProof/>
          <w:sz w:val="24"/>
          <w:szCs w:val="24"/>
        </w:rPr>
        <w:t>ded to finance the works required for building a second stretch of the carriageway on the north-eastern side of the motorway. The measure promotes growth and unlock investment, while limiting the impact on motorway users, in line with EU State aid rules.</w:t>
      </w:r>
      <w:r>
        <w:rPr>
          <w:rFonts w:ascii="Times New Roman" w:hAnsi="Times New Roman"/>
          <w:noProof/>
          <w:sz w:val="24"/>
          <w:szCs w:val="24"/>
        </w:rPr>
        <w:t xml:space="preserve"> </w:t>
      </w:r>
    </w:p>
    <w:p w:rsidR="00320198" w:rsidRDefault="005C0948">
      <w:pPr>
        <w:widowControl w:val="0"/>
        <w:spacing w:line="240" w:lineRule="auto"/>
        <w:jc w:val="both"/>
        <w:rPr>
          <w:rFonts w:ascii="Times New Roman" w:eastAsia="Times New Roman" w:hAnsi="Times New Roman"/>
          <w:noProof/>
          <w:sz w:val="24"/>
          <w:szCs w:val="24"/>
        </w:rPr>
      </w:pPr>
      <w:r>
        <w:rPr>
          <w:rFonts w:ascii="Times New Roman" w:eastAsia="Times New Roman" w:hAnsi="Times New Roman"/>
          <w:i/>
          <w:noProof/>
          <w:sz w:val="24"/>
          <w:szCs w:val="24"/>
        </w:rPr>
        <w:t>Greek E65 motorway concession</w:t>
      </w:r>
      <w:r>
        <w:rPr>
          <w:rFonts w:ascii="Times New Roman" w:eastAsia="Times New Roman" w:hAnsi="Times New Roman"/>
          <w:noProof/>
          <w:sz w:val="24"/>
          <w:szCs w:val="24"/>
        </w:rPr>
        <w:t xml:space="preserve">: The Commission approved approved under Article </w:t>
      </w:r>
      <w:r>
        <w:rPr>
          <w:rFonts w:ascii="Times New Roman" w:eastAsia="Times New Roman" w:hAnsi="Times New Roman"/>
          <w:noProof/>
          <w:sz w:val="24"/>
          <w:szCs w:val="24"/>
        </w:rPr>
        <w:br/>
        <w:t>107 3(c) TFEU Greek public funding for the construction of the southern section of the Central Greece Motorway (E65) in line with earlier decisions on the same road.</w:t>
      </w:r>
      <w:r>
        <w:rPr>
          <w:rFonts w:ascii="Times New Roman" w:eastAsia="Times New Roman" w:hAnsi="Times New Roman"/>
          <w:noProof/>
          <w:sz w:val="24"/>
          <w:szCs w:val="24"/>
          <w:vertAlign w:val="superscript"/>
        </w:rPr>
        <w:footnoteReference w:id="120"/>
      </w:r>
      <w:r>
        <w:rPr>
          <w:rFonts w:ascii="Times New Roman" w:eastAsia="Times New Roman" w:hAnsi="Times New Roman"/>
          <w:noProof/>
          <w:sz w:val="24"/>
          <w:szCs w:val="24"/>
        </w:rPr>
        <w:t xml:space="preserve"> The Commis</w:t>
      </w:r>
      <w:r>
        <w:rPr>
          <w:rFonts w:ascii="Times New Roman" w:eastAsia="Times New Roman" w:hAnsi="Times New Roman"/>
          <w:noProof/>
          <w:sz w:val="24"/>
          <w:szCs w:val="24"/>
        </w:rPr>
        <w:t>sion found the support measure necessary and proportionate for the implementation of the project insofar as Greece has demonstrated that (i) the public financing corresponds to the inflation adjusted construction costs and that (ii) the concessionaire will</w:t>
      </w:r>
      <w:r>
        <w:rPr>
          <w:rFonts w:ascii="Times New Roman" w:eastAsia="Times New Roman" w:hAnsi="Times New Roman"/>
          <w:noProof/>
          <w:sz w:val="24"/>
          <w:szCs w:val="24"/>
        </w:rPr>
        <w:t xml:space="preserve"> assume the operation and maintenance costs of the project, and any excessive revenues will be returned to the State via a claw-back mechanism. The project will also not receive any cross-subsidies from other concessions Furthermore, the approved project c</w:t>
      </w:r>
      <w:r>
        <w:rPr>
          <w:rFonts w:ascii="Times New Roman" w:eastAsia="Times New Roman" w:hAnsi="Times New Roman"/>
          <w:noProof/>
          <w:sz w:val="24"/>
          <w:szCs w:val="24"/>
        </w:rPr>
        <w:t>ontributes to objectives of common EU interest and in particular to EU transport policy, as it will support the completion of a key Trans-European Road Network and improve transport links for Greek citizens living in the Sterea Ellada region, without causi</w:t>
      </w:r>
      <w:r>
        <w:rPr>
          <w:rFonts w:ascii="Times New Roman" w:eastAsia="Times New Roman" w:hAnsi="Times New Roman"/>
          <w:noProof/>
          <w:sz w:val="24"/>
          <w:szCs w:val="24"/>
        </w:rPr>
        <w:t>ng undue distortions of competition.</w:t>
      </w:r>
    </w:p>
    <w:p w:rsidR="00320198" w:rsidRDefault="005C0948">
      <w:pPr>
        <w:widowControl w:val="0"/>
        <w:spacing w:line="240" w:lineRule="auto"/>
        <w:ind w:left="357"/>
        <w:outlineLvl w:val="2"/>
        <w:rPr>
          <w:rFonts w:ascii="Times New Roman" w:eastAsia="Times New Roman" w:hAnsi="Times New Roman"/>
          <w:noProof/>
          <w:sz w:val="24"/>
          <w:szCs w:val="24"/>
          <w:lang w:eastAsia="en-GB"/>
        </w:rPr>
      </w:pPr>
      <w:bookmarkStart w:id="29" w:name="_Toc8831308"/>
      <w:r>
        <w:rPr>
          <w:rFonts w:ascii="Times New Roman" w:eastAsia="Times New Roman" w:hAnsi="Times New Roman"/>
          <w:b/>
          <w:bCs/>
          <w:noProof/>
          <w:sz w:val="24"/>
          <w:szCs w:val="24"/>
          <w:lang w:eastAsia="en-GB"/>
        </w:rPr>
        <w:t>3.2 State Aid Modernisation continues</w:t>
      </w:r>
      <w:bookmarkEnd w:id="29"/>
      <w:r>
        <w:rPr>
          <w:rFonts w:ascii="Times New Roman" w:eastAsia="Times New Roman" w:hAnsi="Times New Roman"/>
          <w:b/>
          <w:bCs/>
          <w:noProof/>
          <w:sz w:val="24"/>
          <w:szCs w:val="24"/>
          <w:lang w:eastAsia="en-GB"/>
        </w:rPr>
        <w:t xml:space="preserve"> </w:t>
      </w:r>
    </w:p>
    <w:p w:rsidR="00320198" w:rsidRDefault="005C0948">
      <w:pPr>
        <w:spacing w:line="240" w:lineRule="auto"/>
        <w:jc w:val="both"/>
        <w:rPr>
          <w:rFonts w:ascii="Times New Roman" w:hAnsi="Times New Roman"/>
          <w:noProof/>
          <w:sz w:val="24"/>
          <w:szCs w:val="24"/>
        </w:rPr>
      </w:pPr>
      <w:r>
        <w:rPr>
          <w:rFonts w:ascii="Times New Roman" w:hAnsi="Times New Roman"/>
          <w:noProof/>
          <w:sz w:val="24"/>
          <w:szCs w:val="24"/>
        </w:rPr>
        <w:t>State aid modernisation started in 2012, culminating in a comprehensive review of the main State aid guidelines as well as the adoption of the General Block Exemption Regulation in</w:t>
      </w:r>
      <w:r>
        <w:rPr>
          <w:rFonts w:ascii="Times New Roman" w:hAnsi="Times New Roman"/>
          <w:noProof/>
          <w:sz w:val="24"/>
          <w:szCs w:val="24"/>
        </w:rPr>
        <w:t xml:space="preserve"> 2014. The General Block Exemption Regulation enables Member States to implement a wide range of State aid measures without prior Commission approval because they are unlikely to distort competition</w:t>
      </w:r>
      <w:r>
        <w:rPr>
          <w:noProof/>
        </w:rPr>
        <w:t xml:space="preserve"> </w:t>
      </w:r>
      <w:r>
        <w:rPr>
          <w:rFonts w:ascii="Times New Roman" w:hAnsi="Times New Roman"/>
          <w:noProof/>
          <w:sz w:val="24"/>
          <w:szCs w:val="24"/>
        </w:rPr>
        <w:t xml:space="preserve">to an extent that is contrary to the common interest. As </w:t>
      </w:r>
      <w:r>
        <w:rPr>
          <w:rFonts w:ascii="Times New Roman" w:hAnsi="Times New Roman"/>
          <w:noProof/>
          <w:sz w:val="24"/>
          <w:szCs w:val="24"/>
        </w:rPr>
        <w:t>a result, approximately 95% of State aid measures implemented by Member States are now exempted.  In 2017 the Commission extended the scope of this Regulation to ports and airports.</w:t>
      </w:r>
    </w:p>
    <w:p w:rsidR="00320198" w:rsidRDefault="005C0948">
      <w:pPr>
        <w:spacing w:after="120" w:line="240" w:lineRule="auto"/>
        <w:jc w:val="both"/>
        <w:rPr>
          <w:rFonts w:ascii="Times New Roman" w:eastAsia="Times New Roman" w:hAnsi="Times New Roman"/>
          <w:i/>
          <w:noProof/>
          <w:color w:val="000000" w:themeColor="text1"/>
          <w:sz w:val="24"/>
          <w:szCs w:val="24"/>
        </w:rPr>
      </w:pPr>
      <w:r>
        <w:rPr>
          <w:rFonts w:ascii="Times New Roman" w:eastAsia="Times New Roman" w:hAnsi="Times New Roman"/>
          <w:i/>
          <w:noProof/>
          <w:color w:val="000000" w:themeColor="text1"/>
          <w:sz w:val="24"/>
          <w:szCs w:val="24"/>
        </w:rPr>
        <w:t>Further extension of the scope of the GBER</w:t>
      </w:r>
    </w:p>
    <w:p w:rsidR="00320198" w:rsidRDefault="005C0948">
      <w:pPr>
        <w:spacing w:line="240" w:lineRule="auto"/>
        <w:jc w:val="both"/>
        <w:rPr>
          <w:rFonts w:ascii="Times New Roman" w:hAnsi="Times New Roman"/>
          <w:noProof/>
          <w:sz w:val="24"/>
          <w:szCs w:val="24"/>
        </w:rPr>
      </w:pPr>
      <w:r>
        <w:rPr>
          <w:rFonts w:ascii="Times New Roman" w:hAnsi="Times New Roman"/>
          <w:noProof/>
          <w:sz w:val="24"/>
          <w:szCs w:val="24"/>
        </w:rPr>
        <w:t>The efforts to focus and modernise EU State aid rules and improve the Commission's working methods are continuing. In the context of the Multiannual Financial Framework 2021-2027, the Commission has proposed to simplify co-investment involving both EU fund</w:t>
      </w:r>
      <w:r>
        <w:rPr>
          <w:rFonts w:ascii="Times New Roman" w:hAnsi="Times New Roman"/>
          <w:noProof/>
          <w:sz w:val="24"/>
          <w:szCs w:val="24"/>
        </w:rPr>
        <w:t>ing and Member State investment, through a revision of the EU State aid Enabling Regulation, which is the legal basis for adopting the GBER. A revised GBER could also cover national financing combined with the InvestEU Fund, a single set of rules for all f</w:t>
      </w:r>
      <w:r>
        <w:rPr>
          <w:rFonts w:ascii="Times New Roman" w:hAnsi="Times New Roman"/>
          <w:noProof/>
          <w:sz w:val="24"/>
          <w:szCs w:val="24"/>
        </w:rPr>
        <w:t>inancial instruments and budgetary guarantees in the next EU budget. The Commission would have an important role in the selection and evaluation of the supported projects and schemes. Member State funds channelled through InvestEU could in the future be ex</w:t>
      </w:r>
      <w:r>
        <w:rPr>
          <w:rFonts w:ascii="Times New Roman" w:hAnsi="Times New Roman"/>
          <w:noProof/>
          <w:sz w:val="24"/>
          <w:szCs w:val="24"/>
        </w:rPr>
        <w:t xml:space="preserve">empted from prior notification to the Commission under State aid rules. </w:t>
      </w:r>
    </w:p>
    <w:p w:rsidR="00320198" w:rsidRDefault="005C0948">
      <w:pPr>
        <w:spacing w:after="120"/>
        <w:rPr>
          <w:rFonts w:ascii="Times New Roman" w:hAnsi="Times New Roman"/>
          <w:i/>
          <w:noProof/>
          <w:sz w:val="24"/>
          <w:szCs w:val="24"/>
        </w:rPr>
      </w:pPr>
      <w:r>
        <w:rPr>
          <w:rFonts w:ascii="Times New Roman" w:hAnsi="Times New Roman"/>
          <w:i/>
          <w:noProof/>
          <w:sz w:val="24"/>
          <w:szCs w:val="24"/>
        </w:rPr>
        <w:t>Launch of the Fitness check of the 2012 State aid modernisation package, railways guidelines and short term export credit insurance</w:t>
      </w:r>
    </w:p>
    <w:p w:rsidR="00320198" w:rsidRDefault="005C0948">
      <w:pPr>
        <w:spacing w:after="0" w:line="240" w:lineRule="auto"/>
        <w:jc w:val="both"/>
        <w:rPr>
          <w:rFonts w:ascii="Times New Roman" w:hAnsi="Times New Roman"/>
          <w:noProof/>
          <w:sz w:val="24"/>
          <w:szCs w:val="24"/>
        </w:rPr>
      </w:pPr>
      <w:r>
        <w:rPr>
          <w:rFonts w:ascii="Times New Roman" w:hAnsi="Times New Roman"/>
          <w:noProof/>
          <w:sz w:val="24"/>
          <w:szCs w:val="24"/>
        </w:rPr>
        <w:t>In 2018, the Commision launched in line with Commis</w:t>
      </w:r>
      <w:r>
        <w:rPr>
          <w:rFonts w:ascii="Times New Roman" w:hAnsi="Times New Roman"/>
          <w:noProof/>
          <w:sz w:val="24"/>
          <w:szCs w:val="24"/>
        </w:rPr>
        <w:t>sion's Better Regulation Guidelines, the evaluation of State aid rules, which were adopted as part of the State Aid Modernisation, the railways guidelines and the short term export credit insurance.</w:t>
      </w:r>
      <w:r>
        <w:rPr>
          <w:rFonts w:ascii="Times New Roman" w:hAnsi="Times New Roman"/>
          <w:noProof/>
          <w:sz w:val="24"/>
          <w:szCs w:val="24"/>
          <w:vertAlign w:val="superscript"/>
        </w:rPr>
        <w:t xml:space="preserve"> </w:t>
      </w:r>
      <w:r>
        <w:rPr>
          <w:rFonts w:ascii="Times New Roman" w:hAnsi="Times New Roman"/>
          <w:noProof/>
          <w:sz w:val="24"/>
          <w:szCs w:val="24"/>
        </w:rPr>
        <w:t>The evaluation takes the form of a “fitness check” to ver</w:t>
      </w:r>
      <w:r>
        <w:rPr>
          <w:rFonts w:ascii="Times New Roman" w:hAnsi="Times New Roman"/>
          <w:noProof/>
          <w:sz w:val="24"/>
          <w:szCs w:val="24"/>
        </w:rPr>
        <w:t>ify whether the rules have actually worked in the way intended and are fit for purpose.</w:t>
      </w:r>
      <w:r>
        <w:rPr>
          <w:rStyle w:val="FootnoteReference"/>
          <w:rFonts w:ascii="Times New Roman" w:hAnsi="Times New Roman"/>
          <w:noProof/>
          <w:sz w:val="24"/>
          <w:szCs w:val="24"/>
        </w:rPr>
        <w:footnoteReference w:id="121"/>
      </w:r>
      <w:r>
        <w:rPr>
          <w:rFonts w:ascii="Times New Roman" w:hAnsi="Times New Roman"/>
          <w:noProof/>
          <w:sz w:val="24"/>
          <w:szCs w:val="24"/>
        </w:rPr>
        <w:t xml:space="preserve"> It will provide a basis for decisions, to be taken by the Commission in the future, about whether to further prolong or possibly update the rules.</w:t>
      </w:r>
      <w:r>
        <w:rPr>
          <w:rFonts w:ascii="Times New Roman" w:hAnsi="Times New Roman"/>
          <w:noProof/>
          <w:sz w:val="24"/>
          <w:szCs w:val="24"/>
          <w:vertAlign w:val="superscript"/>
        </w:rPr>
        <w:t xml:space="preserve"> </w:t>
      </w:r>
      <w:r>
        <w:rPr>
          <w:rFonts w:ascii="Times New Roman" w:hAnsi="Times New Roman"/>
          <w:noProof/>
          <w:sz w:val="24"/>
          <w:szCs w:val="24"/>
          <w:vertAlign w:val="superscript"/>
        </w:rPr>
        <w:footnoteReference w:id="122"/>
      </w:r>
    </w:p>
    <w:p w:rsidR="00320198" w:rsidRDefault="005C0948">
      <w:pPr>
        <w:spacing w:before="120" w:after="120"/>
        <w:rPr>
          <w:rFonts w:ascii="Times New Roman" w:hAnsi="Times New Roman"/>
          <w:i/>
          <w:noProof/>
          <w:sz w:val="24"/>
          <w:szCs w:val="24"/>
        </w:rPr>
      </w:pPr>
      <w:r>
        <w:rPr>
          <w:rFonts w:ascii="Times New Roman" w:hAnsi="Times New Roman"/>
          <w:i/>
          <w:noProof/>
          <w:sz w:val="24"/>
          <w:szCs w:val="24"/>
        </w:rPr>
        <w:t>Launch of the revi</w:t>
      </w:r>
      <w:r>
        <w:rPr>
          <w:rFonts w:ascii="Times New Roman" w:hAnsi="Times New Roman"/>
          <w:i/>
          <w:noProof/>
          <w:sz w:val="24"/>
          <w:szCs w:val="24"/>
        </w:rPr>
        <w:t>ew of the Emissions trading scheme State aid guidelines (ETS Guidelines)</w:t>
      </w:r>
    </w:p>
    <w:p w:rsidR="00320198" w:rsidRDefault="005C0948">
      <w:pPr>
        <w:spacing w:before="240" w:after="120" w:line="240" w:lineRule="auto"/>
        <w:jc w:val="both"/>
        <w:rPr>
          <w:rFonts w:ascii="Times New Roman" w:hAnsi="Times New Roman"/>
          <w:noProof/>
          <w:sz w:val="24"/>
          <w:szCs w:val="24"/>
        </w:rPr>
      </w:pPr>
      <w:r>
        <w:rPr>
          <w:rFonts w:ascii="Times New Roman" w:hAnsi="Times New Roman"/>
          <w:noProof/>
          <w:sz w:val="24"/>
          <w:szCs w:val="24"/>
        </w:rPr>
        <w:t>In line with Commission’s Better Regulation Guidelines, the review of the ETS Guidelines  has been launched. Under the ETS Guidelines the Member States can compensate some electro-int</w:t>
      </w:r>
      <w:r>
        <w:rPr>
          <w:rFonts w:ascii="Times New Roman" w:hAnsi="Times New Roman"/>
          <w:noProof/>
          <w:sz w:val="24"/>
          <w:szCs w:val="24"/>
        </w:rPr>
        <w:t>ensive users, for part of the higher electricity costs resulting from the EU Emissions Trading Scheme. The objective of such compensation is to minimise carbon leakage risk, which materialises when emission costs cause relocation from the EU to third count</w:t>
      </w:r>
      <w:r>
        <w:rPr>
          <w:rFonts w:ascii="Times New Roman" w:hAnsi="Times New Roman"/>
          <w:noProof/>
          <w:sz w:val="24"/>
          <w:szCs w:val="24"/>
        </w:rPr>
        <w:t>ries without comparable constraints. The existing rules allowing for compensation will be revised to ensure that they are adapted to the new Emissions Trading Scheme for the period 2021-2030.</w:t>
      </w:r>
    </w:p>
    <w:p w:rsidR="00320198" w:rsidRDefault="005C0948">
      <w:pPr>
        <w:spacing w:after="120"/>
        <w:rPr>
          <w:rFonts w:ascii="Times New Roman" w:hAnsi="Times New Roman"/>
          <w:i/>
          <w:noProof/>
          <w:sz w:val="24"/>
          <w:szCs w:val="24"/>
        </w:rPr>
      </w:pPr>
      <w:r>
        <w:rPr>
          <w:rFonts w:ascii="Times New Roman" w:hAnsi="Times New Roman"/>
          <w:i/>
          <w:noProof/>
          <w:sz w:val="24"/>
          <w:szCs w:val="24"/>
        </w:rPr>
        <w:t>Prolongation of the Export Credit Insurance State aid rules unti</w:t>
      </w:r>
      <w:r>
        <w:rPr>
          <w:rFonts w:ascii="Times New Roman" w:hAnsi="Times New Roman"/>
          <w:i/>
          <w:noProof/>
          <w:sz w:val="24"/>
          <w:szCs w:val="24"/>
        </w:rPr>
        <w:t>l 2020</w:t>
      </w:r>
    </w:p>
    <w:p w:rsidR="00320198" w:rsidRDefault="005C0948">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On 17 December 2018, the Commisison adopted a Communication prolonging the State aid rules for export credit insurance until 2020.</w:t>
      </w:r>
      <w:r>
        <w:rPr>
          <w:rFonts w:ascii="Times New Roman" w:hAnsi="Times New Roman"/>
          <w:noProof/>
          <w:color w:val="000000" w:themeColor="text1"/>
          <w:sz w:val="24"/>
          <w:szCs w:val="24"/>
          <w:vertAlign w:val="superscript"/>
        </w:rPr>
        <w:footnoteReference w:id="123"/>
      </w:r>
      <w:r>
        <w:rPr>
          <w:rFonts w:ascii="Times New Roman" w:hAnsi="Times New Roman"/>
          <w:i/>
          <w:noProof/>
          <w:color w:val="000000" w:themeColor="text1"/>
          <w:sz w:val="24"/>
          <w:szCs w:val="24"/>
          <w:vertAlign w:val="superscript"/>
        </w:rPr>
        <w:t xml:space="preserve"> </w:t>
      </w:r>
      <w:r>
        <w:rPr>
          <w:rFonts w:ascii="Times New Roman" w:hAnsi="Times New Roman"/>
          <w:noProof/>
          <w:color w:val="000000" w:themeColor="text1"/>
          <w:sz w:val="24"/>
          <w:szCs w:val="24"/>
        </w:rPr>
        <w:t xml:space="preserve">The Export Credit Insurance State aid rules set criteria under which EU governments can provide financial support to buyers of exports from </w:t>
      </w:r>
      <w:r>
        <w:rPr>
          <w:rFonts w:ascii="Times New Roman" w:hAnsi="Times New Roman"/>
          <w:noProof/>
          <w:sz w:val="24"/>
          <w:szCs w:val="24"/>
        </w:rPr>
        <w:t>their country, in the form of short-term credit insurance. If there is a viable private market for</w:t>
      </w:r>
      <w:r>
        <w:rPr>
          <w:rFonts w:ascii="Times New Roman" w:hAnsi="Times New Roman"/>
          <w:noProof/>
          <w:color w:val="000000" w:themeColor="text1"/>
          <w:sz w:val="24"/>
          <w:szCs w:val="24"/>
        </w:rPr>
        <w:t xml:space="preserve"> insuring the risk</w:t>
      </w:r>
      <w:r>
        <w:rPr>
          <w:rFonts w:ascii="Times New Roman" w:hAnsi="Times New Roman"/>
          <w:noProof/>
          <w:color w:val="000000" w:themeColor="text1"/>
          <w:sz w:val="24"/>
          <w:szCs w:val="24"/>
        </w:rPr>
        <w:t xml:space="preserve"> that sellers will not be paid, public export credit agencies may only provide insurance at market rates. </w:t>
      </w:r>
    </w:p>
    <w:p w:rsidR="00320198" w:rsidRDefault="005C0948">
      <w:pPr>
        <w:spacing w:before="120" w:after="120"/>
        <w:rPr>
          <w:rFonts w:ascii="Times New Roman" w:hAnsi="Times New Roman"/>
          <w:i/>
          <w:noProof/>
          <w:color w:val="000000" w:themeColor="text1"/>
          <w:sz w:val="24"/>
          <w:szCs w:val="24"/>
        </w:rPr>
      </w:pPr>
      <w:r>
        <w:rPr>
          <w:rFonts w:ascii="Times New Roman" w:hAnsi="Times New Roman"/>
          <w:i/>
          <w:noProof/>
          <w:color w:val="000000" w:themeColor="text1"/>
          <w:sz w:val="24"/>
          <w:szCs w:val="24"/>
        </w:rPr>
        <w:t>Prolongation of the Regulation on de minimis aid to undertakings providing services of general economic interest (SGEI) until 31 December 2020</w:t>
      </w:r>
    </w:p>
    <w:p w:rsidR="00320198" w:rsidRDefault="005C0948">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On 7 </w:t>
      </w:r>
      <w:r>
        <w:rPr>
          <w:rFonts w:ascii="Times New Roman" w:hAnsi="Times New Roman"/>
          <w:noProof/>
          <w:color w:val="000000" w:themeColor="text1"/>
          <w:sz w:val="24"/>
          <w:szCs w:val="24"/>
        </w:rPr>
        <w:t>December 2018, the Commission adopted the prolongation of the Commission Regulation on de minimis aid to undertakings providing services of general economic interest until 31 December 2020.</w:t>
      </w:r>
      <w:r>
        <w:rPr>
          <w:rFonts w:ascii="Times New Roman" w:hAnsi="Times New Roman"/>
          <w:noProof/>
          <w:color w:val="000000" w:themeColor="text1"/>
          <w:sz w:val="24"/>
          <w:szCs w:val="24"/>
          <w:vertAlign w:val="superscript"/>
        </w:rPr>
        <w:footnoteReference w:id="124"/>
      </w:r>
      <w:r>
        <w:rPr>
          <w:rFonts w:ascii="Times New Roman" w:hAnsi="Times New Roman"/>
          <w:noProof/>
          <w:color w:val="000000" w:themeColor="text1"/>
          <w:sz w:val="24"/>
          <w:szCs w:val="24"/>
        </w:rPr>
        <w:t xml:space="preserve"> The prolongation will reduce the administrative burden and provid</w:t>
      </w:r>
      <w:r>
        <w:rPr>
          <w:rFonts w:ascii="Times New Roman" w:hAnsi="Times New Roman"/>
          <w:noProof/>
          <w:color w:val="000000" w:themeColor="text1"/>
          <w:sz w:val="24"/>
          <w:szCs w:val="24"/>
        </w:rPr>
        <w:t>e legal certainty for compensation measures which do not exceed EUR 500 000 over any period of three fiscal years granted to undertakings providing such a service and therefore shall be deemed not to affect trade between Member States and/or not to distort</w:t>
      </w:r>
      <w:r>
        <w:rPr>
          <w:rFonts w:ascii="Times New Roman" w:hAnsi="Times New Roman"/>
          <w:noProof/>
          <w:color w:val="000000" w:themeColor="text1"/>
          <w:sz w:val="24"/>
          <w:szCs w:val="24"/>
        </w:rPr>
        <w:t xml:space="preserve"> competition.</w:t>
      </w:r>
    </w:p>
    <w:p w:rsidR="00320198" w:rsidRDefault="005C0948">
      <w:pPr>
        <w:spacing w:line="240" w:lineRule="auto"/>
        <w:jc w:val="both"/>
        <w:rPr>
          <w:rFonts w:ascii="Times New Roman" w:eastAsia="Times New Roman" w:hAnsi="Times New Roman"/>
          <w:i/>
          <w:noProof/>
          <w:color w:val="000000" w:themeColor="text1"/>
          <w:sz w:val="24"/>
          <w:szCs w:val="24"/>
        </w:rPr>
      </w:pPr>
      <w:r>
        <w:rPr>
          <w:rFonts w:ascii="Times New Roman" w:eastAsia="Times New Roman" w:hAnsi="Times New Roman"/>
          <w:i/>
          <w:noProof/>
          <w:color w:val="000000" w:themeColor="text1"/>
          <w:sz w:val="24"/>
          <w:szCs w:val="24"/>
        </w:rPr>
        <w:t>Revision of the Simplified Procedure Notice and Best Practices Code</w:t>
      </w:r>
    </w:p>
    <w:p w:rsidR="00320198" w:rsidRDefault="005C0948">
      <w:pPr>
        <w:spacing w:line="240" w:lineRule="auto"/>
        <w:jc w:val="both"/>
        <w:rPr>
          <w:rFonts w:ascii="Times New Roman" w:hAnsi="Times New Roman"/>
          <w:noProof/>
          <w:sz w:val="24"/>
          <w:szCs w:val="24"/>
        </w:rPr>
      </w:pPr>
      <w:r>
        <w:rPr>
          <w:rFonts w:ascii="Times New Roman" w:hAnsi="Times New Roman"/>
          <w:noProof/>
          <w:sz w:val="24"/>
          <w:szCs w:val="24"/>
        </w:rPr>
        <w:t>A new Best Practices Code</w:t>
      </w:r>
      <w:r>
        <w:rPr>
          <w:rStyle w:val="FootnoteReference"/>
          <w:rFonts w:ascii="Times New Roman" w:hAnsi="Times New Roman"/>
          <w:noProof/>
          <w:sz w:val="24"/>
          <w:szCs w:val="24"/>
        </w:rPr>
        <w:footnoteReference w:id="125"/>
      </w:r>
      <w:r>
        <w:rPr>
          <w:rFonts w:ascii="Times New Roman" w:hAnsi="Times New Roman"/>
          <w:noProof/>
          <w:sz w:val="24"/>
          <w:szCs w:val="24"/>
        </w:rPr>
        <w:t xml:space="preserve"> was adopted in July 2018 and replaces and combines the previous Simplified Procedure Notice and Best Practices Code. The Best Practices Code for St</w:t>
      </w:r>
      <w:r>
        <w:rPr>
          <w:rFonts w:ascii="Times New Roman" w:hAnsi="Times New Roman"/>
          <w:noProof/>
          <w:sz w:val="24"/>
          <w:szCs w:val="24"/>
        </w:rPr>
        <w:t xml:space="preserve">ate aid control gives guidance on how the Commission, Member States and other stakeholders work together in State aid procedures. This covers, for example, how to ensure that complex State aid cases are handled most effectively, how complaints about State </w:t>
      </w:r>
      <w:r>
        <w:rPr>
          <w:rFonts w:ascii="Times New Roman" w:hAnsi="Times New Roman"/>
          <w:noProof/>
          <w:sz w:val="24"/>
          <w:szCs w:val="24"/>
        </w:rPr>
        <w:t>aid are followed up, and monitoring of how Member States implement State aid measures in practice. The Best Practices Code explains how State aid procedures are carried out, and sets out the steps the Commission is taking to increase the speed, transparenc</w:t>
      </w:r>
      <w:r>
        <w:rPr>
          <w:rFonts w:ascii="Times New Roman" w:hAnsi="Times New Roman"/>
          <w:noProof/>
          <w:sz w:val="24"/>
          <w:szCs w:val="24"/>
        </w:rPr>
        <w:t xml:space="preserve">y and predictability of these procedures. </w:t>
      </w:r>
    </w:p>
    <w:p w:rsidR="00320198" w:rsidRDefault="005C0948">
      <w:pPr>
        <w:widowControl w:val="0"/>
        <w:spacing w:line="240" w:lineRule="auto"/>
        <w:ind w:left="720"/>
        <w:outlineLvl w:val="2"/>
        <w:rPr>
          <w:rFonts w:ascii="Times New Roman" w:eastAsia="Times New Roman" w:hAnsi="Times New Roman"/>
          <w:b/>
          <w:bCs/>
          <w:noProof/>
          <w:sz w:val="24"/>
          <w:szCs w:val="24"/>
          <w:lang w:eastAsia="en-GB"/>
        </w:rPr>
      </w:pPr>
      <w:bookmarkStart w:id="30" w:name="_Toc8831309"/>
      <w:r>
        <w:rPr>
          <w:rFonts w:ascii="Times New Roman" w:eastAsia="Times New Roman" w:hAnsi="Times New Roman"/>
          <w:b/>
          <w:bCs/>
          <w:noProof/>
          <w:sz w:val="24"/>
          <w:szCs w:val="24"/>
          <w:lang w:eastAsia="en-GB"/>
        </w:rPr>
        <w:t>3.3 Monitoring, recovery, evaluation and cooperation with national courts</w:t>
      </w:r>
      <w:bookmarkEnd w:id="30"/>
      <w:r>
        <w:rPr>
          <w:rFonts w:ascii="Times New Roman" w:eastAsia="Times New Roman" w:hAnsi="Times New Roman"/>
          <w:b/>
          <w:bCs/>
          <w:noProof/>
          <w:sz w:val="24"/>
          <w:szCs w:val="24"/>
          <w:lang w:eastAsia="en-GB"/>
        </w:rPr>
        <w:t xml:space="preserve"> </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rPr>
        <w:t>Increased monitoring of existing State aid to ensure competition on fair and equal terms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Over the years, the architecture of State aid </w:t>
      </w:r>
      <w:r>
        <w:rPr>
          <w:rFonts w:ascii="Times New Roman" w:hAnsi="Times New Roman"/>
          <w:noProof/>
          <w:sz w:val="24"/>
          <w:szCs w:val="24"/>
        </w:rPr>
        <w:t>control has evolved. Today, a substantial part of aid is granted under block-exempted schemes which are not examined by the Commission before entering into force. Overall, roughly 80% of aid is granted on the basis of previously approved aid schemes or blo</w:t>
      </w:r>
      <w:r>
        <w:rPr>
          <w:rFonts w:ascii="Times New Roman" w:hAnsi="Times New Roman"/>
          <w:noProof/>
          <w:sz w:val="24"/>
          <w:szCs w:val="24"/>
        </w:rPr>
        <w:t>ck exemption regulations.</w:t>
      </w:r>
      <w:r>
        <w:rPr>
          <w:rFonts w:ascii="Times New Roman" w:hAnsi="Times New Roman"/>
          <w:noProof/>
          <w:sz w:val="24"/>
          <w:szCs w:val="24"/>
          <w:vertAlign w:val="superscript"/>
        </w:rPr>
        <w:footnoteReference w:id="126"/>
      </w:r>
      <w:r>
        <w:rPr>
          <w:rFonts w:ascii="Times New Roman" w:hAnsi="Times New Roman"/>
          <w:noProof/>
          <w:sz w:val="24"/>
          <w:szCs w:val="24"/>
        </w:rPr>
        <w:t xml:space="preserve"> In that context, it is essential for the Commission to verify that Member States apply State aid rules for the schemes correctly and that they only grant aid when all required conditions are met.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To that end, the Commission intr</w:t>
      </w:r>
      <w:r>
        <w:rPr>
          <w:rFonts w:ascii="Times New Roman" w:hAnsi="Times New Roman"/>
          <w:noProof/>
          <w:sz w:val="24"/>
          <w:szCs w:val="24"/>
        </w:rPr>
        <w:t xml:space="preserve">oduced in 2006 a regular, </w:t>
      </w:r>
      <w:r>
        <w:rPr>
          <w:rFonts w:ascii="Times New Roman" w:hAnsi="Times New Roman"/>
          <w:i/>
          <w:noProof/>
          <w:sz w:val="24"/>
          <w:szCs w:val="24"/>
        </w:rPr>
        <w:t>ex post</w:t>
      </w:r>
      <w:r>
        <w:rPr>
          <w:rFonts w:ascii="Times New Roman" w:hAnsi="Times New Roman"/>
          <w:noProof/>
          <w:sz w:val="24"/>
          <w:szCs w:val="24"/>
        </w:rPr>
        <w:t xml:space="preserve">, sample-based control of existing aid schemes ("monitoring"). After a modest start covering some 20 schemes and ten Member States in each monitoring cycle, the Commission has considerably stepped up monitoring since 2011. </w:t>
      </w:r>
      <w:r>
        <w:rPr>
          <w:rFonts w:ascii="Times New Roman" w:hAnsi="Times New Roman"/>
          <w:noProof/>
          <w:sz w:val="24"/>
          <w:szCs w:val="24"/>
        </w:rPr>
        <w:t>Building on the Court of Auditors recommendations,</w:t>
      </w:r>
      <w:r>
        <w:rPr>
          <w:rFonts w:ascii="Times New Roman" w:hAnsi="Times New Roman"/>
          <w:noProof/>
          <w:sz w:val="24"/>
          <w:szCs w:val="24"/>
          <w:vertAlign w:val="superscript"/>
        </w:rPr>
        <w:footnoteReference w:id="127"/>
      </w:r>
      <w:r>
        <w:rPr>
          <w:rFonts w:ascii="Times New Roman" w:hAnsi="Times New Roman"/>
          <w:noProof/>
          <w:sz w:val="24"/>
          <w:szCs w:val="24"/>
        </w:rPr>
        <w:t xml:space="preserve"> the Commission has substantially increased the size of the monitoring sample and is monitoring approximately 50 schemes per year. It also extended the scope of its control beyond block-exempted and author</w:t>
      </w:r>
      <w:r>
        <w:rPr>
          <w:rFonts w:ascii="Times New Roman" w:hAnsi="Times New Roman"/>
          <w:noProof/>
          <w:sz w:val="24"/>
          <w:szCs w:val="24"/>
        </w:rPr>
        <w:t>ised aid schemes, for example schemes falling under the SGEI Decision.</w:t>
      </w:r>
      <w:r>
        <w:rPr>
          <w:rFonts w:ascii="Times New Roman" w:hAnsi="Times New Roman"/>
          <w:noProof/>
          <w:sz w:val="24"/>
          <w:szCs w:val="24"/>
          <w:vertAlign w:val="superscript"/>
        </w:rPr>
        <w:footnoteReference w:id="128"/>
      </w:r>
      <w:r>
        <w:rPr>
          <w:rFonts w:ascii="Times New Roman" w:hAnsi="Times New Roman"/>
          <w:noProof/>
          <w:sz w:val="24"/>
          <w:szCs w:val="24"/>
        </w:rPr>
        <w:t xml:space="preserv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2018 cycle covered most Member States</w:t>
      </w:r>
      <w:r>
        <w:rPr>
          <w:rFonts w:ascii="Times New Roman" w:hAnsi="Times New Roman"/>
          <w:noProof/>
          <w:sz w:val="24"/>
          <w:szCs w:val="24"/>
          <w:vertAlign w:val="superscript"/>
        </w:rPr>
        <w:footnoteReference w:id="129"/>
      </w:r>
      <w:r>
        <w:rPr>
          <w:rFonts w:ascii="Times New Roman" w:hAnsi="Times New Roman"/>
          <w:noProof/>
          <w:sz w:val="24"/>
          <w:szCs w:val="24"/>
        </w:rPr>
        <w:t xml:space="preserve"> and all main types of aid approved as well as block-exempted schemes. Since the reporting of individual aid exceeding EUR 500 000 have to be</w:t>
      </w:r>
      <w:r>
        <w:rPr>
          <w:rFonts w:ascii="Times New Roman" w:hAnsi="Times New Roman"/>
          <w:noProof/>
          <w:sz w:val="24"/>
          <w:szCs w:val="24"/>
        </w:rPr>
        <w:t xml:space="preserve"> encoded for the first time by Member States and is subsequently published in the TAM,</w:t>
      </w:r>
      <w:r>
        <w:rPr>
          <w:rFonts w:ascii="Times New Roman" w:hAnsi="Times New Roman"/>
          <w:noProof/>
          <w:sz w:val="24"/>
          <w:szCs w:val="24"/>
          <w:vertAlign w:val="superscript"/>
        </w:rPr>
        <w:footnoteReference w:id="130"/>
      </w:r>
      <w:r>
        <w:rPr>
          <w:rFonts w:ascii="Times New Roman" w:hAnsi="Times New Roman"/>
          <w:noProof/>
          <w:sz w:val="24"/>
          <w:szCs w:val="24"/>
        </w:rPr>
        <w:t xml:space="preserve"> the Commission verified the reporting for the schemes monitored.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follows up on irregularities and uses the means at its disposal, as appropriate, to add</w:t>
      </w:r>
      <w:r>
        <w:rPr>
          <w:rFonts w:ascii="Times New Roman" w:hAnsi="Times New Roman"/>
          <w:noProof/>
          <w:sz w:val="24"/>
          <w:szCs w:val="24"/>
        </w:rPr>
        <w:t>ress the competition distortions that these may have caused. In some cases, Member States offer to voluntarily redress the problems detected, for example to amend national legislation or to recover the excess aid granted. In other cases, the Commission may</w:t>
      </w:r>
      <w:r>
        <w:rPr>
          <w:rFonts w:ascii="Times New Roman" w:hAnsi="Times New Roman"/>
          <w:noProof/>
          <w:sz w:val="24"/>
          <w:szCs w:val="24"/>
        </w:rPr>
        <w:t xml:space="preserve"> need to take formal action. </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rPr>
        <w:t>Restoring competition through recovery of State aid granted in breach of the rules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To ensure the integrity of the single market, the Commission has the power and the duty to request that Member States recover unlawful and inco</w:t>
      </w:r>
      <w:r>
        <w:rPr>
          <w:rFonts w:ascii="Times New Roman" w:hAnsi="Times New Roman"/>
          <w:noProof/>
          <w:sz w:val="24"/>
          <w:szCs w:val="24"/>
        </w:rPr>
        <w:t>mpatible aid which has unduly distorted competition and trade between Member States. In 2018, further progress was made to ensure that recovery decisions are enforced effectively and immediately.</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By 31 December 2018, the sum of illegal and incompatible aid</w:t>
      </w:r>
      <w:r>
        <w:rPr>
          <w:rFonts w:ascii="Times New Roman" w:hAnsi="Times New Roman"/>
          <w:noProof/>
          <w:sz w:val="24"/>
          <w:szCs w:val="24"/>
        </w:rPr>
        <w:t xml:space="preserve"> recovered from beneficiaries amounted to EUR 26.6 billion.</w:t>
      </w:r>
      <w:r>
        <w:rPr>
          <w:rFonts w:ascii="Times New Roman" w:hAnsi="Times New Roman"/>
          <w:iCs/>
          <w:noProof/>
          <w:sz w:val="24"/>
          <w:szCs w:val="24"/>
          <w:vertAlign w:val="superscript"/>
        </w:rPr>
        <w:footnoteReference w:id="131"/>
      </w:r>
      <w:r>
        <w:rPr>
          <w:rFonts w:ascii="Times New Roman" w:hAnsi="Times New Roman"/>
          <w:noProof/>
          <w:sz w:val="24"/>
          <w:szCs w:val="24"/>
        </w:rPr>
        <w:t xml:space="preserve"> At the same point in time, the outstanding amount pending recovery was EUR 5 billion.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Commission adopted seven new recovery decisions and an amount of EUR 13.3 billion was recovered</w:t>
      </w:r>
      <w:r>
        <w:rPr>
          <w:rFonts w:ascii="Times New Roman" w:hAnsi="Times New Roman"/>
          <w:noProof/>
          <w:sz w:val="24"/>
          <w:szCs w:val="24"/>
        </w:rPr>
        <w:t xml:space="preserve"> by the Member States. As of the end of December, the Commission had 43 pending recovery cases.</w:t>
      </w:r>
    </w:p>
    <w:p w:rsidR="00320198" w:rsidRDefault="00320198">
      <w:pPr>
        <w:widowControl w:val="0"/>
        <w:spacing w:line="240" w:lineRule="auto"/>
        <w:jc w:val="both"/>
        <w:rPr>
          <w:rFonts w:ascii="Times New Roman" w:hAnsi="Times New Roman"/>
          <w:noProof/>
          <w:sz w:val="24"/>
          <w:szCs w:val="24"/>
        </w:rPr>
      </w:pPr>
    </w:p>
    <w:tbl>
      <w:tblPr>
        <w:tblW w:w="6045" w:type="dxa"/>
        <w:jc w:val="center"/>
        <w:tblLayout w:type="fixed"/>
        <w:tblCellMar>
          <w:left w:w="0" w:type="dxa"/>
          <w:right w:w="0" w:type="dxa"/>
        </w:tblCellMar>
        <w:tblLook w:val="04A0" w:firstRow="1" w:lastRow="0" w:firstColumn="1" w:lastColumn="0" w:noHBand="0" w:noVBand="1"/>
      </w:tblPr>
      <w:tblGrid>
        <w:gridCol w:w="4613"/>
        <w:gridCol w:w="1432"/>
      </w:tblGrid>
      <w:tr w:rsidR="00320198">
        <w:trPr>
          <w:trHeight w:hRule="exact" w:val="488"/>
          <w:jc w:val="center"/>
        </w:trPr>
        <w:tc>
          <w:tcPr>
            <w:tcW w:w="4613" w:type="dxa"/>
            <w:tcBorders>
              <w:top w:val="single" w:sz="4" w:space="0" w:color="auto"/>
              <w:left w:val="single" w:sz="4" w:space="0" w:color="auto"/>
              <w:bottom w:val="nil"/>
              <w:right w:val="nil"/>
            </w:tcBorders>
            <w:shd w:val="clear" w:color="auto" w:fill="FFFFFF"/>
            <w:vAlign w:val="center"/>
            <w:hideMark/>
          </w:tcPr>
          <w:p w:rsidR="00320198" w:rsidRDefault="005C0948">
            <w:pPr>
              <w:widowControl w:val="0"/>
              <w:rPr>
                <w:rFonts w:ascii="Times New Roman" w:hAnsi="Times New Roman"/>
                <w:noProof/>
              </w:rPr>
            </w:pPr>
            <w:r>
              <w:rPr>
                <w:rFonts w:ascii="Times New Roman" w:hAnsi="Times New Roman"/>
                <w:noProof/>
              </w:rPr>
              <w:t xml:space="preserve"> Recovery decisions adopted in 2018</w:t>
            </w:r>
          </w:p>
        </w:tc>
        <w:tc>
          <w:tcPr>
            <w:tcW w:w="1432" w:type="dxa"/>
            <w:tcBorders>
              <w:top w:val="single" w:sz="4" w:space="0" w:color="auto"/>
              <w:left w:val="single" w:sz="4" w:space="0" w:color="auto"/>
              <w:bottom w:val="nil"/>
              <w:right w:val="single" w:sz="4" w:space="0" w:color="auto"/>
            </w:tcBorders>
            <w:shd w:val="clear" w:color="auto" w:fill="FFFFFF"/>
            <w:vAlign w:val="center"/>
          </w:tcPr>
          <w:p w:rsidR="00320198" w:rsidRDefault="005C0948">
            <w:pPr>
              <w:widowControl w:val="0"/>
              <w:jc w:val="right"/>
              <w:rPr>
                <w:rFonts w:ascii="Times New Roman" w:hAnsi="Times New Roman"/>
                <w:noProof/>
              </w:rPr>
            </w:pPr>
            <w:r>
              <w:rPr>
                <w:rFonts w:ascii="Times New Roman" w:hAnsi="Times New Roman"/>
                <w:noProof/>
              </w:rPr>
              <w:t>7</w:t>
            </w:r>
          </w:p>
        </w:tc>
      </w:tr>
      <w:tr w:rsidR="00320198">
        <w:trPr>
          <w:trHeight w:hRule="exact" w:val="446"/>
          <w:jc w:val="center"/>
        </w:trPr>
        <w:tc>
          <w:tcPr>
            <w:tcW w:w="4613" w:type="dxa"/>
            <w:tcBorders>
              <w:top w:val="single" w:sz="4" w:space="0" w:color="auto"/>
              <w:left w:val="single" w:sz="4" w:space="0" w:color="auto"/>
              <w:bottom w:val="nil"/>
              <w:right w:val="nil"/>
            </w:tcBorders>
            <w:shd w:val="clear" w:color="auto" w:fill="FFFFFF"/>
            <w:vAlign w:val="center"/>
            <w:hideMark/>
          </w:tcPr>
          <w:p w:rsidR="00320198" w:rsidRDefault="005C0948">
            <w:pPr>
              <w:widowControl w:val="0"/>
              <w:rPr>
                <w:rFonts w:ascii="Times New Roman" w:hAnsi="Times New Roman"/>
                <w:noProof/>
              </w:rPr>
            </w:pPr>
            <w:r>
              <w:rPr>
                <w:rFonts w:ascii="Times New Roman" w:hAnsi="Times New Roman"/>
                <w:noProof/>
              </w:rPr>
              <w:t>Amount recovered in 2018 (EUR billion)</w:t>
            </w:r>
          </w:p>
        </w:tc>
        <w:tc>
          <w:tcPr>
            <w:tcW w:w="1432" w:type="dxa"/>
            <w:tcBorders>
              <w:top w:val="single" w:sz="4" w:space="0" w:color="auto"/>
              <w:left w:val="single" w:sz="4" w:space="0" w:color="auto"/>
              <w:bottom w:val="nil"/>
              <w:right w:val="single" w:sz="4" w:space="0" w:color="auto"/>
            </w:tcBorders>
            <w:shd w:val="clear" w:color="auto" w:fill="FFFFFF"/>
            <w:vAlign w:val="center"/>
          </w:tcPr>
          <w:p w:rsidR="00320198" w:rsidRDefault="005C0948">
            <w:pPr>
              <w:widowControl w:val="0"/>
              <w:jc w:val="right"/>
              <w:rPr>
                <w:rFonts w:ascii="Times New Roman" w:hAnsi="Times New Roman"/>
                <w:noProof/>
              </w:rPr>
            </w:pPr>
            <w:r>
              <w:rPr>
                <w:rFonts w:ascii="Times New Roman" w:hAnsi="Times New Roman"/>
                <w:noProof/>
              </w:rPr>
              <w:t>13.3</w:t>
            </w:r>
          </w:p>
        </w:tc>
      </w:tr>
      <w:tr w:rsidR="00320198">
        <w:trPr>
          <w:trHeight w:hRule="exact" w:val="455"/>
          <w:jc w:val="center"/>
        </w:trPr>
        <w:tc>
          <w:tcPr>
            <w:tcW w:w="4613" w:type="dxa"/>
            <w:tcBorders>
              <w:top w:val="single" w:sz="4" w:space="0" w:color="auto"/>
              <w:left w:val="single" w:sz="4" w:space="0" w:color="auto"/>
              <w:bottom w:val="single" w:sz="4" w:space="0" w:color="auto"/>
              <w:right w:val="nil"/>
            </w:tcBorders>
            <w:shd w:val="clear" w:color="auto" w:fill="FFFFFF"/>
            <w:vAlign w:val="center"/>
            <w:hideMark/>
          </w:tcPr>
          <w:p w:rsidR="00320198" w:rsidRDefault="005C0948">
            <w:pPr>
              <w:widowControl w:val="0"/>
              <w:rPr>
                <w:rFonts w:ascii="Times New Roman" w:hAnsi="Times New Roman"/>
                <w:noProof/>
              </w:rPr>
            </w:pPr>
            <w:r>
              <w:rPr>
                <w:rFonts w:ascii="Times New Roman" w:hAnsi="Times New Roman"/>
                <w:noProof/>
              </w:rPr>
              <w:t>Pending recovery cases on 31 December 2017</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rsidR="00320198" w:rsidRDefault="005C0948">
            <w:pPr>
              <w:widowControl w:val="0"/>
              <w:jc w:val="right"/>
              <w:rPr>
                <w:rFonts w:ascii="Times New Roman" w:hAnsi="Times New Roman"/>
                <w:noProof/>
              </w:rPr>
            </w:pPr>
            <w:r>
              <w:rPr>
                <w:rFonts w:ascii="Times New Roman" w:hAnsi="Times New Roman"/>
                <w:noProof/>
              </w:rPr>
              <w:t>43</w:t>
            </w:r>
          </w:p>
        </w:tc>
      </w:tr>
    </w:tbl>
    <w:p w:rsidR="00320198" w:rsidRDefault="005C0948">
      <w:pPr>
        <w:widowControl w:val="0"/>
        <w:spacing w:before="200" w:line="240" w:lineRule="auto"/>
        <w:jc w:val="both"/>
        <w:rPr>
          <w:rFonts w:ascii="Times New Roman" w:hAnsi="Times New Roman"/>
          <w:noProof/>
          <w:sz w:val="24"/>
          <w:szCs w:val="24"/>
        </w:rPr>
      </w:pPr>
      <w:r>
        <w:rPr>
          <w:rFonts w:ascii="Times New Roman" w:hAnsi="Times New Roman"/>
          <w:noProof/>
          <w:sz w:val="24"/>
          <w:szCs w:val="24"/>
        </w:rPr>
        <w:t>As a guardian of the Treaty,</w:t>
      </w:r>
      <w:r>
        <w:rPr>
          <w:rFonts w:ascii="Times New Roman" w:hAnsi="Times New Roman"/>
          <w:noProof/>
          <w:sz w:val="24"/>
          <w:szCs w:val="24"/>
        </w:rPr>
        <w:t xml:space="preserve"> the Commission may use all legal means at its disposal to ensure that Member States implement their recovery obligations, including launching infringement procedures. In 2018, the Commission decided to file one infringement action to the European Courts u</w:t>
      </w:r>
      <w:r>
        <w:rPr>
          <w:rFonts w:ascii="Times New Roman" w:hAnsi="Times New Roman"/>
          <w:noProof/>
          <w:sz w:val="24"/>
          <w:szCs w:val="24"/>
        </w:rPr>
        <w:t>nder Article 108(2) TFEU.</w:t>
      </w:r>
      <w:r>
        <w:rPr>
          <w:rFonts w:ascii="Times New Roman" w:hAnsi="Times New Roman"/>
          <w:noProof/>
          <w:sz w:val="24"/>
          <w:szCs w:val="24"/>
          <w:vertAlign w:val="superscript"/>
        </w:rPr>
        <w:footnoteReference w:id="132"/>
      </w:r>
      <w:r>
        <w:rPr>
          <w:rFonts w:ascii="Times New Roman" w:hAnsi="Times New Roman"/>
          <w:noProof/>
          <w:sz w:val="24"/>
          <w:szCs w:val="24"/>
        </w:rPr>
        <w:t xml:space="preserve"> </w:t>
      </w:r>
    </w:p>
    <w:p w:rsidR="00320198" w:rsidRDefault="005C0948">
      <w:pPr>
        <w:widowControl w:val="0"/>
        <w:spacing w:before="200" w:line="240" w:lineRule="auto"/>
        <w:jc w:val="both"/>
        <w:rPr>
          <w:rFonts w:ascii="Times New Roman" w:hAnsi="Times New Roman"/>
          <w:noProof/>
          <w:sz w:val="24"/>
          <w:szCs w:val="24"/>
        </w:rPr>
      </w:pPr>
      <w:r>
        <w:rPr>
          <w:rFonts w:ascii="Times New Roman" w:hAnsi="Times New Roman"/>
          <w:noProof/>
          <w:sz w:val="24"/>
          <w:szCs w:val="24"/>
        </w:rPr>
        <w:t>An in-depth review of the 2007 Commission's recovery notice</w:t>
      </w:r>
      <w:r>
        <w:rPr>
          <w:rFonts w:ascii="Times New Roman" w:hAnsi="Times New Roman"/>
          <w:noProof/>
          <w:sz w:val="24"/>
          <w:szCs w:val="24"/>
          <w:vertAlign w:val="superscript"/>
        </w:rPr>
        <w:footnoteReference w:id="133"/>
      </w:r>
      <w:r>
        <w:rPr>
          <w:rFonts w:ascii="Times New Roman" w:hAnsi="Times New Roman"/>
          <w:noProof/>
          <w:sz w:val="24"/>
          <w:szCs w:val="24"/>
        </w:rPr>
        <w:t xml:space="preserve"> was initiated in 2018 with the aim to consolidate into the text the case law developments established since. The new notice will also include more information on the infringement procedures, both Articles 108(2) TFEU and 260 TFEU, as well as established n</w:t>
      </w:r>
      <w:r>
        <w:rPr>
          <w:rFonts w:ascii="Times New Roman" w:hAnsi="Times New Roman"/>
          <w:noProof/>
          <w:sz w:val="24"/>
          <w:szCs w:val="24"/>
        </w:rPr>
        <w:t>ew practices in the cooperation between the Commission and the Member State concerned by a recovery decision.</w:t>
      </w:r>
    </w:p>
    <w:p w:rsidR="00320198" w:rsidRDefault="005C0948">
      <w:pPr>
        <w:widowControl w:val="0"/>
        <w:spacing w:before="200" w:line="240" w:lineRule="auto"/>
        <w:jc w:val="both"/>
        <w:rPr>
          <w:rFonts w:ascii="Times New Roman" w:hAnsi="Times New Roman"/>
          <w:i/>
          <w:noProof/>
          <w:sz w:val="24"/>
          <w:szCs w:val="24"/>
        </w:rPr>
      </w:pPr>
      <w:r>
        <w:rPr>
          <w:rFonts w:ascii="Times New Roman" w:hAnsi="Times New Roman"/>
          <w:i/>
          <w:noProof/>
          <w:sz w:val="24"/>
          <w:szCs w:val="24"/>
        </w:rPr>
        <w:t xml:space="preserve">Cooperation with national courts to ensure the effectiveness of State aid rules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continued its cooperation with national courts and</w:t>
      </w:r>
      <w:r>
        <w:rPr>
          <w:rFonts w:ascii="Times New Roman" w:hAnsi="Times New Roman"/>
          <w:noProof/>
          <w:sz w:val="24"/>
          <w:szCs w:val="24"/>
        </w:rPr>
        <w:t xml:space="preserve"> tribunals under Article 29 of the Procedural Regulation.</w:t>
      </w:r>
      <w:r>
        <w:rPr>
          <w:rFonts w:ascii="Times New Roman" w:hAnsi="Times New Roman"/>
          <w:noProof/>
          <w:sz w:val="24"/>
          <w:szCs w:val="24"/>
          <w:vertAlign w:val="superscript"/>
        </w:rPr>
        <w:footnoteReference w:id="134"/>
      </w:r>
      <w:r>
        <w:rPr>
          <w:rFonts w:ascii="Times New Roman" w:hAnsi="Times New Roman"/>
          <w:noProof/>
          <w:sz w:val="24"/>
          <w:szCs w:val="24"/>
        </w:rPr>
        <w:t xml:space="preserve"> This cooperation includes direct case-related assistance to national courts when they apply EU State aid law. The courts and tribunals can ask the Commission to provide case related information, or</w:t>
      </w:r>
      <w:r>
        <w:rPr>
          <w:rFonts w:ascii="Times New Roman" w:hAnsi="Times New Roman"/>
          <w:noProof/>
          <w:sz w:val="24"/>
          <w:szCs w:val="24"/>
        </w:rPr>
        <w:t xml:space="preserve"> to provide an opinion on the application of State aid rules. The Commission may also submit </w:t>
      </w:r>
      <w:r>
        <w:rPr>
          <w:rFonts w:ascii="Times New Roman" w:hAnsi="Times New Roman"/>
          <w:i/>
          <w:noProof/>
          <w:sz w:val="24"/>
          <w:szCs w:val="24"/>
        </w:rPr>
        <w:t>amicus curiae</w:t>
      </w:r>
      <w:r>
        <w:rPr>
          <w:rFonts w:ascii="Times New Roman" w:hAnsi="Times New Roman"/>
          <w:noProof/>
          <w:sz w:val="24"/>
          <w:szCs w:val="24"/>
        </w:rPr>
        <w:t xml:space="preserve"> observations at its own initiative.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Commission responded to two requests for information. In one instance, a district court in the Neth</w:t>
      </w:r>
      <w:r>
        <w:rPr>
          <w:rFonts w:ascii="Times New Roman" w:hAnsi="Times New Roman"/>
          <w:noProof/>
          <w:sz w:val="24"/>
          <w:szCs w:val="24"/>
        </w:rPr>
        <w:t>erlands enquired on the state of play in an investigation; the other request forwarded by a French administrative appeal court enquired on certain information which the Commission might have in the case file of a closed investigation.</w:t>
      </w:r>
    </w:p>
    <w:p w:rsidR="00320198" w:rsidRDefault="005C0948">
      <w:pPr>
        <w:keepNext/>
        <w:spacing w:line="240" w:lineRule="auto"/>
        <w:jc w:val="both"/>
        <w:rPr>
          <w:rFonts w:ascii="Times New Roman" w:hAnsi="Times New Roman"/>
          <w:noProof/>
          <w:sz w:val="24"/>
          <w:szCs w:val="24"/>
        </w:rPr>
      </w:pPr>
      <w:r>
        <w:rPr>
          <w:rFonts w:ascii="Times New Roman" w:hAnsi="Times New Roman"/>
          <w:noProof/>
          <w:sz w:val="24"/>
          <w:szCs w:val="24"/>
        </w:rPr>
        <w:t>The possibility for t</w:t>
      </w:r>
      <w:r>
        <w:rPr>
          <w:rFonts w:ascii="Times New Roman" w:hAnsi="Times New Roman"/>
          <w:noProof/>
          <w:sz w:val="24"/>
          <w:szCs w:val="24"/>
        </w:rPr>
        <w:t xml:space="preserve">he Commission to submit </w:t>
      </w:r>
      <w:r>
        <w:rPr>
          <w:rFonts w:ascii="Times New Roman" w:hAnsi="Times New Roman"/>
          <w:i/>
          <w:noProof/>
          <w:sz w:val="24"/>
          <w:szCs w:val="24"/>
        </w:rPr>
        <w:t>amicus curiae</w:t>
      </w:r>
      <w:r>
        <w:rPr>
          <w:rFonts w:ascii="Times New Roman" w:hAnsi="Times New Roman"/>
          <w:noProof/>
          <w:sz w:val="24"/>
          <w:szCs w:val="24"/>
        </w:rPr>
        <w:t xml:space="preserve"> observations before national courts on its own initiative was introduced in the 2013 amendment to the Procedural Regulation. In this respect, Article 29 of the Procedural Regulation mirrors Article 15(3) of Regulation </w:t>
      </w:r>
      <w:r>
        <w:rPr>
          <w:rFonts w:ascii="Times New Roman" w:hAnsi="Times New Roman"/>
          <w:noProof/>
          <w:sz w:val="24"/>
          <w:szCs w:val="24"/>
        </w:rPr>
        <w:t>1/2003 in the field of antitrust. In 2018, the Commission intervened in proceedings before the courts in six Member States and in arbitral proceedings where State aid issues were considered.</w:t>
      </w:r>
      <w:r>
        <w:rPr>
          <w:rFonts w:ascii="Times New Roman" w:hAnsi="Times New Roman"/>
          <w:noProof/>
          <w:sz w:val="24"/>
          <w:szCs w:val="24"/>
          <w:vertAlign w:val="superscript"/>
        </w:rPr>
        <w:footnoteReference w:id="135"/>
      </w:r>
      <w:r>
        <w:rPr>
          <w:rFonts w:ascii="Times New Roman" w:hAnsi="Times New Roman"/>
          <w:noProof/>
          <w:sz w:val="24"/>
          <w:szCs w:val="24"/>
        </w:rPr>
        <w:t xml:space="preserve"> To make its views publicly known, the Commission publishes its o</w:t>
      </w:r>
      <w:r>
        <w:rPr>
          <w:rFonts w:ascii="Times New Roman" w:hAnsi="Times New Roman"/>
          <w:noProof/>
          <w:sz w:val="24"/>
          <w:szCs w:val="24"/>
        </w:rPr>
        <w:t xml:space="preserve">pinions and </w:t>
      </w:r>
      <w:r>
        <w:rPr>
          <w:rFonts w:ascii="Times New Roman" w:hAnsi="Times New Roman"/>
          <w:i/>
          <w:noProof/>
          <w:sz w:val="24"/>
          <w:szCs w:val="24"/>
        </w:rPr>
        <w:t>amicus curiae</w:t>
      </w:r>
      <w:r>
        <w:rPr>
          <w:rFonts w:ascii="Times New Roman" w:hAnsi="Times New Roman"/>
          <w:noProof/>
          <w:sz w:val="24"/>
          <w:szCs w:val="24"/>
        </w:rPr>
        <w:t xml:space="preserve"> observations, as well as observations to others, on its website.</w:t>
      </w:r>
      <w:r>
        <w:rPr>
          <w:rFonts w:ascii="Times New Roman" w:hAnsi="Times New Roman"/>
          <w:noProof/>
          <w:sz w:val="24"/>
          <w:szCs w:val="24"/>
          <w:vertAlign w:val="superscript"/>
        </w:rPr>
        <w:footnoteReference w:id="136"/>
      </w:r>
      <w:r>
        <w:rPr>
          <w:rFonts w:ascii="Times New Roman" w:hAnsi="Times New Roman"/>
          <w:noProof/>
          <w:sz w:val="24"/>
          <w:szCs w:val="24"/>
        </w:rPr>
        <w:t xml:space="preserv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Commission also continued its advocacy efforts. It was actively involved in evaluating the financing of training programmes for national judges and in</w:t>
      </w:r>
      <w:r>
        <w:rPr>
          <w:rFonts w:ascii="Times New Roman" w:hAnsi="Times New Roman"/>
          <w:noProof/>
          <w:sz w:val="24"/>
          <w:szCs w:val="24"/>
        </w:rPr>
        <w:t xml:space="preserve"> assessing their needs. The Commission staff also provided training during workshops and conferences.</w:t>
      </w:r>
      <w:r>
        <w:rPr>
          <w:rFonts w:ascii="Times New Roman" w:hAnsi="Times New Roman"/>
          <w:noProof/>
          <w:sz w:val="24"/>
          <w:szCs w:val="24"/>
          <w:vertAlign w:val="superscript"/>
        </w:rPr>
        <w:footnoteReference w:id="137"/>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Finally, in 2018 the Commission commissioned a study on the application of the cooperation tools by national courts to analyse in greater depth the State</w:t>
      </w:r>
      <w:r>
        <w:rPr>
          <w:rFonts w:ascii="Times New Roman" w:hAnsi="Times New Roman"/>
          <w:noProof/>
          <w:sz w:val="24"/>
          <w:szCs w:val="24"/>
        </w:rPr>
        <w:t xml:space="preserve"> aid rulings of courts in the 28 EU Member States.</w:t>
      </w:r>
    </w:p>
    <w:p w:rsidR="00320198" w:rsidRDefault="005C0948">
      <w:pPr>
        <w:widowControl w:val="0"/>
        <w:spacing w:line="240" w:lineRule="auto"/>
        <w:ind w:left="360"/>
        <w:outlineLvl w:val="2"/>
        <w:rPr>
          <w:rFonts w:ascii="Times New Roman" w:eastAsia="Times New Roman" w:hAnsi="Times New Roman"/>
          <w:b/>
          <w:bCs/>
          <w:noProof/>
          <w:sz w:val="24"/>
          <w:szCs w:val="24"/>
          <w:lang w:eastAsia="en-GB"/>
        </w:rPr>
      </w:pPr>
      <w:bookmarkStart w:id="31" w:name="_Toc8831310"/>
      <w:r>
        <w:rPr>
          <w:rFonts w:ascii="Times New Roman" w:eastAsia="Times New Roman" w:hAnsi="Times New Roman"/>
          <w:b/>
          <w:bCs/>
          <w:noProof/>
          <w:sz w:val="24"/>
          <w:szCs w:val="24"/>
          <w:lang w:eastAsia="en-GB"/>
        </w:rPr>
        <w:t>3.4 Significant judgments by the European Union Courts in the State aid area</w:t>
      </w:r>
      <w:bookmarkEnd w:id="31"/>
      <w:r>
        <w:rPr>
          <w:rFonts w:ascii="Times New Roman" w:eastAsia="Times New Roman" w:hAnsi="Times New Roman"/>
          <w:b/>
          <w:bCs/>
          <w:noProof/>
          <w:sz w:val="24"/>
          <w:szCs w:val="24"/>
          <w:lang w:eastAsia="en-GB"/>
        </w:rPr>
        <w:t xml:space="preserv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EU Courts adopted a number of important judgments in the State aid area. The following overview is based on a selection of court judgments, notably on issues related to the concept of advantage, selectivity, compatibility assessment and on a n</w:t>
      </w:r>
      <w:r>
        <w:rPr>
          <w:rFonts w:ascii="Times New Roman" w:hAnsi="Times New Roman"/>
          <w:noProof/>
          <w:sz w:val="24"/>
          <w:szCs w:val="24"/>
        </w:rPr>
        <w:t xml:space="preserve">umber of procedural points. </w:t>
      </w:r>
    </w:p>
    <w:p w:rsidR="00320198" w:rsidRDefault="005C0948">
      <w:pPr>
        <w:widowControl w:val="0"/>
        <w:jc w:val="both"/>
        <w:rPr>
          <w:rFonts w:ascii="Times New Roman" w:hAnsi="Times New Roman"/>
          <w:i/>
          <w:noProof/>
          <w:sz w:val="24"/>
          <w:szCs w:val="24"/>
        </w:rPr>
      </w:pPr>
      <w:r>
        <w:rPr>
          <w:rFonts w:ascii="Times New Roman" w:hAnsi="Times New Roman"/>
          <w:i/>
          <w:noProof/>
          <w:sz w:val="24"/>
          <w:szCs w:val="24"/>
        </w:rPr>
        <w:t xml:space="preserve">Advantage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most relevant judgments as regards advantage are </w:t>
      </w:r>
      <w:r>
        <w:rPr>
          <w:rFonts w:ascii="Times New Roman" w:hAnsi="Times New Roman"/>
          <w:i/>
          <w:noProof/>
          <w:sz w:val="24"/>
          <w:szCs w:val="24"/>
        </w:rPr>
        <w:t>FIH</w:t>
      </w:r>
      <w:r>
        <w:rPr>
          <w:rFonts w:ascii="Times New Roman" w:hAnsi="Times New Roman"/>
          <w:i/>
          <w:noProof/>
          <w:sz w:val="24"/>
          <w:szCs w:val="24"/>
          <w:vertAlign w:val="superscript"/>
        </w:rPr>
        <w:footnoteReference w:id="138"/>
      </w:r>
      <w:r>
        <w:rPr>
          <w:rFonts w:ascii="Times New Roman" w:hAnsi="Times New Roman"/>
          <w:noProof/>
          <w:sz w:val="24"/>
          <w:szCs w:val="24"/>
        </w:rPr>
        <w:t xml:space="preserve"> and </w:t>
      </w:r>
      <w:r>
        <w:rPr>
          <w:rFonts w:ascii="Times New Roman" w:hAnsi="Times New Roman"/>
          <w:i/>
          <w:noProof/>
          <w:sz w:val="24"/>
          <w:szCs w:val="24"/>
        </w:rPr>
        <w:t>EDF.</w:t>
      </w:r>
      <w:r>
        <w:rPr>
          <w:rFonts w:ascii="Times New Roman" w:hAnsi="Times New Roman"/>
          <w:noProof/>
          <w:sz w:val="24"/>
          <w:szCs w:val="24"/>
          <w:vertAlign w:val="superscript"/>
        </w:rPr>
        <w:footnoteReference w:id="139"/>
      </w:r>
      <w:r>
        <w:rPr>
          <w:rFonts w:ascii="Times New Roman" w:hAnsi="Times New Roman"/>
          <w:noProof/>
          <w:sz w:val="24"/>
          <w:szCs w:val="24"/>
        </w:rPr>
        <w:t xml:space="preserv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i/>
          <w:noProof/>
          <w:sz w:val="24"/>
          <w:szCs w:val="24"/>
        </w:rPr>
        <w:t>FIH</w:t>
      </w:r>
      <w:r>
        <w:rPr>
          <w:rFonts w:ascii="Times New Roman" w:hAnsi="Times New Roman"/>
          <w:noProof/>
          <w:sz w:val="24"/>
          <w:szCs w:val="24"/>
        </w:rPr>
        <w:t>, the Court of Justice overturned the General Court judgement and upheld the Commission 2014 decision. The case concerned two successive Stat</w:t>
      </w:r>
      <w:r>
        <w:rPr>
          <w:rFonts w:ascii="Times New Roman" w:hAnsi="Times New Roman"/>
          <w:noProof/>
          <w:sz w:val="24"/>
          <w:szCs w:val="24"/>
        </w:rPr>
        <w:t>e aid measures declared compatible by the Commission (in 2009 and 2014) and the applicability/application of the MEOP to the second one, in its declination as market economy investor test (as argued by the Commission) or market economy creditor test (as he</w:t>
      </w:r>
      <w:r>
        <w:rPr>
          <w:rFonts w:ascii="Times New Roman" w:hAnsi="Times New Roman"/>
          <w:noProof/>
          <w:sz w:val="24"/>
          <w:szCs w:val="24"/>
        </w:rPr>
        <w:t>ld by the General Court).</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Court of Justice first confirmed that the Market Economy Operator Principle (“MEOP”) is applicable to the case of FIH. The Court of Justice first noted that in order to apply the MEOP only the benefits and obligations linked to the situation of the Sta</w:t>
      </w:r>
      <w:r>
        <w:rPr>
          <w:rFonts w:ascii="Times New Roman" w:hAnsi="Times New Roman"/>
          <w:noProof/>
          <w:sz w:val="24"/>
          <w:szCs w:val="24"/>
        </w:rPr>
        <w:t xml:space="preserve">te as a private operator, to the exclusion of those linked to its situation as a public authority, are to be taken into account. In this regard, in line with the </w:t>
      </w:r>
      <w:r>
        <w:rPr>
          <w:rFonts w:ascii="Times New Roman" w:hAnsi="Times New Roman"/>
          <w:i/>
          <w:noProof/>
          <w:sz w:val="24"/>
          <w:szCs w:val="24"/>
        </w:rPr>
        <w:t>Land Burgenland</w:t>
      </w:r>
      <w:r>
        <w:rPr>
          <w:rFonts w:ascii="Times New Roman" w:hAnsi="Times New Roman"/>
          <w:noProof/>
          <w:sz w:val="24"/>
          <w:szCs w:val="24"/>
        </w:rPr>
        <w:t xml:space="preserve"> case law,</w:t>
      </w:r>
      <w:r>
        <w:rPr>
          <w:rFonts w:ascii="Times New Roman" w:hAnsi="Times New Roman"/>
          <w:noProof/>
          <w:sz w:val="24"/>
          <w:szCs w:val="24"/>
          <w:vertAlign w:val="superscript"/>
        </w:rPr>
        <w:footnoteReference w:id="140"/>
      </w:r>
      <w:r>
        <w:rPr>
          <w:rFonts w:ascii="Times New Roman" w:hAnsi="Times New Roman"/>
          <w:noProof/>
          <w:sz w:val="24"/>
          <w:szCs w:val="24"/>
        </w:rPr>
        <w:t xml:space="preserve"> the Court of Justice reiterated that by granting aid, a Member Stat</w:t>
      </w:r>
      <w:r>
        <w:rPr>
          <w:rFonts w:ascii="Times New Roman" w:hAnsi="Times New Roman"/>
          <w:noProof/>
          <w:sz w:val="24"/>
          <w:szCs w:val="24"/>
        </w:rPr>
        <w:t>e pursues by definition objectives other than that of making profits: the risks resulting from that State aid are not among the factors that a private operator under normal market conditions would have taken into account in its economic calculations. Since</w:t>
      </w:r>
      <w:r>
        <w:rPr>
          <w:rFonts w:ascii="Times New Roman" w:hAnsi="Times New Roman"/>
          <w:noProof/>
          <w:sz w:val="24"/>
          <w:szCs w:val="24"/>
        </w:rPr>
        <w:t xml:space="preserve"> the 2009 measures were clearly State aid under Article 107 TFEU, the Court of Justice concluded that the General Court had wrongly required the Commission to assess the economic rationale of the second measure from the point of view of a private creditor </w:t>
      </w:r>
      <w:r>
        <w:rPr>
          <w:rFonts w:ascii="Times New Roman" w:hAnsi="Times New Roman"/>
          <w:noProof/>
          <w:sz w:val="24"/>
          <w:szCs w:val="24"/>
        </w:rPr>
        <w:t>rather than a private investor.</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Another important judgement related to the existence of an advantage and the applicability/application of the MEOP is </w:t>
      </w:r>
      <w:r>
        <w:rPr>
          <w:rFonts w:ascii="Times New Roman" w:hAnsi="Times New Roman"/>
          <w:i/>
          <w:noProof/>
          <w:sz w:val="24"/>
          <w:szCs w:val="24"/>
        </w:rPr>
        <w:t>EDF</w:t>
      </w:r>
      <w:r>
        <w:rPr>
          <w:rFonts w:ascii="Times New Roman" w:hAnsi="Times New Roman"/>
          <w:noProof/>
          <w:sz w:val="24"/>
          <w:szCs w:val="24"/>
        </w:rPr>
        <w:t>. In its judgment, the General Court fully upheld the Commission’s decision of 22 July 2015 and, accord</w:t>
      </w:r>
      <w:r>
        <w:rPr>
          <w:rFonts w:ascii="Times New Roman" w:hAnsi="Times New Roman"/>
          <w:noProof/>
          <w:sz w:val="24"/>
          <w:szCs w:val="24"/>
        </w:rPr>
        <w:t>ingly, the obligation for France to recover approximately EUR 1.37 billion from EDF.</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General Court stated that the applicability of the MEOP test (in its declination as Market Economy Investor Principle, “MEIP”, in this case) ultimately depends on the </w:t>
      </w:r>
      <w:r>
        <w:rPr>
          <w:rFonts w:ascii="Times New Roman" w:hAnsi="Times New Roman"/>
          <w:noProof/>
          <w:sz w:val="24"/>
          <w:szCs w:val="24"/>
        </w:rPr>
        <w:t>State having conferred, in its capacity as shareholder and not in its capacity as public authority, an economic advantage to an undertaking belonging to it. It is for the Member State to demonstrate that before or at the same time as conferring the advanta</w:t>
      </w:r>
      <w:r>
        <w:rPr>
          <w:rFonts w:ascii="Times New Roman" w:hAnsi="Times New Roman"/>
          <w:noProof/>
          <w:sz w:val="24"/>
          <w:szCs w:val="24"/>
        </w:rPr>
        <w:t xml:space="preserve">ge, it took the decision to make an investment in that undertaking in line with what a private investor would have done. In order to establish the economic rationale of its decision, the Member State can submit elements showing that the decision was based </w:t>
      </w:r>
      <w:r>
        <w:rPr>
          <w:rFonts w:ascii="Times New Roman" w:hAnsi="Times New Roman"/>
          <w:noProof/>
          <w:sz w:val="24"/>
          <w:szCs w:val="24"/>
        </w:rPr>
        <w:t>on economic evaluations comparable to those that a private investor would have made before implementing the measure at issue for the purposes of determining its future profitability. The elements taken into account must be contemporaneous to the measure an</w:t>
      </w:r>
      <w:r>
        <w:rPr>
          <w:rFonts w:ascii="Times New Roman" w:hAnsi="Times New Roman"/>
          <w:noProof/>
          <w:sz w:val="24"/>
          <w:szCs w:val="24"/>
        </w:rPr>
        <w:t>d cannot result from ex post studies. The General Court  noted that in the case of EDF this had not occurred and upheld the Commission decision.</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i/>
          <w:noProof/>
          <w:sz w:val="24"/>
          <w:szCs w:val="24"/>
        </w:rPr>
        <w:t>Selectivity</w:t>
      </w:r>
    </w:p>
    <w:p w:rsidR="00320198" w:rsidRDefault="005C0948">
      <w:pPr>
        <w:widowControl w:val="0"/>
        <w:jc w:val="both"/>
        <w:rPr>
          <w:rFonts w:ascii="Times New Roman" w:hAnsi="Times New Roman"/>
          <w:noProof/>
          <w:sz w:val="24"/>
          <w:szCs w:val="24"/>
        </w:rPr>
      </w:pPr>
      <w:r>
        <w:rPr>
          <w:rFonts w:ascii="Times New Roman" w:hAnsi="Times New Roman"/>
          <w:noProof/>
          <w:sz w:val="24"/>
          <w:szCs w:val="24"/>
        </w:rPr>
        <w:t xml:space="preserve">In 2018, the EU courts delivered a number of judgements dealing with the selective nature of State </w:t>
      </w:r>
      <w:r>
        <w:rPr>
          <w:rFonts w:ascii="Times New Roman" w:hAnsi="Times New Roman"/>
          <w:noProof/>
          <w:sz w:val="24"/>
          <w:szCs w:val="24"/>
        </w:rPr>
        <w:t>measures.</w:t>
      </w:r>
    </w:p>
    <w:p w:rsidR="00320198" w:rsidRDefault="005C0948">
      <w:pPr>
        <w:widowControl w:val="0"/>
        <w:jc w:val="both"/>
        <w:rPr>
          <w:rFonts w:ascii="Times New Roman" w:hAnsi="Times New Roman"/>
          <w:noProof/>
          <w:sz w:val="24"/>
          <w:szCs w:val="24"/>
        </w:rPr>
      </w:pPr>
      <w:r>
        <w:rPr>
          <w:rFonts w:ascii="Times New Roman" w:hAnsi="Times New Roman"/>
          <w:i/>
          <w:noProof/>
          <w:sz w:val="24"/>
          <w:szCs w:val="24"/>
        </w:rPr>
        <w:t>The three-step test</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selectivity issues, it is worth noting firstly the preliminary ruling in the </w:t>
      </w:r>
      <w:r>
        <w:rPr>
          <w:rFonts w:ascii="Times New Roman" w:hAnsi="Times New Roman"/>
          <w:i/>
          <w:noProof/>
          <w:sz w:val="24"/>
          <w:szCs w:val="24"/>
        </w:rPr>
        <w:t>A-Brauerei</w:t>
      </w:r>
      <w:r>
        <w:rPr>
          <w:rFonts w:ascii="Times New Roman" w:hAnsi="Times New Roman"/>
          <w:noProof/>
          <w:sz w:val="24"/>
          <w:szCs w:val="24"/>
        </w:rPr>
        <w:t xml:space="preserve"> case.</w:t>
      </w:r>
      <w:r>
        <w:rPr>
          <w:rFonts w:ascii="Times New Roman" w:hAnsi="Times New Roman"/>
          <w:noProof/>
          <w:sz w:val="24"/>
          <w:szCs w:val="24"/>
          <w:vertAlign w:val="superscript"/>
        </w:rPr>
        <w:footnoteReference w:id="141"/>
      </w:r>
      <w:r>
        <w:rPr>
          <w:rFonts w:ascii="Times New Roman" w:hAnsi="Times New Roman"/>
          <w:noProof/>
          <w:sz w:val="24"/>
          <w:szCs w:val="24"/>
        </w:rPr>
        <w:t xml:space="preserve"> The case concerns an exemption from the German tax on real property transfers (Grunderwerbsteuergesetz) in certain cases - trans</w:t>
      </w:r>
      <w:r>
        <w:rPr>
          <w:rFonts w:ascii="Times New Roman" w:hAnsi="Times New Roman"/>
          <w:noProof/>
          <w:sz w:val="24"/>
          <w:szCs w:val="24"/>
        </w:rPr>
        <w:t>fers of properties in the context of transformations within groups - and in particular whether such an exemption constitutes a selective advantage and thus State aid. The Court of Justice confirmed that the selectivity of a fiscal measure has to be assesse</w:t>
      </w:r>
      <w:r>
        <w:rPr>
          <w:rFonts w:ascii="Times New Roman" w:hAnsi="Times New Roman"/>
          <w:noProof/>
          <w:sz w:val="24"/>
          <w:szCs w:val="24"/>
        </w:rPr>
        <w:t>d using the methodology of the three-step test.</w:t>
      </w:r>
      <w:r>
        <w:rPr>
          <w:rFonts w:ascii="Times New Roman" w:hAnsi="Times New Roman"/>
          <w:noProof/>
          <w:sz w:val="24"/>
          <w:szCs w:val="24"/>
          <w:vertAlign w:val="superscript"/>
        </w:rPr>
        <w:footnoteReference w:id="142"/>
      </w:r>
      <w:r>
        <w:rPr>
          <w:rFonts w:ascii="Times New Roman" w:hAnsi="Times New Roman"/>
          <w:noProof/>
          <w:sz w:val="24"/>
          <w:szCs w:val="24"/>
        </w:rPr>
        <w:t xml:space="preserve"> The Court of Justice ruled that the tax exemption at stake constitutes a </w:t>
      </w:r>
      <w:r>
        <w:rPr>
          <w:rFonts w:ascii="Times New Roman" w:hAnsi="Times New Roman"/>
          <w:i/>
          <w:noProof/>
          <w:sz w:val="24"/>
          <w:szCs w:val="24"/>
        </w:rPr>
        <w:t>prima facie</w:t>
      </w:r>
      <w:r>
        <w:rPr>
          <w:rFonts w:ascii="Times New Roman" w:hAnsi="Times New Roman"/>
          <w:noProof/>
          <w:sz w:val="24"/>
          <w:szCs w:val="24"/>
        </w:rPr>
        <w:t xml:space="preserve"> selective advantage since it differentiates between companies which are in the same situation, in the light of its objecti</w:t>
      </w:r>
      <w:r>
        <w:rPr>
          <w:rFonts w:ascii="Times New Roman" w:hAnsi="Times New Roman"/>
          <w:noProof/>
          <w:sz w:val="24"/>
          <w:szCs w:val="24"/>
        </w:rPr>
        <w:t>ve (taxing any change in ownership of real property). However, it also considered that this difference in treatment could be justified (in certain circumstances) by a guiding principle of the tax system, namely the principle to avoid double taxation, there</w:t>
      </w:r>
      <w:r>
        <w:rPr>
          <w:rFonts w:ascii="Times New Roman" w:hAnsi="Times New Roman"/>
          <w:noProof/>
          <w:sz w:val="24"/>
          <w:szCs w:val="24"/>
        </w:rPr>
        <w:t xml:space="preserve">by potentially escaping the qualification as State aid.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Another important judgement on the application of the three-step test is </w:t>
      </w:r>
      <w:r>
        <w:rPr>
          <w:rFonts w:ascii="Times New Roman" w:hAnsi="Times New Roman"/>
          <w:i/>
          <w:noProof/>
          <w:sz w:val="24"/>
          <w:szCs w:val="24"/>
        </w:rPr>
        <w:t>Sanierungklausel,</w:t>
      </w:r>
      <w:r>
        <w:rPr>
          <w:rFonts w:ascii="Times New Roman" w:hAnsi="Times New Roman"/>
          <w:i/>
          <w:noProof/>
          <w:sz w:val="24"/>
          <w:szCs w:val="24"/>
          <w:vertAlign w:val="superscript"/>
        </w:rPr>
        <w:footnoteReference w:id="143"/>
      </w:r>
      <w:r>
        <w:rPr>
          <w:rFonts w:ascii="Times New Roman" w:hAnsi="Times New Roman"/>
          <w:noProof/>
          <w:sz w:val="24"/>
          <w:szCs w:val="24"/>
        </w:rPr>
        <w:t xml:space="preserve"> where the Court of Justice overturned the General Court judgements</w:t>
      </w:r>
      <w:r>
        <w:rPr>
          <w:rFonts w:ascii="Times New Roman" w:hAnsi="Times New Roman"/>
          <w:noProof/>
          <w:sz w:val="24"/>
          <w:szCs w:val="24"/>
          <w:vertAlign w:val="superscript"/>
        </w:rPr>
        <w:footnoteReference w:id="144"/>
      </w:r>
      <w:r>
        <w:rPr>
          <w:rFonts w:ascii="Times New Roman" w:hAnsi="Times New Roman"/>
          <w:noProof/>
          <w:sz w:val="24"/>
          <w:szCs w:val="24"/>
        </w:rPr>
        <w:t xml:space="preserve"> and annulled the Commission's decision </w:t>
      </w:r>
      <w:r>
        <w:rPr>
          <w:rFonts w:ascii="Times New Roman" w:hAnsi="Times New Roman"/>
          <w:noProof/>
          <w:sz w:val="24"/>
          <w:szCs w:val="24"/>
        </w:rPr>
        <w:t>of 26 January 2011.</w:t>
      </w:r>
      <w:r>
        <w:rPr>
          <w:rFonts w:ascii="Times New Roman" w:hAnsi="Times New Roman"/>
          <w:noProof/>
          <w:sz w:val="24"/>
          <w:szCs w:val="24"/>
          <w:vertAlign w:val="superscript"/>
        </w:rPr>
        <w:footnoteReference w:id="145"/>
      </w:r>
      <w:r>
        <w:rPr>
          <w:rFonts w:ascii="Times New Roman" w:hAnsi="Times New Roman"/>
          <w:noProof/>
          <w:sz w:val="24"/>
          <w:szCs w:val="24"/>
        </w:rPr>
        <w:t xml:space="preserve"> In substance, the cases deal with the application of State aid rules to an exception from an exception in the corporate tax system. The German system of loss carry-forward allows companies to offset losses in a given year against taxes</w:t>
      </w:r>
      <w:r>
        <w:rPr>
          <w:rFonts w:ascii="Times New Roman" w:hAnsi="Times New Roman"/>
          <w:noProof/>
          <w:sz w:val="24"/>
          <w:szCs w:val="24"/>
        </w:rPr>
        <w:t xml:space="preserve"> on profits in future years, except when there has been a significant change in ownership. The latter rule is aimed at preventing abuses, such as acquiring failed companies for the sole purpose of tax avoidance. A third rule, the so-called "Sanierungsklaus</w:t>
      </w:r>
      <w:r>
        <w:rPr>
          <w:rFonts w:ascii="Times New Roman" w:hAnsi="Times New Roman"/>
          <w:noProof/>
          <w:sz w:val="24"/>
          <w:szCs w:val="24"/>
        </w:rPr>
        <w:t>el" or reorganisation clause, authorises the loss carry-forward for companies that are illiquid or over-indebted, despite a change in ownership, if the change serves the purpose of restructuring. The Commission's decision (confirmed by the General Court) c</w:t>
      </w:r>
      <w:r>
        <w:rPr>
          <w:rFonts w:ascii="Times New Roman" w:hAnsi="Times New Roman"/>
          <w:noProof/>
          <w:sz w:val="24"/>
          <w:szCs w:val="24"/>
        </w:rPr>
        <w:t>oncluded that this clause was incompatible aid because it departed from the general rule preventing the carry-forward of losses after a significant change in ownership and procured a selective advantage to companies in difficulty. The Court of Justice, how</w:t>
      </w:r>
      <w:r>
        <w:rPr>
          <w:rFonts w:ascii="Times New Roman" w:hAnsi="Times New Roman"/>
          <w:noProof/>
          <w:sz w:val="24"/>
          <w:szCs w:val="24"/>
        </w:rPr>
        <w:t>ever, overturned the General Court's judgements and annulled the decision, taking the view that the Commission had wrongly defined the reference framework. First, the Court of Justice pointed out that the selectivity of a tax rule does not depend on whethe</w:t>
      </w:r>
      <w:r>
        <w:rPr>
          <w:rFonts w:ascii="Times New Roman" w:hAnsi="Times New Roman"/>
          <w:noProof/>
          <w:sz w:val="24"/>
          <w:szCs w:val="24"/>
        </w:rPr>
        <w:t>r it is an exception to a general rule or not. This is only relevant when it leads to treating differently two groups of persons which, in light of the objective of the measure, are in a comparable legal and factual situation. The Court of Justice then hel</w:t>
      </w:r>
      <w:r>
        <w:rPr>
          <w:rFonts w:ascii="Times New Roman" w:hAnsi="Times New Roman"/>
          <w:noProof/>
          <w:sz w:val="24"/>
          <w:szCs w:val="24"/>
        </w:rPr>
        <w:t>d that the prohibition to carry forward losses in case of a significant change in ownership was clearly an exception to the general rule of loss carry-forward. The Court of Justice considered that the General Court erred when it accepted that the Commissio</w:t>
      </w:r>
      <w:r>
        <w:rPr>
          <w:rFonts w:ascii="Times New Roman" w:hAnsi="Times New Roman"/>
          <w:noProof/>
          <w:sz w:val="24"/>
          <w:szCs w:val="24"/>
        </w:rPr>
        <w:t xml:space="preserve">n, while noting the existence of a more general loss carry-forward rule, determined the reference framework to be the rule governing the forfeiture of losses in case of change of ownership. Because the incorrect definition of the reference system corrupts </w:t>
      </w:r>
      <w:r>
        <w:rPr>
          <w:rFonts w:ascii="Times New Roman" w:hAnsi="Times New Roman"/>
          <w:noProof/>
          <w:sz w:val="24"/>
          <w:szCs w:val="24"/>
        </w:rPr>
        <w:t>the entire selectivity analysis, the Court of Justice annulled the decision.</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rPr>
        <w:t>Special purpose levies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A further important judgement in the field of selectivity (and in particular for the assessment of selectivity of special purpose levies with a parafiscal o</w:t>
      </w:r>
      <w:r>
        <w:rPr>
          <w:rFonts w:ascii="Times New Roman" w:hAnsi="Times New Roman"/>
          <w:noProof/>
          <w:sz w:val="24"/>
          <w:szCs w:val="24"/>
        </w:rPr>
        <w:t xml:space="preserve">bjective) is the preliminary ruling in </w:t>
      </w:r>
      <w:r>
        <w:rPr>
          <w:rFonts w:ascii="Times New Roman" w:hAnsi="Times New Roman"/>
          <w:i/>
          <w:noProof/>
          <w:sz w:val="24"/>
          <w:szCs w:val="24"/>
        </w:rPr>
        <w:t>ANGED.</w:t>
      </w:r>
      <w:r>
        <w:rPr>
          <w:rFonts w:ascii="Times New Roman" w:hAnsi="Times New Roman"/>
          <w:noProof/>
          <w:sz w:val="24"/>
          <w:szCs w:val="24"/>
          <w:vertAlign w:val="superscript"/>
        </w:rPr>
        <w:footnoteReference w:id="146"/>
      </w:r>
      <w:r>
        <w:rPr>
          <w:rFonts w:ascii="Times New Roman" w:hAnsi="Times New Roman"/>
          <w:noProof/>
          <w:sz w:val="24"/>
          <w:szCs w:val="24"/>
        </w:rPr>
        <w:t xml:space="preserve"> The case concerns (regional) taxes on large retail operators. The objectives assigned to the retail taxes are environmental protection and town and country planning, that is to say the need to develop urban in</w:t>
      </w:r>
      <w:r>
        <w:rPr>
          <w:rFonts w:ascii="Times New Roman" w:hAnsi="Times New Roman"/>
          <w:noProof/>
          <w:sz w:val="24"/>
          <w:szCs w:val="24"/>
        </w:rPr>
        <w:t>frastructure and to take into account the pollution created by customers using private cars to go shopping.</w:t>
      </w:r>
    </w:p>
    <w:p w:rsidR="00320198" w:rsidRDefault="005C0948">
      <w:pPr>
        <w:keepNext/>
        <w:spacing w:line="240" w:lineRule="auto"/>
        <w:jc w:val="both"/>
        <w:rPr>
          <w:rFonts w:ascii="Times New Roman" w:hAnsi="Times New Roman"/>
          <w:noProof/>
          <w:sz w:val="24"/>
          <w:szCs w:val="24"/>
        </w:rPr>
      </w:pPr>
      <w:r>
        <w:rPr>
          <w:rFonts w:ascii="Times New Roman" w:hAnsi="Times New Roman"/>
          <w:noProof/>
          <w:sz w:val="24"/>
          <w:szCs w:val="24"/>
        </w:rPr>
        <w:t>The taxes are calculated on the basis of the surface of the retail establishment, as a proxy for the adverse effects caused mainly by the use of pri</w:t>
      </w:r>
      <w:r>
        <w:rPr>
          <w:rFonts w:ascii="Times New Roman" w:hAnsi="Times New Roman"/>
          <w:noProof/>
          <w:sz w:val="24"/>
          <w:szCs w:val="24"/>
        </w:rPr>
        <w:t>vate cars by customers. The most prominent features of the measures are (i) an exemption for individual retail outlets below a given surface threshold; (ii) exemptions/reduction for certain specialised retail outlets (garden centres, establishments selling</w:t>
      </w:r>
      <w:r>
        <w:rPr>
          <w:rFonts w:ascii="Times New Roman" w:hAnsi="Times New Roman"/>
          <w:noProof/>
          <w:sz w:val="24"/>
          <w:szCs w:val="24"/>
        </w:rPr>
        <w:t xml:space="preserve"> vehicles, construction materials, machinery or industrial supplies, furniture, doors and windows, and do-it-yourself stores); and (iii) a de facto exemption of large collective establishments (that is to say shopping malls) in Catalonia, because the indiv</w:t>
      </w:r>
      <w:r>
        <w:rPr>
          <w:rFonts w:ascii="Times New Roman" w:hAnsi="Times New Roman"/>
          <w:noProof/>
          <w:sz w:val="24"/>
          <w:szCs w:val="24"/>
        </w:rPr>
        <w:t>idual outlets of the mall are below the surface threshold.</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After having recalled the Member States’ competence to design their fiscal measures, in the absence of EU rules governing the matter, the Court of Justice noted that the tax at stake pursues object</w:t>
      </w:r>
      <w:r>
        <w:rPr>
          <w:rFonts w:ascii="Times New Roman" w:hAnsi="Times New Roman"/>
          <w:noProof/>
          <w:sz w:val="24"/>
          <w:szCs w:val="24"/>
        </w:rPr>
        <w:t>ives of environmental protection and town and country planning and carries out the selectivity assessment (especially the comparability test) in the light of these objectives, noting that it is not disputed that the environmental impact of retail establish</w:t>
      </w:r>
      <w:r>
        <w:rPr>
          <w:rFonts w:ascii="Times New Roman" w:hAnsi="Times New Roman"/>
          <w:noProof/>
          <w:sz w:val="24"/>
          <w:szCs w:val="24"/>
        </w:rPr>
        <w:t>ments largely depends on their size.</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As regards the exemption of individual outlets below the threshold, the Court of Justice held that smaller establishments are not in a similar legal and factual situation as larger establishments subject to the taxes in</w:t>
      </w:r>
      <w:r>
        <w:rPr>
          <w:rFonts w:ascii="Times New Roman" w:hAnsi="Times New Roman"/>
          <w:noProof/>
          <w:sz w:val="24"/>
          <w:szCs w:val="24"/>
        </w:rPr>
        <w:t xml:space="preserve"> particular in light of their environmental objective.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With regard to the exemption for specialised shops, the Court of Justice accepted the argument that such an exemption would be justified if these retail outlets, which require very large areas, do not</w:t>
      </w:r>
      <w:r>
        <w:rPr>
          <w:rFonts w:ascii="Times New Roman" w:hAnsi="Times New Roman"/>
          <w:noProof/>
          <w:sz w:val="24"/>
          <w:szCs w:val="24"/>
        </w:rPr>
        <w:t xml:space="preserve"> have a significant adverse effect on environment and on town and country planning as the others. The Court of Justice  accepted the justification in principle, but leaves this to be checked by the referring national court.</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Finally, with regard to the </w:t>
      </w:r>
      <w:r>
        <w:rPr>
          <w:rFonts w:ascii="Times New Roman" w:hAnsi="Times New Roman"/>
          <w:i/>
          <w:noProof/>
          <w:sz w:val="24"/>
          <w:szCs w:val="24"/>
        </w:rPr>
        <w:t>de f</w:t>
      </w:r>
      <w:r>
        <w:rPr>
          <w:rFonts w:ascii="Times New Roman" w:hAnsi="Times New Roman"/>
          <w:i/>
          <w:noProof/>
          <w:sz w:val="24"/>
          <w:szCs w:val="24"/>
        </w:rPr>
        <w:t>acto</w:t>
      </w:r>
      <w:r>
        <w:rPr>
          <w:rFonts w:ascii="Times New Roman" w:hAnsi="Times New Roman"/>
          <w:noProof/>
          <w:sz w:val="24"/>
          <w:szCs w:val="24"/>
        </w:rPr>
        <w:t xml:space="preserve"> exemption of large collective establishments (that is to say) in Catalonia, the Court of Justice held that they are objectively in a comparable situation to large retail outlets considering the objectives of the measures. As a result, the exemption of</w:t>
      </w:r>
      <w:r>
        <w:rPr>
          <w:rFonts w:ascii="Times New Roman" w:hAnsi="Times New Roman"/>
          <w:noProof/>
          <w:sz w:val="24"/>
          <w:szCs w:val="24"/>
        </w:rPr>
        <w:t xml:space="preserve"> collective establishments from the tax was held to be selective and to constitute State aid.</w:t>
      </w:r>
    </w:p>
    <w:p w:rsidR="00320198" w:rsidRDefault="005C0948">
      <w:pPr>
        <w:widowControl w:val="0"/>
        <w:jc w:val="both"/>
        <w:rPr>
          <w:rFonts w:ascii="Times New Roman" w:hAnsi="Times New Roman"/>
          <w:i/>
          <w:noProof/>
          <w:sz w:val="24"/>
          <w:szCs w:val="24"/>
        </w:rPr>
      </w:pPr>
      <w:r>
        <w:rPr>
          <w:rFonts w:ascii="Times New Roman" w:hAnsi="Times New Roman"/>
          <w:i/>
          <w:noProof/>
          <w:sz w:val="24"/>
          <w:szCs w:val="24"/>
        </w:rPr>
        <w:t>Compatibility</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its judgement in </w:t>
      </w:r>
      <w:r>
        <w:rPr>
          <w:rFonts w:ascii="Times New Roman" w:hAnsi="Times New Roman"/>
          <w:i/>
          <w:noProof/>
          <w:sz w:val="24"/>
          <w:szCs w:val="24"/>
        </w:rPr>
        <w:t>Hinkley Point C,</w:t>
      </w:r>
      <w:r>
        <w:rPr>
          <w:rFonts w:ascii="Times New Roman" w:hAnsi="Times New Roman"/>
          <w:noProof/>
          <w:sz w:val="24"/>
          <w:szCs w:val="24"/>
          <w:vertAlign w:val="superscript"/>
        </w:rPr>
        <w:footnoteReference w:id="147"/>
      </w:r>
      <w:r>
        <w:rPr>
          <w:rFonts w:ascii="Times New Roman" w:hAnsi="Times New Roman"/>
          <w:noProof/>
          <w:sz w:val="24"/>
          <w:szCs w:val="24"/>
        </w:rPr>
        <w:t xml:space="preserve"> the General Court upheld the Commission decision of 8 October 2014 approving the aid in favour of the construc</w:t>
      </w:r>
      <w:r>
        <w:rPr>
          <w:rFonts w:ascii="Times New Roman" w:hAnsi="Times New Roman"/>
          <w:noProof/>
          <w:sz w:val="24"/>
          <w:szCs w:val="24"/>
        </w:rPr>
        <w:t>tion of the Hinkley Point C nuclear power station in the UK.</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General Court stated that to be compatible with Article 107(3)(c) TFEU an aid should relate to a public interest objective, be appropriate, necessary and proportionate. Concerning the objecti</w:t>
      </w:r>
      <w:r>
        <w:rPr>
          <w:rFonts w:ascii="Times New Roman" w:hAnsi="Times New Roman"/>
          <w:noProof/>
          <w:sz w:val="24"/>
          <w:szCs w:val="24"/>
        </w:rPr>
        <w:t>ve of public interest, the General Court referred to the narrower concept of public interest rather than to common interest.</w:t>
      </w:r>
      <w:r>
        <w:rPr>
          <w:rFonts w:ascii="Times New Roman" w:hAnsi="Times New Roman"/>
          <w:noProof/>
          <w:sz w:val="24"/>
          <w:szCs w:val="24"/>
          <w:vertAlign w:val="superscript"/>
        </w:rPr>
        <w:footnoteReference w:id="148"/>
      </w:r>
      <w:r>
        <w:rPr>
          <w:rFonts w:ascii="Times New Roman" w:hAnsi="Times New Roman"/>
          <w:noProof/>
          <w:sz w:val="24"/>
          <w:szCs w:val="24"/>
        </w:rPr>
        <w:t xml:space="preserve"> The General Court noted that the objective of promoting the creation of new nuclear energy is related to the Euratom Community's g</w:t>
      </w:r>
      <w:r>
        <w:rPr>
          <w:rFonts w:ascii="Times New Roman" w:hAnsi="Times New Roman"/>
          <w:noProof/>
          <w:sz w:val="24"/>
          <w:szCs w:val="24"/>
        </w:rPr>
        <w:t>oal of facilitating investment in the nuclear field. Furthermore, it follows from the TFEU that each Member State has the right to choose its own energy mix. Consequently, the General Court held that the Commission did not err in taking the view that the U</w:t>
      </w:r>
      <w:r>
        <w:rPr>
          <w:rFonts w:ascii="Times New Roman" w:hAnsi="Times New Roman"/>
          <w:noProof/>
          <w:sz w:val="24"/>
          <w:szCs w:val="24"/>
        </w:rPr>
        <w:t>K was entitled to define the development of nuclear energy as being a public-interest objective, even though that objective is not shared by all Member States.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General Cour also confirmed that Article 107(3)(c) TFEU does not require the existence of a </w:t>
      </w:r>
      <w:r>
        <w:rPr>
          <w:rFonts w:ascii="Times New Roman" w:hAnsi="Times New Roman"/>
          <w:noProof/>
          <w:sz w:val="24"/>
          <w:szCs w:val="24"/>
        </w:rPr>
        <w:t>“market failure”. The relevant question is whether the pursued public interest objective would be attained without the Member State's intervention, even if, as such, the market cannot be considered to be failing. In this regard, the General Court held that</w:t>
      </w:r>
      <w:r>
        <w:rPr>
          <w:rFonts w:ascii="Times New Roman" w:hAnsi="Times New Roman"/>
          <w:noProof/>
          <w:sz w:val="24"/>
          <w:szCs w:val="24"/>
        </w:rPr>
        <w:t xml:space="preserve"> given the lack of market-based financial instruments and other types of hedging contracts, the Commission was correct to conclude that State intervention was necessary in order to develop, in good time, new nuclear energy generation.</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Concerning the propor</w:t>
      </w:r>
      <w:r>
        <w:rPr>
          <w:rFonts w:ascii="Times New Roman" w:hAnsi="Times New Roman"/>
          <w:noProof/>
          <w:sz w:val="24"/>
          <w:szCs w:val="24"/>
        </w:rPr>
        <w:t xml:space="preserve">tionality of the aid, the General Court concluded that Austria did not demonstrate that the Commission made a manifest error when it balanced the positive effects of the measure against its negative effects. The General Court indicated that the Commission </w:t>
      </w:r>
      <w:r>
        <w:rPr>
          <w:rFonts w:ascii="Times New Roman" w:hAnsi="Times New Roman"/>
          <w:noProof/>
          <w:sz w:val="24"/>
          <w:szCs w:val="24"/>
        </w:rPr>
        <w:t>was entitled to take into account all positive effects of the new nuclear capacity, including on security of supply and low carbon policy.</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General Gourt concluded that operating aid is not </w:t>
      </w:r>
      <w:r>
        <w:rPr>
          <w:rFonts w:ascii="Times New Roman" w:hAnsi="Times New Roman"/>
          <w:i/>
          <w:noProof/>
          <w:sz w:val="24"/>
          <w:szCs w:val="24"/>
        </w:rPr>
        <w:t>per se</w:t>
      </w:r>
      <w:r>
        <w:rPr>
          <w:rFonts w:ascii="Times New Roman" w:hAnsi="Times New Roman"/>
          <w:noProof/>
          <w:sz w:val="24"/>
          <w:szCs w:val="24"/>
        </w:rPr>
        <w:t xml:space="preserve"> incompatible. It can be declared compatible if it fulfils all the requirement of Article 107(3)(c) TFEU, notably when the operating aid promotes new investment as in the present case. At the same time, the General Court notes that an operating aid solely </w:t>
      </w:r>
      <w:r>
        <w:rPr>
          <w:rFonts w:ascii="Times New Roman" w:hAnsi="Times New Roman"/>
          <w:noProof/>
          <w:sz w:val="24"/>
          <w:szCs w:val="24"/>
        </w:rPr>
        <w:t xml:space="preserve">intended to maintain the </w:t>
      </w:r>
      <w:r>
        <w:rPr>
          <w:rFonts w:ascii="Times New Roman" w:hAnsi="Times New Roman"/>
          <w:i/>
          <w:noProof/>
          <w:sz w:val="24"/>
          <w:szCs w:val="24"/>
        </w:rPr>
        <w:t>status quo</w:t>
      </w:r>
      <w:r>
        <w:rPr>
          <w:rFonts w:ascii="Times New Roman" w:hAnsi="Times New Roman"/>
          <w:noProof/>
          <w:sz w:val="24"/>
          <w:szCs w:val="24"/>
        </w:rPr>
        <w:t xml:space="preserve"> and covering the operating expenditure of a normal business activity cannot be considered to pursue an objective of public interest.</w:t>
      </w:r>
    </w:p>
    <w:p w:rsidR="00320198" w:rsidRDefault="005C0948">
      <w:pPr>
        <w:shd w:val="clear" w:color="auto" w:fill="FFFFFF"/>
        <w:spacing w:after="0" w:line="240" w:lineRule="auto"/>
        <w:jc w:val="both"/>
        <w:rPr>
          <w:rFonts w:ascii="Times New Roman" w:hAnsi="Times New Roman"/>
          <w:noProof/>
          <w:color w:val="333333"/>
          <w:sz w:val="24"/>
          <w:szCs w:val="24"/>
        </w:rPr>
      </w:pPr>
      <w:r>
        <w:rPr>
          <w:rFonts w:ascii="Times New Roman" w:hAnsi="Times New Roman"/>
          <w:noProof/>
          <w:sz w:val="24"/>
          <w:szCs w:val="24"/>
        </w:rPr>
        <w:t xml:space="preserve">In its judgment </w:t>
      </w:r>
      <w:hyperlink r:id="rId24" w:tgtFrame="_blank" w:history="1">
        <w:r>
          <w:rPr>
            <w:rFonts w:ascii="Times New Roman" w:hAnsi="Times New Roman"/>
            <w:i/>
            <w:noProof/>
            <w:sz w:val="24"/>
            <w:szCs w:val="24"/>
          </w:rPr>
          <w:t>Rittinger and Others</w:t>
        </w:r>
      </w:hyperlink>
      <w:r>
        <w:rPr>
          <w:rFonts w:ascii="Arial" w:eastAsia="Times New Roman" w:hAnsi="Arial" w:cs="Arial"/>
          <w:noProof/>
          <w:color w:val="475055"/>
          <w:sz w:val="18"/>
          <w:szCs w:val="18"/>
          <w:lang w:eastAsia="en-GB"/>
        </w:rPr>
        <w:t xml:space="preserve"> </w:t>
      </w:r>
      <w:r>
        <w:rPr>
          <w:rFonts w:ascii="Times New Roman" w:hAnsi="Times New Roman"/>
          <w:noProof/>
          <w:sz w:val="24"/>
          <w:szCs w:val="24"/>
        </w:rPr>
        <w:t>of 13 December 2018,</w:t>
      </w:r>
      <w:r>
        <w:rPr>
          <w:rFonts w:ascii="Times New Roman" w:hAnsi="Times New Roman"/>
          <w:noProof/>
          <w:sz w:val="24"/>
          <w:szCs w:val="24"/>
          <w:vertAlign w:val="superscript"/>
        </w:rPr>
        <w:footnoteReference w:id="149"/>
      </w:r>
      <w:r>
        <w:rPr>
          <w:rFonts w:ascii="Times New Roman" w:hAnsi="Times New Roman"/>
          <w:noProof/>
          <w:sz w:val="24"/>
          <w:szCs w:val="24"/>
        </w:rPr>
        <w:t xml:space="preserve"> the Court of Justice confirmed that the German broadcasting contribution is compatible with EU law and that Germany did not have to notify the Commission of an alteration to existing state aid. </w:t>
      </w:r>
      <w:r>
        <w:rPr>
          <w:rFonts w:ascii="Times New Roman" w:hAnsi="Times New Roman"/>
          <w:noProof/>
          <w:color w:val="333333"/>
          <w:sz w:val="24"/>
          <w:szCs w:val="24"/>
        </w:rPr>
        <w:t>In 2007 the C</w:t>
      </w:r>
      <w:r>
        <w:rPr>
          <w:rFonts w:ascii="Times New Roman" w:hAnsi="Times New Roman"/>
          <w:noProof/>
          <w:color w:val="333333"/>
          <w:sz w:val="24"/>
          <w:szCs w:val="24"/>
        </w:rPr>
        <w:t>ommission found that the broadcasting fee in Germany was to be classified as existing aid.</w:t>
      </w:r>
      <w:r>
        <w:rPr>
          <w:rFonts w:ascii="Times New Roman" w:hAnsi="Times New Roman"/>
          <w:noProof/>
          <w:sz w:val="24"/>
          <w:szCs w:val="24"/>
          <w:vertAlign w:val="superscript"/>
        </w:rPr>
        <w:footnoteReference w:id="150"/>
      </w:r>
      <w:r>
        <w:rPr>
          <w:rFonts w:ascii="Times New Roman" w:hAnsi="Times New Roman"/>
          <w:noProof/>
          <w:color w:val="333333"/>
          <w:sz w:val="24"/>
          <w:szCs w:val="24"/>
        </w:rPr>
        <w:t xml:space="preserve"> In 2013 Germany modified the basis for calculating the broadcasting fee. This modification was challenged before the Landgericht Tübingen, which made a referral to </w:t>
      </w:r>
      <w:r>
        <w:rPr>
          <w:rFonts w:ascii="Times New Roman" w:hAnsi="Times New Roman"/>
          <w:noProof/>
          <w:color w:val="333333"/>
          <w:sz w:val="24"/>
          <w:szCs w:val="24"/>
        </w:rPr>
        <w:t xml:space="preserve">the Court of Justice for a preliminary ruling. </w:t>
      </w:r>
    </w:p>
    <w:p w:rsidR="00320198" w:rsidRDefault="00320198">
      <w:pPr>
        <w:shd w:val="clear" w:color="auto" w:fill="FFFFFF"/>
        <w:spacing w:after="0" w:line="240" w:lineRule="auto"/>
        <w:jc w:val="both"/>
        <w:rPr>
          <w:rFonts w:ascii="Times New Roman" w:eastAsia="Times New Roman" w:hAnsi="Times New Roman"/>
          <w:noProof/>
          <w:color w:val="475055"/>
          <w:sz w:val="24"/>
          <w:szCs w:val="24"/>
          <w:lang w:eastAsia="en-GB"/>
        </w:rPr>
      </w:pP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Court of Justice found that the replacement of the broadcasting fee (which was payable on the basis of possession of a broadcast receiving device) with the broadcasting contribution (which is payable amo</w:t>
      </w:r>
      <w:r>
        <w:rPr>
          <w:rFonts w:ascii="Times New Roman" w:hAnsi="Times New Roman"/>
          <w:noProof/>
          <w:sz w:val="24"/>
          <w:szCs w:val="24"/>
        </w:rPr>
        <w:t>ng other things on the basis of occupation of a dwelling or business premises) does not constitute a substantial alteration to the system of financing public broadcasting in Germany. Therefore, it was not necessary to notify it to the Commission as an alte</w:t>
      </w:r>
      <w:r>
        <w:rPr>
          <w:rFonts w:ascii="Times New Roman" w:hAnsi="Times New Roman"/>
          <w:noProof/>
          <w:sz w:val="24"/>
          <w:szCs w:val="24"/>
        </w:rPr>
        <w:t>ration to existing state aid.</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replacement of the broadcasting fee by the broadcasting contribution was made  to  simplify the levying of the broadcasting contribution, in a context of evolving technologies for receiving the public broadcasters’ program</w:t>
      </w:r>
      <w:r>
        <w:rPr>
          <w:rFonts w:ascii="Times New Roman" w:hAnsi="Times New Roman"/>
          <w:noProof/>
          <w:sz w:val="24"/>
          <w:szCs w:val="24"/>
        </w:rPr>
        <w:t xml:space="preserve">mes. Moreover, that simplification did not lead to a substantial increase in the compensation received by the public broadcasters to cover the costs associated with the public service tasks entrusted to them. </w:t>
      </w:r>
    </w:p>
    <w:p w:rsidR="00320198" w:rsidRDefault="005C0948">
      <w:pPr>
        <w:spacing w:before="200" w:after="0" w:line="240" w:lineRule="auto"/>
        <w:jc w:val="both"/>
        <w:rPr>
          <w:rFonts w:ascii="Times New Roman" w:hAnsi="Times New Roman"/>
          <w:i/>
          <w:noProof/>
          <w:sz w:val="24"/>
          <w:szCs w:val="24"/>
        </w:rPr>
      </w:pPr>
      <w:r>
        <w:rPr>
          <w:rFonts w:ascii="Times New Roman" w:hAnsi="Times New Roman"/>
          <w:i/>
          <w:noProof/>
          <w:sz w:val="24"/>
          <w:szCs w:val="24"/>
        </w:rPr>
        <w:t>Procedural issues</w:t>
      </w:r>
    </w:p>
    <w:p w:rsidR="00320198" w:rsidRDefault="005C0948">
      <w:pPr>
        <w:spacing w:before="200" w:after="0" w:line="240" w:lineRule="auto"/>
        <w:jc w:val="both"/>
        <w:rPr>
          <w:rFonts w:ascii="Times New Roman" w:hAnsi="Times New Roman"/>
          <w:noProof/>
          <w:sz w:val="24"/>
          <w:szCs w:val="24"/>
        </w:rPr>
      </w:pPr>
      <w:r>
        <w:rPr>
          <w:rFonts w:ascii="Times New Roman" w:hAnsi="Times New Roman"/>
          <w:noProof/>
          <w:sz w:val="24"/>
          <w:szCs w:val="24"/>
        </w:rPr>
        <w:t>In 2018, the EU courts deliv</w:t>
      </w:r>
      <w:r>
        <w:rPr>
          <w:rFonts w:ascii="Times New Roman" w:hAnsi="Times New Roman"/>
          <w:noProof/>
          <w:sz w:val="24"/>
          <w:szCs w:val="24"/>
        </w:rPr>
        <w:t>ered a number of relevant judgements on procedural points.</w:t>
      </w:r>
    </w:p>
    <w:p w:rsidR="00320198" w:rsidRDefault="005C0948">
      <w:pPr>
        <w:spacing w:before="200" w:after="0" w:line="240" w:lineRule="auto"/>
        <w:jc w:val="both"/>
        <w:rPr>
          <w:rFonts w:ascii="Times New Roman" w:hAnsi="Times New Roman"/>
          <w:noProof/>
          <w:sz w:val="24"/>
          <w:szCs w:val="24"/>
        </w:rPr>
      </w:pPr>
      <w:r>
        <w:rPr>
          <w:rFonts w:ascii="Times New Roman" w:hAnsi="Times New Roman"/>
          <w:noProof/>
          <w:sz w:val="24"/>
          <w:szCs w:val="24"/>
        </w:rPr>
        <w:t xml:space="preserve">In its judgement in </w:t>
      </w:r>
      <w:r>
        <w:rPr>
          <w:rFonts w:ascii="Times New Roman" w:hAnsi="Times New Roman"/>
          <w:i/>
          <w:noProof/>
          <w:sz w:val="24"/>
          <w:szCs w:val="24"/>
        </w:rPr>
        <w:t>Dutch Seaports,</w:t>
      </w:r>
      <w:r>
        <w:rPr>
          <w:rFonts w:ascii="Times New Roman" w:hAnsi="Times New Roman"/>
          <w:noProof/>
          <w:sz w:val="24"/>
          <w:szCs w:val="24"/>
          <w:vertAlign w:val="superscript"/>
        </w:rPr>
        <w:footnoteReference w:id="151"/>
      </w:r>
      <w:r>
        <w:rPr>
          <w:rFonts w:ascii="Times New Roman" w:hAnsi="Times New Roman"/>
          <w:noProof/>
          <w:sz w:val="24"/>
          <w:szCs w:val="24"/>
        </w:rPr>
        <w:t xml:space="preserve"> the General Court dismissed the appeal by the Dutch public seaports (supported by the Netherlands), and upheld a 2016 Commission decision. The Commission had fo</w:t>
      </w:r>
      <w:r>
        <w:rPr>
          <w:rFonts w:ascii="Times New Roman" w:hAnsi="Times New Roman"/>
          <w:noProof/>
          <w:sz w:val="24"/>
          <w:szCs w:val="24"/>
        </w:rPr>
        <w:t>und that the Dutch corporate tax exemption for public seaports amounted to incompatible aid. Since the aid was existing, the Commission had asked the Netherlands to abolish it at the latest by 1 January 2017. The main focus of the judgement is the applicat</w:t>
      </w:r>
      <w:r>
        <w:rPr>
          <w:rFonts w:ascii="Times New Roman" w:hAnsi="Times New Roman"/>
          <w:noProof/>
          <w:sz w:val="24"/>
          <w:szCs w:val="24"/>
        </w:rPr>
        <w:t xml:space="preserve">ion of the principle of equal treatment by the Commission. The applicants criticised the Commission for not completing the investigations on similar measures implemented by Belgium, France and Germany the same time as the Dutch one. </w:t>
      </w:r>
    </w:p>
    <w:p w:rsidR="00320198" w:rsidRDefault="005C0948">
      <w:pPr>
        <w:spacing w:before="200" w:after="0" w:line="240" w:lineRule="auto"/>
        <w:jc w:val="both"/>
        <w:rPr>
          <w:rFonts w:ascii="Times New Roman" w:hAnsi="Times New Roman"/>
          <w:noProof/>
          <w:sz w:val="24"/>
          <w:szCs w:val="24"/>
        </w:rPr>
      </w:pPr>
      <w:r>
        <w:rPr>
          <w:rFonts w:ascii="Times New Roman" w:hAnsi="Times New Roman"/>
          <w:noProof/>
          <w:sz w:val="24"/>
          <w:szCs w:val="24"/>
        </w:rPr>
        <w:t>The General Court first concluded that the Commission had sufficiently motivated its decision and that it had clearly explained why it considered that the situation of competing seaports was not relevant. On this basis, it was normal for the Commission not</w:t>
      </w:r>
      <w:r>
        <w:rPr>
          <w:rFonts w:ascii="Times New Roman" w:hAnsi="Times New Roman"/>
          <w:noProof/>
          <w:sz w:val="24"/>
          <w:szCs w:val="24"/>
        </w:rPr>
        <w:t xml:space="preserve"> to give further explanations as to the investigations it was conducting on those competing seaports. The General Court then reiterated that a possible breach by a Member State of an obligation incumbent on it under the Treaty, in particular Article 107(1)</w:t>
      </w:r>
      <w:r>
        <w:rPr>
          <w:rFonts w:ascii="Times New Roman" w:hAnsi="Times New Roman"/>
          <w:noProof/>
          <w:sz w:val="24"/>
          <w:szCs w:val="24"/>
        </w:rPr>
        <w:t xml:space="preserve"> TFEU, cannot be justified by the fact that other Member States could also be in breach of this obligation and that several distortions of competition do not neutralize each other but, on the contrary, have a cumulative effect. </w:t>
      </w:r>
    </w:p>
    <w:p w:rsidR="00320198" w:rsidRDefault="005C0948">
      <w:pPr>
        <w:spacing w:before="200" w:after="0" w:line="240" w:lineRule="auto"/>
        <w:jc w:val="both"/>
        <w:rPr>
          <w:rFonts w:ascii="Times New Roman" w:hAnsi="Times New Roman"/>
          <w:noProof/>
          <w:sz w:val="24"/>
          <w:szCs w:val="24"/>
        </w:rPr>
      </w:pPr>
      <w:r>
        <w:rPr>
          <w:rFonts w:ascii="Times New Roman" w:hAnsi="Times New Roman"/>
          <w:noProof/>
          <w:sz w:val="24"/>
          <w:szCs w:val="24"/>
        </w:rPr>
        <w:t xml:space="preserve">The General Court moreover </w:t>
      </w:r>
      <w:r>
        <w:rPr>
          <w:rFonts w:ascii="Times New Roman" w:hAnsi="Times New Roman"/>
          <w:noProof/>
          <w:sz w:val="24"/>
          <w:szCs w:val="24"/>
        </w:rPr>
        <w:t>noted that the respect for the principle of equal treatment must be reconciled with the principle of legality, which means that a person may not rely, in support of his claim, on an unlawful act committed in favour of a third party. Since the Commission ha</w:t>
      </w:r>
      <w:r>
        <w:rPr>
          <w:rFonts w:ascii="Times New Roman" w:hAnsi="Times New Roman"/>
          <w:noProof/>
          <w:sz w:val="24"/>
          <w:szCs w:val="24"/>
        </w:rPr>
        <w:t>d found that the Dutch corporate tax exemption as incompatible aid and that it had to be abolished, the applicants could not derive from the principle of equal treatment the right to continue to benefit from that incompatible aid.</w:t>
      </w:r>
    </w:p>
    <w:p w:rsidR="00320198" w:rsidRDefault="005C0948">
      <w:pPr>
        <w:spacing w:before="200" w:after="0" w:line="240" w:lineRule="auto"/>
        <w:jc w:val="both"/>
        <w:rPr>
          <w:rFonts w:ascii="Times New Roman" w:hAnsi="Times New Roman"/>
          <w:noProof/>
          <w:sz w:val="24"/>
          <w:szCs w:val="24"/>
        </w:rPr>
      </w:pPr>
      <w:r>
        <w:rPr>
          <w:rFonts w:ascii="Times New Roman" w:hAnsi="Times New Roman"/>
          <w:noProof/>
          <w:sz w:val="24"/>
          <w:szCs w:val="24"/>
        </w:rPr>
        <w:t>Another important judgeme</w:t>
      </w:r>
      <w:r>
        <w:rPr>
          <w:rFonts w:ascii="Times New Roman" w:hAnsi="Times New Roman"/>
          <w:noProof/>
          <w:sz w:val="24"/>
          <w:szCs w:val="24"/>
        </w:rPr>
        <w:t xml:space="preserve">nt procedure-wise is the General Court ruling in </w:t>
      </w:r>
      <w:r>
        <w:rPr>
          <w:rFonts w:ascii="Times New Roman" w:hAnsi="Times New Roman"/>
          <w:i/>
          <w:noProof/>
          <w:sz w:val="24"/>
          <w:szCs w:val="24"/>
        </w:rPr>
        <w:t>Tempus Energy.</w:t>
      </w:r>
      <w:r>
        <w:rPr>
          <w:rFonts w:ascii="Times New Roman" w:hAnsi="Times New Roman"/>
          <w:noProof/>
          <w:sz w:val="24"/>
          <w:szCs w:val="24"/>
          <w:vertAlign w:val="superscript"/>
        </w:rPr>
        <w:footnoteReference w:id="152"/>
      </w:r>
      <w:r>
        <w:rPr>
          <w:rFonts w:ascii="Times New Roman" w:hAnsi="Times New Roman"/>
          <w:noProof/>
          <w:sz w:val="24"/>
          <w:szCs w:val="24"/>
        </w:rPr>
        <w:t xml:space="preserve"> The General Court annulled a 2014 Commission decision which declared a State aid for a UK capacity mechanism compatible with the internal market. The annulment is based on the General Court c</w:t>
      </w:r>
      <w:r>
        <w:rPr>
          <w:rFonts w:ascii="Times New Roman" w:hAnsi="Times New Roman"/>
          <w:noProof/>
          <w:sz w:val="24"/>
          <w:szCs w:val="24"/>
        </w:rPr>
        <w:t>onsideration that the Commission should have opened the formal investigation procedure under Article 108(2) TFEU, in light of the circumstances of the preliminary investigation and the characteristics of the measure. In particular, the General Court held t</w:t>
      </w:r>
      <w:r>
        <w:rPr>
          <w:rFonts w:ascii="Times New Roman" w:hAnsi="Times New Roman"/>
          <w:noProof/>
          <w:sz w:val="24"/>
          <w:szCs w:val="24"/>
        </w:rPr>
        <w:t>hat the Commission should have open the formal investigation in light of the length of the pre-notification phase (approximately 18 months), the complexity and novelty of the case (it was the first decision approving a capacity mechanism under the then new</w:t>
      </w:r>
      <w:r>
        <w:rPr>
          <w:rFonts w:ascii="Times New Roman" w:hAnsi="Times New Roman"/>
          <w:noProof/>
          <w:sz w:val="24"/>
          <w:szCs w:val="24"/>
        </w:rPr>
        <w:t xml:space="preserve"> Guidelines on State aid for environmental protection and energy 2014-2020,</w:t>
      </w:r>
      <w:r>
        <w:rPr>
          <w:rFonts w:ascii="Times New Roman" w:hAnsi="Times New Roman"/>
          <w:noProof/>
          <w:sz w:val="24"/>
          <w:szCs w:val="24"/>
          <w:vertAlign w:val="superscript"/>
        </w:rPr>
        <w:footnoteReference w:id="153"/>
      </w:r>
      <w:r>
        <w:rPr>
          <w:rFonts w:ascii="Times New Roman" w:hAnsi="Times New Roman"/>
          <w:noProof/>
          <w:sz w:val="24"/>
          <w:szCs w:val="24"/>
        </w:rPr>
        <w:t xml:space="preserve"> and its significance in terms of high aid amounts.</w:t>
      </w:r>
    </w:p>
    <w:p w:rsidR="00320198" w:rsidRDefault="005C0948">
      <w:pPr>
        <w:spacing w:before="200" w:after="0" w:line="240" w:lineRule="auto"/>
        <w:jc w:val="both"/>
        <w:rPr>
          <w:rFonts w:ascii="Times New Roman" w:hAnsi="Times New Roman"/>
          <w:noProof/>
          <w:sz w:val="24"/>
          <w:szCs w:val="24"/>
        </w:rPr>
      </w:pPr>
      <w:r>
        <w:rPr>
          <w:rFonts w:ascii="Times New Roman" w:hAnsi="Times New Roman"/>
          <w:noProof/>
          <w:sz w:val="24"/>
          <w:szCs w:val="24"/>
        </w:rPr>
        <w:t xml:space="preserve">In the </w:t>
      </w:r>
      <w:r>
        <w:rPr>
          <w:rFonts w:ascii="Times New Roman" w:hAnsi="Times New Roman"/>
          <w:i/>
          <w:noProof/>
          <w:sz w:val="24"/>
          <w:szCs w:val="24"/>
        </w:rPr>
        <w:t>Øresund</w:t>
      </w:r>
      <w:r>
        <w:rPr>
          <w:rFonts w:ascii="Times New Roman" w:hAnsi="Times New Roman"/>
          <w:noProof/>
          <w:sz w:val="24"/>
          <w:szCs w:val="24"/>
        </w:rPr>
        <w:t xml:space="preserve"> case</w:t>
      </w:r>
      <w:r>
        <w:rPr>
          <w:rFonts w:ascii="Times New Roman" w:hAnsi="Times New Roman"/>
          <w:noProof/>
          <w:sz w:val="24"/>
          <w:szCs w:val="24"/>
          <w:vertAlign w:val="superscript"/>
        </w:rPr>
        <w:footnoteReference w:id="154"/>
      </w:r>
      <w:r>
        <w:rPr>
          <w:rFonts w:ascii="Times New Roman" w:hAnsi="Times New Roman"/>
          <w:noProof/>
          <w:sz w:val="24"/>
          <w:szCs w:val="24"/>
        </w:rPr>
        <w:t xml:space="preserve"> the General Court partially annulled the Commission’s 2014 decision approving State guarantees granted by D</w:t>
      </w:r>
      <w:r>
        <w:rPr>
          <w:rFonts w:ascii="Times New Roman" w:hAnsi="Times New Roman"/>
          <w:noProof/>
          <w:sz w:val="24"/>
          <w:szCs w:val="24"/>
        </w:rPr>
        <w:t>enmark and Sweden to support the construction and operation of the Øresund Fixed Link (a 16-kilometre long toll-funded tunnel and bridge infrastrucuture linking the two countries). The Commission decision declared the State aid compatible under Article 107</w:t>
      </w:r>
      <w:r>
        <w:rPr>
          <w:rFonts w:ascii="Times New Roman" w:hAnsi="Times New Roman"/>
          <w:noProof/>
          <w:sz w:val="24"/>
          <w:szCs w:val="24"/>
        </w:rPr>
        <w:t>(3)(b) TFEU as funding for an important project of  common European interest (IPCEI). The General Court upheld the decision insofar as it found that the State funding for the “hinterland” rail infrastructure connecting the Fixed Link to the national rail n</w:t>
      </w:r>
      <w:r>
        <w:rPr>
          <w:rFonts w:ascii="Times New Roman" w:hAnsi="Times New Roman"/>
          <w:noProof/>
          <w:sz w:val="24"/>
          <w:szCs w:val="24"/>
        </w:rPr>
        <w:t xml:space="preserve">etworks did not constitute State aid since there is no market for the operation of the national rail networks in Denmark or Sweden. However, the General Court found that the Commission had encountered serious difficulties in establishing the compatibility </w:t>
      </w:r>
      <w:r>
        <w:rPr>
          <w:rFonts w:ascii="Times New Roman" w:hAnsi="Times New Roman"/>
          <w:noProof/>
          <w:sz w:val="24"/>
          <w:szCs w:val="24"/>
        </w:rPr>
        <w:t>of the State aid to the Fixed Link on several points, in particular as regards the necessity and proportionalty of the State guarantees which were not clearly quantified in view of their undefined amount and duration.  The Commission should consequently ha</w:t>
      </w:r>
      <w:r>
        <w:rPr>
          <w:rFonts w:ascii="Times New Roman" w:hAnsi="Times New Roman"/>
          <w:noProof/>
          <w:sz w:val="24"/>
          <w:szCs w:val="24"/>
        </w:rPr>
        <w:t>ve opened a formal investigation pursuant to Article 108(2) TFEU.</w:t>
      </w:r>
    </w:p>
    <w:p w:rsidR="00320198" w:rsidRDefault="005C0948">
      <w:pPr>
        <w:spacing w:before="200" w:line="240" w:lineRule="auto"/>
        <w:jc w:val="both"/>
        <w:rPr>
          <w:rFonts w:ascii="Times New Roman" w:hAnsi="Times New Roman"/>
          <w:noProof/>
          <w:sz w:val="24"/>
          <w:szCs w:val="24"/>
        </w:rPr>
      </w:pPr>
      <w:r>
        <w:rPr>
          <w:rFonts w:ascii="Times New Roman" w:hAnsi="Times New Roman"/>
          <w:noProof/>
          <w:sz w:val="24"/>
          <w:szCs w:val="24"/>
        </w:rPr>
        <w:t xml:space="preserve">Finally, the judgement in </w:t>
      </w:r>
      <w:r>
        <w:rPr>
          <w:rFonts w:ascii="Times New Roman" w:hAnsi="Times New Roman"/>
          <w:i/>
          <w:noProof/>
          <w:sz w:val="24"/>
          <w:szCs w:val="24"/>
        </w:rPr>
        <w:t>Montessori</w:t>
      </w:r>
      <w:r>
        <w:rPr>
          <w:rFonts w:ascii="Times New Roman" w:hAnsi="Times New Roman"/>
          <w:noProof/>
          <w:sz w:val="24"/>
          <w:szCs w:val="24"/>
          <w:vertAlign w:val="superscript"/>
        </w:rPr>
        <w:footnoteReference w:id="155"/>
      </w:r>
      <w:r>
        <w:rPr>
          <w:rFonts w:ascii="Times New Roman" w:hAnsi="Times New Roman"/>
          <w:noProof/>
          <w:sz w:val="24"/>
          <w:szCs w:val="24"/>
        </w:rPr>
        <w:t xml:space="preserve"> is noteworthy. The case related to an exemption from the municipal real estate tax in Italy for religious entities and non-for-profit organisations sinc</w:t>
      </w:r>
      <w:r>
        <w:rPr>
          <w:rFonts w:ascii="Times New Roman" w:hAnsi="Times New Roman"/>
          <w:noProof/>
          <w:sz w:val="24"/>
          <w:szCs w:val="24"/>
        </w:rPr>
        <w:t>e 2006. The Commission found that such an exemption (from 2006 until 2011) was unlawful and incompatible aid but did not order Italy to recover the aid from the beneficiaries, accepting the arguments raised by the Member States as regards the absolute impo</w:t>
      </w:r>
      <w:r>
        <w:rPr>
          <w:rFonts w:ascii="Times New Roman" w:hAnsi="Times New Roman"/>
          <w:noProof/>
          <w:sz w:val="24"/>
          <w:szCs w:val="24"/>
        </w:rPr>
        <w:t>ssibility of recovery. The judgment is important for two procedure-related reasons, namely the admissibility of actions for annulment under the third limb of Article 263(4) TFEU and the principles underlying absolute impossibility of recovery of unlawful a</w:t>
      </w:r>
      <w:r>
        <w:rPr>
          <w:rFonts w:ascii="Times New Roman" w:hAnsi="Times New Roman"/>
          <w:noProof/>
          <w:sz w:val="24"/>
          <w:szCs w:val="24"/>
        </w:rPr>
        <w:t>nd incompatible aid. First, the Court of Justice confirmed for the first time that a State aid decision declaring an aid scheme incompatible (without ordering recovery) can be considered a regulatory act that is subject to appeal under the third limb of Ar</w:t>
      </w:r>
      <w:r>
        <w:rPr>
          <w:rFonts w:ascii="Times New Roman" w:hAnsi="Times New Roman"/>
          <w:noProof/>
          <w:sz w:val="24"/>
          <w:szCs w:val="24"/>
        </w:rPr>
        <w:t>ticle 263(4) TFEU. Second, the Court of Justice, while confirming that the Commission can in principle accept arguments on absolute impossibility of recovery before the final decision, stressed that the condition of absolute impossibility cannot be satisfi</w:t>
      </w:r>
      <w:r>
        <w:rPr>
          <w:rFonts w:ascii="Times New Roman" w:hAnsi="Times New Roman"/>
          <w:noProof/>
          <w:sz w:val="24"/>
          <w:szCs w:val="24"/>
        </w:rPr>
        <w:t>ed when the Member State alleges mere internal difficulties. The Court of Justice held that recovery of unlawful and incompatible aid may be considered objectively and absolutely impossible when (i) the difficulties relied upon by the Member States are rea</w:t>
      </w:r>
      <w:r>
        <w:rPr>
          <w:rFonts w:ascii="Times New Roman" w:hAnsi="Times New Roman"/>
          <w:noProof/>
          <w:sz w:val="24"/>
          <w:szCs w:val="24"/>
        </w:rPr>
        <w:t>l, and (ii) there are no alternative methods of recovery.</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320198">
        <w:trPr>
          <w:trHeight w:val="247"/>
        </w:trPr>
        <w:tc>
          <w:tcPr>
            <w:tcW w:w="9120" w:type="dxa"/>
            <w:vAlign w:val="center"/>
          </w:tcPr>
          <w:p w:rsidR="00320198" w:rsidRDefault="005C0948">
            <w:pPr>
              <w:pStyle w:val="ListParagraph"/>
              <w:widowControl w:val="0"/>
              <w:numPr>
                <w:ilvl w:val="0"/>
                <w:numId w:val="11"/>
              </w:numPr>
              <w:tabs>
                <w:tab w:val="left" w:pos="850"/>
              </w:tabs>
              <w:spacing w:before="80" w:after="80"/>
              <w:ind w:left="714" w:hanging="357"/>
              <w:jc w:val="center"/>
              <w:outlineLvl w:val="0"/>
              <w:rPr>
                <w:rFonts w:ascii="Times New Roman" w:eastAsia="Times New Roman" w:hAnsi="Times New Roman"/>
                <w:b/>
                <w:smallCaps/>
                <w:noProof/>
                <w:sz w:val="24"/>
                <w:szCs w:val="24"/>
              </w:rPr>
            </w:pPr>
            <w:bookmarkStart w:id="32" w:name="_Toc478566438"/>
            <w:bookmarkStart w:id="33" w:name="_Toc8831311"/>
            <w:bookmarkEnd w:id="28"/>
            <w:r>
              <w:rPr>
                <w:rFonts w:ascii="Times New Roman" w:eastAsia="Times New Roman" w:hAnsi="Times New Roman"/>
                <w:b/>
                <w:smallCaps/>
                <w:noProof/>
                <w:sz w:val="24"/>
                <w:szCs w:val="24"/>
              </w:rPr>
              <w:t>Developing the international dimension of EU competition policy</w:t>
            </w:r>
            <w:bookmarkEnd w:id="32"/>
            <w:bookmarkEnd w:id="33"/>
          </w:p>
        </w:tc>
      </w:tr>
    </w:tbl>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00" w:line="240" w:lineRule="auto"/>
        <w:jc w:val="both"/>
        <w:rPr>
          <w:rFonts w:ascii="Times New Roman" w:hAnsi="Times New Roman"/>
          <w:noProof/>
          <w:sz w:val="24"/>
          <w:szCs w:val="24"/>
        </w:rPr>
      </w:pPr>
      <w:bookmarkStart w:id="34" w:name="_Toc468289053"/>
      <w:r>
        <w:rPr>
          <w:rFonts w:ascii="Times New Roman" w:hAnsi="Times New Roman"/>
          <w:noProof/>
          <w:sz w:val="24"/>
          <w:szCs w:val="24"/>
        </w:rPr>
        <w:t>The main objective of the Commission's international activities in the competition field  is to advocate a global competition culture, promoting competition conditions allowing  companies to compete on the merits on fair and equal terms across the world. T</w:t>
      </w:r>
      <w:r>
        <w:rPr>
          <w:rFonts w:ascii="Times New Roman" w:hAnsi="Times New Roman"/>
          <w:noProof/>
          <w:sz w:val="24"/>
          <w:szCs w:val="24"/>
        </w:rPr>
        <w:t xml:space="preserve">his endeavour includes subsidies. The Commission’s strategy has a multilateral as well as a bilateral component.  </w:t>
      </w:r>
    </w:p>
    <w:p w:rsidR="00320198" w:rsidRDefault="005C0948">
      <w:pPr>
        <w:pStyle w:val="ListParagraph"/>
        <w:widowControl w:val="0"/>
        <w:numPr>
          <w:ilvl w:val="1"/>
          <w:numId w:val="11"/>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jc w:val="both"/>
        <w:rPr>
          <w:rFonts w:ascii="Times New Roman" w:hAnsi="Times New Roman"/>
          <w:b/>
          <w:noProof/>
          <w:sz w:val="24"/>
          <w:szCs w:val="24"/>
        </w:rPr>
      </w:pPr>
      <w:r>
        <w:rPr>
          <w:rFonts w:ascii="Times New Roman" w:hAnsi="Times New Roman"/>
          <w:b/>
          <w:noProof/>
          <w:sz w:val="24"/>
          <w:szCs w:val="24"/>
        </w:rPr>
        <w:t xml:space="preserve"> Multilateral relations</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2018, the Commission continued its endeavours to improve multilateral rules for subsidies. Reforming the subsidy r</w:t>
      </w:r>
      <w:r>
        <w:rPr>
          <w:rFonts w:ascii="Times New Roman" w:hAnsi="Times New Roman"/>
          <w:noProof/>
          <w:sz w:val="24"/>
          <w:szCs w:val="24"/>
        </w:rPr>
        <w:t>ules is one of the EU’s main priorities for the modernisation of WTO trade rules. Moreover, in 2018 the Commission was engaged in several sectoral initiatives addressing subsidies in the international context, for example the G20 Global Forum on steel exce</w:t>
      </w:r>
      <w:r>
        <w:rPr>
          <w:rFonts w:ascii="Times New Roman" w:hAnsi="Times New Roman"/>
          <w:noProof/>
          <w:sz w:val="24"/>
          <w:szCs w:val="24"/>
        </w:rPr>
        <w:t>ss capacity,</w:t>
      </w:r>
      <w:r>
        <w:rPr>
          <w:rFonts w:ascii="Times New Roman" w:hAnsi="Times New Roman"/>
          <w:noProof/>
          <w:sz w:val="24"/>
          <w:szCs w:val="24"/>
          <w:vertAlign w:val="superscript"/>
        </w:rPr>
        <w:footnoteReference w:id="156"/>
      </w:r>
      <w:r>
        <w:rPr>
          <w:rFonts w:ascii="Times New Roman" w:hAnsi="Times New Roman"/>
          <w:noProof/>
          <w:sz w:val="24"/>
          <w:szCs w:val="24"/>
        </w:rPr>
        <w:t xml:space="preserve"> the development of regional support guidelines for the semiconductor industry in the Government/authorities meeting on semiconductors (GAMS),</w:t>
      </w:r>
      <w:r>
        <w:rPr>
          <w:rFonts w:ascii="Times New Roman" w:hAnsi="Times New Roman"/>
          <w:noProof/>
          <w:sz w:val="24"/>
          <w:szCs w:val="24"/>
          <w:vertAlign w:val="superscript"/>
        </w:rPr>
        <w:footnoteReference w:id="157"/>
      </w:r>
      <w:r>
        <w:rPr>
          <w:rFonts w:ascii="Times New Roman" w:hAnsi="Times New Roman"/>
          <w:noProof/>
          <w:sz w:val="24"/>
          <w:szCs w:val="24"/>
          <w:vertAlign w:val="superscript"/>
        </w:rPr>
        <w:t xml:space="preserve"> </w:t>
      </w:r>
      <w:r>
        <w:rPr>
          <w:rFonts w:ascii="Times New Roman" w:hAnsi="Times New Roman"/>
          <w:noProof/>
          <w:sz w:val="24"/>
          <w:szCs w:val="24"/>
        </w:rPr>
        <w:t>and for shipbuilding within the OECD. Finally, the Commission worked with EU Member States in the I</w:t>
      </w:r>
      <w:r>
        <w:rPr>
          <w:rFonts w:ascii="Times New Roman" w:hAnsi="Times New Roman"/>
          <w:noProof/>
          <w:sz w:val="24"/>
          <w:szCs w:val="24"/>
        </w:rPr>
        <w:t>nternational Subsidy Policy Group, gathering information on subsidies granted by countries outside the EU, exchanging views and coordinating initiatives concerning international subsidy policies at multilateral and bilateral level.</w:t>
      </w:r>
      <w:r>
        <w:rPr>
          <w:rFonts w:ascii="Times New Roman" w:hAnsi="Times New Roman"/>
          <w:noProof/>
          <w:sz w:val="24"/>
          <w:szCs w:val="24"/>
          <w:vertAlign w:val="superscript"/>
        </w:rPr>
        <w:footnoteReference w:id="158"/>
      </w:r>
      <w:r>
        <w:rPr>
          <w:rFonts w:ascii="Times New Roman" w:hAnsi="Times New Roman"/>
          <w:noProof/>
          <w:sz w:val="24"/>
          <w:szCs w:val="24"/>
          <w:vertAlign w:val="superscript"/>
        </w:rPr>
        <w:t xml:space="preserve"> </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In 2018, the Commissio</w:t>
      </w:r>
      <w:r>
        <w:rPr>
          <w:rFonts w:ascii="Times New Roman" w:hAnsi="Times New Roman"/>
          <w:noProof/>
          <w:sz w:val="24"/>
          <w:szCs w:val="24"/>
        </w:rPr>
        <w:t xml:space="preserve">n continued its active engagement in competition-related international fora such as the OECD Competition Committee, the International Competition Network (ICN), the World Bank, and United Nations Conference on Trade and Development (UNCTAD). </w:t>
      </w:r>
    </w:p>
    <w:p w:rsidR="00320198" w:rsidRDefault="005C0948">
      <w:pPr>
        <w:spacing w:line="240" w:lineRule="auto"/>
        <w:jc w:val="both"/>
        <w:rPr>
          <w:rFonts w:ascii="Times New Roman" w:hAnsi="Times New Roman"/>
          <w:noProof/>
          <w:sz w:val="24"/>
          <w:szCs w:val="24"/>
        </w:rPr>
      </w:pPr>
      <w:r>
        <w:rPr>
          <w:rFonts w:ascii="Times New Roman" w:hAnsi="Times New Roman"/>
          <w:noProof/>
          <w:sz w:val="24"/>
          <w:szCs w:val="24"/>
        </w:rPr>
        <w:t>At the OECD C</w:t>
      </w:r>
      <w:r>
        <w:rPr>
          <w:rFonts w:ascii="Times New Roman" w:hAnsi="Times New Roman"/>
          <w:noProof/>
          <w:sz w:val="24"/>
          <w:szCs w:val="24"/>
        </w:rPr>
        <w:t>ompetition Committee meeting in June 2018, the Commission contributed to the discussions on leniency progammes,</w:t>
      </w:r>
      <w:r>
        <w:rPr>
          <w:rFonts w:ascii="Times New Roman" w:hAnsi="Times New Roman"/>
          <w:noProof/>
          <w:sz w:val="24"/>
          <w:szCs w:val="24"/>
          <w:vertAlign w:val="superscript"/>
        </w:rPr>
        <w:footnoteReference w:id="159"/>
      </w:r>
      <w:r>
        <w:rPr>
          <w:rFonts w:ascii="Times New Roman" w:hAnsi="Times New Roman"/>
          <w:noProof/>
          <w:sz w:val="24"/>
          <w:szCs w:val="24"/>
        </w:rPr>
        <w:t xml:space="preserve"> non-price effects of mergers,</w:t>
      </w:r>
      <w:r>
        <w:rPr>
          <w:rFonts w:ascii="Times New Roman" w:hAnsi="Times New Roman"/>
          <w:noProof/>
          <w:sz w:val="24"/>
          <w:szCs w:val="24"/>
          <w:vertAlign w:val="superscript"/>
        </w:rPr>
        <w:footnoteReference w:id="160"/>
      </w:r>
      <w:r>
        <w:rPr>
          <w:rFonts w:ascii="Times New Roman" w:hAnsi="Times New Roman"/>
          <w:noProof/>
          <w:sz w:val="24"/>
          <w:szCs w:val="24"/>
        </w:rPr>
        <w:t xml:space="preserve"> implications of e-commerce for competition policy</w:t>
      </w:r>
      <w:r>
        <w:rPr>
          <w:rFonts w:ascii="Times New Roman" w:hAnsi="Times New Roman"/>
          <w:noProof/>
          <w:sz w:val="24"/>
          <w:szCs w:val="24"/>
          <w:vertAlign w:val="superscript"/>
        </w:rPr>
        <w:footnoteReference w:id="161"/>
      </w:r>
      <w:r>
        <w:rPr>
          <w:rFonts w:ascii="Times New Roman" w:hAnsi="Times New Roman"/>
          <w:noProof/>
          <w:sz w:val="24"/>
          <w:szCs w:val="24"/>
        </w:rPr>
        <w:t xml:space="preserve"> and market concentration.</w:t>
      </w:r>
      <w:r>
        <w:rPr>
          <w:rFonts w:ascii="Times New Roman" w:hAnsi="Times New Roman"/>
          <w:noProof/>
          <w:sz w:val="24"/>
          <w:szCs w:val="24"/>
          <w:vertAlign w:val="superscript"/>
        </w:rPr>
        <w:footnoteReference w:id="162"/>
      </w:r>
      <w:r>
        <w:rPr>
          <w:rFonts w:ascii="Times New Roman" w:hAnsi="Times New Roman"/>
          <w:noProof/>
          <w:sz w:val="24"/>
          <w:szCs w:val="24"/>
        </w:rPr>
        <w:t xml:space="preserve"> In December 2018, the Commission contributed to the Competition Committee’s deliberations on the</w:t>
      </w:r>
      <w:r>
        <w:rPr>
          <w:noProof/>
          <w:sz w:val="20"/>
          <w:szCs w:val="20"/>
        </w:rPr>
        <w:t xml:space="preserve"> </w:t>
      </w:r>
      <w:r>
        <w:rPr>
          <w:rFonts w:ascii="Times New Roman" w:hAnsi="Times New Roman"/>
          <w:noProof/>
          <w:sz w:val="24"/>
          <w:szCs w:val="24"/>
        </w:rPr>
        <w:t>treatment of legally privileged information in competition proceedings,</w:t>
      </w:r>
      <w:r>
        <w:rPr>
          <w:rFonts w:ascii="Times New Roman" w:hAnsi="Times New Roman"/>
          <w:noProof/>
          <w:sz w:val="24"/>
          <w:szCs w:val="24"/>
          <w:vertAlign w:val="superscript"/>
        </w:rPr>
        <w:footnoteReference w:id="163"/>
      </w:r>
      <w:r>
        <w:rPr>
          <w:rFonts w:ascii="Times New Roman" w:hAnsi="Times New Roman"/>
          <w:noProof/>
          <w:sz w:val="24"/>
          <w:szCs w:val="24"/>
        </w:rPr>
        <w:t xml:space="preserve"> gun jumping and suspensory effects of merger notifications,</w:t>
      </w:r>
      <w:r>
        <w:rPr>
          <w:rFonts w:ascii="Times New Roman" w:hAnsi="Times New Roman"/>
          <w:noProof/>
          <w:sz w:val="24"/>
          <w:szCs w:val="24"/>
          <w:vertAlign w:val="superscript"/>
        </w:rPr>
        <w:footnoteReference w:id="164"/>
      </w:r>
      <w:r>
        <w:rPr>
          <w:rFonts w:ascii="Times New Roman" w:hAnsi="Times New Roman"/>
          <w:noProof/>
          <w:sz w:val="24"/>
          <w:szCs w:val="24"/>
        </w:rPr>
        <w:t xml:space="preserve"> excessive pricing in pha</w:t>
      </w:r>
      <w:r>
        <w:rPr>
          <w:rFonts w:ascii="Times New Roman" w:hAnsi="Times New Roman"/>
          <w:noProof/>
          <w:sz w:val="24"/>
          <w:szCs w:val="24"/>
        </w:rPr>
        <w:t>rmaceuticals,</w:t>
      </w:r>
      <w:r>
        <w:rPr>
          <w:rFonts w:ascii="Times New Roman" w:hAnsi="Times New Roman"/>
          <w:noProof/>
          <w:sz w:val="24"/>
          <w:szCs w:val="24"/>
          <w:vertAlign w:val="superscript"/>
        </w:rPr>
        <w:footnoteReference w:id="165"/>
      </w:r>
      <w:r>
        <w:rPr>
          <w:rFonts w:ascii="Times New Roman" w:hAnsi="Times New Roman"/>
          <w:noProof/>
          <w:sz w:val="24"/>
          <w:szCs w:val="24"/>
        </w:rPr>
        <w:t xml:space="preserve"> personalised pricing in the digital era,</w:t>
      </w:r>
      <w:r>
        <w:rPr>
          <w:rFonts w:ascii="Times New Roman" w:hAnsi="Times New Roman"/>
          <w:noProof/>
          <w:sz w:val="24"/>
          <w:szCs w:val="24"/>
          <w:vertAlign w:val="superscript"/>
        </w:rPr>
        <w:footnoteReference w:id="166"/>
      </w:r>
      <w:r>
        <w:rPr>
          <w:rFonts w:ascii="Times New Roman" w:hAnsi="Times New Roman"/>
          <w:noProof/>
          <w:sz w:val="24"/>
          <w:szCs w:val="24"/>
        </w:rPr>
        <w:t xml:space="preserve"> quality considerations in the zero-price economy,</w:t>
      </w:r>
      <w:r>
        <w:rPr>
          <w:rFonts w:ascii="Times New Roman" w:hAnsi="Times New Roman"/>
          <w:noProof/>
          <w:sz w:val="24"/>
          <w:szCs w:val="24"/>
          <w:vertAlign w:val="superscript"/>
        </w:rPr>
        <w:footnoteReference w:id="167"/>
      </w:r>
      <w:r>
        <w:rPr>
          <w:rFonts w:ascii="Times New Roman" w:hAnsi="Times New Roman"/>
          <w:noProof/>
          <w:sz w:val="24"/>
          <w:szCs w:val="24"/>
        </w:rPr>
        <w:t xml:space="preserve"> benefits and challenges of regional competition agreements,</w:t>
      </w:r>
      <w:r>
        <w:rPr>
          <w:rFonts w:ascii="Times New Roman" w:hAnsi="Times New Roman"/>
          <w:noProof/>
          <w:sz w:val="24"/>
          <w:szCs w:val="24"/>
          <w:vertAlign w:val="superscript"/>
        </w:rPr>
        <w:footnoteReference w:id="168"/>
      </w:r>
      <w:r>
        <w:rPr>
          <w:rFonts w:ascii="Times New Roman" w:hAnsi="Times New Roman"/>
          <w:noProof/>
          <w:sz w:val="24"/>
          <w:szCs w:val="24"/>
        </w:rPr>
        <w:t xml:space="preserve"> and investigative powers in practice.</w:t>
      </w:r>
      <w:r>
        <w:rPr>
          <w:rFonts w:ascii="Times New Roman" w:hAnsi="Times New Roman"/>
          <w:bCs/>
          <w:noProof/>
          <w:sz w:val="24"/>
          <w:szCs w:val="24"/>
          <w:vertAlign w:val="superscript"/>
        </w:rPr>
        <w:footnoteReference w:id="169"/>
      </w:r>
    </w:p>
    <w:p w:rsidR="00320198" w:rsidRDefault="005C0948">
      <w:pPr>
        <w:autoSpaceDE w:val="0"/>
        <w:autoSpaceDN w:val="0"/>
        <w:adjustRightInd w:val="0"/>
        <w:spacing w:after="0" w:line="240" w:lineRule="auto"/>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In March 2018, the Commission participated in th</w:t>
      </w:r>
      <w:r>
        <w:rPr>
          <w:rFonts w:ascii="Times New Roman" w:eastAsiaTheme="minorHAnsi" w:hAnsi="Times New Roman"/>
          <w:noProof/>
          <w:color w:val="000000"/>
          <w:sz w:val="24"/>
          <w:szCs w:val="24"/>
        </w:rPr>
        <w:t>e Annual Conference of the ICN in New Dehli. Throughout the year, the Commission co-chaired the ICN Cartel Working Group and contributed to several projects such as the survey on the “Key elements for efficient and effective leniency programme and its appl</w:t>
      </w:r>
      <w:r>
        <w:rPr>
          <w:rFonts w:ascii="Times New Roman" w:eastAsiaTheme="minorHAnsi" w:hAnsi="Times New Roman"/>
          <w:noProof/>
          <w:color w:val="000000"/>
          <w:sz w:val="24"/>
          <w:szCs w:val="24"/>
        </w:rPr>
        <w:t>ication” and the new chapter of the ICN Anti-Cartel Enforcement Manual on Private Enforcement. The Commission is also an active member in the other ICN Working Groups; the Merger Working Group, the Unilateral Conduct Working Group, the Advocacy Working Gro</w:t>
      </w:r>
      <w:r>
        <w:rPr>
          <w:rFonts w:ascii="Times New Roman" w:eastAsiaTheme="minorHAnsi" w:hAnsi="Times New Roman"/>
          <w:noProof/>
          <w:color w:val="000000"/>
          <w:sz w:val="24"/>
          <w:szCs w:val="24"/>
        </w:rPr>
        <w:t xml:space="preserve">up, and the Agency Effectiveness Working Group. </w:t>
      </w:r>
    </w:p>
    <w:p w:rsidR="00320198" w:rsidRDefault="00320198">
      <w:pPr>
        <w:autoSpaceDE w:val="0"/>
        <w:autoSpaceDN w:val="0"/>
        <w:adjustRightInd w:val="0"/>
        <w:spacing w:after="0" w:line="240" w:lineRule="auto"/>
        <w:jc w:val="both"/>
        <w:rPr>
          <w:rFonts w:ascii="Times New Roman" w:eastAsiaTheme="minorHAnsi" w:hAnsi="Times New Roman"/>
          <w:noProof/>
          <w:color w:val="000000"/>
          <w:sz w:val="24"/>
          <w:szCs w:val="24"/>
        </w:rPr>
      </w:pPr>
    </w:p>
    <w:p w:rsidR="00320198" w:rsidRDefault="005C0948">
      <w:pPr>
        <w:autoSpaceDE w:val="0"/>
        <w:autoSpaceDN w:val="0"/>
        <w:adjustRightInd w:val="0"/>
        <w:spacing w:after="240" w:line="240" w:lineRule="auto"/>
        <w:jc w:val="both"/>
        <w:rPr>
          <w:rFonts w:ascii="Times New Roman" w:eastAsiaTheme="minorHAnsi" w:hAnsi="Times New Roman"/>
          <w:noProof/>
          <w:color w:val="000000"/>
          <w:sz w:val="24"/>
          <w:szCs w:val="24"/>
          <w:vertAlign w:val="superscript"/>
        </w:rPr>
      </w:pPr>
      <w:r>
        <w:rPr>
          <w:rFonts w:ascii="Times New Roman" w:eastAsiaTheme="minorHAnsi" w:hAnsi="Times New Roman"/>
          <w:noProof/>
          <w:color w:val="000000"/>
          <w:sz w:val="24"/>
          <w:szCs w:val="24"/>
        </w:rPr>
        <w:t xml:space="preserve">The Commission participated in the 17th meeting of the UNCTAD Intergovernmental Group of Experts on Competition Law and Policy, held in Geneva in July 2018. The conference included discussions on policy </w:t>
      </w:r>
      <w:r>
        <w:rPr>
          <w:rFonts w:ascii="Times New Roman" w:eastAsiaTheme="minorHAnsi" w:hAnsi="Times New Roman"/>
          <w:noProof/>
          <w:color w:val="000000"/>
          <w:sz w:val="24"/>
          <w:szCs w:val="24"/>
        </w:rPr>
        <w:t>challenges faced by developing countries in competition and regulation in the maritime transport sector, capacity building in competition law and policy, and competition issues in the sale of audio-visual rights for major sporting events.</w:t>
      </w:r>
      <w:r>
        <w:rPr>
          <w:rFonts w:ascii="Times New Roman" w:eastAsiaTheme="minorHAnsi" w:hAnsi="Times New Roman"/>
          <w:noProof/>
          <w:color w:val="000000"/>
          <w:sz w:val="24"/>
          <w:szCs w:val="24"/>
          <w:vertAlign w:val="superscript"/>
        </w:rPr>
        <w:footnoteReference w:id="170"/>
      </w:r>
      <w:r>
        <w:rPr>
          <w:rFonts w:ascii="Times New Roman" w:eastAsiaTheme="minorHAnsi" w:hAnsi="Times New Roman"/>
          <w:noProof/>
          <w:color w:val="000000"/>
          <w:sz w:val="24"/>
          <w:szCs w:val="24"/>
        </w:rPr>
        <w:t xml:space="preserve"> Moreover, in 201</w:t>
      </w:r>
      <w:r>
        <w:rPr>
          <w:rFonts w:ascii="Times New Roman" w:eastAsiaTheme="minorHAnsi" w:hAnsi="Times New Roman"/>
          <w:noProof/>
          <w:color w:val="000000"/>
          <w:sz w:val="24"/>
          <w:szCs w:val="24"/>
        </w:rPr>
        <w:t>8 contributed to a UNCTAD proposal to develop a Toolkit on International Cooperation within the UNCTAD Discussion Group for International Cooperation.</w:t>
      </w:r>
      <w:r>
        <w:rPr>
          <w:rFonts w:ascii="Times New Roman" w:eastAsiaTheme="minorHAnsi" w:hAnsi="Times New Roman"/>
          <w:noProof/>
          <w:color w:val="000000"/>
          <w:sz w:val="24"/>
          <w:szCs w:val="24"/>
          <w:vertAlign w:val="superscript"/>
        </w:rPr>
        <w:footnoteReference w:id="171"/>
      </w:r>
      <w:r>
        <w:rPr>
          <w:rFonts w:ascii="Times New Roman" w:eastAsiaTheme="minorHAnsi" w:hAnsi="Times New Roman"/>
          <w:noProof/>
          <w:color w:val="000000"/>
          <w:sz w:val="24"/>
          <w:szCs w:val="24"/>
          <w:vertAlign w:val="superscript"/>
        </w:rPr>
        <w:t xml:space="preserve"> </w:t>
      </w:r>
    </w:p>
    <w:p w:rsidR="00320198" w:rsidRDefault="005C0948">
      <w:pPr>
        <w:pStyle w:val="ListParagraph"/>
        <w:widowControl w:val="0"/>
        <w:numPr>
          <w:ilvl w:val="1"/>
          <w:numId w:val="11"/>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jc w:val="both"/>
        <w:rPr>
          <w:rFonts w:ascii="Times New Roman" w:hAnsi="Times New Roman"/>
          <w:b/>
          <w:noProof/>
          <w:sz w:val="24"/>
          <w:szCs w:val="24"/>
        </w:rPr>
      </w:pPr>
      <w:r>
        <w:rPr>
          <w:rFonts w:ascii="Times New Roman" w:hAnsi="Times New Roman"/>
          <w:b/>
          <w:noProof/>
          <w:sz w:val="24"/>
          <w:szCs w:val="24"/>
        </w:rPr>
        <w:t xml:space="preserve"> Bilateral relations</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At bilateral level, the Commission aims at including provisions on competition and</w:t>
      </w:r>
      <w:r>
        <w:rPr>
          <w:rFonts w:ascii="Times New Roman" w:hAnsi="Times New Roman"/>
          <w:noProof/>
          <w:sz w:val="24"/>
          <w:szCs w:val="24"/>
        </w:rPr>
        <w:t xml:space="preserve"> State aid control when negotiating Free Trade Agreements (FTAs). In 2018, the Commission continued FTA negotiations with Chile, Mexico, Mercosur, Azerbaijan, Tunisia and Indonesia, and opened negotiations with Australia, New Zealand, Kyrgyzstan and Uzbeki</w:t>
      </w:r>
      <w:r>
        <w:rPr>
          <w:rFonts w:ascii="Times New Roman" w:hAnsi="Times New Roman"/>
          <w:noProof/>
          <w:sz w:val="24"/>
          <w:szCs w:val="24"/>
        </w:rPr>
        <w:t>stan. At the end of  2018, the European Union and Switzerland agreed on the text of an Institutional Framework Agreement, which also includes State aid control rules. The draft agreement is currently in consultation with Swiss stakeholders.</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The Commission'</w:t>
      </w:r>
      <w:r>
        <w:rPr>
          <w:rFonts w:ascii="Times New Roman" w:hAnsi="Times New Roman"/>
          <w:noProof/>
          <w:sz w:val="24"/>
          <w:szCs w:val="24"/>
        </w:rPr>
        <w:t xml:space="preserve">s negotiations on an Investment Agreement with China are still ongoing. </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As regards the draft Second Generation Agreement between the Commission and the Competition Bureau Canada, the Commission analysed the impact which the Opinion of the Court of Justice</w:t>
      </w:r>
      <w:r>
        <w:rPr>
          <w:rFonts w:ascii="Times New Roman" w:hAnsi="Times New Roman"/>
          <w:noProof/>
          <w:sz w:val="24"/>
          <w:szCs w:val="24"/>
        </w:rPr>
        <w:t xml:space="preserve"> on the 2014 EU Canada Passenger Name Record Agreement</w:t>
      </w:r>
      <w:r>
        <w:rPr>
          <w:rFonts w:ascii="Times New Roman" w:hAnsi="Times New Roman"/>
          <w:noProof/>
          <w:sz w:val="24"/>
          <w:szCs w:val="24"/>
          <w:vertAlign w:val="superscript"/>
        </w:rPr>
        <w:footnoteReference w:id="172"/>
      </w:r>
      <w:r>
        <w:rPr>
          <w:rFonts w:ascii="Times New Roman" w:hAnsi="Times New Roman"/>
          <w:noProof/>
          <w:sz w:val="24"/>
          <w:szCs w:val="24"/>
        </w:rPr>
        <w:t xml:space="preserve"> would have on the Second Generation Agreement. </w:t>
      </w:r>
      <w:r>
        <w:rPr>
          <w:rFonts w:ascii="Times New Roman" w:hAnsi="Times New Roman"/>
          <w:noProof/>
          <w:sz w:val="24"/>
          <w:szCs w:val="24"/>
          <w:lang w:eastAsia="en-GB"/>
        </w:rPr>
        <w:t xml:space="preserve">Moreover, the Commission continued the negotiations with Japan on a Second Generation Agreement with a view to update the existing cooperation agreement </w:t>
      </w:r>
      <w:r>
        <w:rPr>
          <w:rFonts w:ascii="Times New Roman" w:hAnsi="Times New Roman"/>
          <w:noProof/>
          <w:sz w:val="24"/>
          <w:szCs w:val="24"/>
          <w:lang w:eastAsia="en-GB"/>
        </w:rPr>
        <w:t>from 2003.</w:t>
      </w:r>
      <w:r>
        <w:rPr>
          <w:rFonts w:ascii="Times New Roman" w:hAnsi="Times New Roman"/>
          <w:noProof/>
          <w:sz w:val="24"/>
          <w:szCs w:val="24"/>
          <w:vertAlign w:val="superscript"/>
          <w:lang w:eastAsia="en-GB"/>
        </w:rPr>
        <w:footnoteReference w:id="173"/>
      </w:r>
      <w:r>
        <w:rPr>
          <w:rFonts w:ascii="Times New Roman" w:hAnsi="Times New Roman"/>
          <w:noProof/>
          <w:sz w:val="24"/>
          <w:szCs w:val="24"/>
          <w:vertAlign w:val="superscript"/>
          <w:lang w:eastAsia="en-GB"/>
        </w:rPr>
        <w:t xml:space="preserve">  </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Another key area of the Commission’s activities is technical cooperation on competition policy and enforcement with the European Union’s main trading partners. To frame this cooperation, the Commission has signed a number of Memoranda of Unde</w:t>
      </w:r>
      <w:r>
        <w:rPr>
          <w:rFonts w:ascii="Times New Roman" w:hAnsi="Times New Roman"/>
          <w:noProof/>
          <w:sz w:val="24"/>
          <w:szCs w:val="24"/>
        </w:rPr>
        <w:t>rstanding (MoUs). The Commission has signed MoUs with the BRICS</w:t>
      </w:r>
      <w:r>
        <w:rPr>
          <w:rFonts w:ascii="Times New Roman" w:hAnsi="Times New Roman"/>
          <w:noProof/>
          <w:sz w:val="24"/>
          <w:szCs w:val="24"/>
          <w:vertAlign w:val="superscript"/>
        </w:rPr>
        <w:footnoteReference w:id="174"/>
      </w:r>
      <w:r>
        <w:rPr>
          <w:rFonts w:ascii="Times New Roman" w:hAnsi="Times New Roman"/>
          <w:noProof/>
          <w:sz w:val="24"/>
          <w:szCs w:val="24"/>
        </w:rPr>
        <w:t xml:space="preserve"> countries, and it has engaged in technical cooperation with these countries to varying degrees. With the same objective, the Commission signed an Administrative Arrangement with Mexico in Jun</w:t>
      </w:r>
      <w:r>
        <w:rPr>
          <w:rFonts w:ascii="Times New Roman" w:hAnsi="Times New Roman"/>
          <w:noProof/>
          <w:sz w:val="24"/>
          <w:szCs w:val="24"/>
        </w:rPr>
        <w:t>e 2018.</w:t>
      </w:r>
      <w:r>
        <w:rPr>
          <w:rFonts w:ascii="Times New Roman" w:hAnsi="Times New Roman"/>
          <w:noProof/>
          <w:sz w:val="24"/>
          <w:szCs w:val="24"/>
          <w:vertAlign w:val="superscript"/>
        </w:rPr>
        <w:footnoteReference w:id="175"/>
      </w:r>
      <w:r>
        <w:rPr>
          <w:rFonts w:ascii="Times New Roman" w:hAnsi="Times New Roman"/>
          <w:noProof/>
          <w:sz w:val="24"/>
          <w:szCs w:val="24"/>
          <w:vertAlign w:val="superscript"/>
        </w:rPr>
        <w:t xml:space="preserve"> </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line="240" w:lineRule="auto"/>
        <w:jc w:val="both"/>
        <w:rPr>
          <w:rFonts w:ascii="Times New Roman" w:hAnsi="Times New Roman"/>
          <w:noProof/>
          <w:sz w:val="24"/>
          <w:szCs w:val="24"/>
        </w:rPr>
      </w:pPr>
      <w:r>
        <w:rPr>
          <w:rFonts w:ascii="Times New Roman" w:hAnsi="Times New Roman"/>
          <w:noProof/>
          <w:sz w:val="24"/>
          <w:szCs w:val="24"/>
        </w:rPr>
        <w:t>The Commission also assists neighbouring countries when they implement the competition provisions included in FTAs. For example, in 2018 the Commission was involved in negotiating the FTA implementing rules with Tunisia and in monitoring the impl</w:t>
      </w:r>
      <w:r>
        <w:rPr>
          <w:rFonts w:ascii="Times New Roman" w:hAnsi="Times New Roman"/>
          <w:noProof/>
          <w:sz w:val="24"/>
          <w:szCs w:val="24"/>
        </w:rPr>
        <w:t xml:space="preserve">ementation of the EU competition </w:t>
      </w:r>
      <w:r>
        <w:rPr>
          <w:rFonts w:ascii="Times New Roman" w:hAnsi="Times New Roman"/>
          <w:i/>
          <w:noProof/>
          <w:sz w:val="24"/>
          <w:szCs w:val="24"/>
        </w:rPr>
        <w:t>acquis</w:t>
      </w:r>
      <w:r>
        <w:rPr>
          <w:rFonts w:ascii="Times New Roman" w:hAnsi="Times New Roman"/>
          <w:noProof/>
          <w:sz w:val="24"/>
          <w:szCs w:val="24"/>
        </w:rPr>
        <w:t xml:space="preserve"> in countries such as Ukraine. </w:t>
      </w:r>
    </w:p>
    <w:p w:rsidR="00320198" w:rsidRDefault="005C0948">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line="240" w:lineRule="auto"/>
        <w:jc w:val="both"/>
        <w:rPr>
          <w:rFonts w:ascii="Times New Roman" w:hAnsi="Times New Roman"/>
          <w:noProof/>
          <w:sz w:val="24"/>
          <w:szCs w:val="24"/>
        </w:rPr>
      </w:pPr>
      <w:r>
        <w:rPr>
          <w:rFonts w:ascii="Times New Roman" w:hAnsi="Times New Roman"/>
          <w:noProof/>
          <w:sz w:val="24"/>
          <w:szCs w:val="24"/>
        </w:rPr>
        <w:t xml:space="preserve">In negotiations with candidate countries and potential candiadate countries, the Commission's main policy objective - in addition to advocating a competition culture - is to help these </w:t>
      </w:r>
      <w:r>
        <w:rPr>
          <w:rFonts w:ascii="Times New Roman" w:hAnsi="Times New Roman"/>
          <w:noProof/>
          <w:sz w:val="24"/>
          <w:szCs w:val="24"/>
        </w:rPr>
        <w:t xml:space="preserve"> countries to create legislative frameworks with well-functioning competition authorities and to build up a solid enforcement record. To meet the conditions for EU accession in the competition policy field, these requirements must be fulfilled. In 2018 the</w:t>
      </w:r>
      <w:r>
        <w:rPr>
          <w:rFonts w:ascii="Times New Roman" w:hAnsi="Times New Roman"/>
          <w:noProof/>
          <w:sz w:val="24"/>
          <w:szCs w:val="24"/>
        </w:rPr>
        <w:t xml:space="preserve"> Commission continued to monitor candidate countries’ compliance with their commitments under the Stabilisation and Association agreements.</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320198">
        <w:trPr>
          <w:trHeight w:val="360"/>
        </w:trPr>
        <w:tc>
          <w:tcPr>
            <w:tcW w:w="9120" w:type="dxa"/>
            <w:vAlign w:val="center"/>
          </w:tcPr>
          <w:p w:rsidR="00320198" w:rsidRDefault="005C0948">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bookmarkStart w:id="35" w:name="_Toc8831312"/>
            <w:bookmarkEnd w:id="34"/>
            <w:r>
              <w:rPr>
                <w:rFonts w:ascii="Times New Roman" w:eastAsia="Times New Roman" w:hAnsi="Times New Roman"/>
                <w:b/>
                <w:smallCaps/>
                <w:noProof/>
                <w:sz w:val="24"/>
                <w:szCs w:val="24"/>
              </w:rPr>
              <w:t>External Communication</w:t>
            </w:r>
            <w:bookmarkEnd w:id="35"/>
          </w:p>
        </w:tc>
      </w:tr>
    </w:tbl>
    <w:p w:rsidR="00320198" w:rsidRDefault="005C0948">
      <w:pPr>
        <w:widowControl w:val="0"/>
        <w:spacing w:before="200" w:line="240" w:lineRule="auto"/>
        <w:jc w:val="both"/>
        <w:rPr>
          <w:rFonts w:ascii="Times New Roman" w:hAnsi="Times New Roman"/>
          <w:noProof/>
          <w:sz w:val="24"/>
          <w:szCs w:val="24"/>
        </w:rPr>
      </w:pPr>
      <w:r>
        <w:rPr>
          <w:rFonts w:ascii="Times New Roman" w:hAnsi="Times New Roman"/>
          <w:noProof/>
          <w:sz w:val="24"/>
          <w:szCs w:val="24"/>
        </w:rPr>
        <w:t xml:space="preserve">DG Competition's external communication is focused on the use of mass media to reach a </w:t>
      </w:r>
      <w:r>
        <w:rPr>
          <w:rFonts w:ascii="Times New Roman" w:hAnsi="Times New Roman"/>
          <w:noProof/>
          <w:sz w:val="24"/>
          <w:szCs w:val="24"/>
        </w:rPr>
        <w:t>variety of audiences, including businesses, lawyers, researchers, academics, students and the general public. This is achieved principally via the Commissioner's press conferences, press releases and speeches, as well as social media. In addition, the Dire</w:t>
      </w:r>
      <w:r>
        <w:rPr>
          <w:rFonts w:ascii="Times New Roman" w:hAnsi="Times New Roman"/>
          <w:noProof/>
          <w:sz w:val="24"/>
          <w:szCs w:val="24"/>
        </w:rPr>
        <w:t>ctorate-General issues newsletters and other publications aimed at stakeholders and the general public, as well as participation by staff in stakeholder conferences.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mass media are by far the most cost-effective channel to reach a wide audience.  Accor</w:t>
      </w:r>
      <w:r>
        <w:rPr>
          <w:rFonts w:ascii="Times New Roman" w:hAnsi="Times New Roman"/>
          <w:noProof/>
          <w:sz w:val="24"/>
          <w:szCs w:val="24"/>
        </w:rPr>
        <w:t>ding to a 2014 Eurobarometer on "Citizens’ Perception about Competition Policy", people's two main sources of information about competition policies were television (62%) and newspapers or magazines, including online (60%). These were followed by internet-</w:t>
      </w:r>
      <w:r>
        <w:rPr>
          <w:rFonts w:ascii="Times New Roman" w:hAnsi="Times New Roman"/>
          <w:noProof/>
          <w:sz w:val="24"/>
          <w:szCs w:val="24"/>
        </w:rPr>
        <w:t>based media (38%) and radio (34%).  The results of a Eurobarometer survey conducted in January 2019 show that newspapers or magazines and television remain the main information sources (both 58%), followed by radio and websites (both 33%), and online socia</w:t>
      </w:r>
      <w:r>
        <w:rPr>
          <w:rFonts w:ascii="Times New Roman" w:hAnsi="Times New Roman"/>
          <w:noProof/>
          <w:sz w:val="24"/>
          <w:szCs w:val="24"/>
        </w:rPr>
        <w:t>l networks (24%, an increase of 10% since 2014).</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DG Competition produced 560 press releases related to competition cases during 2018. Of these, 140 were longer, multilingual, press releases while a further 420 were shorter and monolingual. Media coverage o</w:t>
      </w:r>
      <w:r>
        <w:rPr>
          <w:rFonts w:ascii="Times New Roman" w:hAnsi="Times New Roman"/>
          <w:noProof/>
          <w:sz w:val="24"/>
          <w:szCs w:val="24"/>
        </w:rPr>
        <w:t>f some of the cases was worldwide, reaching tens of millions of people, for example, of the Google Android and Qualcomm antitrust decisions. All of these cases were covered by TV, radio, print and internet media around the globe.</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Throughout 2018, Commissio</w:t>
      </w:r>
      <w:r>
        <w:rPr>
          <w:rFonts w:ascii="Times New Roman" w:hAnsi="Times New Roman"/>
          <w:noProof/>
          <w:sz w:val="24"/>
          <w:szCs w:val="24"/>
        </w:rPr>
        <w:t>ner Vestager delivered 102 speeches to a variety of audiences. The Director-General delivered 16 speeches</w:t>
      </w:r>
      <w:r>
        <w:rPr>
          <w:rFonts w:ascii="Times New Roman" w:hAnsi="Times New Roman"/>
          <w:noProof/>
          <w:sz w:val="24"/>
          <w:szCs w:val="24"/>
        </w:rPr>
        <w:footnoteReference w:id="176"/>
      </w:r>
      <w:r>
        <w:rPr>
          <w:rFonts w:ascii="Times New Roman" w:hAnsi="Times New Roman"/>
          <w:noProof/>
          <w:sz w:val="24"/>
          <w:szCs w:val="24"/>
        </w:rPr>
        <w:t xml:space="preserve"> at a number of international events.</w:t>
      </w:r>
    </w:p>
    <w:p w:rsidR="00320198" w:rsidRDefault="005C0948">
      <w:pPr>
        <w:widowControl w:val="0"/>
        <w:spacing w:line="240" w:lineRule="auto"/>
        <w:jc w:val="both"/>
        <w:rPr>
          <w:rFonts w:ascii="Times New Roman" w:eastAsia="PFBSquareSansPro" w:hAnsi="Times New Roman"/>
          <w:noProof/>
          <w:sz w:val="24"/>
          <w:szCs w:val="24"/>
        </w:rPr>
      </w:pPr>
      <w:r>
        <w:rPr>
          <w:rFonts w:ascii="Times New Roman" w:eastAsia="PFBSquareSansPro" w:hAnsi="Times New Roman"/>
          <w:noProof/>
          <w:sz w:val="24"/>
          <w:szCs w:val="24"/>
        </w:rPr>
        <w:t>On social media, the Directorate-General for Competition was active on Twitter during 2018. Throughout the year,</w:t>
      </w:r>
      <w:r>
        <w:rPr>
          <w:rFonts w:ascii="Times New Roman" w:eastAsia="PFBSquareSansPro" w:hAnsi="Times New Roman"/>
          <w:noProof/>
          <w:sz w:val="24"/>
          <w:szCs w:val="24"/>
        </w:rPr>
        <w:t xml:space="preserve"> more than 1,200 tweets from the Directorate-General’s account generated more than 3.6 million impressions.</w:t>
      </w:r>
      <w:r>
        <w:rPr>
          <w:rFonts w:ascii="Times New Roman" w:eastAsia="PFBSquareSansPro" w:hAnsi="Times New Roman"/>
          <w:noProof/>
          <w:sz w:val="24"/>
          <w:szCs w:val="24"/>
        </w:rPr>
        <w:footnoteReference w:id="177"/>
      </w:r>
      <w:r>
        <w:rPr>
          <w:rFonts w:ascii="Times New Roman" w:eastAsia="PFBSquareSansPro" w:hAnsi="Times New Roman"/>
          <w:noProof/>
          <w:sz w:val="24"/>
          <w:szCs w:val="24"/>
        </w:rPr>
        <w:t xml:space="preserve"> The most popular tweets related to the Google Android and Qualcomm decisions, the consumer electronics cartel decisions as well as the tweets conce</w:t>
      </w:r>
      <w:r>
        <w:rPr>
          <w:rFonts w:ascii="Times New Roman" w:eastAsia="PFBSquareSansPro" w:hAnsi="Times New Roman"/>
          <w:noProof/>
          <w:sz w:val="24"/>
          <w:szCs w:val="24"/>
        </w:rPr>
        <w:t>rning the investigation into possible collusion between car manufacturers about clean emission technology. Followers of the Directorate General's Twitter account rose to nearly 12 000 during the year.</w:t>
      </w:r>
    </w:p>
    <w:p w:rsidR="00320198" w:rsidRDefault="005C0948">
      <w:pPr>
        <w:widowControl w:val="0"/>
        <w:spacing w:line="240" w:lineRule="auto"/>
        <w:jc w:val="both"/>
        <w:rPr>
          <w:rFonts w:ascii="Times New Roman" w:eastAsia="PFBSquareSansPro" w:hAnsi="Times New Roman"/>
          <w:noProof/>
          <w:sz w:val="24"/>
          <w:szCs w:val="24"/>
        </w:rPr>
      </w:pPr>
      <w:r>
        <w:rPr>
          <w:rFonts w:ascii="Times New Roman" w:eastAsia="PFBSquareSansPro" w:hAnsi="Times New Roman"/>
          <w:noProof/>
          <w:sz w:val="24"/>
          <w:szCs w:val="24"/>
        </w:rPr>
        <w:t>The number of subscribers to DG Competition's electroni</w:t>
      </w:r>
      <w:r>
        <w:rPr>
          <w:rFonts w:ascii="Times New Roman" w:eastAsia="PFBSquareSansPro" w:hAnsi="Times New Roman"/>
          <w:noProof/>
          <w:sz w:val="24"/>
          <w:szCs w:val="24"/>
        </w:rPr>
        <w:t>c newsletters rose to over 21 000 in 2018, while its paper publications in the EU Bookshop were viewed or downloaded 6 000 times.</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320198">
        <w:trPr>
          <w:trHeight w:val="360"/>
        </w:trPr>
        <w:tc>
          <w:tcPr>
            <w:tcW w:w="9120" w:type="dxa"/>
            <w:vAlign w:val="center"/>
          </w:tcPr>
          <w:p w:rsidR="00320198" w:rsidRDefault="005C0948">
            <w:pPr>
              <w:pStyle w:val="ListParagraph"/>
              <w:widowControl w:val="0"/>
              <w:numPr>
                <w:ilvl w:val="0"/>
                <w:numId w:val="11"/>
              </w:numPr>
              <w:tabs>
                <w:tab w:val="left" w:pos="850"/>
              </w:tabs>
              <w:jc w:val="center"/>
              <w:outlineLvl w:val="0"/>
              <w:rPr>
                <w:rFonts w:ascii="Times New Roman" w:eastAsia="Times New Roman" w:hAnsi="Times New Roman"/>
                <w:b/>
                <w:smallCaps/>
                <w:noProof/>
                <w:sz w:val="24"/>
                <w:szCs w:val="24"/>
              </w:rPr>
            </w:pPr>
            <w:r>
              <w:rPr>
                <w:noProof/>
              </w:rPr>
              <w:br w:type="page"/>
            </w:r>
            <w:bookmarkStart w:id="36" w:name="_Toc8831313"/>
            <w:r>
              <w:rPr>
                <w:rFonts w:ascii="Times New Roman" w:eastAsia="Times New Roman" w:hAnsi="Times New Roman"/>
                <w:b/>
                <w:smallCaps/>
                <w:noProof/>
                <w:sz w:val="24"/>
                <w:szCs w:val="24"/>
              </w:rPr>
              <w:t>The Single Market Programme</w:t>
            </w:r>
            <w:bookmarkEnd w:id="36"/>
          </w:p>
        </w:tc>
      </w:tr>
    </w:tbl>
    <w:p w:rsidR="00320198" w:rsidRDefault="005C0948">
      <w:pPr>
        <w:widowControl w:val="0"/>
        <w:spacing w:before="200" w:line="240" w:lineRule="auto"/>
        <w:jc w:val="both"/>
        <w:rPr>
          <w:rFonts w:ascii="Times New Roman" w:hAnsi="Times New Roman"/>
          <w:noProof/>
          <w:sz w:val="24"/>
          <w:szCs w:val="24"/>
        </w:rPr>
      </w:pPr>
      <w:r>
        <w:rPr>
          <w:rFonts w:ascii="Times New Roman" w:hAnsi="Times New Roman"/>
          <w:noProof/>
          <w:sz w:val="24"/>
          <w:szCs w:val="24"/>
        </w:rPr>
        <w:t>Adapting to an increasingly digital environment is a major challenge for the enforcement of EU c</w:t>
      </w:r>
      <w:r>
        <w:rPr>
          <w:rFonts w:ascii="Times New Roman" w:hAnsi="Times New Roman"/>
          <w:noProof/>
          <w:sz w:val="24"/>
          <w:szCs w:val="24"/>
        </w:rPr>
        <w:t>ompetition policy. New sophisticated IT tools and algorithms used by economic operators combined with an exponential increase in electronic communications, quantity of data and the number of documents on case files make many competition investigations incr</w:t>
      </w:r>
      <w:r>
        <w:rPr>
          <w:rFonts w:ascii="Times New Roman" w:hAnsi="Times New Roman"/>
          <w:noProof/>
          <w:sz w:val="24"/>
          <w:szCs w:val="24"/>
        </w:rPr>
        <w:t>easingly complex and burdensome. The Commission's proposals for the next Multiannual Financial Framework (2021-2027) adopted in June 2018  included – for the first time - a Single Market Programme. If adopted, the Single Market Programme would enable the C</w:t>
      </w:r>
      <w:r>
        <w:rPr>
          <w:rFonts w:ascii="Times New Roman" w:hAnsi="Times New Roman"/>
          <w:noProof/>
          <w:sz w:val="24"/>
          <w:szCs w:val="24"/>
        </w:rPr>
        <w:t>ommission to directly support competition policy development with an indicative budget of EUR 140 million dedicated to a Competition Programme.</w:t>
      </w:r>
    </w:p>
    <w:p w:rsidR="00320198" w:rsidRDefault="005C0948">
      <w:pPr>
        <w:widowControl w:val="0"/>
        <w:spacing w:before="200" w:line="240" w:lineRule="auto"/>
        <w:jc w:val="both"/>
        <w:rPr>
          <w:rFonts w:ascii="Times New Roman" w:hAnsi="Times New Roman"/>
          <w:noProof/>
          <w:sz w:val="24"/>
          <w:szCs w:val="24"/>
        </w:rPr>
      </w:pPr>
      <w:r>
        <w:rPr>
          <w:rFonts w:ascii="Times New Roman" w:hAnsi="Times New Roman"/>
          <w:noProof/>
          <w:sz w:val="24"/>
          <w:szCs w:val="24"/>
        </w:rPr>
        <w:t>The funds allocated to the Competition Programme would help the Commission to detect and investigate infringemen</w:t>
      </w:r>
      <w:r>
        <w:rPr>
          <w:rFonts w:ascii="Times New Roman" w:hAnsi="Times New Roman"/>
          <w:noProof/>
          <w:sz w:val="24"/>
          <w:szCs w:val="24"/>
        </w:rPr>
        <w:t>ts in an increasingly paperless world where the use of algorithms becomes more and more widespread. Moreover, these funds would increase the Commission's ability to manage case files containing ever growing data volumes. If adopted as part of the Single Ma</w:t>
      </w:r>
      <w:r>
        <w:rPr>
          <w:rFonts w:ascii="Times New Roman" w:hAnsi="Times New Roman"/>
          <w:noProof/>
          <w:sz w:val="24"/>
          <w:szCs w:val="24"/>
        </w:rPr>
        <w:t>rket Programme, the Competition Programme would enable the Commission to modernise EU competition policy enforcement by investing in state-of-the-art IT tools, knowledge and expertise, as well as strengthen cooperation between the Commission and Member Sta</w:t>
      </w:r>
      <w:r>
        <w:rPr>
          <w:rFonts w:ascii="Times New Roman" w:hAnsi="Times New Roman"/>
          <w:noProof/>
          <w:sz w:val="24"/>
          <w:szCs w:val="24"/>
        </w:rPr>
        <w:t>tes’ competition authorities in all areas of EU competition law. Finally, the Competition Programme could be used to raise stakeholder awareness of EU competition policy.</w:t>
      </w:r>
      <w:r>
        <w:rPr>
          <w:rFonts w:ascii="Times New Roman" w:hAnsi="Times New Roman"/>
          <w:noProof/>
          <w:sz w:val="24"/>
          <w:szCs w:val="24"/>
          <w:vertAlign w:val="superscript"/>
        </w:rPr>
        <w:footnoteReference w:id="178"/>
      </w:r>
      <w:r>
        <w:rPr>
          <w:rFonts w:ascii="Times New Roman" w:hAnsi="Times New Roman"/>
          <w:noProof/>
          <w:sz w:val="24"/>
          <w:szCs w:val="24"/>
          <w:vertAlign w:val="superscript"/>
        </w:rPr>
        <w:t xml:space="preserve"> </w:t>
      </w:r>
    </w:p>
    <w:p w:rsidR="00320198" w:rsidRDefault="00320198">
      <w:pPr>
        <w:pStyle w:val="ManualHeading1"/>
        <w:keepNext w:val="0"/>
        <w:widowControl w:val="0"/>
        <w:spacing w:before="0" w:after="200"/>
        <w:ind w:left="851" w:hanging="851"/>
        <w:rPr>
          <w:bCs/>
          <w:noProof/>
          <w:kern w:val="32"/>
          <w:lang w:eastAsia="en-GB"/>
        </w:rPr>
      </w:pPr>
      <w:bookmarkStart w:id="37" w:name="_Toc8831314"/>
    </w:p>
    <w:p w:rsidR="00320198" w:rsidRDefault="00320198">
      <w:pPr>
        <w:pStyle w:val="ManualHeading1"/>
        <w:keepNext w:val="0"/>
        <w:widowControl w:val="0"/>
        <w:spacing w:before="0" w:after="200"/>
        <w:ind w:left="851" w:hanging="851"/>
        <w:rPr>
          <w:bCs/>
          <w:noProof/>
          <w:kern w:val="32"/>
          <w:lang w:eastAsia="en-GB"/>
        </w:rPr>
      </w:pPr>
    </w:p>
    <w:p w:rsidR="00320198" w:rsidRDefault="00320198">
      <w:pPr>
        <w:pStyle w:val="ManualHeading1"/>
        <w:keepNext w:val="0"/>
        <w:widowControl w:val="0"/>
        <w:spacing w:before="0" w:after="200"/>
        <w:ind w:left="851" w:hanging="851"/>
        <w:rPr>
          <w:bCs/>
          <w:noProof/>
          <w:kern w:val="32"/>
          <w:lang w:eastAsia="en-GB"/>
        </w:rPr>
      </w:pPr>
    </w:p>
    <w:p w:rsidR="00320198" w:rsidRDefault="00320198">
      <w:pPr>
        <w:pStyle w:val="ManualHeading1"/>
        <w:keepNext w:val="0"/>
        <w:widowControl w:val="0"/>
        <w:spacing w:before="0" w:after="200"/>
        <w:ind w:left="851" w:hanging="851"/>
        <w:rPr>
          <w:bCs/>
          <w:noProof/>
          <w:kern w:val="32"/>
          <w:lang w:eastAsia="en-GB"/>
        </w:rPr>
      </w:pPr>
    </w:p>
    <w:p w:rsidR="00320198" w:rsidRDefault="00320198">
      <w:pPr>
        <w:pStyle w:val="ManualHeading1"/>
        <w:keepNext w:val="0"/>
        <w:widowControl w:val="0"/>
        <w:spacing w:before="0" w:after="200"/>
        <w:ind w:left="851" w:hanging="851"/>
        <w:rPr>
          <w:bCs/>
          <w:noProof/>
          <w:kern w:val="32"/>
          <w:lang w:eastAsia="en-GB"/>
        </w:rPr>
      </w:pPr>
    </w:p>
    <w:p w:rsidR="00320198" w:rsidRDefault="00320198">
      <w:pPr>
        <w:pStyle w:val="ManualHeading1"/>
        <w:keepNext w:val="0"/>
        <w:widowControl w:val="0"/>
        <w:spacing w:before="0" w:after="200"/>
        <w:ind w:left="851" w:hanging="851"/>
        <w:rPr>
          <w:bCs/>
          <w:noProof/>
          <w:kern w:val="32"/>
          <w:lang w:eastAsia="en-GB"/>
        </w:rPr>
      </w:pPr>
    </w:p>
    <w:p w:rsidR="00320198" w:rsidRDefault="00320198">
      <w:pPr>
        <w:pStyle w:val="ManualHeading1"/>
        <w:keepNext w:val="0"/>
        <w:widowControl w:val="0"/>
        <w:spacing w:before="0" w:after="200"/>
        <w:ind w:left="851" w:hanging="851"/>
        <w:rPr>
          <w:bCs/>
          <w:noProof/>
          <w:kern w:val="32"/>
          <w:lang w:eastAsia="en-GB"/>
        </w:rPr>
      </w:pPr>
    </w:p>
    <w:p w:rsidR="00320198" w:rsidRDefault="005C0948">
      <w:pPr>
        <w:pStyle w:val="ManualHeading1"/>
        <w:keepNext w:val="0"/>
        <w:widowControl w:val="0"/>
        <w:spacing w:before="0" w:after="200"/>
        <w:ind w:left="1571" w:hanging="851"/>
        <w:rPr>
          <w:b w:val="0"/>
          <w:bCs/>
          <w:noProof/>
          <w:kern w:val="32"/>
          <w:lang w:eastAsia="en-GB"/>
        </w:rPr>
      </w:pPr>
      <w:r>
        <w:rPr>
          <w:bCs/>
          <w:noProof/>
          <w:kern w:val="32"/>
          <w:lang w:eastAsia="en-GB"/>
        </w:rPr>
        <w:t>II. SECTORAL OVERVIEW</w:t>
      </w:r>
      <w:bookmarkEnd w:id="37"/>
    </w:p>
    <w:p w:rsidR="00320198" w:rsidRDefault="005C0948">
      <w:pPr>
        <w:widowControl w:val="0"/>
        <w:autoSpaceDE w:val="0"/>
        <w:autoSpaceDN w:val="0"/>
        <w:adjustRightInd w:val="0"/>
        <w:spacing w:line="240" w:lineRule="auto"/>
        <w:jc w:val="both"/>
        <w:rPr>
          <w:rFonts w:ascii="Times New Roman" w:hAnsi="Times New Roman"/>
          <w:b/>
          <w:noProof/>
          <w:sz w:val="24"/>
          <w:szCs w:val="24"/>
        </w:rPr>
      </w:pPr>
      <w:r>
        <w:rPr>
          <w:rFonts w:ascii="Times New Roman" w:eastAsia="PFBSquareSansPro" w:hAnsi="Times New Roman"/>
          <w:noProof/>
          <w:sz w:val="24"/>
          <w:szCs w:val="24"/>
        </w:rPr>
        <w:t>The Commission's competition policy actions in 2018 focused on a wide range of areas, with the common objective of making markets work better. Morever, EU competition policy supported several key EU policies and initiatives, including a connected Digital S</w:t>
      </w:r>
      <w:r>
        <w:rPr>
          <w:rFonts w:ascii="Times New Roman" w:eastAsia="PFBSquareSansPro" w:hAnsi="Times New Roman"/>
          <w:noProof/>
          <w:sz w:val="24"/>
          <w:szCs w:val="24"/>
        </w:rPr>
        <w:t>ingle Market, an integrated and climate-friendly Energy Union, a Deeper and Fairer Internal Market as well as taking action against selective tax advantages. This section provides a sector-by-sector overview of competition policy developments and enforceme</w:t>
      </w:r>
      <w:r>
        <w:rPr>
          <w:rFonts w:ascii="Times New Roman" w:eastAsia="PFBSquareSansPro" w:hAnsi="Times New Roman"/>
          <w:noProof/>
          <w:sz w:val="24"/>
          <w:szCs w:val="24"/>
        </w:rPr>
        <w:t xml:space="preserve">nt activities that the Commission focused on in 2018. </w:t>
      </w:r>
    </w:p>
    <w:p w:rsidR="00320198" w:rsidRDefault="005C0948">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38" w:name="_Toc8831315"/>
      <w:r>
        <w:rPr>
          <w:rFonts w:ascii="Times New Roman" w:eastAsia="Times New Roman" w:hAnsi="Times New Roman"/>
          <w:b/>
          <w:smallCaps/>
          <w:noProof/>
          <w:sz w:val="24"/>
          <w:szCs w:val="24"/>
        </w:rPr>
        <w:t>1. Energy &amp; environment</w:t>
      </w:r>
      <w:bookmarkEnd w:id="38"/>
    </w:p>
    <w:p w:rsidR="00320198" w:rsidRDefault="005C0948">
      <w:pPr>
        <w:widowControl w:val="0"/>
        <w:spacing w:line="240" w:lineRule="auto"/>
        <w:jc w:val="both"/>
        <w:rPr>
          <w:rFonts w:ascii="Times New Roman" w:hAnsi="Times New Roman"/>
          <w:b/>
          <w:noProof/>
          <w:sz w:val="24"/>
          <w:szCs w:val="24"/>
        </w:rPr>
      </w:pPr>
      <w:r>
        <w:rPr>
          <w:rFonts w:ascii="Times New Roman" w:hAnsi="Times New Roman"/>
          <w:b/>
          <w:noProof/>
          <w:sz w:val="24"/>
          <w:szCs w:val="24"/>
        </w:rPr>
        <w:t>Overview of key challenges in the sector</w:t>
      </w:r>
    </w:p>
    <w:p w:rsidR="00320198" w:rsidRDefault="005C0948">
      <w:pPr>
        <w:keepNext/>
        <w:spacing w:line="240" w:lineRule="auto"/>
        <w:jc w:val="both"/>
        <w:rPr>
          <w:rFonts w:ascii="Times New Roman" w:eastAsiaTheme="minorHAnsi" w:hAnsi="Times New Roman" w:cstheme="minorBidi"/>
          <w:bCs/>
          <w:noProof/>
          <w:sz w:val="24"/>
          <w:szCs w:val="24"/>
        </w:rPr>
      </w:pPr>
      <w:r>
        <w:rPr>
          <w:rFonts w:ascii="Times New Roman" w:eastAsiaTheme="minorHAnsi" w:hAnsi="Times New Roman" w:cstheme="minorBidi"/>
          <w:bCs/>
          <w:noProof/>
          <w:sz w:val="24"/>
          <w:szCs w:val="24"/>
        </w:rPr>
        <w:t>Completing the Single Market in the energy sector will bring significant benefits to Europe's consumers, businesses as well as the envi</w:t>
      </w:r>
      <w:r>
        <w:rPr>
          <w:rFonts w:ascii="Times New Roman" w:eastAsiaTheme="minorHAnsi" w:hAnsi="Times New Roman" w:cstheme="minorBidi"/>
          <w:bCs/>
          <w:noProof/>
          <w:sz w:val="24"/>
          <w:szCs w:val="24"/>
        </w:rPr>
        <w:t>ronment. Competition law enforcement in the energy sector plays a key role in removing obstacles to the free flow of gas and electricity across Member States, enabling decarbonisation, promoting interconnectivity and avoiding artificial market partitioning</w:t>
      </w:r>
      <w:r>
        <w:rPr>
          <w:rFonts w:ascii="Times New Roman" w:eastAsiaTheme="minorHAnsi" w:hAnsi="Times New Roman" w:cstheme="minorBidi"/>
          <w:bCs/>
          <w:noProof/>
          <w:sz w:val="24"/>
          <w:szCs w:val="24"/>
        </w:rPr>
        <w:t>. Applying the competition rules contributes to market opening and safeguards that all market players can compete on fair and equal terms, regardless of their nationality. In other words, competition policy is essential to make the Energy Union function pr</w:t>
      </w:r>
      <w:r>
        <w:rPr>
          <w:rFonts w:ascii="Times New Roman" w:eastAsiaTheme="minorHAnsi" w:hAnsi="Times New Roman" w:cstheme="minorBidi"/>
          <w:bCs/>
          <w:noProof/>
          <w:sz w:val="24"/>
          <w:szCs w:val="24"/>
        </w:rPr>
        <w:t>operly.</w:t>
      </w:r>
    </w:p>
    <w:p w:rsidR="00320198" w:rsidRDefault="005C0948">
      <w:pPr>
        <w:widowControl w:val="0"/>
        <w:spacing w:line="240" w:lineRule="auto"/>
        <w:jc w:val="both"/>
        <w:rPr>
          <w:rFonts w:ascii="Times New Roman" w:hAnsi="Times New Roman"/>
          <w:bCs/>
          <w:noProof/>
          <w:sz w:val="24"/>
          <w:szCs w:val="24"/>
        </w:rPr>
      </w:pPr>
      <w:r>
        <w:rPr>
          <w:rFonts w:ascii="Times New Roman" w:eastAsiaTheme="minorHAnsi" w:hAnsi="Times New Roman" w:cstheme="minorBidi"/>
          <w:bCs/>
          <w:noProof/>
          <w:sz w:val="24"/>
          <w:szCs w:val="24"/>
        </w:rPr>
        <w:t>In addition, c</w:t>
      </w:r>
      <w:r>
        <w:rPr>
          <w:rFonts w:ascii="Times New Roman" w:hAnsi="Times New Roman"/>
          <w:bCs/>
          <w:noProof/>
          <w:sz w:val="24"/>
          <w:szCs w:val="24"/>
        </w:rPr>
        <w:t>ompetition policy contributes to fulfilling the EU's climate targets, including the decarbonisation of the power sector and the shift in the transport sector from polluting fossil fuels to alternative fuels in accordance with the Comm</w:t>
      </w:r>
      <w:r>
        <w:rPr>
          <w:rFonts w:ascii="Times New Roman" w:hAnsi="Times New Roman"/>
          <w:bCs/>
          <w:noProof/>
          <w:sz w:val="24"/>
          <w:szCs w:val="24"/>
        </w:rPr>
        <w:t>ission's mobility policy.</w:t>
      </w:r>
      <w:r>
        <w:rPr>
          <w:rFonts w:ascii="Times New Roman" w:hAnsi="Times New Roman"/>
          <w:bCs/>
          <w:noProof/>
          <w:sz w:val="24"/>
          <w:szCs w:val="24"/>
          <w:vertAlign w:val="superscript"/>
        </w:rPr>
        <w:footnoteReference w:id="179"/>
      </w:r>
      <w:r>
        <w:rPr>
          <w:rFonts w:ascii="Times New Roman" w:hAnsi="Times New Roman"/>
          <w:bCs/>
          <w:noProof/>
          <w:sz w:val="24"/>
          <w:szCs w:val="24"/>
        </w:rPr>
        <w:t xml:space="preserve"> To this end, the Commission authorises aid measures compatible with the internal market promoting the deployment of renewables, improve energy efficiency and stimulate demand for low emission vehicles for public and private trans</w:t>
      </w:r>
      <w:r>
        <w:rPr>
          <w:rFonts w:ascii="Times New Roman" w:hAnsi="Times New Roman"/>
          <w:bCs/>
          <w:noProof/>
          <w:sz w:val="24"/>
          <w:szCs w:val="24"/>
        </w:rPr>
        <w:t>port.</w:t>
      </w:r>
    </w:p>
    <w:p w:rsidR="00320198" w:rsidRDefault="005C0948">
      <w:pPr>
        <w:keepNext/>
        <w:spacing w:line="240" w:lineRule="auto"/>
        <w:jc w:val="both"/>
        <w:rPr>
          <w:rFonts w:ascii="Times New Roman" w:eastAsiaTheme="minorHAnsi" w:hAnsi="Times New Roman" w:cstheme="minorBidi"/>
          <w:bCs/>
          <w:noProof/>
          <w:sz w:val="24"/>
          <w:szCs w:val="24"/>
        </w:rPr>
      </w:pPr>
      <w:r>
        <w:rPr>
          <w:rFonts w:ascii="Times New Roman" w:eastAsiaTheme="minorHAnsi" w:hAnsi="Times New Roman" w:cstheme="minorBidi"/>
          <w:bCs/>
          <w:noProof/>
          <w:sz w:val="24"/>
          <w:szCs w:val="24"/>
        </w:rPr>
        <w:t>Promoting competition in the energy sector means, ultimately, empowering consumers, whether energy-intensive users such as big manufacturing plants, small companies or households. They can demand a fair deal and it gives energy consumers the confiden</w:t>
      </w:r>
      <w:r>
        <w:rPr>
          <w:rFonts w:ascii="Times New Roman" w:eastAsiaTheme="minorHAnsi" w:hAnsi="Times New Roman" w:cstheme="minorBidi"/>
          <w:bCs/>
          <w:noProof/>
          <w:sz w:val="24"/>
          <w:szCs w:val="24"/>
        </w:rPr>
        <w:t xml:space="preserve">ce that the EU energy markets are working well. In addition, consumers throughout the EU will benefit from an integrated European Energy market that guarantees security of energy supply at affordable prices and a cleaner environment. </w:t>
      </w:r>
    </w:p>
    <w:p w:rsidR="00320198" w:rsidRDefault="005C0948">
      <w:pPr>
        <w:jc w:val="both"/>
        <w:rPr>
          <w:rFonts w:ascii="Times New Roman" w:hAnsi="Times New Roman"/>
          <w:b/>
          <w:noProof/>
          <w:sz w:val="24"/>
          <w:szCs w:val="24"/>
        </w:rPr>
      </w:pPr>
      <w:r>
        <w:rPr>
          <w:rFonts w:ascii="Times New Roman" w:hAnsi="Times New Roman"/>
          <w:b/>
          <w:noProof/>
          <w:sz w:val="24"/>
          <w:szCs w:val="24"/>
        </w:rPr>
        <w:t>Effective competition</w:t>
      </w:r>
      <w:r>
        <w:rPr>
          <w:rFonts w:ascii="Times New Roman" w:hAnsi="Times New Roman"/>
          <w:b/>
          <w:noProof/>
          <w:sz w:val="24"/>
          <w:szCs w:val="24"/>
        </w:rPr>
        <w:t xml:space="preserve"> in the green economy</w:t>
      </w:r>
    </w:p>
    <w:p w:rsidR="00320198" w:rsidRDefault="005C0948">
      <w:pPr>
        <w:spacing w:line="240" w:lineRule="auto"/>
        <w:jc w:val="both"/>
        <w:rPr>
          <w:rFonts w:ascii="Times New Roman" w:hAnsi="Times New Roman"/>
          <w:noProof/>
          <w:sz w:val="24"/>
          <w:szCs w:val="24"/>
        </w:rPr>
      </w:pPr>
      <w:r>
        <w:rPr>
          <w:rFonts w:ascii="Times New Roman" w:hAnsi="Times New Roman"/>
          <w:noProof/>
          <w:sz w:val="24"/>
          <w:szCs w:val="24"/>
        </w:rPr>
        <w:t>By means of the EU Emissions Trading System (ETS), State aid rules also play a key role in delivering on climate objectives by lowering the indirect costs of the EU’s carbon market for the most electricity-intensive industries. The co</w:t>
      </w:r>
      <w:r>
        <w:rPr>
          <w:rFonts w:ascii="Times New Roman" w:hAnsi="Times New Roman"/>
          <w:noProof/>
          <w:sz w:val="24"/>
          <w:szCs w:val="24"/>
        </w:rPr>
        <w:t>re principle of the ETS is that polluters should pay for their carbon emissions. However, outside of the EU, not all countries apply this principle. If enterprises were to delocalise some of their production outside the EU as a result of carbon costs, this</w:t>
      </w:r>
      <w:r>
        <w:rPr>
          <w:rFonts w:ascii="Times New Roman" w:hAnsi="Times New Roman"/>
          <w:noProof/>
          <w:sz w:val="24"/>
          <w:szCs w:val="24"/>
        </w:rPr>
        <w:t xml:space="preserve"> would result in an increase of global carbon emissions. Because electricity generators do not receive free allowances, they have to buy them, thereby increasing the electricity price for consumers. To this end, Member States may partially compensate elect</w:t>
      </w:r>
      <w:r>
        <w:rPr>
          <w:rFonts w:ascii="Times New Roman" w:hAnsi="Times New Roman"/>
          <w:noProof/>
          <w:sz w:val="24"/>
          <w:szCs w:val="24"/>
        </w:rPr>
        <w:t xml:space="preserve">ricity-intensive consumers for the indirect costs resulting from the ETS. </w:t>
      </w:r>
    </w:p>
    <w:p w:rsidR="00320198" w:rsidRDefault="005C0948">
      <w:pPr>
        <w:keepNext/>
        <w:spacing w:before="200" w:after="0" w:line="240" w:lineRule="auto"/>
        <w:jc w:val="both"/>
        <w:rPr>
          <w:rFonts w:ascii="Times New Roman" w:hAnsi="Times New Roman"/>
          <w:i/>
          <w:noProof/>
          <w:sz w:val="24"/>
          <w:szCs w:val="24"/>
        </w:rPr>
      </w:pPr>
      <w:r>
        <w:rPr>
          <w:rFonts w:ascii="Times New Roman" w:hAnsi="Times New Roman"/>
          <w:noProof/>
          <w:sz w:val="24"/>
          <w:szCs w:val="24"/>
        </w:rPr>
        <w:t xml:space="preserve">In 2012, the Commission adopted Guidelines setting the conditions under which Member States can grant such partial compensation regarded as constituting State aid for the trading period 2012-2020. On 14 March 2018, the Council and the Parliament adopted a </w:t>
      </w:r>
      <w:r>
        <w:rPr>
          <w:rFonts w:ascii="Times New Roman" w:hAnsi="Times New Roman"/>
          <w:noProof/>
          <w:sz w:val="24"/>
          <w:szCs w:val="24"/>
        </w:rPr>
        <w:t>revised ETS Directive for the period 2021-2030. It underlines that Member States should seek to limit their compensation to 25% of their ETS auction revenues. The Commission therefore launched on 20 December 2018 the revision process of the ETS State aid G</w:t>
      </w:r>
      <w:r>
        <w:rPr>
          <w:rFonts w:ascii="Times New Roman" w:hAnsi="Times New Roman"/>
          <w:noProof/>
          <w:sz w:val="24"/>
          <w:szCs w:val="24"/>
        </w:rPr>
        <w:t xml:space="preserve">uidelines. </w:t>
      </w:r>
    </w:p>
    <w:p w:rsidR="00320198" w:rsidRDefault="005C0948">
      <w:pPr>
        <w:spacing w:before="200" w:after="0" w:line="240" w:lineRule="auto"/>
        <w:jc w:val="both"/>
        <w:rPr>
          <w:rFonts w:ascii="Times New Roman" w:hAnsi="Times New Roman"/>
          <w:noProof/>
          <w:sz w:val="24"/>
          <w:szCs w:val="24"/>
        </w:rPr>
      </w:pPr>
      <w:r>
        <w:rPr>
          <w:rFonts w:ascii="Times New Roman" w:hAnsi="Times New Roman"/>
          <w:noProof/>
          <w:sz w:val="24"/>
          <w:szCs w:val="24"/>
        </w:rPr>
        <w:t>On 18 December 2018, a political agreement was reached on the Clean Energy for All Europeans Package.</w:t>
      </w:r>
      <w:r>
        <w:rPr>
          <w:rFonts w:ascii="Times New Roman" w:hAnsi="Times New Roman"/>
          <w:noProof/>
          <w:sz w:val="24"/>
          <w:szCs w:val="24"/>
          <w:vertAlign w:val="superscript"/>
        </w:rPr>
        <w:footnoteReference w:id="180"/>
      </w:r>
      <w:r>
        <w:rPr>
          <w:rFonts w:ascii="Times New Roman" w:hAnsi="Times New Roman"/>
          <w:noProof/>
          <w:sz w:val="24"/>
          <w:szCs w:val="24"/>
        </w:rPr>
        <w:t xml:space="preserve"> When adopted, the Package will constitute an important step towards the decarbonisation of the European energy system. Future capacity mechan</w:t>
      </w:r>
      <w:r>
        <w:rPr>
          <w:rFonts w:ascii="Times New Roman" w:hAnsi="Times New Roman"/>
          <w:noProof/>
          <w:sz w:val="24"/>
          <w:szCs w:val="24"/>
        </w:rPr>
        <w:t xml:space="preserve">isms will </w:t>
      </w:r>
      <w:r>
        <w:rPr>
          <w:rFonts w:ascii="Times New Roman" w:hAnsi="Times New Roman"/>
          <w:bCs/>
          <w:iCs/>
          <w:noProof/>
          <w:sz w:val="24"/>
          <w:szCs w:val="24"/>
        </w:rPr>
        <w:t>incorporate new caps regarding the</w:t>
      </w:r>
      <w:r>
        <w:rPr>
          <w:rFonts w:ascii="Times New Roman" w:hAnsi="Times New Roman"/>
          <w:noProof/>
          <w:sz w:val="24"/>
          <w:szCs w:val="24"/>
        </w:rPr>
        <w:t xml:space="preserve"> carbon emissions of fossil fuel origin. Thus, the Package introduces a new market design to create the right investment incentives and to enable further development of renewables in the electricity sector.</w:t>
      </w:r>
    </w:p>
    <w:p w:rsidR="00320198" w:rsidRDefault="005C0948">
      <w:pPr>
        <w:spacing w:before="200" w:after="0" w:line="240" w:lineRule="auto"/>
        <w:jc w:val="both"/>
        <w:rPr>
          <w:rFonts w:ascii="Times New Roman" w:hAnsi="Times New Roman"/>
          <w:noProof/>
          <w:sz w:val="24"/>
          <w:szCs w:val="24"/>
        </w:rPr>
      </w:pPr>
      <w:r>
        <w:rPr>
          <w:rFonts w:ascii="Times New Roman" w:eastAsiaTheme="minorHAnsi" w:hAnsi="Times New Roman"/>
          <w:noProof/>
          <w:color w:val="000000"/>
          <w:sz w:val="24"/>
          <w:szCs w:val="24"/>
        </w:rPr>
        <w:t xml:space="preserve">In </w:t>
      </w:r>
      <w:r>
        <w:rPr>
          <w:rFonts w:ascii="Times New Roman" w:eastAsiaTheme="minorHAnsi" w:hAnsi="Times New Roman"/>
          <w:noProof/>
          <w:color w:val="000000"/>
          <w:sz w:val="24"/>
          <w:szCs w:val="24"/>
        </w:rPr>
        <w:t>2018, the enforcement of State aid rules in the renewable energy and energy efficiency fields remained high. The Commission approved 21 renewables and combined heat and power support schemes. As a result, almost all Member States have now received State ai</w:t>
      </w:r>
      <w:r>
        <w:rPr>
          <w:rFonts w:ascii="Times New Roman" w:eastAsiaTheme="minorHAnsi" w:hAnsi="Times New Roman"/>
          <w:noProof/>
          <w:color w:val="000000"/>
          <w:sz w:val="24"/>
          <w:szCs w:val="24"/>
        </w:rPr>
        <w:t>d clearance for their renewables and combined heat and power support schemes and brought them in line with the 2014 Guidelines on State aid for environmental protection and energy. In particular, an increasing number of Member States are granting support f</w:t>
      </w:r>
      <w:r>
        <w:rPr>
          <w:rFonts w:ascii="Times New Roman" w:eastAsiaTheme="minorHAnsi" w:hAnsi="Times New Roman"/>
          <w:noProof/>
          <w:color w:val="000000"/>
          <w:sz w:val="24"/>
          <w:szCs w:val="24"/>
        </w:rPr>
        <w:t>or the production of renewable energy through competitive and technology neutral tenders and integrating renewables installations in the electricity market. This has resulted in lower cost for consumers in the electricity system as a whole.</w:t>
      </w:r>
      <w:r>
        <w:rPr>
          <w:noProof/>
        </w:rPr>
        <w:t xml:space="preserve"> </w:t>
      </w:r>
      <w:r>
        <w:rPr>
          <w:rFonts w:ascii="Times New Roman" w:eastAsiaTheme="minorHAnsi" w:hAnsi="Times New Roman"/>
          <w:noProof/>
          <w:color w:val="000000"/>
          <w:sz w:val="24"/>
          <w:szCs w:val="24"/>
        </w:rPr>
        <w:t xml:space="preserve">As an example, </w:t>
      </w:r>
      <w:r>
        <w:rPr>
          <w:rFonts w:ascii="Times New Roman" w:eastAsiaTheme="minorHAnsi" w:hAnsi="Times New Roman"/>
          <w:noProof/>
          <w:color w:val="000000"/>
          <w:sz w:val="24"/>
          <w:szCs w:val="24"/>
        </w:rPr>
        <w:t>the first technologically neutral tender in Denmark held under the scheme approved in 2018 delivered record low prices, with both solar and on-shore wind projects winning support.</w:t>
      </w:r>
    </w:p>
    <w:p w:rsidR="00320198" w:rsidRDefault="005C0948">
      <w:pPr>
        <w:spacing w:before="200" w:after="0" w:line="240" w:lineRule="auto"/>
        <w:jc w:val="both"/>
        <w:rPr>
          <w:rFonts w:ascii="Times New Roman" w:hAnsi="Times New Roman"/>
          <w:noProof/>
          <w:sz w:val="24"/>
          <w:szCs w:val="24"/>
        </w:rPr>
      </w:pPr>
      <w:r>
        <w:rPr>
          <w:rFonts w:ascii="Times New Roman" w:hAnsi="Times New Roman"/>
          <w:noProof/>
          <w:sz w:val="24"/>
          <w:szCs w:val="24"/>
        </w:rPr>
        <w:t>In 2018 the Commission approved a scheme to support the acquisition of low e</w:t>
      </w:r>
      <w:r>
        <w:rPr>
          <w:rFonts w:ascii="Times New Roman" w:hAnsi="Times New Roman"/>
          <w:noProof/>
          <w:sz w:val="24"/>
          <w:szCs w:val="24"/>
        </w:rPr>
        <w:t>mission battery electric and hybrid public transport buses in Germany,</w:t>
      </w:r>
      <w:r>
        <w:rPr>
          <w:rFonts w:ascii="Times New Roman" w:hAnsi="Times New Roman"/>
          <w:noProof/>
          <w:sz w:val="24"/>
          <w:szCs w:val="24"/>
          <w:vertAlign w:val="superscript"/>
        </w:rPr>
        <w:footnoteReference w:id="181"/>
      </w:r>
      <w:r>
        <w:rPr>
          <w:rFonts w:ascii="Times New Roman" w:hAnsi="Times New Roman"/>
          <w:noProof/>
          <w:sz w:val="24"/>
          <w:szCs w:val="24"/>
        </w:rPr>
        <w:t xml:space="preserve"> and a budget increase for a similar Portuguese scheme approved in 2016.</w:t>
      </w:r>
      <w:r>
        <w:rPr>
          <w:rFonts w:ascii="Times New Roman" w:hAnsi="Times New Roman"/>
          <w:noProof/>
          <w:sz w:val="24"/>
          <w:szCs w:val="24"/>
          <w:vertAlign w:val="superscript"/>
        </w:rPr>
        <w:footnoteReference w:id="182"/>
      </w:r>
      <w:r>
        <w:rPr>
          <w:rFonts w:ascii="Times New Roman" w:hAnsi="Times New Roman"/>
          <w:noProof/>
          <w:sz w:val="24"/>
          <w:szCs w:val="24"/>
        </w:rPr>
        <w:t xml:space="preserve"> Both measures include support for the infrastructure necessary to operate the buses. In addition, it approved a</w:t>
      </w:r>
      <w:r>
        <w:rPr>
          <w:rFonts w:ascii="Times New Roman" w:hAnsi="Times New Roman"/>
          <w:noProof/>
          <w:sz w:val="24"/>
          <w:szCs w:val="24"/>
        </w:rPr>
        <w:t xml:space="preserve"> German scheme to incentivise the retrofitting of diesel buses used in public transport with devices that significantly reduce their nitrogen oxides emissions.</w:t>
      </w:r>
      <w:r>
        <w:rPr>
          <w:rFonts w:ascii="Times New Roman" w:hAnsi="Times New Roman"/>
          <w:noProof/>
          <w:sz w:val="24"/>
          <w:szCs w:val="24"/>
          <w:vertAlign w:val="superscript"/>
        </w:rPr>
        <w:footnoteReference w:id="183"/>
      </w:r>
    </w:p>
    <w:p w:rsidR="00320198" w:rsidRDefault="005C0948">
      <w:pPr>
        <w:spacing w:before="200"/>
        <w:jc w:val="both"/>
        <w:rPr>
          <w:rFonts w:ascii="Times New Roman" w:hAnsi="Times New Roman"/>
          <w:noProof/>
          <w:sz w:val="24"/>
          <w:szCs w:val="24"/>
        </w:rPr>
      </w:pPr>
      <w:r>
        <w:rPr>
          <w:rFonts w:ascii="Times New Roman" w:hAnsi="Times New Roman"/>
          <w:b/>
          <w:noProof/>
          <w:sz w:val="24"/>
          <w:szCs w:val="24"/>
        </w:rPr>
        <w:t>Effective competition in electricity markets</w:t>
      </w:r>
    </w:p>
    <w:p w:rsidR="00320198" w:rsidRDefault="005C0948">
      <w:pPr>
        <w:spacing w:after="120" w:line="240" w:lineRule="auto"/>
        <w:jc w:val="both"/>
        <w:rPr>
          <w:rFonts w:ascii="Times New Roman" w:eastAsiaTheme="minorHAnsi" w:hAnsi="Times New Roman" w:cstheme="minorBidi"/>
          <w:bCs/>
          <w:noProof/>
          <w:sz w:val="24"/>
          <w:szCs w:val="24"/>
        </w:rPr>
      </w:pPr>
      <w:r>
        <w:rPr>
          <w:rFonts w:ascii="Times New Roman" w:eastAsiaTheme="minorHAnsi" w:hAnsi="Times New Roman" w:cstheme="minorBidi"/>
          <w:bCs/>
          <w:noProof/>
          <w:sz w:val="24"/>
          <w:szCs w:val="24"/>
        </w:rPr>
        <w:t>To address concerns about the free flow of electri</w:t>
      </w:r>
      <w:r>
        <w:rPr>
          <w:rFonts w:ascii="Times New Roman" w:eastAsiaTheme="minorHAnsi" w:hAnsi="Times New Roman" w:cstheme="minorBidi"/>
          <w:bCs/>
          <w:noProof/>
          <w:sz w:val="24"/>
          <w:szCs w:val="24"/>
        </w:rPr>
        <w:t xml:space="preserve">city, on 7 December 2018 the Commission adopted a decision rendering legally binding commitments offered by German grid operator </w:t>
      </w:r>
      <w:r>
        <w:rPr>
          <w:rFonts w:ascii="Times New Roman" w:eastAsiaTheme="minorHAnsi" w:hAnsi="Times New Roman" w:cstheme="minorBidi"/>
          <w:bCs/>
          <w:i/>
          <w:noProof/>
          <w:sz w:val="24"/>
          <w:szCs w:val="24"/>
        </w:rPr>
        <w:t>TenneT</w:t>
      </w:r>
      <w:r>
        <w:rPr>
          <w:rFonts w:ascii="Times New Roman" w:eastAsiaTheme="minorHAnsi" w:hAnsi="Times New Roman" w:cstheme="minorBidi"/>
          <w:bCs/>
          <w:i/>
          <w:noProof/>
          <w:sz w:val="24"/>
          <w:szCs w:val="24"/>
          <w:vertAlign w:val="superscript"/>
        </w:rPr>
        <w:footnoteReference w:id="184"/>
      </w:r>
      <w:r>
        <w:rPr>
          <w:rFonts w:ascii="Times New Roman" w:eastAsiaTheme="minorHAnsi" w:hAnsi="Times New Roman" w:cstheme="minorBidi"/>
          <w:bCs/>
          <w:i/>
          <w:noProof/>
          <w:sz w:val="24"/>
          <w:szCs w:val="24"/>
        </w:rPr>
        <w:t xml:space="preserve"> </w:t>
      </w:r>
      <w:r>
        <w:rPr>
          <w:rFonts w:ascii="Times New Roman" w:eastAsiaTheme="minorHAnsi" w:hAnsi="Times New Roman" w:cstheme="minorBidi"/>
          <w:bCs/>
          <w:noProof/>
          <w:sz w:val="24"/>
          <w:szCs w:val="24"/>
        </w:rPr>
        <w:t>to increase cross-border flows of electricity between Denmark and Germany. The Commission was concerned that TenneT may</w:t>
      </w:r>
      <w:r>
        <w:rPr>
          <w:rFonts w:ascii="Times New Roman" w:eastAsiaTheme="minorHAnsi" w:hAnsi="Times New Roman" w:cstheme="minorBidi"/>
          <w:bCs/>
          <w:noProof/>
          <w:sz w:val="24"/>
          <w:szCs w:val="24"/>
        </w:rPr>
        <w:t xml:space="preserve"> have infringed EU antitrust rules by systematically limiting southward capacity at the electricity interconnector between Western Denmark and Germany. This conduct prevented the export of cheap electricity from the Nordic countries, where it is largely ge</w:t>
      </w:r>
      <w:r>
        <w:rPr>
          <w:rFonts w:ascii="Times New Roman" w:eastAsiaTheme="minorHAnsi" w:hAnsi="Times New Roman" w:cstheme="minorBidi"/>
          <w:bCs/>
          <w:noProof/>
          <w:sz w:val="24"/>
          <w:szCs w:val="24"/>
        </w:rPr>
        <w:t>nerated from renewable energy sources (mostly wind and hydro) to Germany, leading to less competition between electricity producers on the German wholesale market and thus higher electricity prices. Following a market test, the Commission accepted commitme</w:t>
      </w:r>
      <w:r>
        <w:rPr>
          <w:rFonts w:ascii="Times New Roman" w:eastAsiaTheme="minorHAnsi" w:hAnsi="Times New Roman" w:cstheme="minorBidi"/>
          <w:bCs/>
          <w:noProof/>
          <w:sz w:val="24"/>
          <w:szCs w:val="24"/>
        </w:rPr>
        <w:t>nts, proposed by TenneT, and made them legally binding:</w:t>
      </w:r>
    </w:p>
    <w:p w:rsidR="00320198" w:rsidRDefault="005C0948">
      <w:pPr>
        <w:numPr>
          <w:ilvl w:val="0"/>
          <w:numId w:val="6"/>
        </w:numPr>
        <w:spacing w:after="120" w:line="240" w:lineRule="auto"/>
        <w:ind w:right="57"/>
        <w:jc w:val="both"/>
        <w:rPr>
          <w:rFonts w:ascii="Times New Roman" w:hAnsi="Times New Roman"/>
          <w:noProof/>
          <w:sz w:val="24"/>
          <w:szCs w:val="24"/>
        </w:rPr>
      </w:pPr>
      <w:r>
        <w:rPr>
          <w:rFonts w:ascii="Times New Roman" w:hAnsi="Times New Roman"/>
          <w:noProof/>
          <w:sz w:val="24"/>
          <w:szCs w:val="24"/>
        </w:rPr>
        <w:t>TenneT has committed to make available the maximum capacity compatible with the safe operation of the interconnector and, in any event, will guarantee a minimum hourly capacity of 1,300 megawatts on t</w:t>
      </w:r>
      <w:r>
        <w:rPr>
          <w:rFonts w:ascii="Times New Roman" w:hAnsi="Times New Roman"/>
          <w:noProof/>
          <w:sz w:val="24"/>
          <w:szCs w:val="24"/>
        </w:rPr>
        <w:t xml:space="preserve">he interconnector (around 75% of its technical capacity). Following expansion of </w:t>
      </w:r>
      <w:r>
        <w:rPr>
          <w:rFonts w:ascii="Times New Roman" w:hAnsi="Times New Roman"/>
          <w:iCs/>
          <w:noProof/>
          <w:sz w:val="24"/>
          <w:szCs w:val="24"/>
          <w:lang w:val="en-US"/>
        </w:rPr>
        <w:t xml:space="preserve">the interconnector between </w:t>
      </w:r>
      <w:r>
        <w:rPr>
          <w:rFonts w:ascii="Times New Roman" w:hAnsi="Times New Roman"/>
          <w:noProof/>
          <w:sz w:val="24"/>
          <w:szCs w:val="24"/>
        </w:rPr>
        <w:t xml:space="preserve">Western Denmark and Germany, </w:t>
      </w:r>
      <w:r>
        <w:rPr>
          <w:rFonts w:ascii="Times New Roman" w:hAnsi="Times New Roman"/>
          <w:iCs/>
          <w:noProof/>
          <w:sz w:val="24"/>
          <w:szCs w:val="24"/>
          <w:lang w:val="en-US"/>
        </w:rPr>
        <w:t xml:space="preserve">TenneT will increase the guaranteed hourly capacity. </w:t>
      </w:r>
    </w:p>
    <w:p w:rsidR="00320198" w:rsidRDefault="005C0948">
      <w:pPr>
        <w:numPr>
          <w:ilvl w:val="0"/>
          <w:numId w:val="5"/>
        </w:numPr>
        <w:spacing w:line="240" w:lineRule="auto"/>
        <w:ind w:left="714" w:right="57" w:hanging="357"/>
        <w:jc w:val="both"/>
        <w:rPr>
          <w:rFonts w:ascii="Times New Roman" w:hAnsi="Times New Roman"/>
          <w:noProof/>
          <w:sz w:val="24"/>
          <w:szCs w:val="24"/>
        </w:rPr>
      </w:pPr>
      <w:r>
        <w:rPr>
          <w:rFonts w:ascii="Times New Roman" w:hAnsi="Times New Roman"/>
          <w:noProof/>
          <w:sz w:val="24"/>
          <w:szCs w:val="24"/>
        </w:rPr>
        <w:t xml:space="preserve">TenneT can reduce the capacity offered below the minimum guaranteed level only in a very limited number of exceptional circumstances, when no other option is available to ensure the security of the high-voltage electricity network. </w:t>
      </w:r>
    </w:p>
    <w:p w:rsidR="00320198" w:rsidRDefault="005C0948">
      <w:pPr>
        <w:keepNext/>
        <w:spacing w:line="240" w:lineRule="auto"/>
        <w:jc w:val="both"/>
        <w:rPr>
          <w:rFonts w:ascii="Times New Roman" w:eastAsiaTheme="minorHAnsi" w:hAnsi="Times New Roman" w:cstheme="minorBidi"/>
          <w:bCs/>
          <w:noProof/>
          <w:sz w:val="24"/>
          <w:szCs w:val="24"/>
        </w:rPr>
      </w:pPr>
      <w:r>
        <w:rPr>
          <w:rFonts w:ascii="Times New Roman" w:eastAsiaTheme="minorHAnsi" w:hAnsi="Times New Roman" w:cstheme="minorBidi"/>
          <w:bCs/>
          <w:noProof/>
          <w:sz w:val="24"/>
          <w:szCs w:val="24"/>
        </w:rPr>
        <w:t>The commitments will re</w:t>
      </w:r>
      <w:r>
        <w:rPr>
          <w:rFonts w:ascii="Times New Roman" w:eastAsiaTheme="minorHAnsi" w:hAnsi="Times New Roman" w:cstheme="minorBidi"/>
          <w:bCs/>
          <w:noProof/>
          <w:sz w:val="24"/>
          <w:szCs w:val="24"/>
        </w:rPr>
        <w:t>main in force for nine years and a trustee will be in charge of monitoring TenneT's compliance with the commitments.</w:t>
      </w:r>
      <w:r>
        <w:rPr>
          <w:rFonts w:ascii="Times New Roman" w:eastAsiaTheme="minorHAnsi" w:hAnsi="Times New Roman" w:cstheme="minorBidi"/>
          <w:bCs/>
          <w:noProof/>
          <w:sz w:val="24"/>
          <w:szCs w:val="24"/>
          <w:vertAlign w:val="superscript"/>
        </w:rPr>
        <w:footnoteReference w:id="185"/>
      </w:r>
    </w:p>
    <w:p w:rsidR="00320198" w:rsidRDefault="005C0948">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Moreover, on 17 April 2018 the Commission made legally binding measures submitted by Greece to ensure fair access to lignite-fired power g</w:t>
      </w:r>
      <w:r>
        <w:rPr>
          <w:rFonts w:ascii="Times New Roman" w:eastAsia="Times New Roman" w:hAnsi="Times New Roman"/>
          <w:noProof/>
          <w:sz w:val="24"/>
          <w:szCs w:val="24"/>
          <w:lang w:eastAsia="en-GB"/>
        </w:rPr>
        <w:t xml:space="preserve">eneration for the competitors of </w:t>
      </w:r>
      <w:r>
        <w:rPr>
          <w:rFonts w:ascii="Times New Roman" w:eastAsia="Times New Roman" w:hAnsi="Times New Roman"/>
          <w:i/>
          <w:noProof/>
          <w:sz w:val="24"/>
          <w:szCs w:val="24"/>
          <w:lang w:eastAsia="en-GB"/>
        </w:rPr>
        <w:t>Public Power Corporation (PPC)</w:t>
      </w:r>
      <w:r>
        <w:rPr>
          <w:rFonts w:ascii="Times New Roman" w:eastAsia="Times New Roman" w:hAnsi="Times New Roman"/>
          <w:noProof/>
          <w:sz w:val="24"/>
          <w:szCs w:val="24"/>
          <w:vertAlign w:val="superscript"/>
          <w:lang w:eastAsia="en-GB"/>
        </w:rPr>
        <w:footnoteReference w:id="186"/>
      </w:r>
      <w:r>
        <w:rPr>
          <w:rFonts w:ascii="Times New Roman" w:eastAsia="Times New Roman" w:hAnsi="Times New Roman"/>
          <w:noProof/>
          <w:sz w:val="24"/>
          <w:szCs w:val="24"/>
          <w:lang w:eastAsia="en-GB"/>
        </w:rPr>
        <w:t xml:space="preserve"> the incumbent electricity operator. In 2008 the Commission found that Greece had infringed competition rules by giving the state-owned electricity incumbent, PPC, privileged access rights to </w:t>
      </w:r>
      <w:r>
        <w:rPr>
          <w:rFonts w:ascii="Times New Roman" w:eastAsia="Times New Roman" w:hAnsi="Times New Roman"/>
          <w:noProof/>
          <w:sz w:val="24"/>
          <w:szCs w:val="24"/>
          <w:lang w:eastAsia="en-GB"/>
        </w:rPr>
        <w:t>lignite, and called on Greece to propose measures to correct the anti-competitive effects of that infringement. Due to appeals at both the General Court and the Court of Justice, such corrective measures had not been implemented so far. With the 2018 decis</w:t>
      </w:r>
      <w:r>
        <w:rPr>
          <w:rFonts w:ascii="Times New Roman" w:eastAsia="Times New Roman" w:hAnsi="Times New Roman"/>
          <w:noProof/>
          <w:sz w:val="24"/>
          <w:szCs w:val="24"/>
          <w:lang w:eastAsia="en-GB"/>
        </w:rPr>
        <w:t>ion, the Commission concluded that the amended final version of the remedies submitted by Greece on 19 January 2018 fully addressed the infringement identified by the Commission in its 2008 Decision, while also taking into account Greece's environmental ob</w:t>
      </w:r>
      <w:r>
        <w:rPr>
          <w:rFonts w:ascii="Times New Roman" w:eastAsia="Times New Roman" w:hAnsi="Times New Roman"/>
          <w:noProof/>
          <w:sz w:val="24"/>
          <w:szCs w:val="24"/>
          <w:lang w:eastAsia="en-GB"/>
        </w:rPr>
        <w:t>jectives and current market circumstances. The remedies should remove the privileges created by the special access rights granted to PPC. In particular, the remedies provide that PPC will divest the lignite-fired units of Meliti (including the licensed uni</w:t>
      </w:r>
      <w:r>
        <w:rPr>
          <w:rFonts w:ascii="Times New Roman" w:eastAsia="Times New Roman" w:hAnsi="Times New Roman"/>
          <w:noProof/>
          <w:sz w:val="24"/>
          <w:szCs w:val="24"/>
          <w:lang w:eastAsia="en-GB"/>
        </w:rPr>
        <w:t>t of Meliti 2) and Megalopoli 3 and 4. The assets to be divested will allow the purchasers to compete immediately and more effectively in the Greek wholesale electricity market. PPC has launched a tender procedure for the divestment of the plants which sho</w:t>
      </w:r>
      <w:r>
        <w:rPr>
          <w:rFonts w:ascii="Times New Roman" w:eastAsia="Times New Roman" w:hAnsi="Times New Roman"/>
          <w:noProof/>
          <w:sz w:val="24"/>
          <w:szCs w:val="24"/>
          <w:lang w:eastAsia="en-GB"/>
        </w:rPr>
        <w:t>uld be completed in 2019.</w:t>
      </w:r>
    </w:p>
    <w:p w:rsidR="00320198" w:rsidRDefault="005C0948">
      <w:pPr>
        <w:spacing w:after="240" w:line="240" w:lineRule="auto"/>
        <w:jc w:val="both"/>
        <w:rPr>
          <w:rFonts w:ascii="Times New Roman" w:eastAsiaTheme="minorHAnsi" w:hAnsi="Times New Roman" w:cstheme="minorBidi"/>
          <w:noProof/>
          <w:color w:val="000000"/>
          <w:sz w:val="24"/>
        </w:rPr>
      </w:pPr>
      <w:r>
        <w:rPr>
          <w:rFonts w:ascii="Times New Roman" w:eastAsiaTheme="minorHAnsi" w:hAnsi="Times New Roman" w:cstheme="minorBidi"/>
          <w:noProof/>
          <w:color w:val="000000"/>
          <w:sz w:val="24"/>
        </w:rPr>
        <w:t xml:space="preserve">In 2018 the Commission analysed several mergers in the electricity sector. For example, it approved the </w:t>
      </w:r>
      <w:r>
        <w:rPr>
          <w:rFonts w:ascii="Times New Roman" w:eastAsiaTheme="minorHAnsi" w:hAnsi="Times New Roman" w:cstheme="minorBidi"/>
          <w:i/>
          <w:noProof/>
          <w:color w:val="000000"/>
          <w:sz w:val="24"/>
        </w:rPr>
        <w:t>Fortum/Uniper</w:t>
      </w:r>
      <w:r>
        <w:rPr>
          <w:rFonts w:ascii="Times New Roman" w:eastAsiaTheme="minorHAnsi" w:hAnsi="Times New Roman" w:cstheme="minorBidi"/>
          <w:noProof/>
          <w:color w:val="000000"/>
          <w:sz w:val="24"/>
        </w:rPr>
        <w:t xml:space="preserve"> merger.</w:t>
      </w:r>
      <w:r>
        <w:rPr>
          <w:rFonts w:ascii="Times New Roman" w:eastAsiaTheme="minorHAnsi" w:hAnsi="Times New Roman" w:cstheme="minorBidi"/>
          <w:noProof/>
          <w:color w:val="000000"/>
          <w:sz w:val="24"/>
          <w:vertAlign w:val="superscript"/>
        </w:rPr>
        <w:footnoteReference w:id="187"/>
      </w:r>
      <w:r>
        <w:rPr>
          <w:rFonts w:ascii="Times New Roman" w:eastAsiaTheme="minorHAnsi" w:hAnsi="Times New Roman" w:cstheme="minorBidi"/>
          <w:noProof/>
          <w:color w:val="000000"/>
          <w:sz w:val="24"/>
        </w:rPr>
        <w:t xml:space="preserve"> The Transaction mainly concerned the generation and wholesale of electricity in the Nordic countries, in particular through hydro power. The Commission also assessed various energy-related activities, such as the financial trading, retail supply of electr</w:t>
      </w:r>
      <w:r>
        <w:rPr>
          <w:rFonts w:ascii="Times New Roman" w:eastAsiaTheme="minorHAnsi" w:hAnsi="Times New Roman" w:cstheme="minorBidi"/>
          <w:noProof/>
          <w:color w:val="000000"/>
          <w:sz w:val="24"/>
        </w:rPr>
        <w:t>icity and district heating, as well as energy production-related services. In this case, the analysis carried out by the Commission revealed that competition in those countries is healthy, also as a result of the high level of interconnectivity between dif</w:t>
      </w:r>
      <w:r>
        <w:rPr>
          <w:rFonts w:ascii="Times New Roman" w:eastAsiaTheme="minorHAnsi" w:hAnsi="Times New Roman" w:cstheme="minorBidi"/>
          <w:noProof/>
          <w:color w:val="000000"/>
          <w:sz w:val="24"/>
        </w:rPr>
        <w:t>ferent countries in the Nordic area.</w:t>
      </w:r>
    </w:p>
    <w:p w:rsidR="00320198" w:rsidRDefault="005C0948">
      <w:pPr>
        <w:spacing w:before="200" w:after="0" w:line="240" w:lineRule="auto"/>
        <w:jc w:val="both"/>
        <w:rPr>
          <w:rFonts w:ascii="Times New Roman" w:eastAsiaTheme="minorHAnsi" w:hAnsi="Times New Roman" w:cstheme="minorBidi"/>
          <w:bCs/>
          <w:noProof/>
          <w:sz w:val="24"/>
          <w:szCs w:val="24"/>
        </w:rPr>
      </w:pPr>
      <w:r>
        <w:rPr>
          <w:rFonts w:ascii="Times New Roman" w:hAnsi="Times New Roman"/>
          <w:b/>
          <w:noProof/>
          <w:sz w:val="24"/>
          <w:szCs w:val="24"/>
        </w:rPr>
        <w:t>Ensuring reliable electricity supplies</w:t>
      </w:r>
    </w:p>
    <w:p w:rsidR="00320198" w:rsidRDefault="005C0948">
      <w:pPr>
        <w:spacing w:before="200" w:after="0" w:line="240" w:lineRule="auto"/>
        <w:jc w:val="both"/>
        <w:rPr>
          <w:rFonts w:ascii="Times New Roman" w:hAnsi="Times New Roman"/>
          <w:noProof/>
          <w:sz w:val="24"/>
          <w:szCs w:val="24"/>
        </w:rPr>
      </w:pPr>
      <w:r>
        <w:rPr>
          <w:rFonts w:ascii="Times New Roman" w:eastAsiaTheme="minorHAnsi" w:hAnsi="Times New Roman" w:cstheme="minorBidi"/>
          <w:bCs/>
          <w:noProof/>
          <w:sz w:val="24"/>
          <w:szCs w:val="24"/>
        </w:rPr>
        <w:t xml:space="preserve">Capacity mechanisms are measures taken by Member States to ensure that electricity supply can match demand in the medium and long term. Capacity mechanisms are designed to support </w:t>
      </w:r>
      <w:r>
        <w:rPr>
          <w:rFonts w:ascii="Times New Roman" w:eastAsiaTheme="minorHAnsi" w:hAnsi="Times New Roman" w:cstheme="minorBidi"/>
          <w:bCs/>
          <w:noProof/>
          <w:sz w:val="24"/>
          <w:szCs w:val="24"/>
        </w:rPr>
        <w:t xml:space="preserve">investment to fill the expected capacity gap and ensure security of supply. </w:t>
      </w:r>
      <w:r>
        <w:rPr>
          <w:rFonts w:ascii="Times New Roman" w:hAnsi="Times New Roman"/>
          <w:noProof/>
          <w:sz w:val="24"/>
          <w:szCs w:val="24"/>
        </w:rPr>
        <w:t>Typically, capacity mechanisms offer additional rewards to capacity providers, on top of income obtained by selling electricity on the market in return for maintaining existing cap</w:t>
      </w:r>
      <w:r>
        <w:rPr>
          <w:rFonts w:ascii="Times New Roman" w:hAnsi="Times New Roman"/>
          <w:noProof/>
          <w:sz w:val="24"/>
          <w:szCs w:val="24"/>
        </w:rPr>
        <w:t xml:space="preserve">acity or investing in new capacity needed to guarantee security of electricity supplies. However, capacity mechanisms cannot substitute electricity market reforms at national and European levels. In parallel, Member States must implement market reforms to </w:t>
      </w:r>
      <w:r>
        <w:rPr>
          <w:rFonts w:ascii="Times New Roman" w:hAnsi="Times New Roman"/>
          <w:noProof/>
          <w:sz w:val="24"/>
          <w:szCs w:val="24"/>
        </w:rPr>
        <w:t xml:space="preserve">address regulatory failures that undermine the incentive for energy operators to invest in energy capacity in accordance with the decarbonisation objectives of the EU. </w:t>
      </w:r>
    </w:p>
    <w:p w:rsidR="00320198" w:rsidRDefault="005C0948">
      <w:pPr>
        <w:spacing w:before="200" w:after="0" w:line="240" w:lineRule="auto"/>
        <w:jc w:val="both"/>
        <w:rPr>
          <w:rFonts w:ascii="Times New Roman" w:hAnsi="Times New Roman"/>
          <w:noProof/>
          <w:sz w:val="24"/>
          <w:szCs w:val="24"/>
        </w:rPr>
      </w:pPr>
      <w:r>
        <w:rPr>
          <w:rFonts w:ascii="Times New Roman" w:hAnsi="Times New Roman"/>
          <w:noProof/>
          <w:sz w:val="24"/>
          <w:szCs w:val="24"/>
        </w:rPr>
        <w:t>In its 2016 report of the Sector Inquiry on Capacity Mechanisms,</w:t>
      </w:r>
      <w:r>
        <w:rPr>
          <w:rFonts w:ascii="Times New Roman" w:hAnsi="Times New Roman"/>
          <w:noProof/>
          <w:sz w:val="24"/>
          <w:szCs w:val="24"/>
          <w:vertAlign w:val="superscript"/>
        </w:rPr>
        <w:footnoteReference w:id="188"/>
      </w:r>
      <w:r>
        <w:rPr>
          <w:rFonts w:ascii="Times New Roman" w:hAnsi="Times New Roman"/>
          <w:noProof/>
          <w:sz w:val="24"/>
          <w:szCs w:val="24"/>
        </w:rPr>
        <w:t xml:space="preserve"> the Commission conclu</w:t>
      </w:r>
      <w:r>
        <w:rPr>
          <w:rFonts w:ascii="Times New Roman" w:hAnsi="Times New Roman"/>
          <w:noProof/>
          <w:sz w:val="24"/>
          <w:szCs w:val="24"/>
        </w:rPr>
        <w:t>ded that capacity mechanisms can affect the generation mix and in particular interact with instruments aimed at fostering decarbonisation. To promote non-fossil based capacity, the Commission recommended that eligibility or allocation criteria for capacity</w:t>
      </w:r>
      <w:r>
        <w:rPr>
          <w:rFonts w:ascii="Times New Roman" w:hAnsi="Times New Roman"/>
          <w:noProof/>
          <w:sz w:val="24"/>
          <w:szCs w:val="24"/>
        </w:rPr>
        <w:t xml:space="preserve"> mechanisms allow renewables and demand-side operators to compete alongside other capacity. Otherwise, capacity mechanisms may risk jeopardising decarbonisation objectives while pushing up the price for security of supply.</w:t>
      </w:r>
    </w:p>
    <w:p w:rsidR="00320198" w:rsidRDefault="005C0948">
      <w:pPr>
        <w:spacing w:before="200" w:after="0" w:line="240" w:lineRule="auto"/>
        <w:jc w:val="both"/>
        <w:rPr>
          <w:rFonts w:ascii="Times New Roman" w:hAnsi="Times New Roman"/>
          <w:noProof/>
          <w:sz w:val="24"/>
          <w:szCs w:val="24"/>
        </w:rPr>
      </w:pPr>
      <w:r>
        <w:rPr>
          <w:rFonts w:ascii="Times New Roman" w:eastAsiaTheme="minorHAnsi" w:hAnsi="Times New Roman" w:cstheme="minorBidi"/>
          <w:bCs/>
          <w:noProof/>
          <w:sz w:val="24"/>
          <w:szCs w:val="24"/>
        </w:rPr>
        <w:t xml:space="preserve">In 2018, the Commission approved </w:t>
      </w:r>
      <w:r>
        <w:rPr>
          <w:rFonts w:ascii="Times New Roman" w:eastAsiaTheme="minorHAnsi" w:hAnsi="Times New Roman" w:cstheme="minorBidi"/>
          <w:bCs/>
          <w:noProof/>
          <w:sz w:val="24"/>
          <w:szCs w:val="24"/>
        </w:rPr>
        <w:t>seven electricity capacity mechanisms (in Belgium, France, Germany, Greece, Italy and Poland).</w:t>
      </w:r>
      <w:r>
        <w:rPr>
          <w:rStyle w:val="FootnoteReference"/>
          <w:rFonts w:ascii="Times New Roman" w:eastAsiaTheme="minorHAnsi" w:hAnsi="Times New Roman" w:cstheme="minorBidi"/>
          <w:bCs/>
          <w:noProof/>
          <w:sz w:val="24"/>
          <w:szCs w:val="24"/>
        </w:rPr>
        <w:footnoteReference w:id="189"/>
      </w:r>
      <w:r>
        <w:rPr>
          <w:rFonts w:ascii="Times New Roman" w:eastAsiaTheme="minorHAnsi" w:hAnsi="Times New Roman" w:cstheme="minorBidi"/>
          <w:bCs/>
          <w:noProof/>
          <w:sz w:val="24"/>
          <w:szCs w:val="24"/>
        </w:rPr>
        <w:t xml:space="preserve"> In its assessment, the Commission verified that the capacity mechanisms met strict criteria under EU State aid rules, in particular the Commission’s 2014 Guidel</w:t>
      </w:r>
      <w:r>
        <w:rPr>
          <w:rFonts w:ascii="Times New Roman" w:eastAsiaTheme="minorHAnsi" w:hAnsi="Times New Roman" w:cstheme="minorBidi"/>
          <w:bCs/>
          <w:noProof/>
          <w:sz w:val="24"/>
          <w:szCs w:val="24"/>
        </w:rPr>
        <w:t>ines on State aid for environmental protection and energy.</w:t>
      </w:r>
      <w:r>
        <w:rPr>
          <w:rStyle w:val="FootnoteReference"/>
          <w:rFonts w:ascii="Times New Roman" w:eastAsiaTheme="minorHAnsi" w:hAnsi="Times New Roman" w:cstheme="minorBidi"/>
          <w:bCs/>
          <w:noProof/>
          <w:sz w:val="24"/>
          <w:szCs w:val="24"/>
        </w:rPr>
        <w:footnoteReference w:id="190"/>
      </w:r>
      <w:r>
        <w:rPr>
          <w:rFonts w:ascii="Times New Roman" w:eastAsiaTheme="minorHAnsi" w:hAnsi="Times New Roman" w:cstheme="minorBidi"/>
          <w:bCs/>
          <w:noProof/>
          <w:sz w:val="24"/>
          <w:szCs w:val="24"/>
        </w:rPr>
        <w:t xml:space="preserve"> In parallel, Member States must implement market reforms to address regulatory failures that undermine the incentive for energy operators to invest in electricity capacity.  </w:t>
      </w:r>
    </w:p>
    <w:p w:rsidR="00320198" w:rsidRDefault="005C0948">
      <w:pPr>
        <w:widowControl w:val="0"/>
        <w:spacing w:before="200" w:line="240" w:lineRule="auto"/>
        <w:jc w:val="both"/>
        <w:rPr>
          <w:rFonts w:ascii="Times New Roman" w:hAnsi="Times New Roman"/>
          <w:b/>
          <w:noProof/>
          <w:sz w:val="24"/>
          <w:szCs w:val="24"/>
        </w:rPr>
      </w:pPr>
      <w:r>
        <w:rPr>
          <w:rFonts w:ascii="Times New Roman" w:hAnsi="Times New Roman"/>
          <w:b/>
          <w:noProof/>
          <w:sz w:val="24"/>
          <w:szCs w:val="24"/>
        </w:rPr>
        <w:t>Effective competition</w:t>
      </w:r>
      <w:r>
        <w:rPr>
          <w:rFonts w:ascii="Times New Roman" w:hAnsi="Times New Roman"/>
          <w:b/>
          <w:noProof/>
          <w:sz w:val="24"/>
          <w:szCs w:val="24"/>
        </w:rPr>
        <w:t xml:space="preserve"> in gas and oil markets </w:t>
      </w:r>
    </w:p>
    <w:p w:rsidR="00320198" w:rsidRDefault="005C0948">
      <w:pPr>
        <w:spacing w:after="240" w:line="240" w:lineRule="auto"/>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The purpose of antitrust enforcement in the gas sector is to achieve more competitive markets in Europe, thereby offering citizens and businesses arbitrage opportunities and greater choice at lower prices.</w:t>
      </w:r>
    </w:p>
    <w:p w:rsidR="00320198" w:rsidRDefault="005C0948">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case concerning Central and Eastern European gas markets is a good example of the efforts made by the Commission to facilitate cross-border flows of energy between Member States. On 24 May 2018, the Commission adopted a decision rendering legally bindi</w:t>
      </w:r>
      <w:r>
        <w:rPr>
          <w:rFonts w:ascii="Times New Roman" w:eastAsia="Times New Roman" w:hAnsi="Times New Roman"/>
          <w:noProof/>
          <w:sz w:val="24"/>
          <w:szCs w:val="24"/>
          <w:lang w:eastAsia="en-GB"/>
        </w:rPr>
        <w:t xml:space="preserve">ng on Gazprom commitments that address the Commission's competition concerns and enable the free flow of gas at competitive prices in Central and Eastern European gas markets, to the benefit of European consumers and businesses. </w:t>
      </w:r>
      <w:r>
        <w:rPr>
          <w:rFonts w:ascii="Times New Roman" w:eastAsia="Times New Roman" w:hAnsi="Times New Roman"/>
          <w:i/>
          <w:noProof/>
          <w:sz w:val="24"/>
          <w:szCs w:val="24"/>
          <w:lang w:eastAsia="en-GB"/>
        </w:rPr>
        <w:t>Gazprom</w:t>
      </w:r>
      <w:r>
        <w:rPr>
          <w:rFonts w:ascii="Times New Roman" w:eastAsia="Times New Roman" w:hAnsi="Times New Roman"/>
          <w:noProof/>
          <w:sz w:val="24"/>
          <w:szCs w:val="24"/>
          <w:lang w:eastAsia="en-GB"/>
        </w:rPr>
        <w:t xml:space="preserve"> appears to be the d</w:t>
      </w:r>
      <w:r>
        <w:rPr>
          <w:rFonts w:ascii="Times New Roman" w:eastAsia="Times New Roman" w:hAnsi="Times New Roman"/>
          <w:noProof/>
          <w:sz w:val="24"/>
          <w:szCs w:val="24"/>
          <w:lang w:eastAsia="en-GB"/>
        </w:rPr>
        <w:t>ominant gas supplier in a number of Central and Eastern European countries. The Commission was concerned that Gazprom may have breached EU antitrust rules by pursuing an overall strategy to partition gas markets along national borders in eight Member State</w:t>
      </w:r>
      <w:r>
        <w:rPr>
          <w:rFonts w:ascii="Times New Roman" w:eastAsia="Times New Roman" w:hAnsi="Times New Roman"/>
          <w:noProof/>
          <w:sz w:val="24"/>
          <w:szCs w:val="24"/>
          <w:lang w:eastAsia="en-GB"/>
        </w:rPr>
        <w:t>s (Bulgaria, the Czech Republic, Estonia, Hungary, Latvia, Lithuania, Poland and Slovakia) and that this strategy may have enabled Gazprom to charge higher gas prices in five of these Member States (</w:t>
      </w:r>
      <w:r>
        <w:rPr>
          <w:rFonts w:ascii="Times New Roman" w:eastAsia="Times New Roman" w:hAnsi="Times New Roman"/>
          <w:iCs/>
          <w:noProof/>
          <w:sz w:val="24"/>
          <w:szCs w:val="24"/>
          <w:lang w:eastAsia="en-GB"/>
        </w:rPr>
        <w:t xml:space="preserve">Bulgaria, Estonia, Latvia, Lithuania and Poland). The </w:t>
      </w:r>
      <w:r>
        <w:rPr>
          <w:rFonts w:ascii="Times New Roman" w:eastAsia="Times New Roman" w:hAnsi="Times New Roman"/>
          <w:noProof/>
          <w:sz w:val="24"/>
          <w:szCs w:val="24"/>
          <w:lang w:eastAsia="en-GB"/>
        </w:rPr>
        <w:t>Com</w:t>
      </w:r>
      <w:r>
        <w:rPr>
          <w:rFonts w:ascii="Times New Roman" w:eastAsia="Times New Roman" w:hAnsi="Times New Roman"/>
          <w:noProof/>
          <w:sz w:val="24"/>
          <w:szCs w:val="24"/>
          <w:lang w:eastAsia="en-GB"/>
        </w:rPr>
        <w:t>mission decision put an end to this behaviour by Gazprom. Furthermore, it imposed on Gazprom a detailed set of rules that will significantly change the way Gazprom operates in Central and Eastern European gas markets:</w:t>
      </w:r>
    </w:p>
    <w:p w:rsidR="00320198" w:rsidRDefault="005C0948">
      <w:pPr>
        <w:numPr>
          <w:ilvl w:val="0"/>
          <w:numId w:val="7"/>
        </w:numPr>
        <w:spacing w:before="100" w:beforeAutospacing="1" w:after="100" w:afterAutospacing="1" w:line="240" w:lineRule="auto"/>
        <w:jc w:val="both"/>
        <w:rPr>
          <w:rFonts w:ascii="Times New Roman" w:eastAsiaTheme="minorHAnsi" w:hAnsi="Times New Roman"/>
          <w:noProof/>
          <w:sz w:val="24"/>
          <w:szCs w:val="24"/>
        </w:rPr>
      </w:pPr>
      <w:r>
        <w:rPr>
          <w:rFonts w:ascii="Times New Roman" w:eastAsiaTheme="minorHAnsi" w:hAnsi="Times New Roman"/>
          <w:bCs/>
          <w:noProof/>
          <w:sz w:val="24"/>
          <w:szCs w:val="24"/>
        </w:rPr>
        <w:t xml:space="preserve">No more contractual barriers to the </w:t>
      </w:r>
      <w:r>
        <w:rPr>
          <w:rFonts w:ascii="Times New Roman" w:eastAsiaTheme="minorHAnsi" w:hAnsi="Times New Roman"/>
          <w:bCs/>
          <w:noProof/>
          <w:sz w:val="24"/>
          <w:szCs w:val="24"/>
        </w:rPr>
        <w:t>free flow of gas</w:t>
      </w:r>
      <w:r>
        <w:rPr>
          <w:rFonts w:ascii="Times New Roman" w:eastAsiaTheme="minorHAnsi" w:hAnsi="Times New Roman"/>
          <w:noProof/>
          <w:sz w:val="24"/>
          <w:szCs w:val="24"/>
        </w:rPr>
        <w:t>: Gazprom has to remove any restrictions placed on customers to re-sell gas cross-border.</w:t>
      </w:r>
    </w:p>
    <w:p w:rsidR="00320198" w:rsidRDefault="005C0948">
      <w:pPr>
        <w:numPr>
          <w:ilvl w:val="0"/>
          <w:numId w:val="7"/>
        </w:numPr>
        <w:spacing w:before="100" w:beforeAutospacing="1" w:after="100" w:afterAutospacing="1" w:line="240" w:lineRule="auto"/>
        <w:jc w:val="both"/>
        <w:rPr>
          <w:rFonts w:ascii="Times New Roman" w:eastAsiaTheme="minorHAnsi" w:hAnsi="Times New Roman"/>
          <w:noProof/>
          <w:sz w:val="24"/>
          <w:szCs w:val="24"/>
        </w:rPr>
      </w:pPr>
      <w:r>
        <w:rPr>
          <w:rFonts w:ascii="Times New Roman" w:eastAsiaTheme="minorHAnsi" w:hAnsi="Times New Roman"/>
          <w:bCs/>
          <w:noProof/>
          <w:sz w:val="24"/>
          <w:szCs w:val="24"/>
        </w:rPr>
        <w:t xml:space="preserve">Obligation to facilitate gas flows to and from isolated markets: </w:t>
      </w:r>
      <w:r>
        <w:rPr>
          <w:rFonts w:ascii="Times New Roman" w:eastAsiaTheme="minorHAnsi" w:hAnsi="Times New Roman"/>
          <w:noProof/>
          <w:sz w:val="24"/>
          <w:szCs w:val="24"/>
        </w:rPr>
        <w:t>Gazprom will enable gas flows to and from parts of Central and Eastern Europe that ar</w:t>
      </w:r>
      <w:r>
        <w:rPr>
          <w:rFonts w:ascii="Times New Roman" w:eastAsiaTheme="minorHAnsi" w:hAnsi="Times New Roman"/>
          <w:noProof/>
          <w:sz w:val="24"/>
          <w:szCs w:val="24"/>
        </w:rPr>
        <w:t>e still isolated from other Member States due to the lack of interconnectors, namely the Baltic States and Bulgaria.</w:t>
      </w:r>
    </w:p>
    <w:p w:rsidR="00320198" w:rsidRDefault="005C0948">
      <w:pPr>
        <w:numPr>
          <w:ilvl w:val="0"/>
          <w:numId w:val="7"/>
        </w:numPr>
        <w:spacing w:before="100" w:beforeAutospacing="1" w:after="100" w:afterAutospacing="1" w:line="240" w:lineRule="auto"/>
        <w:jc w:val="both"/>
        <w:rPr>
          <w:rFonts w:ascii="Times New Roman" w:eastAsiaTheme="minorHAnsi" w:hAnsi="Times New Roman"/>
          <w:noProof/>
          <w:sz w:val="24"/>
          <w:szCs w:val="24"/>
        </w:rPr>
      </w:pPr>
      <w:r>
        <w:rPr>
          <w:rFonts w:ascii="Times New Roman" w:eastAsiaTheme="minorHAnsi" w:hAnsi="Times New Roman"/>
          <w:bCs/>
          <w:noProof/>
          <w:sz w:val="24"/>
          <w:szCs w:val="24"/>
        </w:rPr>
        <w:t>Structured process to ensure competitive gas prices:</w:t>
      </w:r>
      <w:r>
        <w:rPr>
          <w:rFonts w:ascii="Times New Roman" w:eastAsiaTheme="minorHAnsi" w:hAnsi="Times New Roman"/>
          <w:b/>
          <w:bCs/>
          <w:noProof/>
          <w:sz w:val="24"/>
          <w:szCs w:val="24"/>
        </w:rPr>
        <w:t xml:space="preserve"> </w:t>
      </w:r>
      <w:r>
        <w:rPr>
          <w:rFonts w:ascii="Times New Roman" w:eastAsiaTheme="minorHAnsi" w:hAnsi="Times New Roman"/>
          <w:noProof/>
          <w:sz w:val="24"/>
          <w:szCs w:val="24"/>
        </w:rPr>
        <w:t>Relevant Gazprom customers are given an effective tool to make sure their gas price re</w:t>
      </w:r>
      <w:r>
        <w:rPr>
          <w:rFonts w:ascii="Times New Roman" w:eastAsiaTheme="minorHAnsi" w:hAnsi="Times New Roman"/>
          <w:noProof/>
          <w:sz w:val="24"/>
          <w:szCs w:val="24"/>
        </w:rPr>
        <w:t>flects the price level in competitive Western European gas markets, especially at liquid gas hubs.</w:t>
      </w:r>
    </w:p>
    <w:p w:rsidR="00320198" w:rsidRDefault="005C0948">
      <w:pPr>
        <w:numPr>
          <w:ilvl w:val="0"/>
          <w:numId w:val="7"/>
        </w:numPr>
        <w:spacing w:before="100" w:beforeAutospacing="1" w:after="100" w:afterAutospacing="1" w:line="240" w:lineRule="auto"/>
        <w:jc w:val="both"/>
        <w:rPr>
          <w:rFonts w:ascii="Times New Roman" w:eastAsiaTheme="minorHAnsi" w:hAnsi="Times New Roman"/>
          <w:noProof/>
          <w:sz w:val="24"/>
          <w:szCs w:val="24"/>
        </w:rPr>
      </w:pPr>
      <w:r>
        <w:rPr>
          <w:rFonts w:ascii="Times New Roman" w:eastAsiaTheme="minorHAnsi" w:hAnsi="Times New Roman"/>
          <w:bCs/>
          <w:noProof/>
          <w:sz w:val="24"/>
          <w:szCs w:val="24"/>
        </w:rPr>
        <w:t>No leveraging of dominance in gas supply:</w:t>
      </w:r>
      <w:r>
        <w:rPr>
          <w:rFonts w:ascii="Times New Roman" w:eastAsiaTheme="minorHAnsi" w:hAnsi="Times New Roman"/>
          <w:b/>
          <w:bCs/>
          <w:noProof/>
          <w:sz w:val="24"/>
          <w:szCs w:val="24"/>
        </w:rPr>
        <w:t xml:space="preserve"> </w:t>
      </w:r>
      <w:r>
        <w:rPr>
          <w:rFonts w:ascii="Times New Roman" w:eastAsiaTheme="minorHAnsi" w:hAnsi="Times New Roman"/>
          <w:noProof/>
          <w:sz w:val="24"/>
          <w:szCs w:val="24"/>
        </w:rPr>
        <w:t>Gazprom cannot act on any advantages concerning gas infrastructure, which it may have obtained from customers by ha</w:t>
      </w:r>
      <w:r>
        <w:rPr>
          <w:rFonts w:ascii="Times New Roman" w:eastAsiaTheme="minorHAnsi" w:hAnsi="Times New Roman"/>
          <w:noProof/>
          <w:sz w:val="24"/>
          <w:szCs w:val="24"/>
        </w:rPr>
        <w:t>ving leveraged its market position in gas supply.</w:t>
      </w:r>
    </w:p>
    <w:p w:rsidR="00320198" w:rsidRDefault="005C0948">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Combined, these obligations address the Commission's competition concerns and achieve its objectives of enabling the free flow of gas in Central and Eastern Europe at competitive prices. If Gazprom breaks a</w:t>
      </w:r>
      <w:r>
        <w:rPr>
          <w:rFonts w:ascii="Times New Roman" w:eastAsia="Times New Roman" w:hAnsi="Times New Roman"/>
          <w:noProof/>
          <w:sz w:val="24"/>
          <w:szCs w:val="24"/>
          <w:lang w:eastAsia="en-GB"/>
        </w:rPr>
        <w:t>ny of these obligations, the Commission can impose a fine of up to 10% of the company's worldwide turnover, without having to prove an infringement of EU antitrust rules.</w:t>
      </w:r>
      <w:r>
        <w:rPr>
          <w:rFonts w:ascii="Times New Roman" w:eastAsia="Times New Roman" w:hAnsi="Times New Roman"/>
          <w:noProof/>
          <w:sz w:val="24"/>
          <w:szCs w:val="24"/>
          <w:vertAlign w:val="superscript"/>
          <w:lang w:eastAsia="en-GB"/>
        </w:rPr>
        <w:footnoteReference w:id="191"/>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On 17 December 2018, the Commission fined </w:t>
      </w:r>
      <w:r>
        <w:rPr>
          <w:rFonts w:ascii="Times New Roman" w:eastAsiaTheme="minorHAnsi" w:hAnsi="Times New Roman"/>
          <w:i/>
          <w:noProof/>
          <w:sz w:val="24"/>
          <w:szCs w:val="24"/>
        </w:rPr>
        <w:t>Bulgarian Energy Holding (BEH),</w:t>
      </w:r>
      <w:r>
        <w:rPr>
          <w:rFonts w:ascii="Times New Roman" w:eastAsiaTheme="minorHAnsi" w:hAnsi="Times New Roman"/>
          <w:noProof/>
          <w:sz w:val="24"/>
          <w:szCs w:val="24"/>
        </w:rPr>
        <w:footnoteReference w:id="192"/>
      </w:r>
      <w:r>
        <w:rPr>
          <w:rFonts w:ascii="Times New Roman" w:eastAsiaTheme="minorHAnsi" w:hAnsi="Times New Roman"/>
          <w:noProof/>
          <w:sz w:val="24"/>
          <w:szCs w:val="24"/>
        </w:rPr>
        <w:t xml:space="preserve"> its gas supply subsidiary Bulgargaz and its gas infrastructure subsidiary Bulgartransgaz (the BEH group) EUR 78 million for blocking competitors' access to key gas infrastructure in Bulgaria. BEH is the incumbent state-owned energy company in Bulgaria. It</w:t>
      </w:r>
      <w:r>
        <w:rPr>
          <w:rFonts w:ascii="Times New Roman" w:eastAsiaTheme="minorHAnsi" w:hAnsi="Times New Roman"/>
          <w:noProof/>
          <w:sz w:val="24"/>
          <w:szCs w:val="24"/>
        </w:rPr>
        <w:t xml:space="preserve"> is vertically integrated meaning that BEH supplies gas and its subsidiaries own or control key gas infrastructure in Bulgaria. The Commission found that the BEH group was dominant in the Bulgarian gas supply and gas infrastructure markets and that, betwee</w:t>
      </w:r>
      <w:r>
        <w:rPr>
          <w:rFonts w:ascii="Times New Roman" w:eastAsiaTheme="minorHAnsi" w:hAnsi="Times New Roman"/>
          <w:noProof/>
          <w:sz w:val="24"/>
          <w:szCs w:val="24"/>
        </w:rPr>
        <w:t xml:space="preserve">n 2010 and 2015, the BEH Group blocked the access to key gas infrastructure, which it owned or controlled. This infrastructure is indispensable for supplying gas on the Bulgarian wholesale gas market and consists of: </w:t>
      </w:r>
    </w:p>
    <w:p w:rsidR="00320198" w:rsidRDefault="005C0948">
      <w:pPr>
        <w:numPr>
          <w:ilvl w:val="0"/>
          <w:numId w:val="8"/>
        </w:numPr>
        <w:spacing w:after="120" w:line="240" w:lineRule="auto"/>
        <w:ind w:left="714" w:right="57" w:hanging="357"/>
        <w:jc w:val="both"/>
        <w:rPr>
          <w:rFonts w:ascii="Times New Roman" w:hAnsi="Times New Roman"/>
          <w:noProof/>
          <w:sz w:val="24"/>
          <w:szCs w:val="24"/>
        </w:rPr>
      </w:pPr>
      <w:r>
        <w:rPr>
          <w:rFonts w:ascii="Times New Roman" w:hAnsi="Times New Roman"/>
          <w:noProof/>
          <w:sz w:val="24"/>
          <w:szCs w:val="24"/>
        </w:rPr>
        <w:t>The domestic Bulgarian gas transmissio</w:t>
      </w:r>
      <w:r>
        <w:rPr>
          <w:rFonts w:ascii="Times New Roman" w:hAnsi="Times New Roman"/>
          <w:noProof/>
          <w:sz w:val="24"/>
          <w:szCs w:val="24"/>
        </w:rPr>
        <w:t xml:space="preserve">n network, </w:t>
      </w:r>
    </w:p>
    <w:p w:rsidR="00320198" w:rsidRDefault="005C0948">
      <w:pPr>
        <w:numPr>
          <w:ilvl w:val="0"/>
          <w:numId w:val="8"/>
        </w:numPr>
        <w:spacing w:after="120" w:line="240" w:lineRule="auto"/>
        <w:ind w:left="714" w:right="57" w:hanging="357"/>
        <w:jc w:val="both"/>
        <w:rPr>
          <w:rFonts w:ascii="Times New Roman" w:hAnsi="Times New Roman"/>
          <w:noProof/>
          <w:sz w:val="24"/>
          <w:szCs w:val="24"/>
        </w:rPr>
      </w:pPr>
      <w:r>
        <w:rPr>
          <w:rFonts w:ascii="Times New Roman" w:hAnsi="Times New Roman"/>
          <w:noProof/>
          <w:sz w:val="24"/>
          <w:szCs w:val="24"/>
        </w:rPr>
        <w:t xml:space="preserve">The only gas storage facility in Bulgaria and </w:t>
      </w:r>
    </w:p>
    <w:p w:rsidR="00320198" w:rsidRDefault="005C0948">
      <w:pPr>
        <w:numPr>
          <w:ilvl w:val="0"/>
          <w:numId w:val="8"/>
        </w:numPr>
        <w:spacing w:after="240" w:line="240" w:lineRule="auto"/>
        <w:ind w:left="714" w:right="57" w:hanging="357"/>
        <w:contextualSpacing/>
        <w:jc w:val="both"/>
        <w:rPr>
          <w:rFonts w:ascii="Times New Roman" w:hAnsi="Times New Roman"/>
          <w:noProof/>
          <w:sz w:val="24"/>
          <w:szCs w:val="24"/>
        </w:rPr>
      </w:pPr>
      <w:r>
        <w:rPr>
          <w:rFonts w:ascii="Times New Roman" w:hAnsi="Times New Roman"/>
          <w:noProof/>
          <w:sz w:val="24"/>
          <w:szCs w:val="24"/>
        </w:rPr>
        <w:t xml:space="preserve">The only import pipeline bringing gas into Bulgaria, which was fully booked by BEH. </w:t>
      </w:r>
    </w:p>
    <w:p w:rsidR="00320198" w:rsidRDefault="00320198">
      <w:pPr>
        <w:spacing w:after="240" w:line="240" w:lineRule="auto"/>
        <w:ind w:right="57"/>
        <w:contextualSpacing/>
        <w:jc w:val="both"/>
        <w:rPr>
          <w:rFonts w:ascii="Times New Roman" w:hAnsi="Times New Roman"/>
          <w:noProof/>
          <w:sz w:val="24"/>
          <w:szCs w:val="24"/>
        </w:rPr>
      </w:pP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Without access to this essential infrastructure, it was impossible for potential competitors to enter the Bulga</w:t>
      </w:r>
      <w:r>
        <w:rPr>
          <w:rFonts w:ascii="Times New Roman" w:eastAsiaTheme="minorHAnsi" w:hAnsi="Times New Roman"/>
          <w:noProof/>
          <w:sz w:val="24"/>
          <w:szCs w:val="24"/>
        </w:rPr>
        <w:t>rian wholesale gas market, and they were therefore prevented from competing with BEH, which was ensured of a monopoly in gas supply in Bulgaria. The Commission concluded that this behaviour by the BEH group infringed Article 102 (TFEU), which prohibits the</w:t>
      </w:r>
      <w:r>
        <w:rPr>
          <w:rFonts w:ascii="Times New Roman" w:eastAsiaTheme="minorHAnsi" w:hAnsi="Times New Roman"/>
          <w:noProof/>
          <w:sz w:val="24"/>
          <w:szCs w:val="24"/>
        </w:rPr>
        <w:t xml:space="preserve"> abuse of a dominant market position. </w:t>
      </w:r>
    </w:p>
    <w:p w:rsidR="00320198" w:rsidRDefault="005C0948">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To address concerns that </w:t>
      </w:r>
      <w:r>
        <w:rPr>
          <w:rFonts w:ascii="Times New Roman" w:eastAsia="Times New Roman" w:hAnsi="Times New Roman"/>
          <w:i/>
          <w:noProof/>
          <w:color w:val="000000"/>
          <w:sz w:val="24"/>
          <w:szCs w:val="24"/>
          <w:lang w:eastAsia="en-GB"/>
        </w:rPr>
        <w:t>Transgaz,</w:t>
      </w:r>
      <w:r>
        <w:rPr>
          <w:rFonts w:ascii="Times New Roman" w:eastAsia="Times New Roman" w:hAnsi="Times New Roman"/>
          <w:noProof/>
          <w:color w:val="000000"/>
          <w:sz w:val="24"/>
          <w:szCs w:val="24"/>
          <w:lang w:eastAsia="en-GB"/>
        </w:rPr>
        <w:footnoteReference w:id="193"/>
      </w:r>
      <w:r>
        <w:rPr>
          <w:rFonts w:ascii="Times New Roman" w:eastAsia="Times New Roman" w:hAnsi="Times New Roman"/>
          <w:b/>
          <w:noProof/>
          <w:color w:val="000000"/>
          <w:sz w:val="24"/>
          <w:szCs w:val="24"/>
          <w:lang w:eastAsia="en-GB"/>
        </w:rPr>
        <w:t xml:space="preserve"> </w:t>
      </w:r>
      <w:r>
        <w:rPr>
          <w:rFonts w:ascii="Times New Roman" w:eastAsia="Times New Roman" w:hAnsi="Times New Roman"/>
          <w:noProof/>
          <w:color w:val="000000"/>
          <w:sz w:val="24"/>
          <w:szCs w:val="24"/>
          <w:lang w:eastAsia="en-GB"/>
        </w:rPr>
        <w:t>the gas network operator in Romania, might be hindering the free flows of gas from Romania,</w:t>
      </w:r>
      <w:r>
        <w:rPr>
          <w:rFonts w:ascii="Times New Roman" w:eastAsia="Times New Roman" w:hAnsi="Times New Roman"/>
          <w:noProof/>
          <w:sz w:val="24"/>
          <w:szCs w:val="24"/>
          <w:lang w:eastAsia="en-GB"/>
        </w:rPr>
        <w:t xml:space="preserve"> on 21 September 2018 the Commission launched a market test on draft commitments submitted</w:t>
      </w:r>
      <w:r>
        <w:rPr>
          <w:rFonts w:ascii="Times New Roman" w:eastAsia="Times New Roman" w:hAnsi="Times New Roman"/>
          <w:noProof/>
          <w:sz w:val="24"/>
          <w:szCs w:val="24"/>
          <w:lang w:eastAsia="en-GB"/>
        </w:rPr>
        <w:t xml:space="preserve"> by Transgaz. The commitments are intended to enable natural gas exports from Romania to other Member States, in particular Hungary and Bulgaria. The Commission was concerned that Transgaz may have restricted exports from Romania and breached EU competitio</w:t>
      </w:r>
      <w:r>
        <w:rPr>
          <w:rFonts w:ascii="Times New Roman" w:eastAsia="Times New Roman" w:hAnsi="Times New Roman"/>
          <w:noProof/>
          <w:sz w:val="24"/>
          <w:szCs w:val="24"/>
          <w:lang w:eastAsia="en-GB"/>
        </w:rPr>
        <w:t>n rules that prohibit the abuse of a dominant market position. To address the Commission's concerns, Transgaz offered commitments that would allow commercially meaningful export capacities from Romania to be made available for the first time. The Commissio</w:t>
      </w:r>
      <w:r>
        <w:rPr>
          <w:rFonts w:ascii="Times New Roman" w:eastAsia="Times New Roman" w:hAnsi="Times New Roman"/>
          <w:noProof/>
          <w:sz w:val="24"/>
          <w:szCs w:val="24"/>
          <w:lang w:eastAsia="en-GB"/>
        </w:rPr>
        <w:t xml:space="preserve">n has received the replies to the market test and is currently considering them. </w:t>
      </w:r>
    </w:p>
    <w:p w:rsidR="00320198" w:rsidRDefault="005C0948">
      <w:pPr>
        <w:spacing w:after="240" w:line="240" w:lineRule="auto"/>
        <w:jc w:val="both"/>
        <w:rPr>
          <w:rFonts w:ascii="Times New Roman" w:eastAsiaTheme="minorHAnsi" w:hAnsi="Times New Roman" w:cstheme="minorBidi"/>
          <w:noProof/>
          <w:color w:val="000000"/>
          <w:sz w:val="24"/>
        </w:rPr>
      </w:pPr>
      <w:r>
        <w:rPr>
          <w:rFonts w:ascii="Times New Roman" w:eastAsiaTheme="minorHAnsi" w:hAnsi="Times New Roman" w:cstheme="minorBidi"/>
          <w:noProof/>
          <w:color w:val="000000"/>
          <w:sz w:val="24"/>
        </w:rPr>
        <w:t xml:space="preserve">Finally, concerning mergers in the gas sector, following the abandonment of the proposed acquisition of the Greek gas transmission system operator </w:t>
      </w:r>
      <w:r>
        <w:rPr>
          <w:rFonts w:ascii="Times New Roman" w:eastAsiaTheme="minorHAnsi" w:hAnsi="Times New Roman" w:cstheme="minorBidi"/>
          <w:i/>
          <w:noProof/>
          <w:color w:val="000000"/>
          <w:sz w:val="24"/>
        </w:rPr>
        <w:t>DESFA</w:t>
      </w:r>
      <w:r>
        <w:rPr>
          <w:rFonts w:ascii="Times New Roman" w:eastAsiaTheme="minorHAnsi" w:hAnsi="Times New Roman" w:cstheme="minorBidi"/>
          <w:noProof/>
          <w:color w:val="000000"/>
          <w:sz w:val="24"/>
        </w:rPr>
        <w:t xml:space="preserve"> by the State Oil Company of Azerbaijan Republic (</w:t>
      </w:r>
      <w:r>
        <w:rPr>
          <w:rFonts w:ascii="Times New Roman" w:eastAsiaTheme="minorHAnsi" w:hAnsi="Times New Roman" w:cstheme="minorBidi"/>
          <w:i/>
          <w:noProof/>
          <w:color w:val="000000"/>
          <w:sz w:val="24"/>
        </w:rPr>
        <w:t>SOCAR</w:t>
      </w:r>
      <w:r>
        <w:rPr>
          <w:rFonts w:ascii="Times New Roman" w:eastAsiaTheme="minorHAnsi" w:hAnsi="Times New Roman" w:cstheme="minorBidi"/>
          <w:noProof/>
          <w:color w:val="000000"/>
          <w:sz w:val="24"/>
        </w:rPr>
        <w:t>)</w:t>
      </w:r>
      <w:r>
        <w:rPr>
          <w:rFonts w:ascii="Times New Roman" w:eastAsiaTheme="minorHAnsi" w:hAnsi="Times New Roman" w:cstheme="minorBidi"/>
          <w:noProof/>
          <w:color w:val="000000"/>
          <w:sz w:val="24"/>
          <w:vertAlign w:val="superscript"/>
        </w:rPr>
        <w:footnoteReference w:id="194"/>
      </w:r>
      <w:r>
        <w:rPr>
          <w:rFonts w:ascii="Times New Roman" w:eastAsiaTheme="minorHAnsi" w:hAnsi="Times New Roman" w:cstheme="minorBidi"/>
          <w:noProof/>
          <w:color w:val="000000"/>
          <w:sz w:val="24"/>
        </w:rPr>
        <w:t xml:space="preserve"> by the Parties to that transaction, the Greek authorities issued a new tender which included an unbundling requirement, thus addressing the concerns raised by the Commission when opening the in dept</w:t>
      </w:r>
      <w:r>
        <w:rPr>
          <w:rFonts w:ascii="Times New Roman" w:eastAsiaTheme="minorHAnsi" w:hAnsi="Times New Roman" w:cstheme="minorBidi"/>
          <w:noProof/>
          <w:color w:val="000000"/>
          <w:sz w:val="24"/>
        </w:rPr>
        <w:t xml:space="preserve">h investigation in </w:t>
      </w:r>
      <w:r>
        <w:rPr>
          <w:rFonts w:ascii="Times New Roman" w:eastAsiaTheme="minorHAnsi" w:hAnsi="Times New Roman" w:cstheme="minorBidi"/>
          <w:i/>
          <w:noProof/>
          <w:color w:val="000000"/>
          <w:sz w:val="24"/>
        </w:rPr>
        <w:t>SOCAR/DESFA</w:t>
      </w:r>
      <w:r>
        <w:rPr>
          <w:rFonts w:ascii="Times New Roman" w:eastAsiaTheme="minorHAnsi" w:hAnsi="Times New Roman" w:cstheme="minorBidi"/>
          <w:noProof/>
          <w:color w:val="000000"/>
          <w:sz w:val="24"/>
        </w:rPr>
        <w:t xml:space="preserve">. The tender was won by Italian company SNAM and the Commission reviewed and approved the acquisition of </w:t>
      </w:r>
      <w:r>
        <w:rPr>
          <w:rFonts w:ascii="Times New Roman" w:eastAsiaTheme="minorHAnsi" w:hAnsi="Times New Roman" w:cstheme="minorBidi"/>
          <w:i/>
          <w:noProof/>
          <w:color w:val="000000"/>
          <w:sz w:val="24"/>
        </w:rPr>
        <w:t>DESFA</w:t>
      </w:r>
      <w:r>
        <w:rPr>
          <w:rFonts w:ascii="Times New Roman" w:eastAsiaTheme="minorHAnsi" w:hAnsi="Times New Roman" w:cstheme="minorBidi"/>
          <w:noProof/>
          <w:color w:val="000000"/>
          <w:sz w:val="24"/>
        </w:rPr>
        <w:t xml:space="preserve"> by </w:t>
      </w:r>
      <w:r>
        <w:rPr>
          <w:rFonts w:ascii="Times New Roman" w:eastAsiaTheme="minorHAnsi" w:hAnsi="Times New Roman" w:cstheme="minorBidi"/>
          <w:i/>
          <w:noProof/>
          <w:color w:val="000000"/>
          <w:sz w:val="24"/>
        </w:rPr>
        <w:t>SNAM.</w:t>
      </w:r>
    </w:p>
    <w:p w:rsidR="00320198" w:rsidRDefault="005C0948">
      <w:pPr>
        <w:widowControl w:val="0"/>
        <w:tabs>
          <w:tab w:val="left" w:pos="850"/>
        </w:tabs>
        <w:spacing w:line="240" w:lineRule="auto"/>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color w:val="4F81BD"/>
          <w:sz w:val="24"/>
          <w:szCs w:val="24"/>
        </w:rPr>
        <w:tab/>
      </w:r>
      <w:bookmarkStart w:id="39" w:name="_Toc8831316"/>
      <w:r>
        <w:rPr>
          <w:rFonts w:ascii="Times New Roman" w:eastAsia="Times New Roman" w:hAnsi="Times New Roman"/>
          <w:b/>
          <w:smallCaps/>
          <w:noProof/>
          <w:sz w:val="24"/>
          <w:szCs w:val="24"/>
        </w:rPr>
        <w:t>2. Information and Communication Technologies and media</w:t>
      </w:r>
      <w:bookmarkEnd w:id="39"/>
      <w:r>
        <w:rPr>
          <w:rFonts w:ascii="Times New Roman" w:eastAsia="Times New Roman" w:hAnsi="Times New Roman"/>
          <w:b/>
          <w:smallCaps/>
          <w:noProof/>
          <w:sz w:val="24"/>
          <w:szCs w:val="24"/>
        </w:rPr>
        <w:t xml:space="preserve"> </w:t>
      </w:r>
    </w:p>
    <w:p w:rsidR="00320198" w:rsidRDefault="005C0948">
      <w:pPr>
        <w:widowControl w:val="0"/>
        <w:spacing w:line="240" w:lineRule="auto"/>
        <w:jc w:val="both"/>
        <w:rPr>
          <w:rFonts w:ascii="Times New Roman" w:hAnsi="Times New Roman"/>
          <w:b/>
          <w:noProof/>
          <w:sz w:val="24"/>
          <w:szCs w:val="24"/>
        </w:rPr>
      </w:pPr>
      <w:r>
        <w:rPr>
          <w:rFonts w:ascii="Times New Roman" w:hAnsi="Times New Roman"/>
          <w:b/>
          <w:noProof/>
          <w:sz w:val="24"/>
          <w:szCs w:val="24"/>
        </w:rPr>
        <w:t>Overview of key challenges in the sector</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noProof/>
          <w:sz w:val="24"/>
          <w:szCs w:val="24"/>
        </w:rPr>
        <w:t>2018, competition policy and enforcement continued to contribute to the implementation of the Digital Single Market Strategy,</w:t>
      </w:r>
      <w:r>
        <w:rPr>
          <w:rFonts w:ascii="Times New Roman" w:hAnsi="Times New Roman"/>
          <w:noProof/>
          <w:sz w:val="24"/>
          <w:szCs w:val="24"/>
          <w:vertAlign w:val="superscript"/>
        </w:rPr>
        <w:footnoteReference w:id="195"/>
      </w:r>
      <w:r>
        <w:rPr>
          <w:rFonts w:ascii="Times New Roman" w:hAnsi="Times New Roman"/>
          <w:noProof/>
          <w:sz w:val="24"/>
          <w:szCs w:val="24"/>
        </w:rPr>
        <w:t xml:space="preserve"> one of the priorities of the Commission, by means of a number of investigations in the information, communication and media sectors.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b/>
          <w:noProof/>
          <w:sz w:val="24"/>
          <w:szCs w:val="24"/>
        </w:rPr>
        <w:t xml:space="preserve">Contribution of EU competition policy to tackling the challenges </w:t>
      </w:r>
    </w:p>
    <w:p w:rsidR="00320198" w:rsidRDefault="005C0948">
      <w:pPr>
        <w:widowControl w:val="0"/>
        <w:autoSpaceDE w:val="0"/>
        <w:autoSpaceDN w:val="0"/>
        <w:adjustRightInd w:val="0"/>
        <w:spacing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 xml:space="preserve">Addressing restrictions to cross-border and online sale </w:t>
      </w:r>
      <w:r>
        <w:rPr>
          <w:rFonts w:ascii="Times New Roman" w:hAnsi="Times New Roman"/>
          <w:i/>
          <w:iCs/>
          <w:noProof/>
          <w:sz w:val="24"/>
          <w:szCs w:val="24"/>
          <w:lang w:eastAsia="en-GB"/>
        </w:rPr>
        <w:t>of goods and digital products</w:t>
      </w:r>
    </w:p>
    <w:p w:rsidR="00320198" w:rsidRDefault="005C0948">
      <w:pPr>
        <w:widowControl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As announced in the Final Report of the e-commerce sector inquiry adopted in May 2017,</w:t>
      </w:r>
      <w:r>
        <w:rPr>
          <w:rFonts w:ascii="Times New Roman" w:eastAsia="Times New Roman" w:hAnsi="Times New Roman"/>
          <w:noProof/>
          <w:sz w:val="24"/>
          <w:szCs w:val="24"/>
          <w:vertAlign w:val="superscript"/>
          <w:lang w:eastAsia="en-GB"/>
        </w:rPr>
        <w:footnoteReference w:id="196"/>
      </w:r>
      <w:r>
        <w:rPr>
          <w:rFonts w:ascii="Times New Roman" w:eastAsia="Times New Roman" w:hAnsi="Times New Roman"/>
          <w:noProof/>
          <w:sz w:val="24"/>
          <w:szCs w:val="24"/>
          <w:lang w:eastAsia="en-GB"/>
        </w:rPr>
        <w:t xml:space="preserve"> the Commission is targeting enforcement of the EU competition rules at the most widespread business practices that have emerged or evolved</w:t>
      </w:r>
      <w:r>
        <w:rPr>
          <w:rFonts w:ascii="Times New Roman" w:eastAsia="Times New Roman" w:hAnsi="Times New Roman"/>
          <w:noProof/>
          <w:sz w:val="24"/>
          <w:szCs w:val="24"/>
          <w:lang w:eastAsia="en-GB"/>
        </w:rPr>
        <w:t xml:space="preserve"> as a result of the growth of e-commerce and that may negatively impact competition and cross-border trade and hence the functioning of a Digital Single Market.</w:t>
      </w:r>
    </w:p>
    <w:p w:rsidR="00320198" w:rsidRDefault="00320198">
      <w:pPr>
        <w:widowControl w:val="0"/>
        <w:spacing w:after="0" w:line="240" w:lineRule="auto"/>
        <w:jc w:val="both"/>
        <w:rPr>
          <w:rFonts w:ascii="Times New Roman" w:eastAsia="Times New Roman" w:hAnsi="Times New Roman"/>
          <w:noProof/>
          <w:sz w:val="24"/>
          <w:szCs w:val="24"/>
          <w:lang w:eastAsia="en-GB"/>
        </w:rPr>
      </w:pPr>
    </w:p>
    <w:p w:rsidR="00320198" w:rsidRDefault="005C0948">
      <w:pPr>
        <w:widowControl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On 24 July 2018, the Commission fined, in four separate decisions, consumer electronics manufa</w:t>
      </w:r>
      <w:r>
        <w:rPr>
          <w:rFonts w:ascii="Times New Roman" w:eastAsia="Times New Roman" w:hAnsi="Times New Roman"/>
          <w:noProof/>
          <w:sz w:val="24"/>
          <w:szCs w:val="24"/>
          <w:lang w:eastAsia="en-GB"/>
        </w:rPr>
        <w:t xml:space="preserve">cturers </w:t>
      </w:r>
      <w:r>
        <w:rPr>
          <w:rFonts w:ascii="Times New Roman" w:eastAsia="Times New Roman" w:hAnsi="Times New Roman"/>
          <w:i/>
          <w:noProof/>
          <w:sz w:val="24"/>
          <w:szCs w:val="24"/>
          <w:lang w:eastAsia="en-GB"/>
        </w:rPr>
        <w:t>Asus, Denon &amp; Marantz, Philips and Pioneer</w:t>
      </w:r>
      <w:r>
        <w:rPr>
          <w:rFonts w:ascii="Times New Roman" w:eastAsia="Times New Roman" w:hAnsi="Times New Roman"/>
          <w:bCs/>
          <w:noProof/>
          <w:sz w:val="24"/>
          <w:szCs w:val="24"/>
          <w:vertAlign w:val="superscript"/>
          <w:lang w:eastAsia="en-GB"/>
        </w:rPr>
        <w:footnoteReference w:id="197"/>
      </w:r>
      <w:r>
        <w:rPr>
          <w:rFonts w:ascii="Times New Roman" w:eastAsia="Times New Roman" w:hAnsi="Times New Roman"/>
          <w:noProof/>
          <w:sz w:val="24"/>
          <w:szCs w:val="24"/>
          <w:lang w:eastAsia="en-GB"/>
        </w:rPr>
        <w:t xml:space="preserve"> for imposing fixed or minimum resale prices ("resale price maintenance”) on their online retailers for widely used consumer electronics products such as kitchen appliances, notebooks and hi-fi products. </w:t>
      </w:r>
    </w:p>
    <w:p w:rsidR="00320198" w:rsidRDefault="00320198">
      <w:pPr>
        <w:widowControl w:val="0"/>
        <w:spacing w:after="0" w:line="240" w:lineRule="auto"/>
        <w:jc w:val="both"/>
        <w:rPr>
          <w:rFonts w:ascii="Times New Roman" w:eastAsia="Times New Roman" w:hAnsi="Times New Roman"/>
          <w:noProof/>
          <w:sz w:val="24"/>
          <w:szCs w:val="24"/>
          <w:highlight w:val="lightGray"/>
          <w:lang w:eastAsia="en-GB"/>
        </w:rPr>
      </w:pPr>
    </w:p>
    <w:p w:rsidR="00320198" w:rsidRDefault="005C0948">
      <w:pPr>
        <w:widowControl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four manufacturers intervened particularly with online retailers, who offered their products at low prices. If those retailers did not follow the prices requested by manufacturers, they faced threats or sanctions such as blocking of supplies. Many, in</w:t>
      </w:r>
      <w:r>
        <w:rPr>
          <w:rFonts w:ascii="Times New Roman" w:eastAsia="Times New Roman" w:hAnsi="Times New Roman"/>
          <w:noProof/>
          <w:sz w:val="24"/>
          <w:szCs w:val="24"/>
          <w:lang w:eastAsia="en-GB"/>
        </w:rPr>
        <w:t>cluding the biggest online retailers, use pricing algorithms which automatically adapt retail prices to those of competitors. In this way, the pricing restrictions imposed on low pricing online retailers typically had a broader impact on overall online pri</w:t>
      </w:r>
      <w:r>
        <w:rPr>
          <w:rFonts w:ascii="Times New Roman" w:eastAsia="Times New Roman" w:hAnsi="Times New Roman"/>
          <w:noProof/>
          <w:sz w:val="24"/>
          <w:szCs w:val="24"/>
          <w:lang w:eastAsia="en-GB"/>
        </w:rPr>
        <w:t>ces for the respective consumer electronics products. Moreover, the use of sophisticated monitoring tools allowed the manufacturers to effectively track resale price setting in the distribution network and to intervene swiftly in case of price decreases. T</w:t>
      </w:r>
      <w:r>
        <w:rPr>
          <w:rFonts w:ascii="Times New Roman" w:eastAsia="Times New Roman" w:hAnsi="Times New Roman"/>
          <w:noProof/>
          <w:sz w:val="24"/>
          <w:szCs w:val="24"/>
          <w:lang w:eastAsia="en-GB"/>
        </w:rPr>
        <w:t xml:space="preserve">he price interventions limited effective price competition between retailers and led to higher prices with an immediate effect on consumers. In addition, Pioneer limited the ability of its retailers to sell cross-border to consumers in other Member States </w:t>
      </w:r>
      <w:r>
        <w:rPr>
          <w:rFonts w:ascii="Times New Roman" w:eastAsia="Times New Roman" w:hAnsi="Times New Roman"/>
          <w:noProof/>
          <w:sz w:val="24"/>
          <w:szCs w:val="24"/>
          <w:lang w:eastAsia="en-GB"/>
        </w:rPr>
        <w:t>in order to maintain different resale prices in different Member States, for example by blocking orders of retailers who sold cross-border.</w:t>
      </w:r>
    </w:p>
    <w:p w:rsidR="00320198" w:rsidRDefault="00320198">
      <w:pPr>
        <w:widowControl w:val="0"/>
        <w:spacing w:after="0" w:line="240" w:lineRule="auto"/>
        <w:jc w:val="both"/>
        <w:rPr>
          <w:rFonts w:ascii="Times New Roman" w:eastAsia="Times New Roman" w:hAnsi="Times New Roman"/>
          <w:noProof/>
          <w:sz w:val="24"/>
          <w:szCs w:val="24"/>
          <w:lang w:eastAsia="en-GB"/>
        </w:rPr>
      </w:pPr>
    </w:p>
    <w:p w:rsidR="00320198" w:rsidRDefault="005C0948">
      <w:pPr>
        <w:widowControl w:val="0"/>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All four companies cooperated with the Commission by providing evidence with significant added value and by express</w:t>
      </w:r>
      <w:r>
        <w:rPr>
          <w:rFonts w:ascii="Times New Roman" w:eastAsia="Times New Roman" w:hAnsi="Times New Roman"/>
          <w:noProof/>
          <w:sz w:val="24"/>
          <w:szCs w:val="24"/>
          <w:lang w:eastAsia="en-GB"/>
        </w:rPr>
        <w:t>ly acknowledging the facts and the infringements of EU competition rules. The fines totalling over EUR 111 million were in all four cases reduced due to the companies' cooperation with the Commission.</w:t>
      </w:r>
    </w:p>
    <w:p w:rsidR="00320198" w:rsidRDefault="00320198">
      <w:pPr>
        <w:widowControl w:val="0"/>
        <w:spacing w:after="0" w:line="240" w:lineRule="auto"/>
        <w:jc w:val="both"/>
        <w:rPr>
          <w:rFonts w:ascii="Times New Roman" w:eastAsia="Times New Roman" w:hAnsi="Times New Roman"/>
          <w:noProof/>
          <w:sz w:val="24"/>
          <w:szCs w:val="24"/>
          <w:lang w:eastAsia="en-GB"/>
        </w:rPr>
      </w:pPr>
    </w:p>
    <w:p w:rsidR="00320198" w:rsidRDefault="005C0948">
      <w:pPr>
        <w:keepNext/>
        <w:widowControl w:val="0"/>
        <w:spacing w:line="240" w:lineRule="auto"/>
        <w:jc w:val="both"/>
        <w:rPr>
          <w:rFonts w:ascii="Times New Roman" w:hAnsi="Times New Roman"/>
          <w:noProof/>
          <w:sz w:val="24"/>
          <w:szCs w:val="24"/>
        </w:rPr>
      </w:pPr>
      <w:r>
        <w:rPr>
          <w:rFonts w:ascii="Times New Roman" w:eastAsia="Times New Roman" w:hAnsi="Times New Roman"/>
          <w:noProof/>
          <w:sz w:val="24"/>
          <w:szCs w:val="24"/>
          <w:lang w:eastAsia="en-GB"/>
        </w:rPr>
        <w:t xml:space="preserve">On 17 December 2018, the Commission imposed a fine of EUR 40 million on </w:t>
      </w:r>
      <w:r>
        <w:rPr>
          <w:rFonts w:ascii="Times New Roman" w:eastAsia="Times New Roman" w:hAnsi="Times New Roman"/>
          <w:i/>
          <w:noProof/>
          <w:sz w:val="24"/>
          <w:szCs w:val="24"/>
          <w:lang w:eastAsia="en-GB"/>
        </w:rPr>
        <w:t>Guess</w:t>
      </w:r>
      <w:r>
        <w:rPr>
          <w:rFonts w:ascii="Times New Roman" w:eastAsia="Times New Roman" w:hAnsi="Times New Roman"/>
          <w:noProof/>
          <w:sz w:val="24"/>
          <w:szCs w:val="24"/>
          <w:lang w:eastAsia="en-GB"/>
        </w:rPr>
        <w:t>,</w:t>
      </w:r>
      <w:r>
        <w:rPr>
          <w:rFonts w:ascii="Times New Roman" w:eastAsia="Times New Roman" w:hAnsi="Times New Roman"/>
          <w:noProof/>
          <w:sz w:val="24"/>
          <w:szCs w:val="24"/>
          <w:lang w:eastAsia="en-GB"/>
        </w:rPr>
        <w:footnoteReference w:id="198"/>
      </w:r>
      <w:r>
        <w:rPr>
          <w:rFonts w:ascii="Times New Roman" w:eastAsia="Times New Roman" w:hAnsi="Times New Roman"/>
          <w:noProof/>
          <w:sz w:val="24"/>
          <w:szCs w:val="24"/>
          <w:lang w:eastAsia="en-GB"/>
        </w:rPr>
        <w:t xml:space="preserve"> a US-based </w:t>
      </w:r>
      <w:r>
        <w:rPr>
          <w:rFonts w:ascii="Times New Roman" w:hAnsi="Times New Roman"/>
          <w:noProof/>
          <w:sz w:val="24"/>
          <w:szCs w:val="24"/>
        </w:rPr>
        <w:t>clothing manufacturer and retailer. The Commission found that Guess' distribution agreements restricted authorised retailers from (i) using the Guess brand names and</w:t>
      </w:r>
      <w:r>
        <w:rPr>
          <w:rFonts w:ascii="Times New Roman" w:hAnsi="Times New Roman"/>
          <w:noProof/>
          <w:sz w:val="24"/>
          <w:szCs w:val="24"/>
        </w:rPr>
        <w:t xml:space="preserve"> trademarks for the purposes of online search advertising; and (ii) selling online without a prior specific authorisation by Guess. The company had full discretion for this authorisation, which was not based on any specified quality criteria. Moreover, the</w:t>
      </w:r>
      <w:r>
        <w:rPr>
          <w:rFonts w:ascii="Times New Roman" w:hAnsi="Times New Roman"/>
          <w:noProof/>
          <w:sz w:val="24"/>
          <w:szCs w:val="24"/>
        </w:rPr>
        <w:t xml:space="preserve"> distribution agreements restricted authorised retailers from (iii) selling to consumers located outside the authorised retailers’ allocated territories;  (iv) cross-selling among authorised wholesalers and retailers; and (v) independently deciding on the </w:t>
      </w:r>
      <w:r>
        <w:rPr>
          <w:rFonts w:ascii="Times New Roman" w:hAnsi="Times New Roman"/>
          <w:noProof/>
          <w:sz w:val="24"/>
          <w:szCs w:val="24"/>
        </w:rPr>
        <w:t>retail price at which they sell Guess products. Selective distribution systems must comply with the EU competition rules. In particular, consumers must be free to purchase from any retailer authorised by a manufacturer, including across national borders. A</w:t>
      </w:r>
      <w:r>
        <w:rPr>
          <w:rFonts w:ascii="Times New Roman" w:hAnsi="Times New Roman"/>
          <w:noProof/>
          <w:sz w:val="24"/>
          <w:szCs w:val="24"/>
        </w:rPr>
        <w:t>t the same time, authorised retailers must be free to offer the products covered by the distribution contract online, to advertise and sell them across borders, and to set their resale prices.</w:t>
      </w:r>
    </w:p>
    <w:p w:rsidR="00320198" w:rsidRDefault="005C0948">
      <w:pPr>
        <w:keepNext/>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granted Guess a 50% fine reduction in return for</w:t>
      </w:r>
      <w:r>
        <w:rPr>
          <w:rFonts w:ascii="Times New Roman" w:hAnsi="Times New Roman"/>
          <w:noProof/>
          <w:sz w:val="24"/>
          <w:szCs w:val="24"/>
        </w:rPr>
        <w:t xml:space="preserve"> its cooperation. Guess cooperated with the Commission beyond its legal obligation to do so, in particular by revealing an infringement of EU competition rules not yet known to the Commission (the prohibition to use Guess brand names and trademarks for the</w:t>
      </w:r>
      <w:r>
        <w:rPr>
          <w:rFonts w:ascii="Times New Roman" w:hAnsi="Times New Roman"/>
          <w:noProof/>
          <w:sz w:val="24"/>
          <w:szCs w:val="24"/>
        </w:rPr>
        <w:t xml:space="preserve"> purposes of online search advertising). The company also provided evidence with significant added value and acknowledged the facts and the infringements of the EU competition rules.</w:t>
      </w:r>
    </w:p>
    <w:p w:rsidR="00320198" w:rsidRDefault="005C0948">
      <w:pPr>
        <w:widowControl w:val="0"/>
        <w:spacing w:line="240" w:lineRule="auto"/>
        <w:jc w:val="both"/>
        <w:rPr>
          <w:rFonts w:ascii="Times New Roman" w:eastAsia="Times New Roman" w:hAnsi="Times New Roman"/>
          <w:noProof/>
          <w:sz w:val="24"/>
          <w:szCs w:val="24"/>
          <w:highlight w:val="lightGray"/>
          <w:lang w:eastAsia="en-GB"/>
        </w:rPr>
      </w:pPr>
      <w:r>
        <w:rPr>
          <w:rFonts w:ascii="Times New Roman" w:eastAsia="Times New Roman" w:hAnsi="Times New Roman"/>
          <w:noProof/>
          <w:sz w:val="24"/>
          <w:szCs w:val="24"/>
          <w:lang w:eastAsia="en-GB"/>
        </w:rPr>
        <w:t xml:space="preserve">The Commission continued its investigation into </w:t>
      </w:r>
      <w:r>
        <w:rPr>
          <w:rFonts w:ascii="Times New Roman" w:eastAsia="Times New Roman" w:hAnsi="Times New Roman"/>
          <w:i/>
          <w:noProof/>
          <w:sz w:val="24"/>
          <w:szCs w:val="24"/>
          <w:lang w:eastAsia="en-GB"/>
        </w:rPr>
        <w:t>Valve Corporation</w:t>
      </w:r>
      <w:r>
        <w:rPr>
          <w:rFonts w:ascii="Times New Roman" w:eastAsia="Times New Roman" w:hAnsi="Times New Roman"/>
          <w:noProof/>
          <w:sz w:val="24"/>
          <w:szCs w:val="24"/>
          <w:lang w:eastAsia="en-GB"/>
        </w:rPr>
        <w:t xml:space="preserve">, owner </w:t>
      </w:r>
      <w:r>
        <w:rPr>
          <w:rFonts w:ascii="Times New Roman" w:eastAsia="Times New Roman" w:hAnsi="Times New Roman"/>
          <w:noProof/>
          <w:sz w:val="24"/>
          <w:szCs w:val="24"/>
          <w:lang w:eastAsia="en-GB"/>
        </w:rPr>
        <w:t xml:space="preserve">of the Steam game distribution platform, and </w:t>
      </w:r>
      <w:r>
        <w:rPr>
          <w:rFonts w:ascii="Times New Roman" w:eastAsia="Times New Roman" w:hAnsi="Times New Roman"/>
          <w:i/>
          <w:noProof/>
          <w:sz w:val="24"/>
          <w:szCs w:val="24"/>
          <w:lang w:eastAsia="en-GB"/>
        </w:rPr>
        <w:t>five PC video game publishers, Bandai Namco, Capcom, Focus Home, Koch Media and ZeniMax</w:t>
      </w:r>
      <w:r>
        <w:rPr>
          <w:rFonts w:ascii="Times New Roman" w:eastAsia="Times New Roman" w:hAnsi="Times New Roman"/>
          <w:noProof/>
          <w:sz w:val="24"/>
          <w:szCs w:val="24"/>
          <w:vertAlign w:val="superscript"/>
          <w:lang w:eastAsia="en-GB"/>
        </w:rPr>
        <w:footnoteReference w:id="199"/>
      </w:r>
      <w:r>
        <w:rPr>
          <w:rFonts w:ascii="Times New Roman" w:eastAsia="Times New Roman" w:hAnsi="Times New Roman"/>
          <w:noProof/>
          <w:sz w:val="24"/>
          <w:szCs w:val="24"/>
          <w:lang w:eastAsia="en-GB"/>
        </w:rPr>
        <w:t xml:space="preserve"> concerning potentially illegal bilateral agreements. The investigation focuses on whether the agreements in question requi</w:t>
      </w:r>
      <w:r>
        <w:rPr>
          <w:rFonts w:ascii="Times New Roman" w:eastAsia="Times New Roman" w:hAnsi="Times New Roman"/>
          <w:noProof/>
          <w:sz w:val="24"/>
          <w:szCs w:val="24"/>
          <w:lang w:eastAsia="en-GB"/>
        </w:rPr>
        <w:t>re or have required the use of technology to (so-called activation keys) for the purpose of geo-blocking. In particular, an activation key can be devised to limit access to a purchased game only to consumers in a particular EU Member State. This practice m</w:t>
      </w:r>
      <w:r>
        <w:rPr>
          <w:rFonts w:ascii="Times New Roman" w:eastAsia="Times New Roman" w:hAnsi="Times New Roman"/>
          <w:noProof/>
          <w:sz w:val="24"/>
          <w:szCs w:val="24"/>
          <w:lang w:eastAsia="en-GB"/>
        </w:rPr>
        <w:t>ay breach of EU competition rules by reducing parallel trade within the Single Market and preventing consumers from buying cheaper games available in other Member States.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Commission continued three separate antitrust investigations against Nik</w:t>
      </w:r>
      <w:r>
        <w:rPr>
          <w:rFonts w:ascii="Times New Roman" w:hAnsi="Times New Roman"/>
          <w:noProof/>
          <w:sz w:val="24"/>
          <w:szCs w:val="24"/>
        </w:rPr>
        <w:t>e, Sanrio and Universal Studios</w:t>
      </w:r>
      <w:r>
        <w:rPr>
          <w:rFonts w:ascii="Times New Roman" w:hAnsi="Times New Roman"/>
          <w:noProof/>
          <w:sz w:val="24"/>
          <w:szCs w:val="24"/>
          <w:vertAlign w:val="superscript"/>
        </w:rPr>
        <w:footnoteReference w:id="200"/>
      </w:r>
      <w:r>
        <w:rPr>
          <w:rFonts w:ascii="Times New Roman" w:hAnsi="Times New Roman"/>
          <w:noProof/>
          <w:sz w:val="24"/>
          <w:szCs w:val="24"/>
        </w:rPr>
        <w:t xml:space="preserve"> regarding potential barriers to online and offline cross-border trade, stemming from licensing practices implemented by the companies concerned. Nike, Sanrio and Universal Studios license the rights for some of the world's </w:t>
      </w:r>
      <w:r>
        <w:rPr>
          <w:rFonts w:ascii="Times New Roman" w:hAnsi="Times New Roman"/>
          <w:noProof/>
          <w:sz w:val="24"/>
          <w:szCs w:val="24"/>
        </w:rPr>
        <w:t>most well-known brands. Sports apparel manufacturer Nike is responsible for licensing of rights for, in particular, Fútbol Club Barcelona's merchandise. Sanrio is a licensor of rights for, in particular, Hello Kitty. Universal Studios is a licensor of righ</w:t>
      </w:r>
      <w:r>
        <w:rPr>
          <w:rFonts w:ascii="Times New Roman" w:hAnsi="Times New Roman"/>
          <w:noProof/>
          <w:sz w:val="24"/>
          <w:szCs w:val="24"/>
        </w:rPr>
        <w:t>ts for, in particular, the Minions and Despicable Me. The merchandising products concerned by the investigations are of a varied nature (mugs, bags, clothing, shoes, toys, etc.), but all carry one or more logos or images from a licensor. The three investig</w:t>
      </w:r>
      <w:r>
        <w:rPr>
          <w:rFonts w:ascii="Times New Roman" w:hAnsi="Times New Roman"/>
          <w:noProof/>
          <w:sz w:val="24"/>
          <w:szCs w:val="24"/>
        </w:rPr>
        <w:t>ations aim to ascertain whether certain licensing and distribution practices of these companies illegally restrict traders from selling licensed merchandise cross-border and online within the EEA.</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pay-TV investigation, opened in 2014, continued in 2018</w:t>
      </w:r>
      <w:r>
        <w:rPr>
          <w:rFonts w:ascii="Times New Roman" w:hAnsi="Times New Roman"/>
          <w:noProof/>
          <w:sz w:val="24"/>
          <w:szCs w:val="24"/>
        </w:rPr>
        <w:t xml:space="preserve">. The investigation relates to certain contractual clauses in the licensing agreements concluded between Sky UK and six major film studios (Disney, Fox, Paramount, NBCUniversal, Sony and Warner Bros). In a statement of objections, addressed to Sky and the </w:t>
      </w:r>
      <w:r>
        <w:rPr>
          <w:rFonts w:ascii="Times New Roman" w:hAnsi="Times New Roman"/>
          <w:noProof/>
          <w:sz w:val="24"/>
          <w:szCs w:val="24"/>
        </w:rPr>
        <w:t>six Hollywood film studios in 2015, the Commission took the preliminary view that such clauses restricted Sky UK's (and in some cases other broadcasters') ability to accept unsolicited requests from consumers located outside the UK and Ireland and, therefo</w:t>
      </w:r>
      <w:r>
        <w:rPr>
          <w:rFonts w:ascii="Times New Roman" w:hAnsi="Times New Roman"/>
          <w:noProof/>
          <w:sz w:val="24"/>
          <w:szCs w:val="24"/>
        </w:rPr>
        <w:t xml:space="preserve">re, violate EU antitrust rules.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In 2016, Paramount offered commitments, which the Commission accepted and made legally binding in the same year. The commitments provide that throughout the EEA Paramount shall remove the contractual restrictions from exist</w:t>
      </w:r>
      <w:r>
        <w:rPr>
          <w:rFonts w:ascii="Times New Roman" w:hAnsi="Times New Roman"/>
          <w:noProof/>
          <w:sz w:val="24"/>
          <w:szCs w:val="24"/>
        </w:rPr>
        <w:t>ing pay-TV licensing agreements and not (re)introduce them for a period of at least five years. Canal+, a French pay-TV broadcaster, brought an appeal against this decision. In December 2018, the General Court</w:t>
      </w:r>
      <w:r>
        <w:rPr>
          <w:rFonts w:ascii="Times New Roman" w:hAnsi="Times New Roman"/>
          <w:noProof/>
          <w:sz w:val="24"/>
          <w:szCs w:val="24"/>
          <w:vertAlign w:val="superscript"/>
        </w:rPr>
        <w:footnoteReference w:id="201"/>
      </w:r>
      <w:r>
        <w:rPr>
          <w:rFonts w:ascii="Times New Roman" w:hAnsi="Times New Roman"/>
          <w:noProof/>
          <w:sz w:val="24"/>
          <w:szCs w:val="24"/>
        </w:rPr>
        <w:t xml:space="preserve"> dismissed the appeal and held, among other th</w:t>
      </w:r>
      <w:r>
        <w:rPr>
          <w:rFonts w:ascii="Times New Roman" w:hAnsi="Times New Roman"/>
          <w:noProof/>
          <w:sz w:val="24"/>
          <w:szCs w:val="24"/>
        </w:rPr>
        <w:t>ings, that the Commission acted within the limits of Article 9 Regulation 1/2003 and that, in particular, the Commission’s decision respected the principle of proportionality. Furthermore, the General Court held that the passive sales restrictions in Param</w:t>
      </w:r>
      <w:r>
        <w:rPr>
          <w:rFonts w:ascii="Times New Roman" w:hAnsi="Times New Roman"/>
          <w:noProof/>
          <w:sz w:val="24"/>
          <w:szCs w:val="24"/>
        </w:rPr>
        <w:t>ount’s licensing agreements at issue represented restrictions by object. According to the judgment, the removal of these restrictions is consistent with the essential objective of the Treaty to establish a market without internal borders.</w:t>
      </w:r>
    </w:p>
    <w:p w:rsidR="00320198" w:rsidRDefault="005C0948">
      <w:pPr>
        <w:widowControl w:val="0"/>
        <w:spacing w:line="240" w:lineRule="auto"/>
        <w:jc w:val="both"/>
        <w:rPr>
          <w:rFonts w:ascii="Times New Roman" w:hAnsi="Times New Roman"/>
          <w:i/>
          <w:iCs/>
          <w:noProof/>
          <w:sz w:val="24"/>
          <w:szCs w:val="24"/>
          <w:lang w:eastAsia="en-GB"/>
        </w:rPr>
      </w:pPr>
      <w:r>
        <w:rPr>
          <w:rFonts w:ascii="Times New Roman" w:hAnsi="Times New Roman"/>
          <w:noProof/>
          <w:sz w:val="24"/>
          <w:szCs w:val="24"/>
        </w:rPr>
        <w:t>In November and D</w:t>
      </w:r>
      <w:r>
        <w:rPr>
          <w:rFonts w:ascii="Times New Roman" w:hAnsi="Times New Roman"/>
          <w:noProof/>
          <w:sz w:val="24"/>
          <w:szCs w:val="24"/>
        </w:rPr>
        <w:t>ecember 2018, Sky UK and four US film studios, namely Disney, NBC</w:t>
      </w:r>
      <w:r>
        <w:rPr>
          <w:rFonts w:ascii="Times New Roman" w:hAnsi="Times New Roman"/>
          <w:i/>
          <w:noProof/>
          <w:sz w:val="24"/>
          <w:szCs w:val="24"/>
        </w:rPr>
        <w:t xml:space="preserve"> </w:t>
      </w:r>
      <w:r>
        <w:rPr>
          <w:rFonts w:ascii="Times New Roman" w:hAnsi="Times New Roman"/>
          <w:noProof/>
          <w:sz w:val="24"/>
          <w:szCs w:val="24"/>
        </w:rPr>
        <w:t>Universal, Sony, and Warner Bros., also offered commitments to address the Commission’s concerns. Like in the Paramount</w:t>
      </w:r>
      <w:r>
        <w:rPr>
          <w:rFonts w:ascii="Times New Roman" w:hAnsi="Times New Roman"/>
          <w:i/>
          <w:noProof/>
          <w:sz w:val="24"/>
          <w:szCs w:val="24"/>
        </w:rPr>
        <w:t xml:space="preserve"> </w:t>
      </w:r>
      <w:r>
        <w:rPr>
          <w:rFonts w:ascii="Times New Roman" w:hAnsi="Times New Roman"/>
          <w:noProof/>
          <w:sz w:val="24"/>
          <w:szCs w:val="24"/>
        </w:rPr>
        <w:t>commitments, the five companies offered to remove throughout the EEA t</w:t>
      </w:r>
      <w:r>
        <w:rPr>
          <w:rFonts w:ascii="Times New Roman" w:hAnsi="Times New Roman"/>
          <w:noProof/>
          <w:sz w:val="24"/>
          <w:szCs w:val="24"/>
        </w:rPr>
        <w:t>he contractual restrictions from existing pay-TV licensing agreements and not to (re)introduce them for a period of five years. The proposed commitments cover all future and current subsidiaries of the companies concerned.</w:t>
      </w:r>
      <w:r>
        <w:rPr>
          <w:rFonts w:ascii="Times New Roman" w:hAnsi="Times New Roman"/>
          <w:noProof/>
          <w:sz w:val="24"/>
          <w:szCs w:val="24"/>
          <w:vertAlign w:val="superscript"/>
        </w:rPr>
        <w:footnoteReference w:id="202"/>
      </w:r>
      <w:r>
        <w:rPr>
          <w:rFonts w:ascii="Times New Roman" w:hAnsi="Times New Roman"/>
          <w:noProof/>
          <w:sz w:val="24"/>
          <w:szCs w:val="24"/>
        </w:rPr>
        <w:t xml:space="preserve"> To verify the appropriateness of</w:t>
      </w:r>
      <w:r>
        <w:rPr>
          <w:rFonts w:ascii="Times New Roman" w:hAnsi="Times New Roman"/>
          <w:noProof/>
          <w:sz w:val="24"/>
          <w:szCs w:val="24"/>
        </w:rPr>
        <w:t xml:space="preserve"> the proposed commitments, the Commission consulted market participants in November and December 2018.</w:t>
      </w:r>
      <w:r>
        <w:rPr>
          <w:rFonts w:ascii="Times New Roman" w:hAnsi="Times New Roman"/>
          <w:noProof/>
          <w:sz w:val="24"/>
          <w:szCs w:val="24"/>
          <w:vertAlign w:val="superscript"/>
        </w:rPr>
        <w:footnoteReference w:id="203"/>
      </w:r>
      <w:r>
        <w:rPr>
          <w:rStyle w:val="Hyperlink"/>
          <w:rFonts w:ascii="Times New Roman" w:hAnsi="Times New Roman"/>
          <w:noProof/>
          <w:sz w:val="24"/>
          <w:szCs w:val="24"/>
          <w:u w:val="none"/>
          <w:lang w:eastAsia="en-GB"/>
        </w:rPr>
        <w:t xml:space="preserve"> </w:t>
      </w:r>
      <w:r>
        <w:rPr>
          <w:rStyle w:val="Hyperlink"/>
          <w:rFonts w:ascii="Times New Roman" w:hAnsi="Times New Roman"/>
          <w:noProof/>
          <w:color w:val="auto"/>
          <w:sz w:val="24"/>
          <w:szCs w:val="24"/>
          <w:u w:val="none"/>
          <w:lang w:eastAsia="en-GB"/>
        </w:rPr>
        <w:t>In the light of the results of the market test, the Commission considered that the commitments addressed its concerns in a satisfactory way.</w:t>
      </w:r>
      <w:r>
        <w:rPr>
          <w:rFonts w:ascii="Times New Roman" w:hAnsi="Times New Roman"/>
          <w:noProof/>
          <w:sz w:val="24"/>
          <w:szCs w:val="24"/>
          <w:vertAlign w:val="superscript"/>
          <w:lang w:eastAsia="en-GB"/>
        </w:rPr>
        <w:footnoteReference w:id="204"/>
      </w:r>
    </w:p>
    <w:p w:rsidR="00320198" w:rsidRDefault="005C0948">
      <w:pPr>
        <w:widowControl w:val="0"/>
        <w:spacing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 xml:space="preserve">Antitrust </w:t>
      </w:r>
      <w:r>
        <w:rPr>
          <w:rFonts w:ascii="Times New Roman" w:hAnsi="Times New Roman"/>
          <w:i/>
          <w:iCs/>
          <w:noProof/>
          <w:sz w:val="24"/>
          <w:szCs w:val="24"/>
          <w:lang w:eastAsia="en-GB"/>
        </w:rPr>
        <w:t>enforcement in technology markets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The Commission's actions in technology markets aim to keep markets competitive, and maximise incentives to innovate.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24 January 2018, the Commission fined </w:t>
      </w:r>
      <w:r>
        <w:rPr>
          <w:rFonts w:ascii="Times New Roman" w:hAnsi="Times New Roman"/>
          <w:i/>
          <w:noProof/>
          <w:sz w:val="24"/>
          <w:szCs w:val="24"/>
        </w:rPr>
        <w:t>Qualcomm</w:t>
      </w:r>
      <w:r>
        <w:rPr>
          <w:rFonts w:ascii="Times New Roman" w:hAnsi="Times New Roman"/>
          <w:bCs/>
          <w:noProof/>
          <w:sz w:val="24"/>
          <w:szCs w:val="24"/>
          <w:vertAlign w:val="superscript"/>
        </w:rPr>
        <w:footnoteReference w:id="205"/>
      </w:r>
      <w:r>
        <w:rPr>
          <w:rFonts w:ascii="Times New Roman" w:hAnsi="Times New Roman"/>
          <w:noProof/>
          <w:sz w:val="24"/>
          <w:szCs w:val="24"/>
        </w:rPr>
        <w:t xml:space="preserve"> EUR 997 million for </w:t>
      </w:r>
      <w:r>
        <w:rPr>
          <w:rFonts w:ascii="Times New Roman" w:hAnsi="Times New Roman"/>
          <w:noProof/>
          <w:sz w:val="24"/>
          <w:szCs w:val="24"/>
          <w:lang w:eastAsia="en-GB"/>
        </w:rPr>
        <w:t>abusing its market dominance in L</w:t>
      </w:r>
      <w:r>
        <w:rPr>
          <w:rFonts w:ascii="Times New Roman" w:hAnsi="Times New Roman"/>
          <w:noProof/>
          <w:sz w:val="24"/>
          <w:szCs w:val="24"/>
          <w:lang w:eastAsia="en-GB"/>
        </w:rPr>
        <w:t>TE baseband chipsets</w:t>
      </w:r>
      <w:r>
        <w:rPr>
          <w:rFonts w:ascii="Times New Roman" w:hAnsi="Times New Roman"/>
          <w:noProof/>
          <w:sz w:val="24"/>
          <w:szCs w:val="24"/>
        </w:rPr>
        <w:t xml:space="preserve">. The decision found that Qualcomm prevented rivals from competing in the market by making significant payments to a key customer, Apple, on condition that it would not buy from rivals. This meant that Qualcomm's rivals were denied the </w:t>
      </w:r>
      <w:r>
        <w:rPr>
          <w:rFonts w:ascii="Times New Roman" w:hAnsi="Times New Roman"/>
          <w:noProof/>
          <w:sz w:val="24"/>
          <w:szCs w:val="24"/>
        </w:rPr>
        <w:t>possibility to compete effectively for Apple's significant business, no matter how good their products were. They were also denied business opportunities with other customers that could have followed from securing Apple as a customer.</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bCs/>
          <w:noProof/>
          <w:sz w:val="24"/>
          <w:szCs w:val="24"/>
        </w:rPr>
        <w:t>The Commission also c</w:t>
      </w:r>
      <w:r>
        <w:rPr>
          <w:rFonts w:ascii="Times New Roman" w:hAnsi="Times New Roman"/>
          <w:bCs/>
          <w:noProof/>
          <w:sz w:val="24"/>
          <w:szCs w:val="24"/>
        </w:rPr>
        <w:t>ontinued its investigations against Qualcomm</w:t>
      </w:r>
      <w:r>
        <w:rPr>
          <w:rFonts w:ascii="Times New Roman" w:hAnsi="Times New Roman"/>
          <w:bCs/>
          <w:i/>
          <w:noProof/>
          <w:sz w:val="24"/>
          <w:szCs w:val="24"/>
        </w:rPr>
        <w:t xml:space="preserve"> </w:t>
      </w:r>
      <w:r>
        <w:rPr>
          <w:rFonts w:ascii="Times New Roman" w:hAnsi="Times New Roman"/>
          <w:bCs/>
          <w:noProof/>
          <w:sz w:val="24"/>
          <w:szCs w:val="24"/>
        </w:rPr>
        <w:t>for charging prices below costs with a view to forcing competitors out of the market ("predatory pricing") and issued a Supplementary Statement of Objections.</w:t>
      </w:r>
      <w:r>
        <w:rPr>
          <w:rFonts w:ascii="Times New Roman" w:hAnsi="Times New Roman"/>
          <w:bCs/>
          <w:noProof/>
          <w:sz w:val="24"/>
          <w:szCs w:val="24"/>
          <w:vertAlign w:val="superscript"/>
        </w:rPr>
        <w:footnoteReference w:id="206"/>
      </w:r>
      <w:r>
        <w:rPr>
          <w:rFonts w:ascii="Times New Roman" w:hAnsi="Times New Roman"/>
          <w:bCs/>
          <w:noProof/>
          <w:sz w:val="24"/>
          <w:szCs w:val="24"/>
        </w:rPr>
        <w:t xml:space="preserv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18 July 2108, the Commission fined </w:t>
      </w:r>
      <w:r>
        <w:rPr>
          <w:rFonts w:ascii="Times New Roman" w:hAnsi="Times New Roman"/>
          <w:i/>
          <w:noProof/>
          <w:sz w:val="24"/>
          <w:szCs w:val="24"/>
        </w:rPr>
        <w:t>Google</w:t>
      </w:r>
      <w:r>
        <w:rPr>
          <w:rFonts w:ascii="Times New Roman" w:hAnsi="Times New Roman"/>
          <w:noProof/>
          <w:sz w:val="24"/>
          <w:szCs w:val="24"/>
        </w:rPr>
        <w:t xml:space="preserve"> EUR 4</w:t>
      </w:r>
      <w:r>
        <w:rPr>
          <w:rFonts w:ascii="Times New Roman" w:hAnsi="Times New Roman"/>
          <w:noProof/>
          <w:sz w:val="24"/>
          <w:szCs w:val="24"/>
        </w:rPr>
        <w:t>.34 billion for breaching EU antitrust rules.</w:t>
      </w:r>
      <w:r>
        <w:rPr>
          <w:rFonts w:ascii="Times New Roman" w:hAnsi="Times New Roman"/>
          <w:noProof/>
          <w:sz w:val="24"/>
          <w:szCs w:val="24"/>
          <w:vertAlign w:val="superscript"/>
        </w:rPr>
        <w:footnoteReference w:id="207"/>
      </w:r>
      <w:r>
        <w:rPr>
          <w:rFonts w:ascii="Times New Roman" w:hAnsi="Times New Roman"/>
          <w:noProof/>
          <w:sz w:val="24"/>
          <w:szCs w:val="24"/>
        </w:rPr>
        <w:t xml:space="preserve"> The Commission found that Google had imposed illegal restrictions on Android device manufacturers and mobile network operators to cement its dominant position in general internet search.</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szCs w:val="20"/>
        </w:rPr>
        <w:t xml:space="preserve">The Google Android </w:t>
      </w:r>
      <w:r>
        <w:rPr>
          <w:rFonts w:ascii="Times New Roman" w:hAnsi="Times New Roman"/>
          <w:b/>
          <w:noProof/>
          <w:sz w:val="20"/>
          <w:szCs w:val="20"/>
        </w:rPr>
        <w:t>case</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In its decision the Commission concluded that Google is dominant in:</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 xml:space="preserve"> the national markets for general internet search services throughout the EEA. The Commission based its finding on the fact that Google has shares of more than 90% in most EEA Membe</w:t>
      </w:r>
      <w:r>
        <w:rPr>
          <w:rFonts w:ascii="Times New Roman" w:hAnsi="Times New Roman"/>
          <w:noProof/>
          <w:sz w:val="20"/>
          <w:szCs w:val="20"/>
        </w:rPr>
        <w:t>r States and there are high barriers to enter these markets;</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 xml:space="preserve"> the worldwide market (excluding China) for licensable smart mobile operating systems. The Commission based its finding on the fact that Google has a market share of more than 95%, there are hig</w:t>
      </w:r>
      <w:r>
        <w:rPr>
          <w:rFonts w:ascii="Times New Roman" w:hAnsi="Times New Roman"/>
          <w:noProof/>
          <w:sz w:val="20"/>
          <w:szCs w:val="20"/>
        </w:rPr>
        <w:t>h barriers to entry  and that significant resources are required to develop a successful licensable smart mobile operating system. Android is different from operating systems exclusively used by vertically integrated developers (like Apple iOS) which are n</w:t>
      </w:r>
      <w:r>
        <w:rPr>
          <w:rFonts w:ascii="Times New Roman" w:hAnsi="Times New Roman"/>
          <w:noProof/>
          <w:sz w:val="20"/>
          <w:szCs w:val="20"/>
        </w:rPr>
        <w:t>ot part of the same market because they are not available for licence by third party device manufacturers; and</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 xml:space="preserve"> the worldwide market (</w:t>
      </w:r>
      <w:r>
        <w:rPr>
          <w:rFonts w:ascii="Times New Roman" w:hAnsi="Times New Roman"/>
          <w:noProof/>
          <w:color w:val="000000" w:themeColor="text1"/>
          <w:sz w:val="20"/>
          <w:szCs w:val="20"/>
        </w:rPr>
        <w:t>excluding China) for app stores for the Android mobile operating system. The Commission based its finding on the fact tha</w:t>
      </w:r>
      <w:r>
        <w:rPr>
          <w:rFonts w:ascii="Times New Roman" w:hAnsi="Times New Roman"/>
          <w:noProof/>
          <w:color w:val="000000" w:themeColor="text1"/>
          <w:sz w:val="20"/>
          <w:szCs w:val="20"/>
        </w:rPr>
        <w:t>t Google's app store, the Play Store, accounts for more than 90% of apps downloaded on Android devices and that this market is characterised by high barriers to entry. Google's app store dominance is not constrained by Apple's App Store, which is only avai</w:t>
      </w:r>
      <w:r>
        <w:rPr>
          <w:rFonts w:ascii="Times New Roman" w:hAnsi="Times New Roman"/>
          <w:noProof/>
          <w:color w:val="000000" w:themeColor="text1"/>
          <w:sz w:val="20"/>
          <w:szCs w:val="20"/>
        </w:rPr>
        <w:t>lable on iOS devices.</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The Commission found that Google abused its market dominance by engaging in </w:t>
      </w:r>
      <w:r>
        <w:rPr>
          <w:rFonts w:ascii="Times New Roman" w:hAnsi="Times New Roman"/>
          <w:noProof/>
          <w:sz w:val="20"/>
          <w:szCs w:val="20"/>
          <w:u w:val="single"/>
        </w:rPr>
        <w:t>three separate types of practices</w:t>
      </w:r>
      <w:r>
        <w:rPr>
          <w:rFonts w:ascii="Times New Roman" w:hAnsi="Times New Roman"/>
          <w:noProof/>
          <w:sz w:val="20"/>
          <w:szCs w:val="20"/>
        </w:rPr>
        <w:t>, which all had the aim of cementing Google's dominant position in general internet search:</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 xml:space="preserve"> Illegal tying of the Google Sea</w:t>
      </w:r>
      <w:r>
        <w:rPr>
          <w:rFonts w:ascii="Times New Roman" w:hAnsi="Times New Roman"/>
          <w:noProof/>
          <w:sz w:val="20"/>
          <w:szCs w:val="20"/>
        </w:rPr>
        <w:t>rch app and Google Chrome browser: Google offered its mobile apps and services to device manufacturers as a bundle, which included the Google Play Store, the Google Search app and the Google Chrome browser. In this way, Google ensured that its Google Searc</w:t>
      </w:r>
      <w:r>
        <w:rPr>
          <w:rFonts w:ascii="Times New Roman" w:hAnsi="Times New Roman"/>
          <w:noProof/>
          <w:sz w:val="20"/>
          <w:szCs w:val="20"/>
        </w:rPr>
        <w:t>h app and its mobile browser were pre-installed on practically all Android devices sold in the EEA. The Decision outlined a range of evidence that for search and browser, pre-installation constitutes a significant commercial advantage that cannot be offset</w:t>
      </w:r>
      <w:r>
        <w:rPr>
          <w:rFonts w:ascii="Times New Roman" w:hAnsi="Times New Roman"/>
          <w:noProof/>
          <w:sz w:val="20"/>
          <w:szCs w:val="20"/>
        </w:rPr>
        <w:t xml:space="preserve"> through other means.</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 xml:space="preserve"> Illegal payments conditional on exclusive pre-installation of Google Search: Google granted significant financial incentives to some of the largest device manufacturers as well as mobile network operators on condition that they excl</w:t>
      </w:r>
      <w:r>
        <w:rPr>
          <w:rFonts w:ascii="Times New Roman" w:hAnsi="Times New Roman"/>
          <w:noProof/>
          <w:sz w:val="20"/>
          <w:szCs w:val="20"/>
        </w:rPr>
        <w:t xml:space="preserve">usively pre-installed Google Search across their entire portfolio of Android devices. The Decision outlined a range of evidence on how this significantly reduced the commercial possibilities for the pre-installation or rival search providers. </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 xml:space="preserve"> Illegal ob</w:t>
      </w:r>
      <w:r>
        <w:rPr>
          <w:rFonts w:ascii="Times New Roman" w:hAnsi="Times New Roman"/>
          <w:noProof/>
          <w:sz w:val="20"/>
          <w:szCs w:val="20"/>
        </w:rPr>
        <w:t xml:space="preserve">struction of development and distribution of competing Android operating systems: Google prevented device manufacturers from using any alternative version of Android that was not approved by Google (Android forks). To pre-install Google's proprietary apps </w:t>
      </w:r>
      <w:r>
        <w:rPr>
          <w:rFonts w:ascii="Times New Roman" w:hAnsi="Times New Roman"/>
          <w:noProof/>
          <w:sz w:val="20"/>
          <w:szCs w:val="20"/>
        </w:rPr>
        <w:t>on their devices, manufacturers had to have prior agreement from Google to run a device on an Android fork. This significantly reduced the commercial opportunity for devices running on Android forks to be developed and sold.</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Google's practices denied rival</w:t>
      </w:r>
      <w:r>
        <w:rPr>
          <w:rFonts w:ascii="Times New Roman" w:hAnsi="Times New Roman"/>
          <w:noProof/>
          <w:sz w:val="20"/>
          <w:szCs w:val="20"/>
        </w:rPr>
        <w:t xml:space="preserve"> general internet search services the possibility to compete on the merits. The tying practices ensured the pre-installation of Google's search service and browser on practically all Google Android devices and the exclusivity payments strongly reduced the </w:t>
      </w:r>
      <w:r>
        <w:rPr>
          <w:rFonts w:ascii="Times New Roman" w:hAnsi="Times New Roman"/>
          <w:noProof/>
          <w:sz w:val="20"/>
          <w:szCs w:val="20"/>
        </w:rPr>
        <w:t xml:space="preserve">incentive to pre-install competing search engines. Google also obstructed the development of Android forks, which could have provided a platform for rival search engines to gain traffic. </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 xml:space="preserve">The Decision requires Google to bring its illegal conduct to an end </w:t>
      </w:r>
      <w:r>
        <w:rPr>
          <w:rFonts w:ascii="Times New Roman" w:hAnsi="Times New Roman"/>
          <w:noProof/>
          <w:sz w:val="20"/>
          <w:szCs w:val="20"/>
        </w:rPr>
        <w:t xml:space="preserve">in an effective manner within 90 days of the decision. At a minimum, Google has to stop and to not re-engage in any of the three types of practices. The Decision also requires Google to refrain from any measure that has the same or an equivalent object or </w:t>
      </w:r>
      <w:r>
        <w:rPr>
          <w:rFonts w:ascii="Times New Roman" w:hAnsi="Times New Roman"/>
          <w:noProof/>
          <w:sz w:val="20"/>
          <w:szCs w:val="20"/>
        </w:rPr>
        <w:t>effect as these practices. It is Google's sole responsibility to ensure compliance. The Commission is monitoring Google's compliance closely to make sure that the remedy is effective and does indeed comply with the Decision.</w:t>
      </w:r>
    </w:p>
    <w:p w:rsidR="00320198" w:rsidRDefault="005C0948">
      <w:pPr>
        <w:widowControl w:val="0"/>
        <w:autoSpaceDE w:val="0"/>
        <w:autoSpaceDN w:val="0"/>
        <w:adjustRightInd w:val="0"/>
        <w:spacing w:before="200"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Ensuring a pro-competitive tele</w:t>
      </w:r>
      <w:r>
        <w:rPr>
          <w:rFonts w:ascii="Times New Roman" w:hAnsi="Times New Roman"/>
          <w:i/>
          <w:iCs/>
          <w:noProof/>
          <w:sz w:val="24"/>
          <w:szCs w:val="24"/>
          <w:lang w:eastAsia="en-GB"/>
        </w:rPr>
        <w:t xml:space="preserve">coms framework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One of the key actions under the second pillar of the Digital Single Market strategy is the review of the telecoms regulatory framework. On 14 September 2016 the Commission adopted three legislative proposals: a proposal for a Directive est</w:t>
      </w:r>
      <w:r>
        <w:rPr>
          <w:rFonts w:ascii="Times New Roman" w:hAnsi="Times New Roman"/>
          <w:noProof/>
          <w:sz w:val="24"/>
          <w:szCs w:val="24"/>
        </w:rPr>
        <w:t>ablishing the European Electronic Communications Code,</w:t>
      </w:r>
      <w:r>
        <w:rPr>
          <w:rFonts w:ascii="Times New Roman" w:hAnsi="Times New Roman"/>
          <w:noProof/>
          <w:sz w:val="24"/>
          <w:szCs w:val="24"/>
          <w:vertAlign w:val="superscript"/>
        </w:rPr>
        <w:footnoteReference w:id="208"/>
      </w:r>
      <w:r>
        <w:rPr>
          <w:rFonts w:ascii="Times New Roman" w:hAnsi="Times New Roman"/>
          <w:noProof/>
          <w:sz w:val="24"/>
          <w:szCs w:val="24"/>
        </w:rPr>
        <w:t xml:space="preserve"> which recasts the existing directives, a proposal for a Regulation establishing the Body of European Regulators for Electronic Communications</w:t>
      </w:r>
      <w:r>
        <w:rPr>
          <w:rFonts w:ascii="Times New Roman" w:hAnsi="Times New Roman"/>
          <w:i/>
          <w:noProof/>
          <w:sz w:val="24"/>
          <w:szCs w:val="24"/>
        </w:rPr>
        <w:t xml:space="preserve"> </w:t>
      </w:r>
      <w:r>
        <w:rPr>
          <w:rFonts w:ascii="Times New Roman" w:hAnsi="Times New Roman"/>
          <w:noProof/>
          <w:sz w:val="24"/>
          <w:szCs w:val="24"/>
        </w:rPr>
        <w:t>(BEREC),</w:t>
      </w:r>
      <w:r>
        <w:rPr>
          <w:rFonts w:ascii="Times New Roman" w:hAnsi="Times New Roman"/>
          <w:noProof/>
          <w:sz w:val="24"/>
          <w:szCs w:val="24"/>
          <w:vertAlign w:val="superscript"/>
        </w:rPr>
        <w:footnoteReference w:id="209"/>
      </w:r>
      <w:r>
        <w:rPr>
          <w:rFonts w:ascii="Times New Roman" w:hAnsi="Times New Roman"/>
          <w:noProof/>
          <w:sz w:val="24"/>
          <w:szCs w:val="24"/>
        </w:rPr>
        <w:t xml:space="preserve"> which enhances the role of BEREC and of national regulatory authorities and a proposal for a Regulation on the promotion of Internet connectivity in local communities and public spaces (WiFi4EU).</w:t>
      </w:r>
      <w:r>
        <w:rPr>
          <w:rFonts w:ascii="Times New Roman" w:hAnsi="Times New Roman"/>
          <w:noProof/>
          <w:sz w:val="24"/>
          <w:szCs w:val="24"/>
          <w:vertAlign w:val="superscript"/>
        </w:rPr>
        <w:footnoteReference w:id="210"/>
      </w:r>
      <w:r>
        <w:rPr>
          <w:rFonts w:ascii="Times New Roman" w:hAnsi="Times New Roman"/>
          <w:noProof/>
          <w:sz w:val="24"/>
          <w:szCs w:val="24"/>
        </w:rPr>
        <w:t xml:space="preserve"> They were accompanied by two Communications: Connectivity </w:t>
      </w:r>
      <w:r>
        <w:rPr>
          <w:rFonts w:ascii="Times New Roman" w:hAnsi="Times New Roman"/>
          <w:noProof/>
          <w:sz w:val="24"/>
          <w:szCs w:val="24"/>
        </w:rPr>
        <w:t>for a European Gigabit society: Laying the foundations for a competitive Digital Single Market,</w:t>
      </w:r>
      <w:r>
        <w:rPr>
          <w:rFonts w:ascii="Times New Roman" w:hAnsi="Times New Roman"/>
          <w:i/>
          <w:noProof/>
          <w:sz w:val="24"/>
          <w:szCs w:val="24"/>
          <w:vertAlign w:val="superscript"/>
        </w:rPr>
        <w:footnoteReference w:id="211"/>
      </w:r>
      <w:r>
        <w:rPr>
          <w:rFonts w:ascii="Times New Roman" w:hAnsi="Times New Roman"/>
          <w:noProof/>
          <w:sz w:val="24"/>
          <w:szCs w:val="24"/>
        </w:rPr>
        <w:t xml:space="preserve"> which establishes a set of connectivity objectives for 2025, and 5G for Europe: An Action Plan,</w:t>
      </w:r>
      <w:r>
        <w:rPr>
          <w:rFonts w:ascii="Times New Roman" w:hAnsi="Times New Roman"/>
          <w:i/>
          <w:noProof/>
          <w:sz w:val="24"/>
          <w:szCs w:val="24"/>
          <w:vertAlign w:val="superscript"/>
        </w:rPr>
        <w:footnoteReference w:id="212"/>
      </w:r>
      <w:r>
        <w:rPr>
          <w:rFonts w:ascii="Times New Roman" w:hAnsi="Times New Roman"/>
          <w:noProof/>
          <w:sz w:val="24"/>
          <w:szCs w:val="24"/>
        </w:rPr>
        <w:t xml:space="preserve"> which sets out targeted actions with the aim of fostering 5G d</w:t>
      </w:r>
      <w:r>
        <w:rPr>
          <w:rFonts w:ascii="Times New Roman" w:hAnsi="Times New Roman"/>
          <w:noProof/>
          <w:sz w:val="24"/>
          <w:szCs w:val="24"/>
        </w:rPr>
        <w:t xml:space="preserve">eployment in Europe. </w:t>
      </w:r>
    </w:p>
    <w:p w:rsidR="00320198" w:rsidRDefault="005C0948">
      <w:pPr>
        <w:widowControl w:val="0"/>
        <w:spacing w:line="240" w:lineRule="auto"/>
        <w:jc w:val="both"/>
        <w:rPr>
          <w:rFonts w:ascii="Times New Roman" w:hAnsi="Times New Roman"/>
          <w:noProof/>
          <w:sz w:val="24"/>
          <w:szCs w:val="24"/>
        </w:rPr>
      </w:pPr>
      <w:r>
        <w:rPr>
          <w:rFonts w:ascii="Times New Roman" w:eastAsiaTheme="minorHAnsi" w:hAnsi="Times New Roman"/>
          <w:noProof/>
          <w:sz w:val="24"/>
          <w:szCs w:val="24"/>
        </w:rPr>
        <w:t>Political agreement on the proposals for the Electronic Communications Code and the Regulation establishing BEREC was reached in June 2018. The legal acts were adopted on 11 December 2018.</w:t>
      </w:r>
      <w:r>
        <w:rPr>
          <w:rFonts w:ascii="Times New Roman" w:eastAsiaTheme="minorHAnsi" w:hAnsi="Times New Roman"/>
          <w:noProof/>
          <w:sz w:val="24"/>
          <w:szCs w:val="24"/>
          <w:vertAlign w:val="superscript"/>
        </w:rPr>
        <w:footnoteReference w:id="213"/>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agreed text of the Electronic Communicat</w:t>
      </w:r>
      <w:r>
        <w:rPr>
          <w:rFonts w:ascii="Times New Roman" w:hAnsi="Times New Roman"/>
          <w:noProof/>
          <w:sz w:val="24"/>
          <w:szCs w:val="24"/>
        </w:rPr>
        <w:t>ions Code introduces a new objective of connectivity (that is to say investment) of very high capacity networks as an additional policy objective, alongside the other objectives of the framework, namely safeguarding competition, internal market and consume</w:t>
      </w:r>
      <w:r>
        <w:rPr>
          <w:rFonts w:ascii="Times New Roman" w:hAnsi="Times New Roman"/>
          <w:noProof/>
          <w:sz w:val="24"/>
          <w:szCs w:val="24"/>
        </w:rPr>
        <w:t xml:space="preserve">r protection. Indeed, stimulating competition not only drives investments but also results in lower prices, better quality and more choice. At the same time, investment is not an end in itself, as investment as such does not directly benefit consumers. It </w:t>
      </w:r>
      <w:r>
        <w:rPr>
          <w:rFonts w:ascii="Times New Roman" w:hAnsi="Times New Roman"/>
          <w:noProof/>
          <w:sz w:val="24"/>
          <w:szCs w:val="24"/>
        </w:rPr>
        <w:t>is the impact of investment on parameters of competition such as lower prices, better quality of service or greater adoption that translates into consumer benefits.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Operators with Significant Market Power will continue to be obliged to provide access to th</w:t>
      </w:r>
      <w:r>
        <w:rPr>
          <w:rFonts w:ascii="Times New Roman" w:hAnsi="Times New Roman"/>
          <w:noProof/>
          <w:sz w:val="24"/>
          <w:szCs w:val="24"/>
        </w:rPr>
        <w:t>eir networks to other operators, where this is necessary for effective retail competition. De-regulation is possible when competition is effective in a given telecoms market. The proposal also contains new elements which aim at stimulating investments, whi</w:t>
      </w:r>
      <w:r>
        <w:rPr>
          <w:rFonts w:ascii="Times New Roman" w:hAnsi="Times New Roman"/>
          <w:noProof/>
          <w:sz w:val="24"/>
          <w:szCs w:val="24"/>
        </w:rPr>
        <w:t xml:space="preserve">le safeguarding effective competition. For example access to civil infrastructure is incentivised and a framework rewarding co-investment in very high capacity networks is set up, encouraging fibre deployments from both incumbents and access seekers.   </w:t>
      </w:r>
    </w:p>
    <w:p w:rsidR="00320198" w:rsidRDefault="005C0948">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Co</w:t>
      </w:r>
      <w:r>
        <w:rPr>
          <w:rFonts w:ascii="Times New Roman" w:eastAsiaTheme="minorHAnsi" w:hAnsi="Times New Roman"/>
          <w:noProof/>
          <w:sz w:val="24"/>
          <w:szCs w:val="24"/>
        </w:rPr>
        <w:t>mmunication services provided by “over-the-top providers” (OTTs) such as Skype and WhatsApp  would fall within the proposed scope of the new Electronic Communications Code under the new heading of interpersonal communications service. OTTs are typically pr</w:t>
      </w:r>
      <w:r>
        <w:rPr>
          <w:rFonts w:ascii="Times New Roman" w:eastAsiaTheme="minorHAnsi" w:hAnsi="Times New Roman"/>
          <w:noProof/>
          <w:sz w:val="24"/>
          <w:szCs w:val="24"/>
        </w:rPr>
        <w:t>esent at different levels of the value chain, as telcos own network infrastructure and OTTs do not. Regarding spectrum, the agreed draft Electronic Communications Code contains measures to enhance investment certainty (the co-legislators agreed on a minimu</w:t>
      </w:r>
      <w:r>
        <w:rPr>
          <w:rFonts w:ascii="Times New Roman" w:eastAsiaTheme="minorHAnsi" w:hAnsi="Times New Roman"/>
          <w:noProof/>
          <w:sz w:val="24"/>
          <w:szCs w:val="24"/>
        </w:rPr>
        <w:t xml:space="preserve">m licence duration of at least 20 years, timely availability of spectrum in the market and enhanced co-ordination of spectrum authorisation between regulators) and promote competition (such as a possibility to apply spectrum caps, spectrum reservation for </w:t>
      </w:r>
      <w:r>
        <w:rPr>
          <w:rFonts w:ascii="Times New Roman" w:eastAsiaTheme="minorHAnsi" w:hAnsi="Times New Roman"/>
          <w:noProof/>
          <w:sz w:val="24"/>
          <w:szCs w:val="24"/>
        </w:rPr>
        <w:t>new entrants or wholesale access obligations). The agreed text also maintains the role of national regulators and of BEREC, to ensure the consistent and predictable application of the telecoms rules.</w:t>
      </w:r>
    </w:p>
    <w:p w:rsidR="00320198" w:rsidRDefault="005C0948">
      <w:pPr>
        <w:widowControl w:val="0"/>
        <w:spacing w:line="240" w:lineRule="auto"/>
        <w:jc w:val="both"/>
        <w:rPr>
          <w:rFonts w:ascii="Times New Roman" w:hAnsi="Times New Roman"/>
          <w:noProof/>
        </w:rPr>
      </w:pPr>
      <w:r>
        <w:rPr>
          <w:rFonts w:ascii="Times New Roman" w:eastAsiaTheme="minorHAnsi" w:hAnsi="Times New Roman"/>
          <w:noProof/>
          <w:sz w:val="24"/>
          <w:szCs w:val="24"/>
        </w:rPr>
        <w:t>The Commission also adopted new Guidelines on Significan</w:t>
      </w:r>
      <w:r>
        <w:rPr>
          <w:rFonts w:ascii="Times New Roman" w:eastAsiaTheme="minorHAnsi" w:hAnsi="Times New Roman"/>
          <w:noProof/>
          <w:sz w:val="24"/>
          <w:szCs w:val="24"/>
        </w:rPr>
        <w:t>t Market Power</w:t>
      </w:r>
      <w:r>
        <w:rPr>
          <w:rFonts w:ascii="Times New Roman" w:eastAsiaTheme="minorHAnsi" w:hAnsi="Times New Roman"/>
          <w:noProof/>
          <w:sz w:val="24"/>
          <w:szCs w:val="24"/>
          <w:vertAlign w:val="superscript"/>
        </w:rPr>
        <w:footnoteReference w:id="214"/>
      </w:r>
      <w:r>
        <w:rPr>
          <w:rFonts w:ascii="Times New Roman" w:eastAsiaTheme="minorHAnsi" w:hAnsi="Times New Roman"/>
          <w:noProof/>
          <w:sz w:val="24"/>
          <w:szCs w:val="24"/>
        </w:rPr>
        <w:t xml:space="preserve"> as part of the telecoms framework. They replace the previous ones adopted in 2002 on the basis of Article 15(2) of the Framework Directive to provide guidance to national regulatory authorities for the analysis of markets and effective comp</w:t>
      </w:r>
      <w:r>
        <w:rPr>
          <w:rFonts w:ascii="Times New Roman" w:eastAsiaTheme="minorHAnsi" w:hAnsi="Times New Roman"/>
          <w:noProof/>
          <w:sz w:val="24"/>
          <w:szCs w:val="24"/>
        </w:rPr>
        <w:t>etition under the regulatory framework.</w:t>
      </w:r>
      <w:r>
        <w:rPr>
          <w:rFonts w:ascii="Times New Roman" w:eastAsiaTheme="minorHAnsi" w:hAnsi="Times New Roman"/>
          <w:noProof/>
          <w:sz w:val="24"/>
          <w:szCs w:val="24"/>
          <w:vertAlign w:val="superscript"/>
        </w:rPr>
        <w:footnoteReference w:id="215"/>
      </w:r>
      <w:r>
        <w:rPr>
          <w:rFonts w:ascii="Times New Roman" w:hAnsi="Times New Roman"/>
          <w:noProof/>
        </w:rPr>
        <w:t xml:space="preserve"> </w:t>
      </w:r>
      <w:r>
        <w:rPr>
          <w:rFonts w:ascii="Times New Roman" w:eastAsiaTheme="minorHAnsi" w:hAnsi="Times New Roman"/>
          <w:noProof/>
          <w:sz w:val="24"/>
          <w:szCs w:val="24"/>
        </w:rPr>
        <w:t xml:space="preserve">After 15 years, there was a need to review the SMP Guidelines to bring more clarity, in particular, on the criteria for the finding of joint dominance, in accordance with the European Courts' jurisprudence. </w:t>
      </w:r>
    </w:p>
    <w:p w:rsidR="00320198" w:rsidRDefault="005C0948">
      <w:pPr>
        <w:widowControl w:val="0"/>
        <w:autoSpaceDE w:val="0"/>
        <w:autoSpaceDN w:val="0"/>
        <w:adjustRightInd w:val="0"/>
        <w:spacing w:line="240" w:lineRule="auto"/>
        <w:rPr>
          <w:rFonts w:ascii="Times New Roman" w:hAnsi="Times New Roman"/>
          <w:i/>
          <w:iCs/>
          <w:noProof/>
          <w:sz w:val="24"/>
          <w:szCs w:val="24"/>
          <w:lang w:eastAsia="en-GB"/>
        </w:rPr>
      </w:pPr>
      <w:r>
        <w:rPr>
          <w:rFonts w:ascii="Times New Roman" w:hAnsi="Times New Roman"/>
          <w:i/>
          <w:iCs/>
          <w:noProof/>
          <w:sz w:val="24"/>
          <w:szCs w:val="24"/>
          <w:lang w:eastAsia="en-GB"/>
        </w:rPr>
        <w:t>Antitru</w:t>
      </w:r>
      <w:r>
        <w:rPr>
          <w:rFonts w:ascii="Times New Roman" w:hAnsi="Times New Roman"/>
          <w:i/>
          <w:iCs/>
          <w:noProof/>
          <w:sz w:val="24"/>
          <w:szCs w:val="24"/>
          <w:lang w:eastAsia="en-GB"/>
        </w:rPr>
        <w:t>st enforcement in the telecommunications sector</w:t>
      </w:r>
    </w:p>
    <w:p w:rsidR="00320198" w:rsidRDefault="005C0948">
      <w:pPr>
        <w:widowControl w:val="0"/>
        <w:spacing w:line="240" w:lineRule="auto"/>
        <w:jc w:val="both"/>
        <w:rPr>
          <w:rFonts w:ascii="Times New Roman" w:hAnsi="Times New Roman"/>
          <w:bCs/>
          <w:noProof/>
          <w:sz w:val="24"/>
          <w:szCs w:val="24"/>
        </w:rPr>
      </w:pPr>
      <w:r>
        <w:rPr>
          <w:rFonts w:ascii="Times New Roman" w:hAnsi="Times New Roman"/>
          <w:bCs/>
          <w:noProof/>
          <w:sz w:val="24"/>
          <w:szCs w:val="24"/>
        </w:rPr>
        <w:t xml:space="preserve">In 2018 the Commission continued its investigation into a mobile network sharing agreement between the two largest operators in the Czech Republic, </w:t>
      </w:r>
      <w:r>
        <w:rPr>
          <w:rFonts w:ascii="Times New Roman" w:hAnsi="Times New Roman"/>
          <w:bCs/>
          <w:i/>
          <w:noProof/>
          <w:sz w:val="24"/>
          <w:szCs w:val="24"/>
        </w:rPr>
        <w:t>O2 CZ /CETIN</w:t>
      </w:r>
      <w:r>
        <w:rPr>
          <w:rFonts w:ascii="Times New Roman" w:hAnsi="Times New Roman"/>
          <w:bCs/>
          <w:noProof/>
          <w:sz w:val="24"/>
          <w:szCs w:val="24"/>
        </w:rPr>
        <w:t xml:space="preserve"> and </w:t>
      </w:r>
      <w:r>
        <w:rPr>
          <w:rFonts w:ascii="Times New Roman" w:hAnsi="Times New Roman"/>
          <w:bCs/>
          <w:i/>
          <w:noProof/>
          <w:sz w:val="24"/>
          <w:szCs w:val="24"/>
        </w:rPr>
        <w:t>T-Mobile CZ</w:t>
      </w:r>
      <w:r>
        <w:rPr>
          <w:rFonts w:ascii="Times New Roman" w:hAnsi="Times New Roman"/>
          <w:bCs/>
          <w:noProof/>
          <w:sz w:val="24"/>
          <w:szCs w:val="24"/>
        </w:rPr>
        <w:t>.</w:t>
      </w:r>
      <w:r>
        <w:rPr>
          <w:rFonts w:ascii="Times New Roman" w:hAnsi="Times New Roman"/>
          <w:bCs/>
          <w:noProof/>
          <w:sz w:val="24"/>
          <w:szCs w:val="24"/>
          <w:vertAlign w:val="superscript"/>
        </w:rPr>
        <w:footnoteReference w:id="216"/>
      </w:r>
      <w:r>
        <w:rPr>
          <w:rFonts w:ascii="Times New Roman" w:hAnsi="Times New Roman"/>
          <w:bCs/>
          <w:noProof/>
          <w:sz w:val="24"/>
          <w:szCs w:val="24"/>
        </w:rPr>
        <w:t xml:space="preserve"> The Commission investigates in particular whether the cooperation between O2 CZ/CETIN and T-Mobile CZ risks slowing down quality improvements in existing infrastructure, and delaying or hindering the deployment of new technologies, such as 4G/LTE and new </w:t>
      </w:r>
      <w:r>
        <w:rPr>
          <w:rFonts w:ascii="Times New Roman" w:hAnsi="Times New Roman"/>
          <w:bCs/>
          <w:noProof/>
          <w:sz w:val="24"/>
          <w:szCs w:val="24"/>
        </w:rPr>
        <w:t xml:space="preserve">services based on them, in particular in densely populated areas. </w:t>
      </w:r>
    </w:p>
    <w:p w:rsidR="00320198" w:rsidRDefault="005C0948">
      <w:pPr>
        <w:keepNext/>
        <w:spacing w:after="240" w:line="240" w:lineRule="auto"/>
        <w:jc w:val="both"/>
        <w:rPr>
          <w:rFonts w:ascii="Times New Roman" w:hAnsi="Times New Roman"/>
          <w:i/>
          <w:noProof/>
          <w:sz w:val="24"/>
        </w:rPr>
      </w:pPr>
      <w:r>
        <w:rPr>
          <w:rFonts w:ascii="Times New Roman" w:hAnsi="Times New Roman"/>
          <w:i/>
          <w:noProof/>
          <w:sz w:val="24"/>
        </w:rPr>
        <w:t xml:space="preserve">Merger review in ICT and media </w:t>
      </w:r>
    </w:p>
    <w:p w:rsidR="00320198" w:rsidRDefault="005C0948">
      <w:pPr>
        <w:widowControl w:val="0"/>
        <w:spacing w:line="240" w:lineRule="auto"/>
        <w:jc w:val="both"/>
        <w:rPr>
          <w:rFonts w:ascii="Times New Roman" w:hAnsi="Times New Roman"/>
          <w:noProof/>
          <w:color w:val="000000"/>
          <w:sz w:val="24"/>
          <w:szCs w:val="24"/>
        </w:rPr>
      </w:pPr>
      <w:r>
        <w:rPr>
          <w:rFonts w:ascii="Times New Roman" w:eastAsiaTheme="minorHAnsi" w:hAnsi="Times New Roman"/>
          <w:noProof/>
          <w:sz w:val="24"/>
          <w:szCs w:val="24"/>
        </w:rPr>
        <w:t>In the telecommunications sector, the Commission reapproved in May, following a new</w:t>
      </w:r>
      <w:r>
        <w:rPr>
          <w:rFonts w:ascii="Times New Roman" w:hAnsi="Times New Roman"/>
          <w:noProof/>
          <w:color w:val="000000"/>
          <w:sz w:val="24"/>
          <w:szCs w:val="24"/>
        </w:rPr>
        <w:t xml:space="preserve"> investigation, the acquisition of </w:t>
      </w:r>
      <w:r>
        <w:rPr>
          <w:rFonts w:ascii="Times New Roman" w:hAnsi="Times New Roman"/>
          <w:i/>
          <w:noProof/>
          <w:color w:val="000000"/>
          <w:sz w:val="24"/>
          <w:szCs w:val="24"/>
        </w:rPr>
        <w:t>Ziggo</w:t>
      </w:r>
      <w:r>
        <w:rPr>
          <w:rFonts w:ascii="Times New Roman" w:hAnsi="Times New Roman"/>
          <w:noProof/>
          <w:color w:val="000000"/>
          <w:sz w:val="24"/>
          <w:szCs w:val="24"/>
        </w:rPr>
        <w:t xml:space="preserve"> by </w:t>
      </w:r>
      <w:r>
        <w:rPr>
          <w:rFonts w:ascii="Times New Roman" w:hAnsi="Times New Roman"/>
          <w:i/>
          <w:noProof/>
          <w:color w:val="000000"/>
          <w:sz w:val="24"/>
          <w:szCs w:val="24"/>
        </w:rPr>
        <w:t>Liberty Global</w:t>
      </w:r>
      <w:r>
        <w:rPr>
          <w:rFonts w:ascii="Times New Roman" w:hAnsi="Times New Roman"/>
          <w:noProof/>
          <w:color w:val="000000"/>
          <w:sz w:val="24"/>
          <w:szCs w:val="24"/>
        </w:rPr>
        <w:t xml:space="preserve">, subject to </w:t>
      </w:r>
      <w:r>
        <w:rPr>
          <w:rFonts w:ascii="Times New Roman" w:hAnsi="Times New Roman"/>
          <w:noProof/>
          <w:color w:val="000000"/>
          <w:sz w:val="24"/>
          <w:szCs w:val="24"/>
        </w:rPr>
        <w:t>conditions.</w:t>
      </w:r>
      <w:r>
        <w:rPr>
          <w:rFonts w:ascii="Times New Roman" w:hAnsi="Times New Roman"/>
          <w:noProof/>
          <w:color w:val="000000"/>
          <w:sz w:val="24"/>
          <w:szCs w:val="24"/>
          <w:vertAlign w:val="superscript"/>
        </w:rPr>
        <w:footnoteReference w:id="217"/>
      </w:r>
      <w:r>
        <w:rPr>
          <w:rFonts w:ascii="Times New Roman" w:hAnsi="Times New Roman"/>
          <w:noProof/>
          <w:color w:val="000000"/>
          <w:sz w:val="24"/>
          <w:szCs w:val="24"/>
        </w:rPr>
        <w:t xml:space="preserve"> Before the transaction, Ziggo and Liberty Global were separate cable TV operators providing mainly fixed telecommunications services, operating in different parts of the Netherlands. The Commission first approved this merger in 2014, subject t</w:t>
      </w:r>
      <w:r>
        <w:rPr>
          <w:rFonts w:ascii="Times New Roman" w:hAnsi="Times New Roman"/>
          <w:noProof/>
          <w:color w:val="000000"/>
          <w:sz w:val="24"/>
          <w:szCs w:val="24"/>
        </w:rPr>
        <w:t>o conditions, but the General Court annulled the approval in October 2017 on the ground that the Commission did not fully explain why the merger would not lead to vertical anti-competitive effects on the potential market for premium pay TV sports channels.</w:t>
      </w:r>
      <w:r>
        <w:rPr>
          <w:rFonts w:ascii="Times New Roman" w:hAnsi="Times New Roman"/>
          <w:noProof/>
          <w:color w:val="000000"/>
          <w:sz w:val="24"/>
          <w:szCs w:val="24"/>
        </w:rPr>
        <w:t xml:space="preserve"> The Commission reassessed the merger and its investigation confirmed the concern it had in 2014 that the merger would have increased Liberty Global's negotiating power vis-à-vis TV channel broadcasters, hindering innovation in the delivery of audio-visual</w:t>
      </w:r>
      <w:r>
        <w:rPr>
          <w:rFonts w:ascii="Times New Roman" w:hAnsi="Times New Roman"/>
          <w:noProof/>
          <w:color w:val="000000"/>
          <w:sz w:val="24"/>
          <w:szCs w:val="24"/>
        </w:rPr>
        <w:t xml:space="preserve"> content over the internet (the so-called over-the-top or "OTT" services). The renewed approval is again conditional upon the implementation of a commitments package. The reassessment also confirmed that there are no concerns for premium pay TV sports chan</w:t>
      </w:r>
      <w:r>
        <w:rPr>
          <w:rFonts w:ascii="Times New Roman" w:hAnsi="Times New Roman"/>
          <w:noProof/>
          <w:color w:val="000000"/>
          <w:sz w:val="24"/>
          <w:szCs w:val="24"/>
        </w:rPr>
        <w:t>nels and this is fully motivated in the decision.</w:t>
      </w:r>
    </w:p>
    <w:p w:rsidR="00320198" w:rsidRDefault="005C0948">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Furthermore, the Commission unconditionally approved two mergers between a fixed and a mobile telecommunications services operator in Austria (</w:t>
      </w:r>
      <w:r>
        <w:rPr>
          <w:rFonts w:ascii="Times New Roman" w:hAnsi="Times New Roman"/>
          <w:i/>
          <w:noProof/>
          <w:color w:val="000000"/>
          <w:sz w:val="24"/>
          <w:szCs w:val="24"/>
        </w:rPr>
        <w:t>T-Mobile Austria / UPC Austria</w:t>
      </w:r>
      <w:r>
        <w:rPr>
          <w:rFonts w:ascii="Times New Roman" w:hAnsi="Times New Roman"/>
          <w:noProof/>
          <w:color w:val="000000"/>
          <w:sz w:val="24"/>
          <w:szCs w:val="24"/>
        </w:rPr>
        <w:t>)</w:t>
      </w:r>
      <w:r>
        <w:rPr>
          <w:rFonts w:ascii="Times New Roman" w:hAnsi="Times New Roman"/>
          <w:noProof/>
          <w:color w:val="000000"/>
          <w:sz w:val="24"/>
          <w:szCs w:val="24"/>
          <w:vertAlign w:val="superscript"/>
        </w:rPr>
        <w:footnoteReference w:id="218"/>
      </w:r>
      <w:r>
        <w:rPr>
          <w:rFonts w:ascii="Times New Roman" w:hAnsi="Times New Roman"/>
          <w:noProof/>
          <w:color w:val="000000"/>
          <w:sz w:val="24"/>
          <w:szCs w:val="24"/>
        </w:rPr>
        <w:t xml:space="preserve"> and Sweden (</w:t>
      </w:r>
      <w:r>
        <w:rPr>
          <w:rFonts w:ascii="Times New Roman" w:hAnsi="Times New Roman"/>
          <w:i/>
          <w:noProof/>
          <w:color w:val="000000"/>
          <w:sz w:val="24"/>
          <w:szCs w:val="24"/>
        </w:rPr>
        <w:t>Tele2 / Com Hem Ho</w:t>
      </w:r>
      <w:r>
        <w:rPr>
          <w:rFonts w:ascii="Times New Roman" w:hAnsi="Times New Roman"/>
          <w:i/>
          <w:noProof/>
          <w:color w:val="000000"/>
          <w:sz w:val="24"/>
          <w:szCs w:val="24"/>
        </w:rPr>
        <w:t>lding</w:t>
      </w:r>
      <w:r>
        <w:rPr>
          <w:rFonts w:ascii="Times New Roman" w:hAnsi="Times New Roman"/>
          <w:noProof/>
          <w:color w:val="000000"/>
          <w:sz w:val="24"/>
          <w:szCs w:val="24"/>
        </w:rPr>
        <w:t>).</w:t>
      </w:r>
      <w:r>
        <w:rPr>
          <w:rFonts w:ascii="Times New Roman" w:hAnsi="Times New Roman"/>
          <w:noProof/>
          <w:color w:val="000000"/>
          <w:sz w:val="24"/>
          <w:szCs w:val="24"/>
          <w:vertAlign w:val="superscript"/>
        </w:rPr>
        <w:footnoteReference w:id="219"/>
      </w:r>
      <w:r>
        <w:rPr>
          <w:rFonts w:ascii="Times New Roman" w:hAnsi="Times New Roman"/>
          <w:noProof/>
          <w:color w:val="000000"/>
          <w:sz w:val="24"/>
          <w:szCs w:val="24"/>
        </w:rPr>
        <w:t xml:space="preserve"> The impact of these transactions on the fixed and mobile telecommunications markets in Austria and Sweden was very limited. In particular, while both T-Mobile and UPC are active in Austria in the provision of internet access services for residenti</w:t>
      </w:r>
      <w:r>
        <w:rPr>
          <w:rFonts w:ascii="Times New Roman" w:hAnsi="Times New Roman"/>
          <w:noProof/>
          <w:color w:val="000000"/>
          <w:sz w:val="24"/>
          <w:szCs w:val="24"/>
        </w:rPr>
        <w:t>al customers, UPC's fixed internet access products differ considerably from T-Mobile's mobile broadband products. Similarly, although both Tele2 and Com Hem are active in Sweden in the provision of retail mobile telecommunications services, retail fixed in</w:t>
      </w:r>
      <w:r>
        <w:rPr>
          <w:rFonts w:ascii="Times New Roman" w:hAnsi="Times New Roman"/>
          <w:noProof/>
          <w:color w:val="000000"/>
          <w:sz w:val="24"/>
          <w:szCs w:val="24"/>
        </w:rPr>
        <w:t>ternet access services and multiple play services, Com Hem has a marginal role in the provision of mobile services and Tele2's fixed telecommunication activities are limited. The Commission also found that each of the merged entities would continue to face</w:t>
      </w:r>
      <w:r>
        <w:rPr>
          <w:rFonts w:ascii="Times New Roman" w:hAnsi="Times New Roman"/>
          <w:noProof/>
          <w:color w:val="000000"/>
          <w:sz w:val="24"/>
          <w:szCs w:val="24"/>
        </w:rPr>
        <w:t xml:space="preserve"> significant competition from other players in Austria (such as A1 Telekom Austria and Hutchison Drei Austria) and Sweden (such as Telia, Telenor and Tre). Additionally, both in Austria and Sweden, the merged entities would not be able to use their market </w:t>
      </w:r>
      <w:r>
        <w:rPr>
          <w:rFonts w:ascii="Times New Roman" w:hAnsi="Times New Roman"/>
          <w:noProof/>
          <w:color w:val="000000"/>
          <w:sz w:val="24"/>
          <w:szCs w:val="24"/>
        </w:rPr>
        <w:t>power to shut out or marginalise its fixed or mobile competitors by bundling fixed and mobile products.</w:t>
      </w:r>
    </w:p>
    <w:p w:rsidR="00320198" w:rsidRDefault="005C0948">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After an in-depth investigation,</w:t>
      </w:r>
      <w:r>
        <w:rPr>
          <w:rFonts w:ascii="Times New Roman" w:hAnsi="Times New Roman"/>
          <w:noProof/>
          <w:color w:val="000000"/>
          <w:sz w:val="24"/>
          <w:szCs w:val="24"/>
          <w:vertAlign w:val="superscript"/>
        </w:rPr>
        <w:footnoteReference w:id="220"/>
      </w:r>
      <w:r>
        <w:rPr>
          <w:rFonts w:ascii="Times New Roman" w:hAnsi="Times New Roman"/>
          <w:noProof/>
          <w:color w:val="000000"/>
          <w:sz w:val="24"/>
          <w:szCs w:val="24"/>
        </w:rPr>
        <w:t xml:space="preserve"> the Commission authorised on 27 November 2018 the merger between mobile network operators </w:t>
      </w:r>
      <w:r>
        <w:rPr>
          <w:rFonts w:ascii="Times New Roman" w:hAnsi="Times New Roman"/>
          <w:i/>
          <w:noProof/>
          <w:color w:val="000000"/>
          <w:sz w:val="24"/>
          <w:szCs w:val="24"/>
        </w:rPr>
        <w:t>T-Mobile NL</w:t>
      </w:r>
      <w:r>
        <w:rPr>
          <w:rFonts w:ascii="Times New Roman" w:hAnsi="Times New Roman"/>
          <w:noProof/>
          <w:color w:val="000000"/>
          <w:sz w:val="24"/>
          <w:szCs w:val="24"/>
        </w:rPr>
        <w:t xml:space="preserve"> and </w:t>
      </w:r>
      <w:r>
        <w:rPr>
          <w:rFonts w:ascii="Times New Roman" w:hAnsi="Times New Roman"/>
          <w:i/>
          <w:noProof/>
          <w:color w:val="000000"/>
          <w:sz w:val="24"/>
          <w:szCs w:val="24"/>
        </w:rPr>
        <w:t>Tele2 NL</w:t>
      </w:r>
      <w:r>
        <w:rPr>
          <w:rFonts w:ascii="Times New Roman" w:hAnsi="Times New Roman"/>
          <w:noProof/>
          <w:color w:val="000000"/>
          <w:sz w:val="24"/>
          <w:szCs w:val="24"/>
        </w:rPr>
        <w:t xml:space="preserve"> in the Netherlands.</w:t>
      </w:r>
      <w:r>
        <w:rPr>
          <w:rFonts w:ascii="Times New Roman" w:hAnsi="Times New Roman"/>
          <w:noProof/>
          <w:color w:val="000000"/>
          <w:sz w:val="24"/>
          <w:szCs w:val="24"/>
          <w:vertAlign w:val="superscript"/>
        </w:rPr>
        <w:footnoteReference w:id="221"/>
      </w:r>
      <w:r>
        <w:rPr>
          <w:rFonts w:ascii="Times New Roman" w:hAnsi="Times New Roman"/>
          <w:noProof/>
          <w:color w:val="000000"/>
          <w:sz w:val="24"/>
          <w:szCs w:val="24"/>
          <w:vertAlign w:val="superscript"/>
        </w:rPr>
        <w:t xml:space="preserve"> </w:t>
      </w:r>
      <w:r>
        <w:rPr>
          <w:rFonts w:ascii="Times New Roman" w:hAnsi="Times New Roman"/>
          <w:bCs/>
          <w:noProof/>
          <w:color w:val="000000"/>
          <w:sz w:val="24"/>
          <w:szCs w:val="24"/>
          <w:shd w:val="clear" w:color="auto" w:fill="FFFFFF"/>
        </w:rPr>
        <w:t xml:space="preserve">On 11 December 2018, the European Commission opened an in-depth investigation to assess Vodafone's proposed acquisition of </w:t>
      </w:r>
      <w:r>
        <w:rPr>
          <w:rFonts w:ascii="Times New Roman" w:hAnsi="Times New Roman"/>
          <w:bCs/>
          <w:i/>
          <w:noProof/>
          <w:color w:val="000000"/>
          <w:sz w:val="24"/>
          <w:szCs w:val="24"/>
          <w:shd w:val="clear" w:color="auto" w:fill="FFFFFF"/>
        </w:rPr>
        <w:t>Liberty Global</w:t>
      </w:r>
      <w:r>
        <w:rPr>
          <w:rFonts w:ascii="Times New Roman" w:hAnsi="Times New Roman"/>
          <w:bCs/>
          <w:noProof/>
          <w:color w:val="000000"/>
          <w:sz w:val="24"/>
          <w:szCs w:val="24"/>
          <w:shd w:val="clear" w:color="auto" w:fill="FFFFFF"/>
        </w:rPr>
        <w:t>'s business in Czechia, Germany, Hungary and Romania under the EU Merger Regulation. The Commissi</w:t>
      </w:r>
      <w:r>
        <w:rPr>
          <w:rFonts w:ascii="Times New Roman" w:hAnsi="Times New Roman"/>
          <w:bCs/>
          <w:noProof/>
          <w:color w:val="000000"/>
          <w:sz w:val="24"/>
          <w:szCs w:val="24"/>
          <w:shd w:val="clear" w:color="auto" w:fill="FFFFFF"/>
        </w:rPr>
        <w:t>on is concerned the takeover may reduce competition in Germany and Czechia.</w:t>
      </w:r>
      <w:r>
        <w:rPr>
          <w:rFonts w:ascii="Times New Roman" w:hAnsi="Times New Roman"/>
          <w:noProof/>
          <w:color w:val="000000"/>
          <w:sz w:val="24"/>
          <w:szCs w:val="24"/>
          <w:vertAlign w:val="superscript"/>
        </w:rPr>
        <w:footnoteReference w:id="222"/>
      </w:r>
      <w:r>
        <w:rPr>
          <w:rFonts w:ascii="Times New Roman" w:hAnsi="Times New Roman"/>
          <w:noProof/>
          <w:color w:val="000000"/>
          <w:sz w:val="24"/>
          <w:szCs w:val="24"/>
        </w:rPr>
        <w:t xml:space="preserve"> </w:t>
      </w:r>
    </w:p>
    <w:p w:rsidR="00320198" w:rsidRDefault="005C0948">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In the IT sector, the Commission cleared in September 2018 </w:t>
      </w:r>
      <w:r>
        <w:rPr>
          <w:rFonts w:ascii="Times New Roman" w:hAnsi="Times New Roman"/>
          <w:i/>
          <w:noProof/>
          <w:color w:val="000000"/>
          <w:sz w:val="24"/>
          <w:szCs w:val="24"/>
        </w:rPr>
        <w:t>Apple</w:t>
      </w:r>
      <w:r>
        <w:rPr>
          <w:rFonts w:ascii="Times New Roman" w:hAnsi="Times New Roman"/>
          <w:noProof/>
          <w:color w:val="000000"/>
          <w:sz w:val="24"/>
          <w:szCs w:val="24"/>
        </w:rPr>
        <w:t xml:space="preserve">'s acquisition of </w:t>
      </w:r>
      <w:r>
        <w:rPr>
          <w:rFonts w:ascii="Times New Roman" w:hAnsi="Times New Roman"/>
          <w:i/>
          <w:noProof/>
          <w:color w:val="000000"/>
          <w:sz w:val="24"/>
          <w:szCs w:val="24"/>
        </w:rPr>
        <w:t>Shazam</w:t>
      </w:r>
      <w:r>
        <w:rPr>
          <w:rFonts w:ascii="Times New Roman" w:hAnsi="Times New Roman"/>
          <w:noProof/>
          <w:color w:val="000000"/>
          <w:sz w:val="24"/>
          <w:szCs w:val="24"/>
        </w:rPr>
        <w:t>.</w:t>
      </w:r>
      <w:r>
        <w:rPr>
          <w:rFonts w:ascii="Times New Roman" w:hAnsi="Times New Roman"/>
          <w:noProof/>
          <w:color w:val="000000"/>
          <w:sz w:val="24"/>
          <w:szCs w:val="24"/>
          <w:vertAlign w:val="superscript"/>
        </w:rPr>
        <w:footnoteReference w:id="223"/>
      </w:r>
      <w:r>
        <w:rPr>
          <w:rFonts w:ascii="Times New Roman" w:hAnsi="Times New Roman"/>
          <w:noProof/>
          <w:color w:val="000000"/>
          <w:sz w:val="24"/>
          <w:szCs w:val="24"/>
        </w:rPr>
        <w:t xml:space="preserve"> The merging </w:t>
      </w:r>
      <w:r>
        <w:rPr>
          <w:rFonts w:ascii="Times New Roman" w:eastAsiaTheme="minorHAnsi" w:hAnsi="Times New Roman"/>
          <w:noProof/>
          <w:color w:val="000000"/>
          <w:sz w:val="24"/>
          <w:szCs w:val="24"/>
          <w:lang w:eastAsia="en-GB"/>
        </w:rPr>
        <w:t>firms offer mainly complementary services, with Apple operating "Apple Musi</w:t>
      </w:r>
      <w:r>
        <w:rPr>
          <w:rFonts w:ascii="Times New Roman" w:eastAsiaTheme="minorHAnsi" w:hAnsi="Times New Roman"/>
          <w:noProof/>
          <w:color w:val="000000"/>
          <w:sz w:val="24"/>
          <w:szCs w:val="24"/>
          <w:lang w:eastAsia="en-GB"/>
        </w:rPr>
        <w:t xml:space="preserve">c", the second largest music </w:t>
      </w:r>
      <w:r>
        <w:rPr>
          <w:rFonts w:ascii="Times New Roman" w:eastAsiaTheme="minorHAnsi" w:hAnsi="Times New Roman"/>
          <w:noProof/>
          <w:sz w:val="24"/>
          <w:szCs w:val="24"/>
        </w:rPr>
        <w:t>streaming service in Europe and Shazam offering a leading music recognition application. The Commission had opened an in-depth investigation in April based on the concern that Apple would obtain access to commercially sensitive</w:t>
      </w:r>
      <w:r>
        <w:rPr>
          <w:rFonts w:ascii="Times New Roman" w:eastAsiaTheme="minorHAnsi" w:hAnsi="Times New Roman"/>
          <w:noProof/>
          <w:sz w:val="24"/>
          <w:szCs w:val="24"/>
        </w:rPr>
        <w:t xml:space="preserve"> data about customers of Apple Music's competitors and to investigate whether those competitors would be harmed if Apple were to discontinue referrals from the Shazam app to them. The investigation showed</w:t>
      </w:r>
      <w:r>
        <w:rPr>
          <w:rFonts w:ascii="Times New Roman" w:hAnsi="Times New Roman"/>
          <w:noProof/>
          <w:color w:val="000000"/>
          <w:sz w:val="24"/>
          <w:szCs w:val="24"/>
        </w:rPr>
        <w:t xml:space="preserve"> that the merged entity would not be able to shut ou</w:t>
      </w:r>
      <w:r>
        <w:rPr>
          <w:rFonts w:ascii="Times New Roman" w:hAnsi="Times New Roman"/>
          <w:noProof/>
          <w:color w:val="000000"/>
          <w:sz w:val="24"/>
          <w:szCs w:val="24"/>
        </w:rPr>
        <w:t xml:space="preserve">t competing providers of digital music streaming services. Access to Shazam's data would not materially increase Apple's ability to target music enthusiasts and any conduct aimed at making customers switch would only have a negligible impact. In addition, </w:t>
      </w:r>
      <w:r>
        <w:rPr>
          <w:rFonts w:ascii="Times New Roman" w:hAnsi="Times New Roman"/>
          <w:noProof/>
          <w:color w:val="000000"/>
          <w:sz w:val="24"/>
          <w:szCs w:val="24"/>
        </w:rPr>
        <w:t>Shazam's application has a limited importance as an entry point to the music streaming services of Apple Music's competitors. Moreover, the integration of Shazam's and Apple's datasets on user data would not confer a unique advantage to the merged entity i</w:t>
      </w:r>
      <w:r>
        <w:rPr>
          <w:rFonts w:ascii="Times New Roman" w:hAnsi="Times New Roman"/>
          <w:noProof/>
          <w:color w:val="000000"/>
          <w:sz w:val="24"/>
          <w:szCs w:val="24"/>
        </w:rPr>
        <w:t>n the markets on which it operates because Shazam's data is not unique and Apple's competitors would still have the opportunity to access and use similar databases. While the transaction did not meet the turnover thresholds of the EU Merger Regulation, the</w:t>
      </w:r>
      <w:r>
        <w:rPr>
          <w:rFonts w:ascii="Times New Roman" w:hAnsi="Times New Roman"/>
          <w:noProof/>
          <w:color w:val="000000"/>
          <w:sz w:val="24"/>
          <w:szCs w:val="24"/>
        </w:rPr>
        <w:t xml:space="preserve"> Commission assessed the transaction after acceptance of a referral request from Austria, France, Iceland, Italy, Norway, Spain and Sweden. </w:t>
      </w:r>
    </w:p>
    <w:p w:rsidR="00320198" w:rsidRDefault="005C0948">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On 11 December 2018 the Commission approved, subject to conditions, the proposed acquisition of </w:t>
      </w:r>
      <w:r>
        <w:rPr>
          <w:rFonts w:ascii="Times New Roman" w:hAnsi="Times New Roman"/>
          <w:i/>
          <w:noProof/>
          <w:color w:val="000000"/>
          <w:sz w:val="24"/>
          <w:szCs w:val="24"/>
        </w:rPr>
        <w:t xml:space="preserve">Gemalto </w:t>
      </w:r>
      <w:r>
        <w:rPr>
          <w:rFonts w:ascii="Times New Roman" w:hAnsi="Times New Roman"/>
          <w:noProof/>
          <w:color w:val="000000"/>
          <w:sz w:val="24"/>
          <w:szCs w:val="24"/>
        </w:rPr>
        <w:t>by</w:t>
      </w:r>
      <w:r>
        <w:rPr>
          <w:rFonts w:ascii="Times New Roman" w:hAnsi="Times New Roman"/>
          <w:i/>
          <w:noProof/>
          <w:color w:val="000000"/>
          <w:sz w:val="24"/>
          <w:szCs w:val="24"/>
        </w:rPr>
        <w:t xml:space="preserve"> Thales,</w:t>
      </w:r>
      <w:r>
        <w:rPr>
          <w:rFonts w:ascii="Times New Roman" w:hAnsi="Times New Roman"/>
          <w:noProof/>
          <w:color w:val="000000"/>
          <w:sz w:val="24"/>
          <w:szCs w:val="24"/>
          <w:vertAlign w:val="superscript"/>
        </w:rPr>
        <w:footnoteReference w:id="224"/>
      </w:r>
      <w:r>
        <w:rPr>
          <w:rFonts w:ascii="Times New Roman" w:hAnsi="Times New Roman"/>
          <w:i/>
          <w:noProof/>
          <w:color w:val="000000"/>
          <w:sz w:val="24"/>
          <w:szCs w:val="24"/>
        </w:rPr>
        <w:t xml:space="preserve"> </w:t>
      </w:r>
      <w:r>
        <w:rPr>
          <w:rFonts w:ascii="Times New Roman" w:hAnsi="Times New Roman"/>
          <w:noProof/>
          <w:color w:val="000000"/>
          <w:sz w:val="24"/>
          <w:szCs w:val="24"/>
        </w:rPr>
        <w:t>which combines the two largest suppliers of general purpose hardware security modules (GP HSM) used for enterprise key management solutions, both in the European Economic Area (EEA) and at global level. HSM is a dedicated hardware appliance running on enc</w:t>
      </w:r>
      <w:r>
        <w:rPr>
          <w:rFonts w:ascii="Times New Roman" w:hAnsi="Times New Roman"/>
          <w:noProof/>
          <w:color w:val="000000"/>
          <w:sz w:val="24"/>
          <w:szCs w:val="24"/>
        </w:rPr>
        <w:t>ryption software to generate, protect, and manage encryption keys used to protect data in a secure tamper-resistant module. In July, the Commission had opened an in-depth investigation based on concerns that the merger could lead to higher prices and reduc</w:t>
      </w:r>
      <w:r>
        <w:rPr>
          <w:rFonts w:ascii="Times New Roman" w:hAnsi="Times New Roman"/>
          <w:noProof/>
          <w:color w:val="000000"/>
          <w:sz w:val="24"/>
          <w:szCs w:val="24"/>
        </w:rPr>
        <w:t>e choice and innovation for customers of hardware security modules. The Commission found that the proposed merger would lead to very high combined market shares in the GP HSM market and would eliminate the competitive constraints that Thales and Gemalto ex</w:t>
      </w:r>
      <w:r>
        <w:rPr>
          <w:rFonts w:ascii="Times New Roman" w:hAnsi="Times New Roman"/>
          <w:noProof/>
          <w:color w:val="000000"/>
          <w:sz w:val="24"/>
          <w:szCs w:val="24"/>
        </w:rPr>
        <w:t xml:space="preserve">ercised on each other. The Commission also found that cloud service providers offering cloud-based HSMs did not provide a strong competitive constraint and were not expected to do so in the near future. </w:t>
      </w:r>
      <w:r>
        <w:rPr>
          <w:noProof/>
        </w:rPr>
        <w:t xml:space="preserve"> </w:t>
      </w:r>
      <w:r>
        <w:rPr>
          <w:rFonts w:ascii="Times New Roman" w:hAnsi="Times New Roman"/>
          <w:noProof/>
          <w:color w:val="000000"/>
          <w:sz w:val="24"/>
          <w:szCs w:val="24"/>
        </w:rPr>
        <w:t>The approval is conditional on the divestment of Tha</w:t>
      </w:r>
      <w:r>
        <w:rPr>
          <w:rFonts w:ascii="Times New Roman" w:hAnsi="Times New Roman"/>
          <w:noProof/>
          <w:color w:val="000000"/>
          <w:sz w:val="24"/>
          <w:szCs w:val="24"/>
        </w:rPr>
        <w:t>les' GP HSM business.</w:t>
      </w:r>
    </w:p>
    <w:p w:rsidR="00320198" w:rsidRDefault="005C0948">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In October, the Commission unconditionally approved the acquisition by </w:t>
      </w:r>
      <w:r>
        <w:rPr>
          <w:rFonts w:ascii="Times New Roman" w:hAnsi="Times New Roman"/>
          <w:i/>
          <w:noProof/>
          <w:color w:val="000000"/>
          <w:sz w:val="24"/>
          <w:szCs w:val="24"/>
        </w:rPr>
        <w:t>Microsoft</w:t>
      </w:r>
      <w:r>
        <w:rPr>
          <w:rFonts w:ascii="Times New Roman" w:hAnsi="Times New Roman"/>
          <w:noProof/>
          <w:color w:val="000000"/>
          <w:sz w:val="24"/>
          <w:szCs w:val="24"/>
        </w:rPr>
        <w:t xml:space="preserve"> of </w:t>
      </w:r>
      <w:r>
        <w:rPr>
          <w:rFonts w:ascii="Times New Roman" w:hAnsi="Times New Roman"/>
          <w:i/>
          <w:noProof/>
          <w:color w:val="000000"/>
          <w:sz w:val="24"/>
          <w:szCs w:val="24"/>
        </w:rPr>
        <w:t>GitHub</w:t>
      </w:r>
      <w:r>
        <w:rPr>
          <w:rFonts w:ascii="Times New Roman" w:hAnsi="Times New Roman"/>
          <w:noProof/>
          <w:color w:val="000000"/>
          <w:sz w:val="24"/>
          <w:szCs w:val="24"/>
          <w:vertAlign w:val="superscript"/>
        </w:rPr>
        <w:footnoteReference w:id="225"/>
      </w:r>
      <w:r>
        <w:rPr>
          <w:noProof/>
        </w:rPr>
        <w:t xml:space="preserve"> </w:t>
      </w:r>
      <w:r>
        <w:rPr>
          <w:rFonts w:ascii="Times New Roman" w:hAnsi="Times New Roman"/>
          <w:noProof/>
          <w:color w:val="000000"/>
          <w:sz w:val="24"/>
          <w:szCs w:val="24"/>
        </w:rPr>
        <w:t>a company active in the supply of tools used for developing and releasing software ("DevOps tools").</w:t>
      </w:r>
      <w:r>
        <w:rPr>
          <w:noProof/>
        </w:rPr>
        <w:t xml:space="preserve"> </w:t>
      </w:r>
      <w:r>
        <w:rPr>
          <w:rFonts w:ascii="Times New Roman" w:hAnsi="Times New Roman"/>
          <w:noProof/>
          <w:color w:val="000000"/>
          <w:sz w:val="24"/>
          <w:szCs w:val="24"/>
        </w:rPr>
        <w:t xml:space="preserve">Both Microsoft and GitHub provide access </w:t>
      </w:r>
      <w:r>
        <w:rPr>
          <w:rFonts w:ascii="Times New Roman" w:hAnsi="Times New Roman"/>
          <w:noProof/>
          <w:color w:val="000000"/>
          <w:sz w:val="24"/>
          <w:szCs w:val="24"/>
        </w:rPr>
        <w:t xml:space="preserve">to platforms for software development and both provide code editors (computer programs designed specifically for editing source code) and integrated development environments (applications consisting of a code editor, as well as additional features such as </w:t>
      </w:r>
      <w:r>
        <w:rPr>
          <w:rFonts w:ascii="Times New Roman" w:hAnsi="Times New Roman"/>
          <w:noProof/>
          <w:color w:val="000000"/>
          <w:sz w:val="24"/>
          <w:szCs w:val="24"/>
        </w:rPr>
        <w:t>intelligent code completion). The Commission found that the merged entity would continue to face significant competition from other players on both markets. The Commission also assessed whether there would be a risk of weakened competition, if Microsoft we</w:t>
      </w:r>
      <w:r>
        <w:rPr>
          <w:rFonts w:ascii="Times New Roman" w:hAnsi="Times New Roman"/>
          <w:noProof/>
          <w:color w:val="000000"/>
          <w:sz w:val="24"/>
          <w:szCs w:val="24"/>
        </w:rPr>
        <w:t>re to leverage the popularity of GitHub's software development platform to boost its own sales of DevOps tools and cloud services, but found that Microsoft would not have the incentive to undermine the open nature of GitHub to the detriment of competing De</w:t>
      </w:r>
      <w:r>
        <w:rPr>
          <w:rFonts w:ascii="Times New Roman" w:hAnsi="Times New Roman"/>
          <w:noProof/>
          <w:color w:val="000000"/>
          <w:sz w:val="24"/>
          <w:szCs w:val="24"/>
        </w:rPr>
        <w:t>vOps tools and cloud services as this would reduce the value of GitHub for developers, who are willing and able to switch to other platforms.</w:t>
      </w:r>
    </w:p>
    <w:p w:rsidR="00320198" w:rsidRDefault="005C0948">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In the media sector, in February 2018 the Commission conditionally approved </w:t>
      </w:r>
      <w:r>
        <w:rPr>
          <w:rFonts w:ascii="Times New Roman" w:hAnsi="Times New Roman"/>
          <w:i/>
          <w:noProof/>
          <w:color w:val="000000"/>
          <w:sz w:val="24"/>
          <w:szCs w:val="24"/>
        </w:rPr>
        <w:t>Discovery</w:t>
      </w:r>
      <w:r>
        <w:rPr>
          <w:rFonts w:ascii="Times New Roman" w:hAnsi="Times New Roman"/>
          <w:noProof/>
          <w:color w:val="000000"/>
          <w:sz w:val="24"/>
          <w:szCs w:val="24"/>
        </w:rPr>
        <w:t xml:space="preserve">'s acquisition of </w:t>
      </w:r>
      <w:r>
        <w:rPr>
          <w:rFonts w:ascii="Times New Roman" w:hAnsi="Times New Roman"/>
          <w:i/>
          <w:noProof/>
          <w:color w:val="000000"/>
          <w:sz w:val="24"/>
          <w:szCs w:val="24"/>
        </w:rPr>
        <w:t>Scripps</w:t>
      </w:r>
      <w:r>
        <w:rPr>
          <w:rFonts w:ascii="Times New Roman" w:hAnsi="Times New Roman"/>
          <w:noProof/>
          <w:color w:val="000000"/>
          <w:sz w:val="24"/>
          <w:szCs w:val="24"/>
        </w:rPr>
        <w:t>,</w:t>
      </w:r>
      <w:r>
        <w:rPr>
          <w:rFonts w:ascii="Times New Roman" w:hAnsi="Times New Roman"/>
          <w:noProof/>
          <w:color w:val="000000"/>
          <w:sz w:val="24"/>
          <w:szCs w:val="24"/>
          <w:vertAlign w:val="superscript"/>
        </w:rPr>
        <w:footnoteReference w:id="226"/>
      </w:r>
      <w:r>
        <w:rPr>
          <w:rFonts w:ascii="Times New Roman" w:hAnsi="Times New Roman"/>
          <w:noProof/>
          <w:color w:val="000000"/>
          <w:sz w:val="24"/>
          <w:szCs w:val="24"/>
        </w:rPr>
        <w:t xml:space="preserve"> b</w:t>
      </w:r>
      <w:r>
        <w:rPr>
          <w:rFonts w:ascii="Times New Roman" w:hAnsi="Times New Roman"/>
          <w:noProof/>
          <w:color w:val="000000"/>
          <w:sz w:val="24"/>
          <w:szCs w:val="24"/>
        </w:rPr>
        <w:t>oth providers of basic pay-tv channels to TV distributors. Scripps is particularly active in the UK, where it operates UKTV jointly with the BBC, and in Poland, via TVN.</w:t>
      </w:r>
      <w:r>
        <w:rPr>
          <w:noProof/>
        </w:rPr>
        <w:t xml:space="preserve"> </w:t>
      </w:r>
      <w:r>
        <w:rPr>
          <w:rFonts w:ascii="Times New Roman" w:hAnsi="Times New Roman"/>
          <w:noProof/>
        </w:rPr>
        <w:t>T</w:t>
      </w:r>
      <w:r>
        <w:rPr>
          <w:rFonts w:ascii="Times New Roman" w:hAnsi="Times New Roman"/>
          <w:noProof/>
          <w:color w:val="000000"/>
          <w:sz w:val="24"/>
          <w:szCs w:val="24"/>
        </w:rPr>
        <w:t>he companies' activities gave rise to only a limited overlap</w:t>
      </w:r>
      <w:r>
        <w:rPr>
          <w:noProof/>
        </w:rPr>
        <w:t xml:space="preserve"> i</w:t>
      </w:r>
      <w:r>
        <w:rPr>
          <w:rFonts w:ascii="Times New Roman" w:hAnsi="Times New Roman"/>
          <w:noProof/>
          <w:color w:val="000000"/>
          <w:sz w:val="24"/>
          <w:szCs w:val="24"/>
        </w:rPr>
        <w:t>n the UK. However, ther</w:t>
      </w:r>
      <w:r>
        <w:rPr>
          <w:rFonts w:ascii="Times New Roman" w:hAnsi="Times New Roman"/>
          <w:noProof/>
          <w:color w:val="000000"/>
          <w:sz w:val="24"/>
          <w:szCs w:val="24"/>
        </w:rPr>
        <w:t>e was a risk that Discovery's bargaining power vis-à-vis TV distributors in Poland would increase, because it would acquire channels that are particularly important in distributors' basic pay-tv channel packages, in particular TVN24, TVN's flagship news ch</w:t>
      </w:r>
      <w:r>
        <w:rPr>
          <w:rFonts w:ascii="Times New Roman" w:hAnsi="Times New Roman"/>
          <w:noProof/>
          <w:color w:val="000000"/>
          <w:sz w:val="24"/>
          <w:szCs w:val="24"/>
        </w:rPr>
        <w:t>annel. Discovery would therefore have been able to impose the licensing of its whole TV channel portfolio and to increase its licensing fees to the detriment of Polish consumers and competition. To address these concerns, Discovery committed to making TVN2</w:t>
      </w:r>
      <w:r>
        <w:rPr>
          <w:rFonts w:ascii="Times New Roman" w:hAnsi="Times New Roman"/>
          <w:noProof/>
          <w:color w:val="000000"/>
          <w:sz w:val="24"/>
          <w:szCs w:val="24"/>
        </w:rPr>
        <w:t>4 available to TV distributors in Poland for a reasonable fee determined by reference to comparable agreements for a period of seven years. In parallel, the Commission rejected a request to refer the merger to the Polish competition authority, as the Commi</w:t>
      </w:r>
      <w:r>
        <w:rPr>
          <w:rFonts w:ascii="Times New Roman" w:hAnsi="Times New Roman"/>
          <w:noProof/>
          <w:color w:val="000000"/>
          <w:sz w:val="24"/>
          <w:szCs w:val="24"/>
        </w:rPr>
        <w:t>ssion was better placed to deal with this case and any competition concerns were fully addressed by the commitments.</w:t>
      </w:r>
    </w:p>
    <w:p w:rsidR="00320198" w:rsidRDefault="005C0948">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In October, the Commission unconditionally cleared the proposed acquisition by </w:t>
      </w:r>
      <w:r>
        <w:rPr>
          <w:rFonts w:ascii="Times New Roman" w:hAnsi="Times New Roman"/>
          <w:i/>
          <w:noProof/>
          <w:color w:val="000000"/>
          <w:sz w:val="24"/>
          <w:szCs w:val="24"/>
        </w:rPr>
        <w:t>Sony</w:t>
      </w:r>
      <w:r>
        <w:rPr>
          <w:rFonts w:ascii="Times New Roman" w:hAnsi="Times New Roman"/>
          <w:noProof/>
          <w:color w:val="000000"/>
          <w:sz w:val="24"/>
          <w:szCs w:val="24"/>
        </w:rPr>
        <w:t xml:space="preserve"> of sole control and ownership over </w:t>
      </w:r>
      <w:r>
        <w:rPr>
          <w:rFonts w:ascii="Times New Roman" w:hAnsi="Times New Roman"/>
          <w:i/>
          <w:noProof/>
          <w:color w:val="000000"/>
          <w:sz w:val="24"/>
          <w:szCs w:val="24"/>
        </w:rPr>
        <w:t>EMI Music Publishing</w:t>
      </w:r>
      <w:r>
        <w:rPr>
          <w:rFonts w:ascii="Times New Roman" w:hAnsi="Times New Roman"/>
          <w:noProof/>
          <w:color w:val="000000"/>
          <w:sz w:val="24"/>
          <w:szCs w:val="24"/>
        </w:rPr>
        <w:t xml:space="preserve"> (EMI MP).</w:t>
      </w:r>
      <w:r>
        <w:rPr>
          <w:rFonts w:ascii="Times New Roman" w:hAnsi="Times New Roman"/>
          <w:noProof/>
          <w:color w:val="000000"/>
          <w:sz w:val="24"/>
          <w:szCs w:val="24"/>
          <w:vertAlign w:val="superscript"/>
        </w:rPr>
        <w:footnoteReference w:id="227"/>
      </w:r>
      <w:r>
        <w:rPr>
          <w:rFonts w:ascii="Times New Roman" w:hAnsi="Times New Roman"/>
          <w:noProof/>
          <w:color w:val="000000"/>
          <w:sz w:val="24"/>
          <w:szCs w:val="24"/>
        </w:rPr>
        <w:t xml:space="preserve"> Sony already had joint control (together with Mubadala) of EMI MP since 2012 and therefore the transaction would not lead to any increase in market share in any of the markets where Sony and EMI MP are active. The Commission examined whether Mu</w:t>
      </w:r>
      <w:r>
        <w:rPr>
          <w:rFonts w:ascii="Times New Roman" w:hAnsi="Times New Roman"/>
          <w:noProof/>
          <w:color w:val="000000"/>
          <w:sz w:val="24"/>
          <w:szCs w:val="24"/>
        </w:rPr>
        <w:t>badala had acted as a constraint on Sony's ability to leverage across both recording music and music publishing rights and, in particular, into the potential impact of the removal of this constraint. Because Sony/ATV already administers EMI MP's catalogue,</w:t>
      </w:r>
      <w:r>
        <w:rPr>
          <w:rFonts w:ascii="Times New Roman" w:hAnsi="Times New Roman"/>
          <w:noProof/>
          <w:color w:val="000000"/>
          <w:sz w:val="24"/>
          <w:szCs w:val="24"/>
        </w:rPr>
        <w:t xml:space="preserve"> the transaction does not change the competitive position of EMI MP. Moreover, the transaction would not materially increase Sony's bargaining power vis-à-vis online music platforms.</w:t>
      </w:r>
    </w:p>
    <w:p w:rsidR="00320198" w:rsidRDefault="005C0948">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In November 2018, the Commission approved, subject to conditions, the acq</w:t>
      </w:r>
      <w:r>
        <w:rPr>
          <w:rFonts w:ascii="Times New Roman" w:hAnsi="Times New Roman"/>
          <w:noProof/>
          <w:color w:val="000000"/>
          <w:sz w:val="24"/>
          <w:szCs w:val="24"/>
        </w:rPr>
        <w:t xml:space="preserve">uisition by </w:t>
      </w:r>
      <w:r>
        <w:rPr>
          <w:rFonts w:ascii="Times New Roman" w:hAnsi="Times New Roman"/>
          <w:i/>
          <w:noProof/>
          <w:color w:val="000000"/>
          <w:sz w:val="24"/>
          <w:szCs w:val="24"/>
        </w:rPr>
        <w:t xml:space="preserve">Disney </w:t>
      </w:r>
      <w:r>
        <w:rPr>
          <w:rFonts w:ascii="Times New Roman" w:hAnsi="Times New Roman"/>
          <w:noProof/>
          <w:color w:val="000000"/>
          <w:sz w:val="24"/>
          <w:szCs w:val="24"/>
        </w:rPr>
        <w:t>of the film and television studios and cable and international television businesses of Fox.</w:t>
      </w:r>
      <w:r>
        <w:rPr>
          <w:rFonts w:ascii="Times New Roman" w:hAnsi="Times New Roman"/>
          <w:noProof/>
          <w:color w:val="000000"/>
          <w:sz w:val="24"/>
          <w:szCs w:val="24"/>
          <w:vertAlign w:val="superscript"/>
        </w:rPr>
        <w:footnoteReference w:id="228"/>
      </w:r>
      <w:r>
        <w:rPr>
          <w:rFonts w:ascii="Times New Roman" w:hAnsi="Times New Roman"/>
          <w:noProof/>
          <w:color w:val="000000"/>
          <w:sz w:val="24"/>
          <w:szCs w:val="24"/>
        </w:rPr>
        <w:t xml:space="preserve"> These companies constituted two of the six major Hollywood film studios and were also providers of TV channels. In relation to production and d</w:t>
      </w:r>
      <w:r>
        <w:rPr>
          <w:rFonts w:ascii="Times New Roman" w:hAnsi="Times New Roman"/>
          <w:noProof/>
          <w:color w:val="000000"/>
          <w:sz w:val="24"/>
          <w:szCs w:val="24"/>
        </w:rPr>
        <w:t>istribution of films for release in movie theatres and distribution of content for home entertainment and licensing of films and other TV content, the Commission found that the merged entity would continue to face significant competition from other players</w:t>
      </w:r>
      <w:r>
        <w:rPr>
          <w:rFonts w:ascii="Times New Roman" w:hAnsi="Times New Roman"/>
          <w:noProof/>
          <w:color w:val="000000"/>
          <w:sz w:val="24"/>
          <w:szCs w:val="24"/>
        </w:rPr>
        <w:t>, such as Universal, Warner Bros and Sony. However, the Commission found that the proposed transaction would raise competition issues in the market for the wholesale supply of "factual channels" (which broadcast documentaries, drama and scientific-themed e</w:t>
      </w:r>
      <w:r>
        <w:rPr>
          <w:rFonts w:ascii="Times New Roman" w:hAnsi="Times New Roman"/>
          <w:noProof/>
          <w:color w:val="000000"/>
          <w:sz w:val="24"/>
          <w:szCs w:val="24"/>
        </w:rPr>
        <w:t>ntertainment programmes), such as National Geographic, because the transaction would have eliminated competition between two strong suppliers of such channels. Disney committed to divest its interest in the channels History, H2 and Crime &amp; Investigation it</w:t>
      </w:r>
      <w:r>
        <w:rPr>
          <w:rFonts w:ascii="Times New Roman" w:hAnsi="Times New Roman"/>
          <w:noProof/>
          <w:color w:val="000000"/>
          <w:sz w:val="24"/>
          <w:szCs w:val="24"/>
        </w:rPr>
        <w:t xml:space="preserve"> controls in the EEA thereby fully removing the overlap between Disney's and Fox's activities in the wholesale supply of factual channels in the EEA.</w:t>
      </w:r>
    </w:p>
    <w:p w:rsidR="00320198" w:rsidRDefault="005C0948">
      <w:pPr>
        <w:widowControl w:val="0"/>
        <w:spacing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In a separate decision of June 2018, the Commission had already cleared </w:t>
      </w:r>
      <w:r>
        <w:rPr>
          <w:rFonts w:ascii="Times New Roman" w:hAnsi="Times New Roman"/>
          <w:i/>
          <w:noProof/>
          <w:color w:val="000000"/>
          <w:sz w:val="24"/>
          <w:szCs w:val="24"/>
        </w:rPr>
        <w:t>Comcast</w:t>
      </w:r>
      <w:r>
        <w:rPr>
          <w:rFonts w:ascii="Times New Roman" w:hAnsi="Times New Roman"/>
          <w:noProof/>
          <w:color w:val="000000"/>
          <w:sz w:val="24"/>
          <w:szCs w:val="24"/>
        </w:rPr>
        <w:t xml:space="preserve">'s proposed acquisition of </w:t>
      </w:r>
      <w:r>
        <w:rPr>
          <w:rFonts w:ascii="Times New Roman" w:hAnsi="Times New Roman"/>
          <w:i/>
          <w:noProof/>
          <w:color w:val="000000"/>
          <w:sz w:val="24"/>
          <w:szCs w:val="24"/>
        </w:rPr>
        <w:t>Sky.</w:t>
      </w:r>
      <w:r>
        <w:rPr>
          <w:rFonts w:ascii="Times New Roman" w:hAnsi="Times New Roman"/>
          <w:noProof/>
          <w:color w:val="000000"/>
          <w:sz w:val="24"/>
          <w:szCs w:val="24"/>
          <w:vertAlign w:val="superscript"/>
        </w:rPr>
        <w:footnoteReference w:id="229"/>
      </w:r>
      <w:r>
        <w:rPr>
          <w:rFonts w:ascii="Times New Roman" w:hAnsi="Times New Roman"/>
          <w:noProof/>
          <w:color w:val="000000"/>
          <w:sz w:val="24"/>
          <w:szCs w:val="24"/>
        </w:rPr>
        <w:t xml:space="preserve"> Comcast and Sky competed with each other only to a limited extent in Austria, Germany, Ireland, Italy, the UK and Spain. The Commission found that pay-tv distributors will continue to have access to content from Comcast's competitors and multiple alt</w:t>
      </w:r>
      <w:r>
        <w:rPr>
          <w:rFonts w:ascii="Times New Roman" w:hAnsi="Times New Roman"/>
          <w:noProof/>
          <w:color w:val="000000"/>
          <w:sz w:val="24"/>
          <w:szCs w:val="24"/>
        </w:rPr>
        <w:t>ernative channels with comparable programming and audiences in the relevant Member States. It is also unlikely that Sky would have the incentive to cease purchasing content from Comcast's competitors as it would reduce the quality of Sky's product offering</w:t>
      </w:r>
      <w:r>
        <w:rPr>
          <w:rFonts w:ascii="Times New Roman" w:hAnsi="Times New Roman"/>
          <w:noProof/>
          <w:color w:val="000000"/>
          <w:sz w:val="24"/>
          <w:szCs w:val="24"/>
        </w:rPr>
        <w:t>. The Commission also rejected concerns that Sky could prevent competing channels from accessing its platform.</w:t>
      </w:r>
    </w:p>
    <w:p w:rsidR="00320198" w:rsidRDefault="005C0948">
      <w:pPr>
        <w:widowControl w:val="0"/>
        <w:spacing w:line="240" w:lineRule="auto"/>
        <w:jc w:val="both"/>
        <w:rPr>
          <w:rFonts w:ascii="Times New Roman" w:hAnsi="Times New Roman"/>
          <w:i/>
          <w:noProof/>
          <w:sz w:val="24"/>
        </w:rPr>
      </w:pPr>
      <w:r>
        <w:rPr>
          <w:rFonts w:ascii="Times New Roman" w:hAnsi="Times New Roman"/>
          <w:i/>
          <w:noProof/>
          <w:sz w:val="24"/>
        </w:rPr>
        <w:t>State aid enforcement in ICT and media</w:t>
      </w:r>
    </w:p>
    <w:p w:rsidR="00320198" w:rsidRDefault="005C0948">
      <w:pPr>
        <w:widowControl w:val="0"/>
        <w:spacing w:line="240" w:lineRule="auto"/>
        <w:jc w:val="both"/>
        <w:rPr>
          <w:rFonts w:ascii="Times New Roman" w:hAnsi="Times New Roman"/>
          <w:b/>
          <w:noProof/>
          <w:color w:val="000000"/>
          <w:sz w:val="20"/>
          <w:szCs w:val="20"/>
        </w:rPr>
      </w:pPr>
      <w:r>
        <w:rPr>
          <w:rFonts w:ascii="Times New Roman" w:hAnsi="Times New Roman"/>
          <w:b/>
          <w:noProof/>
          <w:color w:val="000000"/>
          <w:sz w:val="20"/>
          <w:szCs w:val="20"/>
        </w:rPr>
        <w:t>Broadband deployment</w:t>
      </w:r>
    </w:p>
    <w:p w:rsidR="00320198" w:rsidRDefault="005C0948">
      <w:pPr>
        <w:widowControl w:val="0"/>
        <w:spacing w:line="240" w:lineRule="auto"/>
        <w:jc w:val="both"/>
        <w:rPr>
          <w:rFonts w:ascii="Times New Roman" w:hAnsi="Times New Roman"/>
          <w:noProof/>
          <w:color w:val="000000"/>
        </w:rPr>
      </w:pPr>
      <w:r>
        <w:rPr>
          <w:rFonts w:ascii="Times New Roman" w:hAnsi="Times New Roman"/>
          <w:noProof/>
          <w:color w:val="000000"/>
          <w:sz w:val="24"/>
          <w:szCs w:val="24"/>
        </w:rPr>
        <w:t xml:space="preserve">The achievement of the </w:t>
      </w:r>
      <w:r>
        <w:rPr>
          <w:rFonts w:ascii="Times New Roman" w:hAnsi="Times New Roman"/>
          <w:i/>
          <w:noProof/>
          <w:color w:val="000000"/>
          <w:sz w:val="24"/>
          <w:szCs w:val="24"/>
        </w:rPr>
        <w:t>European broadband targets,</w:t>
      </w:r>
      <w:r>
        <w:rPr>
          <w:rFonts w:ascii="Times New Roman" w:hAnsi="Times New Roman"/>
          <w:noProof/>
          <w:color w:val="000000"/>
          <w:vertAlign w:val="superscript"/>
        </w:rPr>
        <w:footnoteReference w:id="230"/>
      </w:r>
      <w:r>
        <w:rPr>
          <w:rFonts w:ascii="Times New Roman" w:hAnsi="Times New Roman"/>
          <w:noProof/>
          <w:color w:val="000000"/>
        </w:rPr>
        <w:t xml:space="preserve"> </w:t>
      </w:r>
      <w:r>
        <w:rPr>
          <w:rFonts w:ascii="Times New Roman" w:hAnsi="Times New Roman"/>
          <w:noProof/>
          <w:color w:val="000000"/>
          <w:sz w:val="24"/>
          <w:szCs w:val="24"/>
        </w:rPr>
        <w:t xml:space="preserve">despite substantial progress, </w:t>
      </w:r>
      <w:r>
        <w:rPr>
          <w:rFonts w:ascii="Times New Roman" w:hAnsi="Times New Roman"/>
          <w:noProof/>
          <w:color w:val="000000"/>
          <w:sz w:val="24"/>
          <w:szCs w:val="24"/>
        </w:rPr>
        <w:t>represents a significant challenge, in particular for the deployment of ultrafast networks.</w:t>
      </w:r>
      <w:r>
        <w:rPr>
          <w:rFonts w:ascii="Times New Roman" w:hAnsi="Times New Roman"/>
          <w:noProof/>
          <w:color w:val="000000"/>
          <w:vertAlign w:val="superscript"/>
        </w:rPr>
        <w:footnoteReference w:id="231"/>
      </w:r>
      <w:r>
        <w:rPr>
          <w:rFonts w:ascii="Times New Roman" w:hAnsi="Times New Roman"/>
          <w:noProof/>
          <w:color w:val="000000"/>
        </w:rPr>
        <w:t xml:space="preserve"> </w:t>
      </w:r>
      <w:r>
        <w:rPr>
          <w:rFonts w:ascii="Times New Roman" w:hAnsi="Times New Roman"/>
          <w:noProof/>
          <w:color w:val="000000"/>
          <w:sz w:val="24"/>
          <w:szCs w:val="24"/>
        </w:rPr>
        <w:t>Reaching the Digital Single Market connectivity objectives for 2020 and 2025 is estimated to require an overall investment of around EUR 500 billion over the comin</w:t>
      </w:r>
      <w:r>
        <w:rPr>
          <w:rFonts w:ascii="Times New Roman" w:hAnsi="Times New Roman"/>
          <w:noProof/>
          <w:color w:val="000000"/>
          <w:sz w:val="24"/>
          <w:szCs w:val="24"/>
        </w:rPr>
        <w:t>g decade, representing an additional EUR 155 billion over and above a simple continuation of the trend of current network investment and modernisation efforts of the connectivity providers.</w:t>
      </w:r>
      <w:r>
        <w:rPr>
          <w:rFonts w:ascii="Times New Roman" w:hAnsi="Times New Roman"/>
          <w:noProof/>
          <w:color w:val="000000"/>
          <w:vertAlign w:val="superscript"/>
        </w:rPr>
        <w:footnoteReference w:id="232"/>
      </w:r>
      <w:r>
        <w:rPr>
          <w:rFonts w:ascii="Times New Roman" w:hAnsi="Times New Roman"/>
          <w:noProof/>
          <w:color w:val="000000"/>
        </w:rPr>
        <w:t xml:space="preserve"> </w:t>
      </w:r>
    </w:p>
    <w:p w:rsidR="00320198" w:rsidRDefault="005C0948">
      <w:pPr>
        <w:widowControl w:val="0"/>
        <w:spacing w:line="240" w:lineRule="auto"/>
        <w:jc w:val="both"/>
        <w:rPr>
          <w:rFonts w:ascii="Times New Roman" w:eastAsiaTheme="minorHAnsi" w:hAnsi="Times New Roman"/>
          <w:noProof/>
          <w:color w:val="000000"/>
          <w:sz w:val="24"/>
          <w:szCs w:val="24"/>
          <w:lang w:eastAsia="en-GB"/>
        </w:rPr>
      </w:pPr>
      <w:r>
        <w:rPr>
          <w:rFonts w:ascii="Times New Roman" w:eastAsiaTheme="minorHAnsi" w:hAnsi="Times New Roman"/>
          <w:noProof/>
          <w:color w:val="000000"/>
          <w:sz w:val="24"/>
          <w:szCs w:val="24"/>
          <w:lang w:eastAsia="en-GB"/>
        </w:rPr>
        <w:t>Most of the financing for the upgrade and deployment of next-gen</w:t>
      </w:r>
      <w:r>
        <w:rPr>
          <w:rFonts w:ascii="Times New Roman" w:eastAsiaTheme="minorHAnsi" w:hAnsi="Times New Roman"/>
          <w:noProof/>
          <w:color w:val="000000"/>
          <w:sz w:val="24"/>
          <w:szCs w:val="24"/>
          <w:lang w:eastAsia="en-GB"/>
        </w:rPr>
        <w:t>eration networks in the broadband sector comes from private companies. These tend to invest mostly in urban, highly populated areas which can assure rapid return on investment. As a result, in certain underserved, mostly rural areas public funds support th</w:t>
      </w:r>
      <w:r>
        <w:rPr>
          <w:rFonts w:ascii="Times New Roman" w:eastAsiaTheme="minorHAnsi" w:hAnsi="Times New Roman"/>
          <w:noProof/>
          <w:color w:val="000000"/>
          <w:sz w:val="24"/>
          <w:szCs w:val="24"/>
          <w:lang w:eastAsia="en-GB"/>
        </w:rPr>
        <w:t>e deployment of broadband networks, within the broader objectives of inclusion and economic development. State aid control seeks to ensure that such investments do not crowd out (planned) private investments and that downstream compatition remains possible</w:t>
      </w:r>
      <w:r>
        <w:rPr>
          <w:rFonts w:ascii="Times New Roman" w:eastAsiaTheme="minorHAnsi" w:hAnsi="Times New Roman"/>
          <w:noProof/>
          <w:color w:val="000000"/>
          <w:sz w:val="24"/>
          <w:szCs w:val="24"/>
          <w:lang w:eastAsia="en-GB"/>
        </w:rPr>
        <w:t xml:space="preserve"> over the subsidised network.</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b/>
          <w:noProof/>
          <w:sz w:val="20"/>
          <w:szCs w:val="20"/>
          <w:lang w:eastAsia="en-GB"/>
        </w:rPr>
      </w:pPr>
      <w:r>
        <w:rPr>
          <w:rFonts w:ascii="Times New Roman" w:eastAsiaTheme="minorHAnsi" w:hAnsi="Times New Roman"/>
          <w:b/>
          <w:noProof/>
          <w:sz w:val="20"/>
          <w:szCs w:val="20"/>
          <w:lang w:eastAsia="en-GB"/>
        </w:rPr>
        <w:t>Pro-competitive principles for public funding to support the deployment of broadband networks</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Where Member States provide funding or have discretion in the spending of European funds, a number of pro-competitive principles app</w:t>
      </w:r>
      <w:r>
        <w:rPr>
          <w:rFonts w:ascii="Times New Roman" w:eastAsiaTheme="minorHAnsi" w:hAnsi="Times New Roman"/>
          <w:noProof/>
          <w:sz w:val="20"/>
          <w:szCs w:val="20"/>
          <w:lang w:eastAsia="en-GB"/>
        </w:rPr>
        <w:t>ly, based on the State aid rules:</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i) Public support must be based on an identified need of investment, resulting from an appropriate mapping of infrastructure and market consultation, to avoid a crowding out of private initiatives (definition of the market</w:t>
      </w:r>
      <w:r>
        <w:rPr>
          <w:rFonts w:ascii="Times New Roman" w:eastAsiaTheme="minorHAnsi" w:hAnsi="Times New Roman"/>
          <w:noProof/>
          <w:sz w:val="20"/>
          <w:szCs w:val="20"/>
          <w:lang w:eastAsia="en-GB"/>
        </w:rPr>
        <w:t xml:space="preserve"> failure).</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 xml:space="preserve">ii) Different technologies should be allowed to bid for the objective connectivity targets set (technological neutrality principle). </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 xml:space="preserve">iii) A competitive selection process has to take place to ensure the best offer for the best price. </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iv) To avo</w:t>
      </w:r>
      <w:r>
        <w:rPr>
          <w:rFonts w:ascii="Times New Roman" w:eastAsiaTheme="minorHAnsi" w:hAnsi="Times New Roman"/>
          <w:noProof/>
          <w:sz w:val="20"/>
          <w:szCs w:val="20"/>
          <w:lang w:eastAsia="en-GB"/>
        </w:rPr>
        <w:t xml:space="preserve">id a 'subsidy to monopoly', publicly funded projects have to be open to all users at fair, reasonable and appropriate conditions. </w:t>
      </w:r>
    </w:p>
    <w:p w:rsidR="00320198" w:rsidRDefault="005C0948">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noProof/>
          <w:sz w:val="20"/>
          <w:szCs w:val="20"/>
          <w:lang w:eastAsia="en-GB"/>
        </w:rPr>
      </w:pPr>
      <w:r>
        <w:rPr>
          <w:rFonts w:ascii="Times New Roman" w:eastAsiaTheme="minorHAnsi" w:hAnsi="Times New Roman"/>
          <w:noProof/>
          <w:sz w:val="20"/>
          <w:szCs w:val="20"/>
          <w:lang w:eastAsia="en-GB"/>
        </w:rPr>
        <w:t>These principles are also embedded in the General Block Exemption Regulation</w:t>
      </w:r>
      <w:r>
        <w:rPr>
          <w:rFonts w:ascii="Times New Roman" w:eastAsiaTheme="minorHAnsi" w:hAnsi="Times New Roman"/>
          <w:noProof/>
          <w:color w:val="000000"/>
          <w:sz w:val="20"/>
          <w:szCs w:val="20"/>
          <w:vertAlign w:val="superscript"/>
          <w:lang w:eastAsia="en-GB"/>
        </w:rPr>
        <w:footnoteReference w:id="233"/>
      </w:r>
      <w:r>
        <w:rPr>
          <w:rFonts w:ascii="Times New Roman" w:eastAsiaTheme="minorHAnsi" w:hAnsi="Times New Roman"/>
          <w:noProof/>
          <w:sz w:val="20"/>
          <w:szCs w:val="20"/>
          <w:lang w:eastAsia="en-GB"/>
        </w:rPr>
        <w:t xml:space="preserve"> (GBER) which is intended particularly for fully</w:t>
      </w:r>
      <w:r>
        <w:rPr>
          <w:rFonts w:ascii="Times New Roman" w:eastAsiaTheme="minorHAnsi" w:hAnsi="Times New Roman"/>
          <w:noProof/>
          <w:sz w:val="20"/>
          <w:szCs w:val="20"/>
          <w:lang w:eastAsia="en-GB"/>
        </w:rPr>
        <w:t xml:space="preserve"> underserved areas ('white' areas) and allows Member States to deploy broadband networks without State aid notification. In assessing measures which do require notification, Member States and selected operators must fulfil a number of conditions as specifi</w:t>
      </w:r>
      <w:r>
        <w:rPr>
          <w:rFonts w:ascii="Times New Roman" w:eastAsiaTheme="minorHAnsi" w:hAnsi="Times New Roman"/>
          <w:noProof/>
          <w:sz w:val="20"/>
          <w:szCs w:val="20"/>
          <w:lang w:eastAsia="en-GB"/>
        </w:rPr>
        <w:t>ed in the Broadband State Aid Guidelines.</w:t>
      </w:r>
      <w:r>
        <w:rPr>
          <w:rFonts w:ascii="Times New Roman" w:eastAsiaTheme="minorHAnsi" w:hAnsi="Times New Roman"/>
          <w:noProof/>
          <w:sz w:val="20"/>
          <w:szCs w:val="20"/>
          <w:vertAlign w:val="superscript"/>
          <w:lang w:eastAsia="en-GB"/>
        </w:rPr>
        <w:footnoteReference w:id="234"/>
      </w:r>
    </w:p>
    <w:p w:rsidR="00320198" w:rsidRDefault="005C0948">
      <w:pPr>
        <w:widowControl w:val="0"/>
        <w:autoSpaceDE w:val="0"/>
        <w:autoSpaceDN w:val="0"/>
        <w:adjustRightInd w:val="0"/>
        <w:spacing w:line="240" w:lineRule="auto"/>
        <w:jc w:val="both"/>
        <w:rPr>
          <w:rFonts w:ascii="Times New Roman" w:eastAsiaTheme="minorHAnsi" w:hAnsi="Times New Roman"/>
          <w:noProof/>
          <w:color w:val="000000"/>
          <w:sz w:val="24"/>
          <w:szCs w:val="24"/>
          <w:lang w:eastAsia="en-GB"/>
        </w:rPr>
      </w:pPr>
      <w:r>
        <w:rPr>
          <w:rFonts w:ascii="Times New Roman" w:eastAsiaTheme="minorHAnsi" w:hAnsi="Times New Roman"/>
          <w:noProof/>
          <w:color w:val="000000"/>
          <w:sz w:val="24"/>
          <w:szCs w:val="24"/>
          <w:lang w:eastAsia="en-GB"/>
        </w:rPr>
        <w:t>All Member States have adopted and/or updated their national and/or regional broadband strategies.</w:t>
      </w:r>
      <w:r>
        <w:rPr>
          <w:rFonts w:ascii="Times New Roman" w:eastAsiaTheme="minorHAnsi" w:hAnsi="Times New Roman"/>
          <w:noProof/>
          <w:color w:val="000000"/>
          <w:sz w:val="24"/>
          <w:szCs w:val="24"/>
          <w:vertAlign w:val="superscript"/>
          <w:lang w:eastAsia="en-GB"/>
        </w:rPr>
        <w:footnoteReference w:id="235"/>
      </w:r>
      <w:r>
        <w:rPr>
          <w:noProof/>
        </w:rPr>
        <w:t xml:space="preserve"> </w:t>
      </w:r>
      <w:r>
        <w:rPr>
          <w:rFonts w:ascii="Times New Roman" w:eastAsiaTheme="minorHAnsi" w:hAnsi="Times New Roman"/>
          <w:noProof/>
          <w:color w:val="000000"/>
          <w:sz w:val="24"/>
          <w:szCs w:val="24"/>
          <w:lang w:eastAsia="en-GB"/>
        </w:rPr>
        <w:t>As proposed in the Commission Communication of 14 September 2016,</w:t>
      </w:r>
      <w:r>
        <w:rPr>
          <w:rFonts w:ascii="Times New Roman" w:eastAsiaTheme="minorHAnsi" w:hAnsi="Times New Roman"/>
          <w:noProof/>
          <w:color w:val="000000"/>
          <w:sz w:val="24"/>
          <w:szCs w:val="24"/>
          <w:vertAlign w:val="superscript"/>
          <w:lang w:eastAsia="en-GB"/>
        </w:rPr>
        <w:footnoteReference w:id="236"/>
      </w:r>
      <w:r>
        <w:rPr>
          <w:rFonts w:ascii="Times New Roman" w:eastAsiaTheme="minorHAnsi" w:hAnsi="Times New Roman"/>
          <w:noProof/>
          <w:color w:val="000000"/>
          <w:sz w:val="24"/>
          <w:szCs w:val="24"/>
          <w:lang w:eastAsia="en-GB"/>
        </w:rPr>
        <w:t xml:space="preserve"> Member States have initiated a process to adapt their National Boadband Strategies to the new 2025 connectivity strategic objectives proposed by the Commission. Extensive national and regional broadband schemes have been approved by the Commission during </w:t>
      </w:r>
      <w:r>
        <w:rPr>
          <w:rFonts w:ascii="Times New Roman" w:eastAsiaTheme="minorHAnsi" w:hAnsi="Times New Roman"/>
          <w:noProof/>
          <w:color w:val="000000"/>
          <w:sz w:val="24"/>
          <w:szCs w:val="24"/>
          <w:lang w:eastAsia="en-GB"/>
        </w:rPr>
        <w:t>2018, in particular for Lithuania,</w:t>
      </w:r>
      <w:r>
        <w:rPr>
          <w:rFonts w:ascii="Times New Roman" w:eastAsiaTheme="minorHAnsi" w:hAnsi="Times New Roman"/>
          <w:noProof/>
          <w:color w:val="000000"/>
          <w:sz w:val="24"/>
          <w:szCs w:val="24"/>
          <w:vertAlign w:val="superscript"/>
          <w:lang w:eastAsia="en-GB"/>
        </w:rPr>
        <w:footnoteReference w:id="237"/>
      </w:r>
      <w:r>
        <w:rPr>
          <w:rFonts w:ascii="Times New Roman" w:eastAsiaTheme="minorHAnsi" w:hAnsi="Times New Roman"/>
          <w:noProof/>
          <w:color w:val="000000"/>
          <w:sz w:val="24"/>
          <w:szCs w:val="24"/>
          <w:lang w:eastAsia="en-GB"/>
        </w:rPr>
        <w:t xml:space="preserve"> the Netherlands</w:t>
      </w:r>
      <w:r>
        <w:rPr>
          <w:rFonts w:ascii="Times New Roman" w:eastAsiaTheme="minorHAnsi" w:hAnsi="Times New Roman"/>
          <w:noProof/>
          <w:color w:val="000000"/>
          <w:sz w:val="24"/>
          <w:szCs w:val="24"/>
          <w:vertAlign w:val="superscript"/>
          <w:lang w:eastAsia="en-GB"/>
        </w:rPr>
        <w:footnoteReference w:id="238"/>
      </w:r>
      <w:r>
        <w:rPr>
          <w:rFonts w:ascii="Times New Roman" w:eastAsiaTheme="minorHAnsi" w:hAnsi="Times New Roman"/>
          <w:noProof/>
          <w:color w:val="000000"/>
          <w:sz w:val="24"/>
          <w:szCs w:val="24"/>
          <w:lang w:eastAsia="en-GB"/>
        </w:rPr>
        <w:t xml:space="preserve"> and Austria.</w:t>
      </w:r>
      <w:r>
        <w:rPr>
          <w:rFonts w:ascii="Times New Roman" w:eastAsiaTheme="minorHAnsi" w:hAnsi="Times New Roman"/>
          <w:noProof/>
          <w:color w:val="000000"/>
          <w:sz w:val="24"/>
          <w:szCs w:val="24"/>
          <w:vertAlign w:val="superscript"/>
          <w:lang w:eastAsia="en-GB"/>
        </w:rPr>
        <w:footnoteReference w:id="239"/>
      </w:r>
      <w:r>
        <w:rPr>
          <w:rFonts w:ascii="Times New Roman" w:eastAsiaTheme="minorHAnsi" w:hAnsi="Times New Roman"/>
          <w:noProof/>
          <w:color w:val="000000"/>
          <w:sz w:val="24"/>
          <w:szCs w:val="24"/>
          <w:lang w:eastAsia="en-GB"/>
        </w:rPr>
        <w:t xml:space="preserve"> Some Member States completed or modified former broadband schemes with additional investment in the roll-out of Next Generation Access networks, in particular in Germany</w:t>
      </w:r>
      <w:r>
        <w:rPr>
          <w:rFonts w:ascii="Times New Roman" w:eastAsiaTheme="minorHAnsi" w:hAnsi="Times New Roman"/>
          <w:noProof/>
          <w:color w:val="000000"/>
          <w:sz w:val="24"/>
          <w:szCs w:val="24"/>
          <w:vertAlign w:val="superscript"/>
          <w:lang w:eastAsia="en-GB"/>
        </w:rPr>
        <w:footnoteReference w:id="240"/>
      </w:r>
      <w:r>
        <w:rPr>
          <w:rFonts w:ascii="Times New Roman" w:eastAsiaTheme="minorHAnsi" w:hAnsi="Times New Roman"/>
          <w:noProof/>
          <w:color w:val="000000"/>
          <w:sz w:val="24"/>
          <w:szCs w:val="24"/>
          <w:lang w:eastAsia="en-GB"/>
        </w:rPr>
        <w:t xml:space="preserve"> and the UK.</w:t>
      </w:r>
      <w:r>
        <w:rPr>
          <w:rFonts w:ascii="Times New Roman" w:eastAsiaTheme="minorHAnsi" w:hAnsi="Times New Roman"/>
          <w:noProof/>
          <w:color w:val="000000"/>
          <w:sz w:val="24"/>
          <w:szCs w:val="24"/>
          <w:vertAlign w:val="superscript"/>
          <w:lang w:eastAsia="en-GB"/>
        </w:rPr>
        <w:footnoteReference w:id="241"/>
      </w:r>
      <w:r>
        <w:rPr>
          <w:rFonts w:ascii="Times New Roman" w:eastAsiaTheme="minorHAnsi" w:hAnsi="Times New Roman"/>
          <w:noProof/>
          <w:color w:val="000000"/>
          <w:sz w:val="24"/>
          <w:szCs w:val="24"/>
          <w:lang w:eastAsia="en-GB"/>
        </w:rPr>
        <w:t xml:space="preserve"> </w:t>
      </w:r>
    </w:p>
    <w:tbl>
      <w:tblPr>
        <w:tblStyle w:val="TableGrid"/>
        <w:tblW w:w="0" w:type="auto"/>
        <w:tblLook w:val="04A0" w:firstRow="1" w:lastRow="0" w:firstColumn="1" w:lastColumn="0" w:noHBand="0" w:noVBand="1"/>
      </w:tblPr>
      <w:tblGrid>
        <w:gridCol w:w="9286"/>
      </w:tblGrid>
      <w:tr w:rsidR="00320198">
        <w:tc>
          <w:tcPr>
            <w:tcW w:w="9286" w:type="dxa"/>
          </w:tcPr>
          <w:p w:rsidR="00320198" w:rsidRDefault="005C0948">
            <w:pPr>
              <w:spacing w:before="100" w:beforeAutospacing="1" w:after="100" w:afterAutospacing="1" w:line="240" w:lineRule="auto"/>
              <w:rPr>
                <w:rFonts w:ascii="Times New Roman" w:eastAsia="Times New Roman" w:hAnsi="Times New Roman" w:cs="Times New Roman"/>
                <w:noProof/>
                <w:sz w:val="20"/>
                <w:szCs w:val="20"/>
                <w:lang w:val="en-US" w:eastAsia="de-DE"/>
              </w:rPr>
            </w:pPr>
            <w:r>
              <w:rPr>
                <w:rFonts w:ascii="Times New Roman" w:eastAsia="Times New Roman" w:hAnsi="Times New Roman"/>
                <w:b/>
                <w:noProof/>
                <w:sz w:val="20"/>
                <w:szCs w:val="20"/>
                <w:lang w:val="en-US" w:eastAsia="de-DE"/>
              </w:rPr>
              <w:t>Stat</w:t>
            </w:r>
            <w:r>
              <w:rPr>
                <w:rFonts w:ascii="Times New Roman" w:eastAsia="Times New Roman" w:hAnsi="Times New Roman"/>
                <w:b/>
                <w:noProof/>
                <w:sz w:val="20"/>
                <w:szCs w:val="20"/>
                <w:lang w:val="en-US" w:eastAsia="de-DE"/>
              </w:rPr>
              <w:t>e aid for gigabit infrastructure – the Bavarian gigabit pilot project</w:t>
            </w:r>
            <w:r>
              <w:rPr>
                <w:rFonts w:ascii="Times New Roman" w:eastAsia="Times New Roman" w:hAnsi="Times New Roman"/>
                <w:noProof/>
                <w:sz w:val="20"/>
                <w:szCs w:val="20"/>
                <w:vertAlign w:val="superscript"/>
                <w:lang w:val="en-US" w:eastAsia="de-DE"/>
              </w:rPr>
              <w:footnoteReference w:id="242"/>
            </w:r>
          </w:p>
          <w:p w:rsidR="00320198" w:rsidRDefault="005C0948">
            <w:pPr>
              <w:spacing w:before="100" w:beforeAutospacing="1" w:after="100" w:afterAutospacing="1" w:line="240" w:lineRule="auto"/>
              <w:jc w:val="both"/>
              <w:rPr>
                <w:rFonts w:ascii="Times New Roman" w:eastAsia="Times New Roman" w:hAnsi="Times New Roman" w:cs="Times New Roman"/>
                <w:noProof/>
                <w:sz w:val="20"/>
                <w:szCs w:val="20"/>
                <w:lang w:val="en-US" w:eastAsia="de-DE"/>
              </w:rPr>
            </w:pPr>
            <w:r>
              <w:rPr>
                <w:rFonts w:ascii="Times New Roman" w:eastAsia="Times New Roman" w:hAnsi="Times New Roman"/>
                <w:noProof/>
                <w:sz w:val="20"/>
                <w:szCs w:val="20"/>
                <w:lang w:val="en-US" w:eastAsia="de-DE"/>
              </w:rPr>
              <w:t xml:space="preserve">Building on the EU's existing 2020 broadband targets, the Commission identified in its Gigabit Communication of 2016 the connectivity needs to build a European Gigabit society, where </w:t>
            </w:r>
            <w:r>
              <w:rPr>
                <w:rFonts w:ascii="Times New Roman" w:eastAsia="Times New Roman" w:hAnsi="Times New Roman"/>
                <w:noProof/>
                <w:sz w:val="20"/>
                <w:szCs w:val="20"/>
                <w:lang w:val="en-US" w:eastAsia="de-DE"/>
              </w:rPr>
              <w:t>very high capacity networks enable the widespread use and development of products, services and applications in the Digital Single Market.</w:t>
            </w:r>
          </w:p>
          <w:p w:rsidR="00320198" w:rsidRDefault="005C0948">
            <w:pPr>
              <w:spacing w:before="100" w:beforeAutospacing="1" w:after="100" w:afterAutospacing="1" w:line="240" w:lineRule="auto"/>
              <w:jc w:val="both"/>
              <w:rPr>
                <w:rFonts w:ascii="Times New Roman" w:eastAsia="Times New Roman" w:hAnsi="Times New Roman" w:cs="Times New Roman"/>
                <w:noProof/>
                <w:sz w:val="20"/>
                <w:szCs w:val="20"/>
                <w:lang w:val="en-US" w:eastAsia="de-DE"/>
              </w:rPr>
            </w:pPr>
            <w:r>
              <w:rPr>
                <w:rFonts w:ascii="Times New Roman" w:eastAsia="Times New Roman" w:hAnsi="Times New Roman"/>
                <w:noProof/>
                <w:sz w:val="20"/>
                <w:szCs w:val="20"/>
                <w:lang w:val="en-US" w:eastAsia="de-DE"/>
              </w:rPr>
              <w:t>In this context, in 2018, the European Commission approved under EU State aid rules a Bavarian project to deploy very</w:t>
            </w:r>
            <w:r>
              <w:rPr>
                <w:rFonts w:ascii="Times New Roman" w:eastAsia="Times New Roman" w:hAnsi="Times New Roman"/>
                <w:noProof/>
                <w:sz w:val="20"/>
                <w:szCs w:val="20"/>
                <w:lang w:val="en-US" w:eastAsia="de-DE"/>
              </w:rPr>
              <w:t xml:space="preserve"> high capacity networks in six municipalities. This was the first time the Commission looked at a support measure as envisaged in the objectives of the Gigabit Communication. The aid aims to bring very fast broadband </w:t>
            </w:r>
            <w:r>
              <w:rPr>
                <w:rFonts w:ascii="Times New Roman" w:eastAsia="Times New Roman" w:hAnsi="Times New Roman" w:cs="Times New Roman"/>
                <w:noProof/>
                <w:sz w:val="20"/>
                <w:szCs w:val="20"/>
                <w:lang w:val="en-US" w:eastAsia="de-DE"/>
              </w:rPr>
              <w:t xml:space="preserve">access </w:t>
            </w:r>
            <w:r>
              <w:rPr>
                <w:rFonts w:ascii="Times New Roman" w:eastAsia="Times New Roman" w:hAnsi="Times New Roman"/>
                <w:noProof/>
                <w:sz w:val="20"/>
                <w:szCs w:val="20"/>
                <w:lang w:val="en-US" w:eastAsia="de-DE"/>
              </w:rPr>
              <w:t xml:space="preserve">to customers in areas where the </w:t>
            </w:r>
            <w:r>
              <w:rPr>
                <w:rFonts w:ascii="Times New Roman" w:eastAsia="Times New Roman" w:hAnsi="Times New Roman"/>
                <w:noProof/>
                <w:sz w:val="20"/>
                <w:szCs w:val="20"/>
                <w:lang w:val="en-US" w:eastAsia="de-DE"/>
              </w:rPr>
              <w:t>market has not provided them, in line with the EU broadband connectivity goals. The project represented a first step towards a future larger roll-out of such infrastructure in Germany.</w:t>
            </w:r>
          </w:p>
          <w:p w:rsidR="00320198" w:rsidRDefault="005C0948">
            <w:pPr>
              <w:widowControl w:val="0"/>
              <w:autoSpaceDE w:val="0"/>
              <w:autoSpaceDN w:val="0"/>
              <w:adjustRightInd w:val="0"/>
              <w:spacing w:line="240" w:lineRule="auto"/>
              <w:jc w:val="both"/>
              <w:rPr>
                <w:rFonts w:ascii="Times New Roman" w:eastAsia="Calibri" w:hAnsi="Times New Roman" w:cs="Times New Roman"/>
                <w:noProof/>
                <w:color w:val="000000"/>
                <w:sz w:val="24"/>
                <w:szCs w:val="24"/>
                <w:lang w:eastAsia="en-GB"/>
              </w:rPr>
            </w:pPr>
            <w:r>
              <w:rPr>
                <w:rFonts w:ascii="Times New Roman" w:eastAsia="Times New Roman" w:hAnsi="Times New Roman"/>
                <w:noProof/>
                <w:sz w:val="20"/>
                <w:szCs w:val="20"/>
                <w:lang w:val="en-US" w:eastAsia="de-DE"/>
              </w:rPr>
              <w:t xml:space="preserve">The new network will be capable of offering speeds of 200 megabits per </w:t>
            </w:r>
            <w:r>
              <w:rPr>
                <w:rFonts w:ascii="Times New Roman" w:eastAsia="Times New Roman" w:hAnsi="Times New Roman"/>
                <w:noProof/>
                <w:sz w:val="20"/>
                <w:szCs w:val="20"/>
                <w:lang w:val="en-US" w:eastAsia="de-DE"/>
              </w:rPr>
              <w:t xml:space="preserve">second (Mbps) for households and 1 gigabit per second (Gbps) for companies and public institutions. These </w:t>
            </w:r>
            <w:r>
              <w:rPr>
                <w:rFonts w:ascii="Times New Roman" w:eastAsia="Times New Roman" w:hAnsi="Times New Roman" w:cs="Times New Roman"/>
                <w:noProof/>
                <w:sz w:val="20"/>
                <w:szCs w:val="20"/>
                <w:lang w:val="en-US" w:eastAsia="de-DE"/>
              </w:rPr>
              <w:t>transmission</w:t>
            </w:r>
            <w:r>
              <w:rPr>
                <w:rFonts w:ascii="Times New Roman" w:eastAsia="Times New Roman" w:hAnsi="Times New Roman"/>
                <w:noProof/>
                <w:sz w:val="20"/>
                <w:szCs w:val="20"/>
                <w:lang w:val="en-US" w:eastAsia="de-DE"/>
              </w:rPr>
              <w:t xml:space="preserve"> speeds are far above those that users have had so far in the target areas. The new networks will therefore bring about a significant impr</w:t>
            </w:r>
            <w:r>
              <w:rPr>
                <w:rFonts w:ascii="Times New Roman" w:eastAsia="Times New Roman" w:hAnsi="Times New Roman"/>
                <w:noProof/>
                <w:sz w:val="20"/>
                <w:szCs w:val="20"/>
                <w:lang w:val="en-US" w:eastAsia="de-DE"/>
              </w:rPr>
              <w:t>ovement in line with the strategic objectives of the Gigabit Communication</w:t>
            </w:r>
            <w:hyperlink r:id="rId25" w:history="1"/>
            <w:r>
              <w:rPr>
                <w:rFonts w:ascii="Times New Roman" w:eastAsia="Times New Roman" w:hAnsi="Times New Roman"/>
                <w:noProof/>
                <w:sz w:val="20"/>
                <w:szCs w:val="20"/>
                <w:lang w:val="en-US" w:eastAsia="de-DE"/>
              </w:rPr>
              <w:t>.</w:t>
            </w:r>
          </w:p>
        </w:tc>
      </w:tr>
    </w:tbl>
    <w:p w:rsidR="00320198" w:rsidRDefault="005C0948">
      <w:pPr>
        <w:widowControl w:val="0"/>
        <w:autoSpaceDE w:val="0"/>
        <w:autoSpaceDN w:val="0"/>
        <w:adjustRightInd w:val="0"/>
        <w:spacing w:before="200" w:line="240" w:lineRule="auto"/>
        <w:jc w:val="both"/>
        <w:rPr>
          <w:rFonts w:ascii="Times New Roman" w:eastAsiaTheme="minorHAnsi" w:hAnsi="Times New Roman"/>
          <w:noProof/>
          <w:color w:val="000000"/>
          <w:sz w:val="24"/>
          <w:szCs w:val="24"/>
          <w:lang w:eastAsia="en-GB"/>
        </w:rPr>
      </w:pPr>
      <w:r>
        <w:rPr>
          <w:rFonts w:ascii="Times New Roman" w:eastAsiaTheme="minorHAnsi" w:hAnsi="Times New Roman"/>
          <w:noProof/>
          <w:color w:val="000000"/>
          <w:sz w:val="24"/>
          <w:szCs w:val="24"/>
          <w:lang w:eastAsia="en-GB"/>
        </w:rPr>
        <w:t>In the period 2009-2018, the Commission approved State aid for broadband amounting to EUR 39 billion. The Me</w:t>
      </w:r>
      <w:r>
        <w:rPr>
          <w:rFonts w:ascii="Times New Roman" w:eastAsiaTheme="minorHAnsi" w:hAnsi="Times New Roman"/>
          <w:noProof/>
          <w:color w:val="000000"/>
          <w:sz w:val="24"/>
          <w:szCs w:val="24"/>
          <w:lang w:eastAsia="en-GB"/>
        </w:rPr>
        <w:t>mber states effectively spent 30% of this amount, often with a co-financing from European funds</w:t>
      </w:r>
      <w:r>
        <w:rPr>
          <w:rFonts w:ascii="Times New Roman" w:eastAsiaTheme="minorHAnsi" w:hAnsi="Times New Roman"/>
          <w:noProof/>
          <w:color w:val="000000"/>
          <w:sz w:val="24"/>
          <w:szCs w:val="24"/>
          <w:vertAlign w:val="superscript"/>
          <w:lang w:eastAsia="en-GB"/>
        </w:rPr>
        <w:footnoteReference w:id="243"/>
      </w:r>
      <w:r>
        <w:rPr>
          <w:rFonts w:ascii="Times New Roman" w:eastAsiaTheme="minorHAnsi" w:hAnsi="Times New Roman"/>
          <w:noProof/>
          <w:color w:val="000000"/>
          <w:sz w:val="24"/>
          <w:szCs w:val="24"/>
          <w:lang w:eastAsia="en-GB"/>
        </w:rPr>
        <w:t xml:space="preserve"> amounting to roughly EUR 3 billion. In the same period, Member States adopted 126 broadband State aid measures benefitting from the GBER.</w:t>
      </w:r>
    </w:p>
    <w:p w:rsidR="00320198" w:rsidRDefault="005C0948">
      <w:pPr>
        <w:widowControl w:val="0"/>
        <w:autoSpaceDE w:val="0"/>
        <w:autoSpaceDN w:val="0"/>
        <w:adjustRightInd w:val="0"/>
        <w:jc w:val="both"/>
        <w:rPr>
          <w:rFonts w:ascii="Times New Roman" w:eastAsiaTheme="minorHAnsi" w:hAnsi="Times New Roman"/>
          <w:b/>
          <w:noProof/>
          <w:color w:val="000000"/>
          <w:sz w:val="20"/>
          <w:szCs w:val="20"/>
          <w:lang w:eastAsia="en-GB"/>
        </w:rPr>
      </w:pPr>
      <w:r>
        <w:rPr>
          <w:rFonts w:ascii="Times New Roman" w:eastAsiaTheme="minorHAnsi" w:hAnsi="Times New Roman"/>
          <w:b/>
          <w:noProof/>
          <w:color w:val="000000"/>
          <w:sz w:val="20"/>
          <w:szCs w:val="20"/>
          <w:lang w:eastAsia="en-GB"/>
        </w:rPr>
        <w:t xml:space="preserve">Media, culture and </w:t>
      </w:r>
      <w:r>
        <w:rPr>
          <w:rFonts w:ascii="Times New Roman" w:eastAsiaTheme="minorHAnsi" w:hAnsi="Times New Roman"/>
          <w:b/>
          <w:noProof/>
          <w:color w:val="000000"/>
          <w:sz w:val="20"/>
          <w:szCs w:val="20"/>
          <w:lang w:eastAsia="en-GB"/>
        </w:rPr>
        <w:t>broadcasting</w:t>
      </w:r>
    </w:p>
    <w:p w:rsidR="00320198" w:rsidRDefault="005C0948">
      <w:pPr>
        <w:widowControl w:val="0"/>
        <w:autoSpaceDE w:val="0"/>
        <w:autoSpaceDN w:val="0"/>
        <w:adjustRightInd w:val="0"/>
        <w:spacing w:line="240" w:lineRule="auto"/>
        <w:jc w:val="both"/>
        <w:rPr>
          <w:rFonts w:ascii="Times New Roman" w:eastAsiaTheme="minorHAnsi" w:hAnsi="Times New Roman"/>
          <w:noProof/>
          <w:sz w:val="24"/>
          <w:szCs w:val="24"/>
          <w:lang w:eastAsia="en-GB"/>
        </w:rPr>
      </w:pPr>
      <w:r>
        <w:rPr>
          <w:rFonts w:ascii="Times New Roman" w:eastAsiaTheme="minorHAnsi" w:hAnsi="Times New Roman"/>
          <w:noProof/>
          <w:sz w:val="24"/>
          <w:szCs w:val="24"/>
          <w:lang w:eastAsia="en-GB"/>
        </w:rPr>
        <w:t>In the media and broadcasting markets, State aid support measures may also be justified to overcome market failures and fulfil public service missions. In this area, the Commission relies on the guidance of the Cinema Communication</w:t>
      </w:r>
      <w:r>
        <w:rPr>
          <w:rFonts w:ascii="Times New Roman" w:eastAsiaTheme="minorHAnsi" w:hAnsi="Times New Roman"/>
          <w:noProof/>
          <w:sz w:val="24"/>
          <w:szCs w:val="24"/>
          <w:vertAlign w:val="superscript"/>
          <w:lang w:eastAsia="en-GB"/>
        </w:rPr>
        <w:footnoteReference w:id="244"/>
      </w:r>
      <w:r>
        <w:rPr>
          <w:rFonts w:ascii="Times New Roman" w:eastAsiaTheme="minorHAnsi" w:hAnsi="Times New Roman"/>
          <w:noProof/>
          <w:sz w:val="24"/>
          <w:szCs w:val="24"/>
          <w:lang w:eastAsia="en-GB"/>
        </w:rPr>
        <w:t xml:space="preserve"> and the Br</w:t>
      </w:r>
      <w:r>
        <w:rPr>
          <w:rFonts w:ascii="Times New Roman" w:eastAsiaTheme="minorHAnsi" w:hAnsi="Times New Roman"/>
          <w:noProof/>
          <w:sz w:val="24"/>
          <w:szCs w:val="24"/>
          <w:lang w:eastAsia="en-GB"/>
        </w:rPr>
        <w:t>oadcasting Communication</w:t>
      </w:r>
      <w:r>
        <w:rPr>
          <w:rFonts w:ascii="Times New Roman" w:eastAsiaTheme="minorHAnsi" w:hAnsi="Times New Roman"/>
          <w:noProof/>
          <w:sz w:val="24"/>
          <w:szCs w:val="24"/>
          <w:vertAlign w:val="superscript"/>
          <w:lang w:eastAsia="en-GB"/>
        </w:rPr>
        <w:footnoteReference w:id="245"/>
      </w:r>
      <w:r>
        <w:rPr>
          <w:rFonts w:ascii="Times New Roman" w:eastAsiaTheme="minorHAnsi" w:hAnsi="Times New Roman"/>
          <w:noProof/>
          <w:sz w:val="24"/>
          <w:szCs w:val="24"/>
          <w:lang w:eastAsia="en-GB"/>
        </w:rPr>
        <w:t xml:space="preserve"> to ensure that support is well-designed to meet the underlying objectives of common interest while limiting negative effects on competition.</w:t>
      </w:r>
    </w:p>
    <w:p w:rsidR="00320198" w:rsidRDefault="005C0948">
      <w:pPr>
        <w:widowControl w:val="0"/>
        <w:spacing w:line="240" w:lineRule="auto"/>
        <w:jc w:val="both"/>
        <w:rPr>
          <w:rFonts w:ascii="Times New Roman" w:eastAsiaTheme="minorHAnsi" w:hAnsi="Times New Roman"/>
          <w:noProof/>
          <w:sz w:val="24"/>
          <w:szCs w:val="24"/>
          <w:lang w:eastAsia="en-GB"/>
        </w:rPr>
      </w:pPr>
      <w:r>
        <w:rPr>
          <w:rFonts w:ascii="Times New Roman" w:eastAsiaTheme="minorHAnsi" w:hAnsi="Times New Roman"/>
          <w:noProof/>
          <w:sz w:val="24"/>
          <w:szCs w:val="24"/>
          <w:lang w:eastAsia="en-GB"/>
        </w:rPr>
        <w:t xml:space="preserve">In 2018, the Commission adopted nine decisions concerning media and cultural activities. </w:t>
      </w:r>
      <w:r>
        <w:rPr>
          <w:rFonts w:ascii="Times New Roman" w:eastAsiaTheme="minorHAnsi" w:hAnsi="Times New Roman"/>
          <w:noProof/>
          <w:sz w:val="24"/>
          <w:szCs w:val="24"/>
          <w:lang w:eastAsia="en-GB"/>
        </w:rPr>
        <w:t xml:space="preserve">The Commission notably approved an aid scheme designed by </w:t>
      </w:r>
      <w:r>
        <w:rPr>
          <w:rFonts w:ascii="Times New Roman" w:eastAsiaTheme="minorHAnsi" w:hAnsi="Times New Roman"/>
          <w:i/>
          <w:noProof/>
          <w:sz w:val="24"/>
          <w:szCs w:val="24"/>
          <w:lang w:eastAsia="en-GB"/>
        </w:rPr>
        <w:t>Sweden</w:t>
      </w:r>
      <w:r>
        <w:rPr>
          <w:rFonts w:ascii="Times New Roman" w:eastAsiaTheme="minorHAnsi" w:hAnsi="Times New Roman"/>
          <w:noProof/>
          <w:sz w:val="24"/>
          <w:szCs w:val="24"/>
          <w:vertAlign w:val="superscript"/>
          <w:lang w:eastAsia="en-GB"/>
        </w:rPr>
        <w:footnoteReference w:id="246"/>
      </w:r>
      <w:r>
        <w:rPr>
          <w:rFonts w:ascii="Times New Roman" w:eastAsiaTheme="minorHAnsi" w:hAnsi="Times New Roman"/>
          <w:noProof/>
          <w:sz w:val="24"/>
          <w:szCs w:val="24"/>
          <w:lang w:eastAsia="en-GB"/>
        </w:rPr>
        <w:t xml:space="preserve"> to support its media sector and aid schemes for </w:t>
      </w:r>
      <w:r>
        <w:rPr>
          <w:rFonts w:ascii="Times New Roman" w:eastAsiaTheme="minorHAnsi" w:hAnsi="Times New Roman"/>
          <w:i/>
          <w:noProof/>
          <w:sz w:val="24"/>
          <w:szCs w:val="24"/>
          <w:lang w:eastAsia="en-GB"/>
        </w:rPr>
        <w:t>Belgium,</w:t>
      </w:r>
      <w:r>
        <w:rPr>
          <w:rFonts w:ascii="Times New Roman" w:eastAsiaTheme="minorHAnsi" w:hAnsi="Times New Roman"/>
          <w:noProof/>
          <w:sz w:val="24"/>
          <w:szCs w:val="24"/>
          <w:vertAlign w:val="superscript"/>
          <w:lang w:eastAsia="en-GB"/>
        </w:rPr>
        <w:footnoteReference w:id="247"/>
      </w:r>
      <w:r>
        <w:rPr>
          <w:rFonts w:ascii="Times New Roman" w:eastAsiaTheme="minorHAnsi" w:hAnsi="Times New Roman"/>
          <w:noProof/>
          <w:sz w:val="24"/>
          <w:szCs w:val="24"/>
          <w:lang w:eastAsia="en-GB"/>
        </w:rPr>
        <w:t xml:space="preserve"> </w:t>
      </w:r>
      <w:r>
        <w:rPr>
          <w:rFonts w:ascii="Times New Roman" w:eastAsiaTheme="minorHAnsi" w:hAnsi="Times New Roman"/>
          <w:i/>
          <w:noProof/>
          <w:sz w:val="24"/>
          <w:szCs w:val="24"/>
          <w:lang w:eastAsia="en-GB"/>
        </w:rPr>
        <w:t>France</w:t>
      </w:r>
      <w:r>
        <w:rPr>
          <w:rFonts w:ascii="Times New Roman" w:eastAsiaTheme="minorHAnsi" w:hAnsi="Times New Roman"/>
          <w:noProof/>
          <w:sz w:val="24"/>
          <w:szCs w:val="24"/>
          <w:vertAlign w:val="superscript"/>
          <w:lang w:eastAsia="en-GB"/>
        </w:rPr>
        <w:footnoteReference w:id="248"/>
      </w:r>
      <w:r>
        <w:rPr>
          <w:rFonts w:ascii="Times New Roman" w:eastAsiaTheme="minorHAnsi" w:hAnsi="Times New Roman"/>
          <w:i/>
          <w:noProof/>
          <w:sz w:val="24"/>
          <w:szCs w:val="24"/>
          <w:lang w:eastAsia="en-GB"/>
        </w:rPr>
        <w:t xml:space="preserve"> and Germany</w:t>
      </w:r>
      <w:r>
        <w:rPr>
          <w:rFonts w:ascii="Times New Roman" w:eastAsiaTheme="minorHAnsi" w:hAnsi="Times New Roman"/>
          <w:noProof/>
          <w:sz w:val="24"/>
          <w:szCs w:val="24"/>
          <w:vertAlign w:val="superscript"/>
          <w:lang w:eastAsia="en-GB"/>
        </w:rPr>
        <w:footnoteReference w:id="249"/>
      </w:r>
      <w:r>
        <w:rPr>
          <w:rFonts w:ascii="Times New Roman" w:eastAsiaTheme="minorHAnsi" w:hAnsi="Times New Roman"/>
          <w:noProof/>
          <w:sz w:val="24"/>
          <w:szCs w:val="24"/>
          <w:lang w:eastAsia="en-GB"/>
        </w:rPr>
        <w:t xml:space="preserve"> to stimulate the development and the promotion of educational and culturally valuable video games which would n</w:t>
      </w:r>
      <w:r>
        <w:rPr>
          <w:rFonts w:ascii="Times New Roman" w:eastAsiaTheme="minorHAnsi" w:hAnsi="Times New Roman"/>
          <w:noProof/>
          <w:sz w:val="24"/>
          <w:szCs w:val="24"/>
          <w:lang w:eastAsia="en-GB"/>
        </w:rPr>
        <w:t>ot have subsisted under normal market conditions. Video games have become a vibrant and successful commercial product. In this sector, the presence of market failure has to be assessed carefully, because the potential to distort competition in a well-funct</w:t>
      </w:r>
      <w:r>
        <w:rPr>
          <w:rFonts w:ascii="Times New Roman" w:eastAsiaTheme="minorHAnsi" w:hAnsi="Times New Roman"/>
          <w:noProof/>
          <w:sz w:val="24"/>
          <w:szCs w:val="24"/>
          <w:lang w:eastAsia="en-GB"/>
        </w:rPr>
        <w:t xml:space="preserve">ioning market is higher. As aid for video games is approved as cultural aid, the Commission undertakes a more particular assessment of the cultural characteristics of the games than for feature films. </w:t>
      </w:r>
    </w:p>
    <w:p w:rsidR="00320198" w:rsidRDefault="005C0948">
      <w:pPr>
        <w:widowControl w:val="0"/>
        <w:spacing w:line="240" w:lineRule="auto"/>
        <w:jc w:val="both"/>
        <w:rPr>
          <w:rFonts w:ascii="Times New Roman" w:eastAsiaTheme="minorHAnsi" w:hAnsi="Times New Roman"/>
          <w:noProof/>
          <w:sz w:val="24"/>
          <w:szCs w:val="24"/>
          <w:vertAlign w:val="superscript"/>
          <w:lang w:eastAsia="en-GB"/>
        </w:rPr>
      </w:pPr>
      <w:r>
        <w:rPr>
          <w:rFonts w:ascii="Times New Roman" w:eastAsiaTheme="minorHAnsi" w:hAnsi="Times New Roman"/>
          <w:noProof/>
          <w:sz w:val="24"/>
          <w:szCs w:val="24"/>
          <w:lang w:eastAsia="en-GB"/>
        </w:rPr>
        <w:t xml:space="preserve">Since the inclusion of projects promoting culture and </w:t>
      </w:r>
      <w:r>
        <w:rPr>
          <w:rFonts w:ascii="Times New Roman" w:eastAsiaTheme="minorHAnsi" w:hAnsi="Times New Roman"/>
          <w:noProof/>
          <w:sz w:val="24"/>
          <w:szCs w:val="24"/>
          <w:lang w:eastAsia="en-GB"/>
        </w:rPr>
        <w:t xml:space="preserve">heritage conservation in the GBER in 2014, Member States have taken the opportunity offered by the Exemption Regulation. In 2018, 466 schemes were covered by Article 53 GBER related to aid for culture and heritage conservation and 77 schemes by Article 54 </w:t>
      </w:r>
      <w:r>
        <w:rPr>
          <w:rFonts w:ascii="Times New Roman" w:eastAsiaTheme="minorHAnsi" w:hAnsi="Times New Roman"/>
          <w:noProof/>
          <w:sz w:val="24"/>
          <w:szCs w:val="24"/>
          <w:lang w:eastAsia="en-GB"/>
        </w:rPr>
        <w:t>GBER related to aid schemes for audio-visual works</w:t>
      </w:r>
      <w:r>
        <w:rPr>
          <w:rFonts w:ascii="Times New Roman" w:eastAsiaTheme="minorHAnsi" w:hAnsi="Times New Roman"/>
          <w:noProof/>
          <w:sz w:val="24"/>
          <w:szCs w:val="24"/>
          <w:vertAlign w:val="superscript"/>
          <w:lang w:eastAsia="en-GB"/>
        </w:rPr>
        <w:t>.</w:t>
      </w:r>
      <w:r>
        <w:rPr>
          <w:rFonts w:ascii="Times New Roman" w:eastAsiaTheme="minorHAnsi" w:hAnsi="Times New Roman"/>
          <w:noProof/>
          <w:sz w:val="24"/>
          <w:szCs w:val="24"/>
          <w:vertAlign w:val="superscript"/>
          <w:lang w:eastAsia="en-GB"/>
        </w:rPr>
        <w:footnoteReference w:id="250"/>
      </w:r>
    </w:p>
    <w:p w:rsidR="00320198" w:rsidRDefault="005C0948">
      <w:pPr>
        <w:widowControl w:val="0"/>
        <w:jc w:val="both"/>
        <w:rPr>
          <w:rFonts w:ascii="Times New Roman" w:eastAsiaTheme="minorHAnsi" w:hAnsi="Times New Roman"/>
          <w:b/>
          <w:noProof/>
          <w:sz w:val="20"/>
          <w:szCs w:val="20"/>
          <w:lang w:eastAsia="en-GB"/>
        </w:rPr>
      </w:pPr>
      <w:r>
        <w:rPr>
          <w:rFonts w:ascii="Times New Roman" w:eastAsiaTheme="minorHAnsi" w:hAnsi="Times New Roman"/>
          <w:b/>
          <w:noProof/>
          <w:sz w:val="20"/>
          <w:szCs w:val="20"/>
          <w:lang w:eastAsia="en-GB"/>
        </w:rPr>
        <w:t xml:space="preserve">Spectrum migration of broadcasters </w:t>
      </w:r>
    </w:p>
    <w:p w:rsidR="00320198" w:rsidRDefault="005C0948">
      <w:pPr>
        <w:widowControl w:val="0"/>
        <w:spacing w:line="240" w:lineRule="auto"/>
        <w:jc w:val="both"/>
        <w:rPr>
          <w:rFonts w:ascii="Times New Roman" w:eastAsiaTheme="minorHAnsi" w:hAnsi="Times New Roman"/>
          <w:noProof/>
          <w:sz w:val="24"/>
          <w:szCs w:val="24"/>
          <w:lang w:eastAsia="en-GB"/>
        </w:rPr>
      </w:pPr>
      <w:r>
        <w:rPr>
          <w:rFonts w:ascii="Times New Roman" w:eastAsiaTheme="minorHAnsi" w:hAnsi="Times New Roman"/>
          <w:noProof/>
          <w:sz w:val="24"/>
          <w:szCs w:val="24"/>
          <w:lang w:eastAsia="en-GB"/>
        </w:rPr>
        <w:t xml:space="preserve">In 2018 the Commission approved, under the EU State aid rules, German plans to compensate the direct costs incurred by operators of terrestrial television services to </w:t>
      </w:r>
      <w:r>
        <w:rPr>
          <w:rFonts w:ascii="Times New Roman" w:eastAsiaTheme="minorHAnsi" w:hAnsi="Times New Roman"/>
          <w:noProof/>
          <w:sz w:val="24"/>
          <w:szCs w:val="24"/>
          <w:lang w:eastAsia="en-GB"/>
        </w:rPr>
        <w:t>migrate from the 694-790 MHz frequency band (the "700 MHz band") to lower frequencies. This migration follows a 2017 Decision</w:t>
      </w:r>
      <w:r>
        <w:rPr>
          <w:rFonts w:ascii="Times New Roman" w:eastAsiaTheme="minorHAnsi" w:hAnsi="Times New Roman"/>
          <w:noProof/>
          <w:sz w:val="24"/>
          <w:szCs w:val="24"/>
          <w:vertAlign w:val="superscript"/>
          <w:lang w:eastAsia="en-GB"/>
        </w:rPr>
        <w:footnoteReference w:id="251"/>
      </w:r>
      <w:r>
        <w:rPr>
          <w:rFonts w:ascii="Times New Roman" w:eastAsiaTheme="minorHAnsi" w:hAnsi="Times New Roman"/>
          <w:noProof/>
          <w:sz w:val="24"/>
          <w:szCs w:val="24"/>
          <w:lang w:eastAsia="en-GB"/>
        </w:rPr>
        <w:t xml:space="preserve"> by the European Parliament and the Council that imposed the availability of the 700 MHz band for the deployment of wireless broad</w:t>
      </w:r>
      <w:r>
        <w:rPr>
          <w:rFonts w:ascii="Times New Roman" w:eastAsiaTheme="minorHAnsi" w:hAnsi="Times New Roman"/>
          <w:noProof/>
          <w:sz w:val="24"/>
          <w:szCs w:val="24"/>
          <w:lang w:eastAsia="en-GB"/>
        </w:rPr>
        <w:t>band services by June 2020, therefore compelling the current users - among them the terrestrial television service providers - to liberate the frequency band. However, the Decision provides that Member States should ensure the availability of the sub-700 M</w:t>
      </w:r>
      <w:r>
        <w:rPr>
          <w:rFonts w:ascii="Times New Roman" w:eastAsiaTheme="minorHAnsi" w:hAnsi="Times New Roman"/>
          <w:noProof/>
          <w:sz w:val="24"/>
          <w:szCs w:val="24"/>
          <w:lang w:eastAsia="en-GB"/>
        </w:rPr>
        <w:t>Hz band for terrestrial television services until 2030. It also allows for the possibility to compensate certain direct costs incurred by terrestrial television operators for the spectrum migration. The Commission assessed the aid measure and found that th</w:t>
      </w:r>
      <w:r>
        <w:rPr>
          <w:rFonts w:ascii="Times New Roman" w:eastAsiaTheme="minorHAnsi" w:hAnsi="Times New Roman"/>
          <w:noProof/>
          <w:sz w:val="24"/>
          <w:szCs w:val="24"/>
          <w:lang w:eastAsia="en-GB"/>
        </w:rPr>
        <w:t>e aid is limited to the costs that are strictly necessary for the migration, and has no significant impact on trade and competition. Furthermore, the measure will contribute to the EU's objective of introducing 5G mobile services, while keeping terrestrial</w:t>
      </w:r>
      <w:r>
        <w:rPr>
          <w:rFonts w:ascii="Times New Roman" w:eastAsiaTheme="minorHAnsi" w:hAnsi="Times New Roman"/>
          <w:noProof/>
          <w:sz w:val="24"/>
          <w:szCs w:val="24"/>
          <w:lang w:eastAsia="en-GB"/>
        </w:rPr>
        <w:t xml:space="preserve"> television services available for consumers. </w:t>
      </w:r>
    </w:p>
    <w:p w:rsidR="00320198" w:rsidRDefault="005C0948">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bookmarkStart w:id="40" w:name="_Toc438208176"/>
      <w:r>
        <w:rPr>
          <w:rFonts w:ascii="Times New Roman" w:eastAsia="Times New Roman" w:hAnsi="Times New Roman"/>
          <w:b/>
          <w:smallCaps/>
          <w:noProof/>
          <w:sz w:val="24"/>
          <w:szCs w:val="24"/>
        </w:rPr>
        <w:tab/>
      </w:r>
      <w:bookmarkStart w:id="41" w:name="_Toc8831317"/>
      <w:r>
        <w:rPr>
          <w:rFonts w:ascii="Times New Roman" w:eastAsia="Times New Roman" w:hAnsi="Times New Roman"/>
          <w:b/>
          <w:smallCaps/>
          <w:noProof/>
          <w:sz w:val="24"/>
          <w:szCs w:val="24"/>
        </w:rPr>
        <w:t>3. Financial services</w:t>
      </w:r>
      <w:bookmarkEnd w:id="41"/>
    </w:p>
    <w:p w:rsidR="00320198" w:rsidRDefault="005C0948">
      <w:pPr>
        <w:widowControl w:val="0"/>
        <w:autoSpaceDE w:val="0"/>
        <w:autoSpaceDN w:val="0"/>
        <w:adjustRightInd w:val="0"/>
        <w:spacing w:line="240" w:lineRule="auto"/>
        <w:jc w:val="both"/>
        <w:rPr>
          <w:rFonts w:ascii="Times New Roman" w:hAnsi="Times New Roman"/>
          <w:b/>
          <w:bCs/>
          <w:noProof/>
          <w:color w:val="000000"/>
          <w:sz w:val="24"/>
          <w:szCs w:val="24"/>
          <w:lang w:eastAsia="en-GB"/>
        </w:rPr>
      </w:pPr>
      <w:r>
        <w:rPr>
          <w:rFonts w:ascii="Times New Roman" w:hAnsi="Times New Roman"/>
          <w:b/>
          <w:bCs/>
          <w:noProof/>
          <w:color w:val="000000"/>
          <w:sz w:val="24"/>
          <w:szCs w:val="24"/>
          <w:lang w:eastAsia="en-GB"/>
        </w:rPr>
        <w:t>Overview of key challenges in the sector</w:t>
      </w:r>
    </w:p>
    <w:p w:rsidR="00320198" w:rsidRDefault="005C0948">
      <w:pPr>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The financial services sector has continued to stabilise. Generally, EU banks have reduced their legacy assets and are equipped with higher capit</w:t>
      </w:r>
      <w:r>
        <w:rPr>
          <w:rFonts w:ascii="Times New Roman" w:hAnsi="Times New Roman"/>
          <w:noProof/>
          <w:color w:val="000000"/>
          <w:sz w:val="24"/>
          <w:szCs w:val="24"/>
          <w:lang w:eastAsia="en-GB"/>
        </w:rPr>
        <w:t>al buffers. Banks have also limited their exposures to market risks, primarily by reducing their bond and derivative portfolios. As a consequence, they are more resilient in case of adverse conditions. The minimum requirement for own funds and eligible lia</w:t>
      </w:r>
      <w:r>
        <w:rPr>
          <w:rFonts w:ascii="Times New Roman" w:hAnsi="Times New Roman"/>
          <w:noProof/>
          <w:color w:val="000000"/>
          <w:sz w:val="24"/>
          <w:szCs w:val="24"/>
          <w:lang w:eastAsia="en-GB"/>
        </w:rPr>
        <w:t xml:space="preserve">bilities (MREL) as currently set with binding targets by the competent resolution authorities for the banks within their remit, will add to that resilience. </w:t>
      </w:r>
    </w:p>
    <w:p w:rsidR="00320198" w:rsidRDefault="005C0948">
      <w:pPr>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However, challenges remain. The level of non-performing loans is still too high for certain banks </w:t>
      </w:r>
      <w:r>
        <w:rPr>
          <w:rFonts w:ascii="Times New Roman" w:hAnsi="Times New Roman"/>
          <w:noProof/>
          <w:color w:val="000000"/>
          <w:sz w:val="24"/>
          <w:szCs w:val="24"/>
          <w:lang w:eastAsia="en-GB"/>
        </w:rPr>
        <w:t xml:space="preserve">in some Member States.  There is still pressure on the banks' profitability due to the low-interest environment and tight interest margins. Also the insurance sector, in particular the life insurance sector, is affected by these conditions. </w:t>
      </w:r>
    </w:p>
    <w:p w:rsidR="00320198" w:rsidRDefault="005C0948">
      <w:pPr>
        <w:spacing w:line="240" w:lineRule="auto"/>
        <w:jc w:val="both"/>
        <w:rPr>
          <w:rFonts w:ascii="Times New Roman" w:hAnsi="Times New Roman"/>
          <w:noProof/>
          <w:sz w:val="24"/>
          <w:szCs w:val="24"/>
        </w:rPr>
      </w:pPr>
      <w:r>
        <w:rPr>
          <w:rFonts w:ascii="Times New Roman" w:hAnsi="Times New Roman"/>
          <w:noProof/>
          <w:color w:val="000000"/>
          <w:sz w:val="24"/>
          <w:szCs w:val="24"/>
          <w:lang w:eastAsia="en-GB"/>
        </w:rPr>
        <w:t>The current le</w:t>
      </w:r>
      <w:r>
        <w:rPr>
          <w:rFonts w:ascii="Times New Roman" w:hAnsi="Times New Roman"/>
          <w:noProof/>
          <w:color w:val="000000"/>
          <w:sz w:val="24"/>
          <w:szCs w:val="24"/>
          <w:lang w:eastAsia="en-GB"/>
        </w:rPr>
        <w:t>gislative framework of the Banking Union, notably the Bank Recovery and Resolution Directive (BRRD),</w:t>
      </w:r>
      <w:r>
        <w:rPr>
          <w:rFonts w:ascii="Times New Roman" w:hAnsi="Times New Roman"/>
          <w:noProof/>
          <w:color w:val="000000"/>
          <w:sz w:val="24"/>
          <w:szCs w:val="24"/>
          <w:vertAlign w:val="superscript"/>
          <w:lang w:eastAsia="en-GB"/>
        </w:rPr>
        <w:footnoteReference w:id="252"/>
      </w:r>
      <w:r>
        <w:rPr>
          <w:rFonts w:ascii="Times New Roman" w:hAnsi="Times New Roman"/>
          <w:noProof/>
          <w:color w:val="000000"/>
          <w:sz w:val="24"/>
          <w:szCs w:val="24"/>
          <w:lang w:eastAsia="en-GB"/>
        </w:rPr>
        <w:t xml:space="preserve"> has been fully in force for two years. Although State support for banks and, consequently, the number of State aid cases have been reduced, there are still some legacy situations where support from the public budget for banks to exit the market or as a te</w:t>
      </w:r>
      <w:r>
        <w:rPr>
          <w:rFonts w:ascii="Times New Roman" w:hAnsi="Times New Roman"/>
          <w:noProof/>
          <w:color w:val="000000"/>
          <w:sz w:val="24"/>
          <w:szCs w:val="24"/>
          <w:lang w:eastAsia="en-GB"/>
        </w:rPr>
        <w:t>mporary buffer is necessary.</w:t>
      </w:r>
      <w:r>
        <w:rPr>
          <w:rFonts w:ascii="Times New Roman" w:hAnsi="Times New Roman"/>
          <w:noProof/>
          <w:sz w:val="24"/>
          <w:szCs w:val="24"/>
        </w:rPr>
        <w:t xml:space="preserve"> </w:t>
      </w:r>
    </w:p>
    <w:p w:rsidR="00320198" w:rsidRDefault="005C0948">
      <w:pPr>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Moreover, there is growing pressure from new types of financial institutions, as well as from so-called FinTech companies, re-shaping the interaction with customers in areas such as payments, lending and brokerage platforms. T</w:t>
      </w:r>
      <w:r>
        <w:rPr>
          <w:rFonts w:ascii="Times New Roman" w:hAnsi="Times New Roman"/>
          <w:noProof/>
          <w:color w:val="000000"/>
          <w:sz w:val="24"/>
          <w:szCs w:val="24"/>
          <w:lang w:eastAsia="en-GB"/>
        </w:rPr>
        <w:t>he financial sector is currently undergoing restructuring efforts with a higher focus on digital services.</w:t>
      </w:r>
    </w:p>
    <w:p w:rsidR="00320198" w:rsidRDefault="005C0948">
      <w:pPr>
        <w:spacing w:line="240" w:lineRule="auto"/>
        <w:jc w:val="both"/>
        <w:rPr>
          <w:rFonts w:ascii="Times New Roman" w:eastAsia="Times New Roman" w:hAnsi="Times New Roman"/>
          <w:noProof/>
          <w:sz w:val="24"/>
          <w:szCs w:val="24"/>
          <w:lang w:eastAsia="en-GB"/>
        </w:rPr>
      </w:pPr>
      <w:r>
        <w:rPr>
          <w:rFonts w:ascii="Times New Roman" w:hAnsi="Times New Roman"/>
          <w:noProof/>
          <w:color w:val="000000"/>
          <w:sz w:val="24"/>
          <w:szCs w:val="24"/>
          <w:lang w:eastAsia="en-GB"/>
        </w:rPr>
        <w:t>EU competition policy with its three enforcement instruments – antitrust, merger and state aid control - plays an important role in ensuring that com</w:t>
      </w:r>
      <w:r>
        <w:rPr>
          <w:rFonts w:ascii="Times New Roman" w:hAnsi="Times New Roman"/>
          <w:noProof/>
          <w:color w:val="000000"/>
          <w:sz w:val="24"/>
          <w:szCs w:val="24"/>
          <w:lang w:eastAsia="en-GB"/>
        </w:rPr>
        <w:t>petition takes place on fair and equal terms throughout the sector. T</w:t>
      </w:r>
      <w:r>
        <w:rPr>
          <w:rFonts w:ascii="Times New Roman" w:eastAsia="Times New Roman" w:hAnsi="Times New Roman"/>
          <w:noProof/>
          <w:sz w:val="24"/>
          <w:szCs w:val="24"/>
          <w:lang w:eastAsia="en-GB"/>
        </w:rPr>
        <w:t xml:space="preserve">he </w:t>
      </w:r>
      <w:r>
        <w:rPr>
          <w:rFonts w:ascii="Times New Roman" w:hAnsi="Times New Roman"/>
          <w:noProof/>
          <w:color w:val="000000"/>
          <w:sz w:val="24"/>
          <w:szCs w:val="24"/>
          <w:lang w:eastAsia="en-GB"/>
        </w:rPr>
        <w:t xml:space="preserve">enforcement of the competition rules remains key to ensure </w:t>
      </w:r>
      <w:r>
        <w:rPr>
          <w:rFonts w:ascii="Times New Roman" w:eastAsia="Times New Roman" w:hAnsi="Times New Roman"/>
          <w:noProof/>
          <w:sz w:val="24"/>
          <w:szCs w:val="24"/>
          <w:lang w:eastAsia="en-GB"/>
        </w:rPr>
        <w:t xml:space="preserve">fair competition that benefits consumers. </w:t>
      </w:r>
    </w:p>
    <w:p w:rsidR="00320198" w:rsidRDefault="005C0948">
      <w:pPr>
        <w:widowControl w:val="0"/>
        <w:autoSpaceDE w:val="0"/>
        <w:autoSpaceDN w:val="0"/>
        <w:adjustRightInd w:val="0"/>
        <w:spacing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 xml:space="preserve">This applies, for instance, to the area of payments, where the </w:t>
      </w:r>
      <w:r>
        <w:rPr>
          <w:rFonts w:ascii="Times New Roman" w:eastAsia="Times New Roman" w:hAnsi="Times New Roman"/>
          <w:noProof/>
          <w:sz w:val="24"/>
          <w:szCs w:val="24"/>
          <w:lang w:eastAsia="en-GB"/>
        </w:rPr>
        <w:t xml:space="preserve">Commission closely </w:t>
      </w:r>
      <w:r>
        <w:rPr>
          <w:rFonts w:ascii="Times New Roman" w:eastAsia="Times New Roman" w:hAnsi="Times New Roman"/>
          <w:noProof/>
          <w:sz w:val="24"/>
          <w:szCs w:val="24"/>
          <w:lang w:eastAsia="en-GB"/>
        </w:rPr>
        <w:t>monitors  the ongoing technological change and the emergence of new financial service providers. The Commission intervenes, as in other areas, when it detects anti-competitive behaviour. Similarly, the Commission has continued to use its merger control ins</w:t>
      </w:r>
      <w:r>
        <w:rPr>
          <w:rFonts w:ascii="Times New Roman" w:eastAsia="Times New Roman" w:hAnsi="Times New Roman"/>
          <w:noProof/>
          <w:sz w:val="24"/>
          <w:szCs w:val="24"/>
          <w:lang w:eastAsia="en-GB"/>
        </w:rPr>
        <w:t xml:space="preserve">trument to ensure that mergers or joint ventures do not significantly impede effective competion. Finally, State aid control tackles cases of public support for financial service companies with a view to limit </w:t>
      </w:r>
      <w:r>
        <w:rPr>
          <w:rFonts w:ascii="Times New Roman" w:hAnsi="Times New Roman"/>
          <w:noProof/>
          <w:color w:val="000000"/>
          <w:sz w:val="24"/>
          <w:szCs w:val="24"/>
          <w:lang w:eastAsia="en-GB"/>
        </w:rPr>
        <w:t xml:space="preserve">distortions of competition and to </w:t>
      </w:r>
      <w:r>
        <w:rPr>
          <w:rFonts w:ascii="Times New Roman" w:eastAsia="Times New Roman" w:hAnsi="Times New Roman"/>
          <w:noProof/>
          <w:sz w:val="24"/>
          <w:szCs w:val="24"/>
          <w:lang w:eastAsia="en-GB"/>
        </w:rPr>
        <w:t xml:space="preserve">ensure, for </w:t>
      </w:r>
      <w:r>
        <w:rPr>
          <w:rFonts w:ascii="Times New Roman" w:eastAsia="Times New Roman" w:hAnsi="Times New Roman"/>
          <w:noProof/>
          <w:sz w:val="24"/>
          <w:szCs w:val="24"/>
          <w:lang w:eastAsia="en-GB"/>
        </w:rPr>
        <w:t>instance, that non-viable banks exit the market and are not kept alive artificially</w:t>
      </w:r>
      <w:r>
        <w:rPr>
          <w:rFonts w:ascii="Times New Roman" w:hAnsi="Times New Roman"/>
          <w:noProof/>
          <w:color w:val="000000"/>
          <w:sz w:val="24"/>
          <w:szCs w:val="24"/>
          <w:lang w:eastAsia="en-GB"/>
        </w:rPr>
        <w:t xml:space="preserve">. </w:t>
      </w:r>
    </w:p>
    <w:p w:rsidR="00320198" w:rsidRDefault="005C0948">
      <w:pPr>
        <w:spacing w:after="240" w:line="240" w:lineRule="auto"/>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 xml:space="preserve">Contribution of EU competition policy to tackling the challenges </w:t>
      </w:r>
    </w:p>
    <w:p w:rsidR="00320198" w:rsidRDefault="005C0948">
      <w:pPr>
        <w:widowControl w:val="0"/>
        <w:autoSpaceDE w:val="0"/>
        <w:autoSpaceDN w:val="0"/>
        <w:adjustRightInd w:val="0"/>
        <w:spacing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Contribution of EU competition policy to innovation and fairness in payments</w:t>
      </w:r>
    </w:p>
    <w:p w:rsidR="00320198" w:rsidRDefault="005C0948">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Commission continues to</w:t>
      </w:r>
      <w:r>
        <w:rPr>
          <w:rFonts w:ascii="Times New Roman" w:eastAsia="Times New Roman" w:hAnsi="Times New Roman"/>
          <w:noProof/>
          <w:sz w:val="24"/>
          <w:szCs w:val="24"/>
          <w:lang w:eastAsia="en-GB"/>
        </w:rPr>
        <w:t xml:space="preserve"> monitor the implementation of the Interchange Fee Regulation</w:t>
      </w:r>
      <w:r>
        <w:rPr>
          <w:rFonts w:ascii="Times New Roman" w:eastAsia="Times New Roman" w:hAnsi="Times New Roman"/>
          <w:noProof/>
          <w:sz w:val="24"/>
          <w:szCs w:val="24"/>
          <w:vertAlign w:val="superscript"/>
          <w:lang w:eastAsia="en-GB"/>
        </w:rPr>
        <w:footnoteReference w:id="253"/>
      </w:r>
      <w:r>
        <w:rPr>
          <w:rFonts w:ascii="Times New Roman" w:eastAsia="Times New Roman" w:hAnsi="Times New Roman"/>
          <w:noProof/>
          <w:sz w:val="24"/>
          <w:szCs w:val="24"/>
          <w:lang w:eastAsia="en-GB"/>
        </w:rPr>
        <w:t xml:space="preserve"> (IFR). </w:t>
      </w:r>
      <w:r>
        <w:rPr>
          <w:rFonts w:ascii="Times New Roman" w:hAnsi="Times New Roman"/>
          <w:noProof/>
          <w:sz w:val="24"/>
          <w:szCs w:val="24"/>
          <w:lang w:eastAsia="en-GB"/>
        </w:rPr>
        <w:t>The Commission contracted a study which was launched in September 2018. The purpose of the study is to collect and analyse key qualitative and quantitative market information from all Me</w:t>
      </w:r>
      <w:r>
        <w:rPr>
          <w:rFonts w:ascii="Times New Roman" w:hAnsi="Times New Roman"/>
          <w:noProof/>
          <w:sz w:val="24"/>
          <w:szCs w:val="24"/>
          <w:lang w:eastAsia="en-GB"/>
        </w:rPr>
        <w:t>mber States on application of the Interchange Fee Regulation. The study is intended to inform the European Commission when preparing a Report to the European Parliament and to the Council on the application of the IFR.</w:t>
      </w:r>
    </w:p>
    <w:p w:rsidR="00320198" w:rsidRDefault="005C0948">
      <w:pPr>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On 18 January 2018, the Commission pu</w:t>
      </w:r>
      <w:r>
        <w:rPr>
          <w:rFonts w:ascii="Times New Roman" w:eastAsia="Times New Roman" w:hAnsi="Times New Roman"/>
          <w:noProof/>
          <w:sz w:val="24"/>
          <w:szCs w:val="24"/>
          <w:lang w:eastAsia="en-GB"/>
        </w:rPr>
        <w:t>blished Regulatory Technical Standards</w:t>
      </w:r>
      <w:r>
        <w:rPr>
          <w:rFonts w:ascii="Times New Roman" w:eastAsia="Times New Roman" w:hAnsi="Times New Roman"/>
          <w:i/>
          <w:noProof/>
          <w:sz w:val="24"/>
          <w:szCs w:val="24"/>
          <w:lang w:eastAsia="en-GB"/>
        </w:rPr>
        <w:footnoteReference w:id="254"/>
      </w:r>
      <w:r>
        <w:rPr>
          <w:rFonts w:ascii="Times New Roman" w:eastAsia="Times New Roman" w:hAnsi="Times New Roman"/>
          <w:i/>
          <w:noProof/>
          <w:sz w:val="24"/>
          <w:szCs w:val="24"/>
          <w:lang w:eastAsia="en-GB"/>
        </w:rPr>
        <w:t xml:space="preserve"> </w:t>
      </w:r>
      <w:r>
        <w:rPr>
          <w:rFonts w:ascii="Times New Roman" w:eastAsia="Times New Roman" w:hAnsi="Times New Roman"/>
          <w:noProof/>
          <w:sz w:val="24"/>
          <w:szCs w:val="24"/>
          <w:lang w:eastAsia="en-GB"/>
        </w:rPr>
        <w:t>(RTS) under the Interchange Fee Regulation, which establish the requirements for payment card schemes and processing entities to ensure independence in terms of accounting, organisation and decision making processes. The RTS became applicable from 7 Februa</w:t>
      </w:r>
      <w:r>
        <w:rPr>
          <w:rFonts w:ascii="Times New Roman" w:eastAsia="Times New Roman" w:hAnsi="Times New Roman"/>
          <w:noProof/>
          <w:sz w:val="24"/>
          <w:szCs w:val="24"/>
          <w:lang w:eastAsia="en-GB"/>
        </w:rPr>
        <w:t xml:space="preserve">ry 2018. The RTS relate to the implementation of the IFR requirement on independence of card schemes and processing entities. </w:t>
      </w:r>
    </w:p>
    <w:p w:rsidR="00320198" w:rsidRDefault="005C0948">
      <w:pPr>
        <w:widowControl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On 7 February 2018, the General Court issued a ruling in the American Express case.</w:t>
      </w:r>
      <w:r>
        <w:rPr>
          <w:rFonts w:ascii="Times New Roman" w:eastAsia="Times New Roman" w:hAnsi="Times New Roman"/>
          <w:noProof/>
          <w:sz w:val="24"/>
          <w:szCs w:val="24"/>
          <w:vertAlign w:val="superscript"/>
          <w:lang w:eastAsia="en-GB"/>
        </w:rPr>
        <w:footnoteReference w:id="255"/>
      </w:r>
      <w:r>
        <w:rPr>
          <w:rFonts w:ascii="Times New Roman" w:eastAsia="Times New Roman" w:hAnsi="Times New Roman"/>
          <w:noProof/>
          <w:sz w:val="24"/>
          <w:szCs w:val="24"/>
          <w:lang w:eastAsia="en-GB"/>
        </w:rPr>
        <w:t xml:space="preserve"> regarding the application of the Interchange</w:t>
      </w:r>
      <w:r>
        <w:rPr>
          <w:rFonts w:ascii="Times New Roman" w:eastAsia="Times New Roman" w:hAnsi="Times New Roman"/>
          <w:noProof/>
          <w:sz w:val="24"/>
          <w:szCs w:val="24"/>
          <w:lang w:eastAsia="en-GB"/>
        </w:rPr>
        <w:t xml:space="preserve"> Fee Regulation to three-party schemes. The </w:t>
      </w:r>
      <w:r>
        <w:rPr>
          <w:rFonts w:ascii="Times New Roman" w:hAnsi="Times New Roman"/>
          <w:noProof/>
          <w:sz w:val="24"/>
          <w:szCs w:val="24"/>
        </w:rPr>
        <w:t>General</w:t>
      </w:r>
      <w:r>
        <w:rPr>
          <w:rFonts w:ascii="Times New Roman" w:eastAsia="Times New Roman" w:hAnsi="Times New Roman"/>
          <w:noProof/>
          <w:sz w:val="24"/>
          <w:szCs w:val="24"/>
          <w:lang w:eastAsia="en-GB"/>
        </w:rPr>
        <w:t xml:space="preserve"> Court clarified that a three-party scheme that issues a payment instrument with a co-branding partner or agent is considered to be a four-party scheme and thus subject to the relevant provions of the IFR </w:t>
      </w:r>
      <w:r>
        <w:rPr>
          <w:rFonts w:ascii="Times New Roman" w:eastAsia="Times New Roman" w:hAnsi="Times New Roman"/>
          <w:noProof/>
          <w:sz w:val="24"/>
          <w:szCs w:val="24"/>
          <w:lang w:eastAsia="en-GB"/>
        </w:rPr>
        <w:t>irrespective of whether the co-branding partner or agent acts as an issuer. In most Member States credit cards are the main means of internet payment. But card payments over the internet can be cumbersome, expensive to merchants and insecure with high leve</w:t>
      </w:r>
      <w:r>
        <w:rPr>
          <w:rFonts w:ascii="Times New Roman" w:eastAsia="Times New Roman" w:hAnsi="Times New Roman"/>
          <w:noProof/>
          <w:sz w:val="24"/>
          <w:szCs w:val="24"/>
          <w:lang w:eastAsia="en-GB"/>
        </w:rPr>
        <w:t>ls of fraud.</w:t>
      </w:r>
      <w:r>
        <w:rPr>
          <w:rFonts w:ascii="Times New Roman" w:eastAsia="Times New Roman" w:hAnsi="Times New Roman"/>
          <w:noProof/>
          <w:sz w:val="24"/>
          <w:szCs w:val="24"/>
          <w:vertAlign w:val="superscript"/>
          <w:lang w:eastAsia="en-GB"/>
        </w:rPr>
        <w:footnoteReference w:id="256"/>
      </w:r>
      <w:r>
        <w:rPr>
          <w:rFonts w:ascii="Times New Roman" w:eastAsia="Times New Roman" w:hAnsi="Times New Roman"/>
          <w:noProof/>
          <w:sz w:val="24"/>
          <w:szCs w:val="24"/>
          <w:lang w:eastAsia="en-GB"/>
        </w:rPr>
        <w:t xml:space="preserve"> Moreover, only 60 % of EU citizens possess such cards. The Payment Services Directive</w:t>
      </w:r>
      <w:r>
        <w:rPr>
          <w:rFonts w:ascii="Times New Roman" w:eastAsia="Times New Roman" w:hAnsi="Times New Roman"/>
          <w:noProof/>
          <w:sz w:val="24"/>
          <w:szCs w:val="24"/>
          <w:vertAlign w:val="superscript"/>
          <w:lang w:eastAsia="en-GB"/>
        </w:rPr>
        <w:footnoteReference w:id="257"/>
      </w:r>
      <w:r>
        <w:rPr>
          <w:rFonts w:ascii="Times New Roman" w:eastAsia="Times New Roman" w:hAnsi="Times New Roman"/>
          <w:noProof/>
          <w:sz w:val="24"/>
          <w:szCs w:val="24"/>
          <w:lang w:eastAsia="en-GB"/>
        </w:rPr>
        <w:t xml:space="preserve"> (PSD II) takes account of and regulates third-party providers (bank-owned and non-bank owned) which offer alternative means of internet payments (for examp</w:t>
      </w:r>
      <w:r>
        <w:rPr>
          <w:rFonts w:ascii="Times New Roman" w:eastAsia="Times New Roman" w:hAnsi="Times New Roman"/>
          <w:noProof/>
          <w:sz w:val="24"/>
          <w:szCs w:val="24"/>
          <w:lang w:eastAsia="en-GB"/>
        </w:rPr>
        <w:t>le through credit transfers via the website of the consumer's bank, including the Single Euro Payment Area</w:t>
      </w:r>
      <w:r>
        <w:rPr>
          <w:rFonts w:ascii="Times New Roman" w:eastAsia="Times New Roman" w:hAnsi="Times New Roman"/>
          <w:i/>
          <w:noProof/>
          <w:sz w:val="24"/>
          <w:szCs w:val="24"/>
          <w:lang w:eastAsia="en-GB"/>
        </w:rPr>
        <w:t xml:space="preserve"> </w:t>
      </w:r>
      <w:r>
        <w:rPr>
          <w:rFonts w:ascii="Times New Roman" w:eastAsia="Times New Roman" w:hAnsi="Times New Roman"/>
          <w:noProof/>
          <w:sz w:val="24"/>
          <w:szCs w:val="24"/>
          <w:lang w:eastAsia="en-GB"/>
        </w:rPr>
        <w:t xml:space="preserve">Credit Transfer system) or allow consumers to have a overall view on their financial situation and spending patterns across all their bank accounts. </w:t>
      </w:r>
    </w:p>
    <w:p w:rsidR="00320198" w:rsidRDefault="005C0948">
      <w:pPr>
        <w:widowControl w:val="0"/>
        <w:autoSpaceDE w:val="0"/>
        <w:autoSpaceDN w:val="0"/>
        <w:adjustRightInd w:val="0"/>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Implementation of the IFR and PSD II opens the door for more competition and innovation in the payments sector, to the benefit of consumers and merchants. </w:t>
      </w:r>
    </w:p>
    <w:p w:rsidR="00320198" w:rsidRDefault="005C0948">
      <w:pPr>
        <w:widowControl w:val="0"/>
        <w:autoSpaceDE w:val="0"/>
        <w:autoSpaceDN w:val="0"/>
        <w:adjustRightInd w:val="0"/>
        <w:spacing w:line="240" w:lineRule="auto"/>
        <w:jc w:val="both"/>
        <w:rPr>
          <w:rFonts w:ascii="Times New Roman" w:hAnsi="Times New Roman"/>
          <w:i/>
          <w:iCs/>
          <w:noProof/>
          <w:color w:val="000000"/>
          <w:sz w:val="24"/>
          <w:szCs w:val="24"/>
        </w:rPr>
      </w:pPr>
      <w:r>
        <w:rPr>
          <w:rFonts w:ascii="Times New Roman" w:hAnsi="Times New Roman"/>
          <w:i/>
          <w:iCs/>
          <w:noProof/>
          <w:color w:val="000000"/>
          <w:sz w:val="24"/>
          <w:szCs w:val="24"/>
        </w:rPr>
        <w:t>Antitrust and cartel investigations in the financial services sector</w:t>
      </w:r>
    </w:p>
    <w:p w:rsidR="00320198" w:rsidRDefault="005C0948">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2018, the Commission contin</w:t>
      </w:r>
      <w:r>
        <w:rPr>
          <w:rFonts w:ascii="Times New Roman" w:eastAsiaTheme="minorHAnsi" w:hAnsi="Times New Roman"/>
          <w:noProof/>
          <w:sz w:val="24"/>
          <w:szCs w:val="24"/>
        </w:rPr>
        <w:t>ued its antitrust investigations in the financial sector, one of the Commission's priority areas to achieve a fairer and more integrated internal market. The Commission also continued to monitor competition in capital markets, in particular focussing on th</w:t>
      </w:r>
      <w:r>
        <w:rPr>
          <w:rFonts w:ascii="Times New Roman" w:eastAsiaTheme="minorHAnsi" w:hAnsi="Times New Roman"/>
          <w:noProof/>
          <w:sz w:val="24"/>
          <w:szCs w:val="24"/>
        </w:rPr>
        <w:t xml:space="preserve">e markets for equity data and equity trading where high fees/prices persist. In the field of motor insurance, the Commission continued to investigate  allegations of breaches of Articles 101 and 102 TFEU in the Irish market. Moreover, the Commission </w:t>
      </w:r>
      <w:r>
        <w:rPr>
          <w:rFonts w:ascii="Times New Roman" w:hAnsi="Times New Roman"/>
          <w:noProof/>
          <w:sz w:val="24"/>
          <w:szCs w:val="24"/>
          <w:lang w:eastAsia="en-GB"/>
        </w:rPr>
        <w:t>progre</w:t>
      </w:r>
      <w:r>
        <w:rPr>
          <w:rFonts w:ascii="Times New Roman" w:hAnsi="Times New Roman"/>
          <w:noProof/>
          <w:sz w:val="24"/>
          <w:szCs w:val="24"/>
          <w:lang w:eastAsia="en-GB"/>
        </w:rPr>
        <w:t xml:space="preserve">ssed with its investigation into </w:t>
      </w:r>
      <w:r>
        <w:rPr>
          <w:rFonts w:ascii="Times New Roman" w:hAnsi="Times New Roman"/>
          <w:i/>
          <w:noProof/>
          <w:sz w:val="24"/>
          <w:szCs w:val="24"/>
          <w:lang w:eastAsia="en-GB"/>
        </w:rPr>
        <w:t>Mastercard's</w:t>
      </w:r>
      <w:r>
        <w:rPr>
          <w:rFonts w:ascii="Times New Roman" w:hAnsi="Times New Roman"/>
          <w:noProof/>
          <w:sz w:val="24"/>
          <w:szCs w:val="24"/>
          <w:lang w:eastAsia="en-GB"/>
        </w:rPr>
        <w:t xml:space="preserve"> cross-border acquiring rules, which allegedly prevent merchants located in countries with high interchange fees to seek lower-priced services from acquirers established in Member States with lower interchange fees. </w:t>
      </w:r>
    </w:p>
    <w:p w:rsidR="00320198" w:rsidRDefault="005C0948">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addition, the Commission continued i</w:t>
      </w:r>
      <w:r>
        <w:rPr>
          <w:rFonts w:ascii="Times New Roman" w:eastAsiaTheme="minorHAnsi" w:hAnsi="Times New Roman"/>
          <w:noProof/>
          <w:sz w:val="24"/>
          <w:szCs w:val="24"/>
        </w:rPr>
        <w:t xml:space="preserve">ts antitrust investigations into </w:t>
      </w:r>
      <w:r>
        <w:rPr>
          <w:rFonts w:ascii="Times New Roman" w:eastAsiaTheme="minorHAnsi" w:hAnsi="Times New Roman"/>
          <w:i/>
          <w:noProof/>
          <w:sz w:val="24"/>
          <w:szCs w:val="24"/>
        </w:rPr>
        <w:t xml:space="preserve">Mastercard's, Visa Inc.'s </w:t>
      </w:r>
      <w:r>
        <w:rPr>
          <w:rFonts w:ascii="Times New Roman" w:eastAsiaTheme="minorHAnsi" w:hAnsi="Times New Roman"/>
          <w:noProof/>
          <w:sz w:val="24"/>
          <w:szCs w:val="24"/>
        </w:rPr>
        <w:t>and</w:t>
      </w:r>
      <w:r>
        <w:rPr>
          <w:rFonts w:ascii="Times New Roman" w:eastAsiaTheme="minorHAnsi" w:hAnsi="Times New Roman"/>
          <w:i/>
          <w:noProof/>
          <w:sz w:val="24"/>
          <w:szCs w:val="24"/>
        </w:rPr>
        <w:t xml:space="preserve"> Visa International's</w:t>
      </w:r>
      <w:r>
        <w:rPr>
          <w:rFonts w:ascii="Times New Roman" w:eastAsiaTheme="minorHAnsi" w:hAnsi="Times New Roman"/>
          <w:noProof/>
          <w:sz w:val="24"/>
          <w:szCs w:val="24"/>
          <w:vertAlign w:val="superscript"/>
        </w:rPr>
        <w:footnoteReference w:id="258"/>
      </w:r>
      <w:r>
        <w:rPr>
          <w:rFonts w:ascii="Times New Roman" w:eastAsiaTheme="minorHAnsi" w:hAnsi="Times New Roman"/>
          <w:noProof/>
          <w:sz w:val="24"/>
          <w:szCs w:val="24"/>
        </w:rPr>
        <w:t xml:space="preserve"> multilateral interchange fees (MIFs) for transactions in the EEA made with cards issued outside the EEA (inter-regional MIFs). Inter-regional MIFs are not capped by the In</w:t>
      </w:r>
      <w:r>
        <w:rPr>
          <w:rFonts w:ascii="Times New Roman" w:eastAsiaTheme="minorHAnsi" w:hAnsi="Times New Roman"/>
          <w:noProof/>
          <w:sz w:val="24"/>
          <w:szCs w:val="24"/>
        </w:rPr>
        <w:t xml:space="preserve">terchange Fee Regulation. Those fees still represent a significant burden to European merchants and increase retail prices for all consumers. The Comission issued a Supplementary Statement of Objections to Visa Inc and Visa International on inter-regional </w:t>
      </w:r>
      <w:r>
        <w:rPr>
          <w:rFonts w:ascii="Times New Roman" w:eastAsiaTheme="minorHAnsi" w:hAnsi="Times New Roman"/>
          <w:noProof/>
          <w:sz w:val="24"/>
          <w:szCs w:val="24"/>
        </w:rPr>
        <w:t>MIFs in August 2017</w:t>
      </w:r>
      <w:r>
        <w:rPr>
          <w:rFonts w:ascii="Times New Roman" w:eastAsiaTheme="minorHAnsi" w:hAnsi="Times New Roman"/>
          <w:noProof/>
          <w:sz w:val="24"/>
          <w:szCs w:val="24"/>
          <w:vertAlign w:val="superscript"/>
        </w:rPr>
        <w:footnoteReference w:id="259"/>
      </w:r>
      <w:r>
        <w:rPr>
          <w:rFonts w:ascii="Times New Roman" w:eastAsiaTheme="minorHAnsi" w:hAnsi="Times New Roman"/>
          <w:noProof/>
          <w:sz w:val="24"/>
          <w:szCs w:val="24"/>
        </w:rPr>
        <w:t xml:space="preserve"> and the oral hearing was held in February 2018. </w:t>
      </w:r>
    </w:p>
    <w:p w:rsidR="00320198" w:rsidRDefault="005C0948">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In November 2018 Mastercard and Visa offered commitments to address the Commission’s competition concerns. Both card-schemes offered to reduce the current level of inter-regional MIFs to</w:t>
      </w:r>
      <w:r>
        <w:rPr>
          <w:rFonts w:ascii="Times New Roman" w:eastAsiaTheme="minorHAnsi" w:hAnsi="Times New Roman"/>
          <w:noProof/>
          <w:sz w:val="24"/>
          <w:szCs w:val="24"/>
        </w:rPr>
        <w:t xml:space="preserve"> or below binding caps. Moreover, Mastercard and Visa agreed to publish all inter-regional MIFs covered by the commitments in a clearly visible manner on their respective websites. To verify the appropriateness of the proposed commitments, the Commission c</w:t>
      </w:r>
      <w:r>
        <w:rPr>
          <w:rFonts w:ascii="Times New Roman" w:eastAsiaTheme="minorHAnsi" w:hAnsi="Times New Roman"/>
          <w:noProof/>
          <w:sz w:val="24"/>
          <w:szCs w:val="24"/>
        </w:rPr>
        <w:t>onsulted market participants on 5 December 2018.</w:t>
      </w:r>
      <w:r>
        <w:rPr>
          <w:rFonts w:ascii="Times New Roman" w:eastAsiaTheme="minorHAnsi" w:hAnsi="Times New Roman"/>
          <w:noProof/>
          <w:sz w:val="24"/>
          <w:szCs w:val="24"/>
          <w:vertAlign w:val="superscript"/>
        </w:rPr>
        <w:footnoteReference w:id="260"/>
      </w:r>
    </w:p>
    <w:p w:rsidR="00320198" w:rsidRDefault="005C0948">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As technology allows new services to emerge, such as electronic and mobile payments, with significant potential benefits for consumers and businesses notably in the Digital Single Market, the Commission has</w:t>
      </w:r>
      <w:r>
        <w:rPr>
          <w:rFonts w:ascii="Times New Roman" w:eastAsiaTheme="minorHAnsi" w:hAnsi="Times New Roman"/>
          <w:noProof/>
          <w:sz w:val="24"/>
          <w:szCs w:val="24"/>
        </w:rPr>
        <w:t xml:space="preserve"> continued to monitor developments in the new payments services and the Commission continued antitrust investigation concerning allegations that online access to bank account information by competing non-bank owned service providers may be prevented in ord</w:t>
      </w:r>
      <w:r>
        <w:rPr>
          <w:rFonts w:ascii="Times New Roman" w:eastAsiaTheme="minorHAnsi" w:hAnsi="Times New Roman"/>
          <w:noProof/>
          <w:sz w:val="24"/>
          <w:szCs w:val="24"/>
        </w:rPr>
        <w:t>er to exclude such service providers from the market.</w:t>
      </w:r>
      <w:r>
        <w:rPr>
          <w:rFonts w:ascii="Times New Roman" w:eastAsiaTheme="minorHAnsi" w:hAnsi="Times New Roman"/>
          <w:noProof/>
          <w:sz w:val="24"/>
          <w:szCs w:val="24"/>
          <w:vertAlign w:val="superscript"/>
        </w:rPr>
        <w:footnoteReference w:id="261"/>
      </w:r>
      <w:r>
        <w:rPr>
          <w:rFonts w:ascii="Times New Roman" w:eastAsiaTheme="minorHAnsi" w:hAnsi="Times New Roman"/>
          <w:noProof/>
          <w:sz w:val="24"/>
          <w:szCs w:val="24"/>
        </w:rPr>
        <w:t xml:space="preserve"> It is important to ensure that new and innovative services have a fair chance to develop and that incumbents do not exclude new market entrants or attempt to secure substantive parts of markets for the</w:t>
      </w:r>
      <w:r>
        <w:rPr>
          <w:rFonts w:ascii="Times New Roman" w:eastAsiaTheme="minorHAnsi" w:hAnsi="Times New Roman"/>
          <w:noProof/>
          <w:sz w:val="24"/>
          <w:szCs w:val="24"/>
        </w:rPr>
        <w:t>mselves.</w:t>
      </w:r>
    </w:p>
    <w:p w:rsidR="00320198" w:rsidRDefault="005C0948">
      <w:pPr>
        <w:widowControl w:val="0"/>
        <w:autoSpaceDE w:val="0"/>
        <w:autoSpaceDN w:val="0"/>
        <w:adjustRightInd w:val="0"/>
        <w:spacing w:line="240" w:lineRule="auto"/>
        <w:jc w:val="both"/>
        <w:rPr>
          <w:rFonts w:ascii="Times New Roman" w:hAnsi="Times New Roman"/>
          <w:i/>
          <w:iCs/>
          <w:noProof/>
          <w:color w:val="000000"/>
          <w:sz w:val="24"/>
          <w:szCs w:val="24"/>
        </w:rPr>
      </w:pPr>
      <w:r>
        <w:rPr>
          <w:rFonts w:ascii="Times New Roman" w:hAnsi="Times New Roman"/>
          <w:i/>
          <w:iCs/>
          <w:noProof/>
          <w:color w:val="000000"/>
          <w:sz w:val="24"/>
          <w:szCs w:val="24"/>
        </w:rPr>
        <w:t>Merger investigations in the financial sector</w:t>
      </w:r>
    </w:p>
    <w:p w:rsidR="00320198" w:rsidRDefault="005C0948">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The Commission continued to ensure that concentrations in the financial services sector do not lead to consumers paying higher prices or being offered less choice. In 2018, the Commission dealt with a </w:t>
      </w:r>
      <w:r>
        <w:rPr>
          <w:rFonts w:ascii="Times New Roman" w:eastAsiaTheme="minorHAnsi" w:hAnsi="Times New Roman"/>
          <w:noProof/>
          <w:sz w:val="24"/>
          <w:szCs w:val="24"/>
        </w:rPr>
        <w:t>number of cases in the sector, in particular involving activities in insurance, banking and payments, which did not pose a competitive threat and could be approved without requiring remedies.</w:t>
      </w:r>
      <w:r>
        <w:rPr>
          <w:rFonts w:ascii="Times New Roman" w:eastAsiaTheme="minorHAnsi" w:hAnsi="Times New Roman"/>
          <w:noProof/>
          <w:sz w:val="24"/>
          <w:szCs w:val="24"/>
          <w:vertAlign w:val="superscript"/>
        </w:rPr>
        <w:footnoteReference w:id="262"/>
      </w:r>
      <w:r>
        <w:rPr>
          <w:rFonts w:ascii="Times New Roman" w:eastAsiaTheme="minorHAnsi" w:hAnsi="Times New Roman"/>
          <w:noProof/>
          <w:sz w:val="24"/>
          <w:szCs w:val="24"/>
        </w:rPr>
        <w:t xml:space="preserve"> </w:t>
      </w:r>
    </w:p>
    <w:p w:rsidR="00320198" w:rsidRDefault="005C0948">
      <w:pPr>
        <w:widowControl w:val="0"/>
        <w:autoSpaceDE w:val="0"/>
        <w:autoSpaceDN w:val="0"/>
        <w:adjustRightInd w:val="0"/>
        <w:spacing w:line="240" w:lineRule="auto"/>
        <w:jc w:val="both"/>
        <w:rPr>
          <w:rFonts w:ascii="Times New Roman" w:hAnsi="Times New Roman"/>
          <w:i/>
          <w:iCs/>
          <w:noProof/>
          <w:color w:val="000000"/>
          <w:sz w:val="24"/>
          <w:szCs w:val="24"/>
        </w:rPr>
      </w:pPr>
      <w:r>
        <w:rPr>
          <w:rFonts w:ascii="Times New Roman" w:hAnsi="Times New Roman"/>
          <w:i/>
          <w:iCs/>
          <w:noProof/>
          <w:color w:val="000000"/>
          <w:sz w:val="24"/>
          <w:szCs w:val="24"/>
        </w:rPr>
        <w:t>State aid investigations in the financial sector</w:t>
      </w:r>
    </w:p>
    <w:p w:rsidR="00320198" w:rsidRDefault="005C0948">
      <w:pPr>
        <w:autoSpaceDE w:val="0"/>
        <w:autoSpaceDN w:val="0"/>
        <w:adjustRightInd w:val="0"/>
        <w:spacing w:line="240" w:lineRule="auto"/>
        <w:jc w:val="both"/>
        <w:rPr>
          <w:rFonts w:ascii="Times New Roman" w:eastAsiaTheme="minorHAnsi" w:hAnsi="Times New Roman"/>
          <w:noProof/>
          <w:sz w:val="24"/>
          <w:szCs w:val="24"/>
        </w:rPr>
      </w:pPr>
      <w:r>
        <w:rPr>
          <w:rFonts w:ascii="Times New Roman" w:hAnsi="Times New Roman"/>
          <w:noProof/>
          <w:sz w:val="24"/>
          <w:szCs w:val="24"/>
        </w:rPr>
        <w:t>The general s</w:t>
      </w:r>
      <w:r>
        <w:rPr>
          <w:rFonts w:ascii="Times New Roman" w:hAnsi="Times New Roman"/>
          <w:noProof/>
          <w:sz w:val="24"/>
          <w:szCs w:val="24"/>
        </w:rPr>
        <w:t>tabilisation of the financial sector has resulted in a reduction of State aid cases. Moreover, the Commission could close the monitoring of further ten banks with respect to commitment obligations resulting from previous State aid decisions. Despite this o</w:t>
      </w:r>
      <w:r>
        <w:rPr>
          <w:rFonts w:ascii="Times New Roman" w:hAnsi="Times New Roman"/>
          <w:noProof/>
          <w:sz w:val="24"/>
          <w:szCs w:val="24"/>
        </w:rPr>
        <w:t>verall positive development, the EU banking sector still faces some challenges, and also in 2018 banks asked for public support.</w:t>
      </w:r>
      <w:r>
        <w:rPr>
          <w:rFonts w:ascii="Times New Roman" w:eastAsiaTheme="minorHAnsi" w:hAnsi="Times New Roman"/>
          <w:noProof/>
          <w:sz w:val="24"/>
          <w:szCs w:val="24"/>
        </w:rPr>
        <w:t xml:space="preserve"> </w:t>
      </w:r>
    </w:p>
    <w:p w:rsidR="00320198" w:rsidRDefault="005C0948">
      <w:pPr>
        <w:autoSpaceDE w:val="0"/>
        <w:autoSpaceDN w:val="0"/>
        <w:adjustRightInd w:val="0"/>
        <w:spacing w:line="240" w:lineRule="auto"/>
        <w:jc w:val="both"/>
        <w:rPr>
          <w:rFonts w:ascii="Times New Roman" w:hAnsi="Times New Roman"/>
          <w:noProof/>
          <w:sz w:val="24"/>
          <w:szCs w:val="24"/>
        </w:rPr>
      </w:pPr>
      <w:r>
        <w:rPr>
          <w:rFonts w:ascii="Times New Roman" w:eastAsiaTheme="minorHAnsi" w:hAnsi="Times New Roman"/>
          <w:noProof/>
          <w:sz w:val="24"/>
          <w:szCs w:val="24"/>
        </w:rPr>
        <w:t xml:space="preserve">In 2018, the Commission continued to apply </w:t>
      </w:r>
      <w:r>
        <w:rPr>
          <w:rFonts w:ascii="Times New Roman" w:eastAsia="Times New Roman" w:hAnsi="Times New Roman"/>
          <w:noProof/>
          <w:sz w:val="24"/>
          <w:szCs w:val="24"/>
          <w:lang w:eastAsia="en-GB"/>
        </w:rPr>
        <w:t xml:space="preserve">the EU State aid rules for banks, in particular the </w:t>
      </w:r>
      <w:r>
        <w:rPr>
          <w:rFonts w:ascii="Times New Roman" w:eastAsiaTheme="minorHAnsi" w:hAnsi="Times New Roman"/>
          <w:i/>
          <w:noProof/>
          <w:sz w:val="24"/>
          <w:szCs w:val="24"/>
        </w:rPr>
        <w:t>2013 Banking Communication</w:t>
      </w:r>
      <w:r>
        <w:rPr>
          <w:rFonts w:ascii="Times New Roman" w:hAnsi="Times New Roman"/>
          <w:noProof/>
          <w:sz w:val="24"/>
          <w:szCs w:val="24"/>
          <w:vertAlign w:val="superscript"/>
        </w:rPr>
        <w:footnoteReference w:id="263"/>
      </w:r>
      <w:r>
        <w:rPr>
          <w:rFonts w:ascii="Times New Roman" w:eastAsiaTheme="minorHAnsi" w:hAnsi="Times New Roman"/>
          <w:i/>
          <w:noProof/>
          <w:sz w:val="24"/>
          <w:szCs w:val="24"/>
        </w:rPr>
        <w:t xml:space="preserve"> </w:t>
      </w:r>
      <w:r>
        <w:rPr>
          <w:rFonts w:ascii="Times New Roman" w:eastAsiaTheme="minorHAnsi" w:hAnsi="Times New Roman"/>
          <w:noProof/>
          <w:sz w:val="24"/>
          <w:szCs w:val="24"/>
        </w:rPr>
        <w:t>while ensuring close coordination with the authorities which are in charge of banking supervision and relate with the framework of the Banking Union</w:t>
      </w:r>
      <w:r>
        <w:rPr>
          <w:rFonts w:ascii="Times New Roman" w:eastAsiaTheme="minorHAnsi" w:hAnsi="Times New Roman"/>
          <w:noProof/>
          <w:sz w:val="24"/>
          <w:szCs w:val="24"/>
          <w:vertAlign w:val="superscript"/>
        </w:rPr>
        <w:footnoteReference w:id="264"/>
      </w:r>
      <w:r>
        <w:rPr>
          <w:rFonts w:ascii="Times New Roman" w:eastAsiaTheme="minorHAnsi" w:hAnsi="Times New Roman"/>
          <w:i/>
          <w:noProof/>
          <w:sz w:val="24"/>
          <w:szCs w:val="24"/>
        </w:rPr>
        <w:t xml:space="preserve"> </w:t>
      </w:r>
      <w:r>
        <w:rPr>
          <w:rFonts w:ascii="Times New Roman" w:eastAsiaTheme="minorHAnsi" w:hAnsi="Times New Roman"/>
          <w:noProof/>
          <w:sz w:val="24"/>
          <w:szCs w:val="24"/>
        </w:rPr>
        <w:t>As regards ailing banks, the State aid rules distinguish those that can be restructured and return to viab</w:t>
      </w:r>
      <w:r>
        <w:rPr>
          <w:rFonts w:ascii="Times New Roman" w:eastAsiaTheme="minorHAnsi" w:hAnsi="Times New Roman"/>
          <w:noProof/>
          <w:sz w:val="24"/>
          <w:szCs w:val="24"/>
        </w:rPr>
        <w:t xml:space="preserve">ility from non-viable banks that have to exit the market. </w:t>
      </w:r>
    </w:p>
    <w:p w:rsidR="00320198" w:rsidRDefault="005C0948">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One of the current main concerns is the still high level of non-performing loans (NPLs) in some Member States. High NPL ratios weaken banks that are burdened by legacy losses and high provisions an</w:t>
      </w:r>
      <w:r>
        <w:rPr>
          <w:rFonts w:ascii="Times New Roman" w:hAnsi="Times New Roman"/>
          <w:noProof/>
          <w:sz w:val="24"/>
          <w:szCs w:val="24"/>
        </w:rPr>
        <w:t>d render their attempts to generate sufficient income almost impossible. At the same time, it is often very difficult for the affected banks to raise new capital on the market.</w:t>
      </w:r>
    </w:p>
    <w:p w:rsidR="00320198" w:rsidRDefault="005C0948">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Banks that are troubled by high NPLs ratios have, therefore, asked for aid to s</w:t>
      </w:r>
      <w:r>
        <w:rPr>
          <w:rFonts w:ascii="Times New Roman" w:hAnsi="Times New Roman"/>
          <w:noProof/>
          <w:sz w:val="24"/>
          <w:szCs w:val="24"/>
        </w:rPr>
        <w:t>upport their restructuring efforts, for instance, by hiving off NPLs. To limit distortions of competition, the Commission could, however, only approve support for a non-viable bank under the condition that it will exit the market. In 2018, for example, the</w:t>
      </w:r>
      <w:r>
        <w:rPr>
          <w:rFonts w:ascii="Times New Roman" w:hAnsi="Times New Roman"/>
          <w:noProof/>
          <w:sz w:val="24"/>
          <w:szCs w:val="24"/>
        </w:rPr>
        <w:t xml:space="preserve"> Commission approved State aid for the sale of Cyprus' second largest bank, the Cyprus Cooperative Bank, and the winding down of the residual entity as liquidation aid.</w:t>
      </w:r>
      <w:r>
        <w:rPr>
          <w:rFonts w:ascii="Times New Roman" w:hAnsi="Times New Roman"/>
          <w:noProof/>
          <w:sz w:val="24"/>
          <w:szCs w:val="24"/>
        </w:rPr>
        <w:footnoteReference w:id="265"/>
      </w:r>
      <w:r>
        <w:rPr>
          <w:rFonts w:ascii="Times New Roman" w:hAnsi="Times New Roman"/>
          <w:noProof/>
          <w:sz w:val="24"/>
          <w:szCs w:val="24"/>
        </w:rPr>
        <w:t xml:space="preserve"> This allowed for the orderly market exit of the bank that had already received State s</w:t>
      </w:r>
      <w:r>
        <w:rPr>
          <w:rFonts w:ascii="Times New Roman" w:hAnsi="Times New Roman"/>
          <w:noProof/>
          <w:sz w:val="24"/>
          <w:szCs w:val="24"/>
        </w:rPr>
        <w:t xml:space="preserve">upport twice in the past. </w:t>
      </w:r>
    </w:p>
    <w:p w:rsidR="00320198" w:rsidRDefault="005C0948">
      <w:pPr>
        <w:widowControl w:val="0"/>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Further progress has also been made regarding guarantee schemes of some Member States. For example, the </w:t>
      </w:r>
      <w:r>
        <w:rPr>
          <w:rFonts w:ascii="Times New Roman" w:eastAsiaTheme="minorHAnsi" w:hAnsi="Times New Roman"/>
          <w:i/>
          <w:noProof/>
          <w:sz w:val="24"/>
          <w:szCs w:val="24"/>
        </w:rPr>
        <w:t>Italian guarantee scheme to facilitate the securitisation of non-performing loans</w:t>
      </w:r>
      <w:r>
        <w:rPr>
          <w:rFonts w:ascii="Times New Roman" w:eastAsiaTheme="minorHAnsi" w:hAnsi="Times New Roman"/>
          <w:noProof/>
          <w:sz w:val="24"/>
          <w:szCs w:val="24"/>
        </w:rPr>
        <w:t xml:space="preserve"> (GACS), initially approved in February 2016</w:t>
      </w:r>
      <w:r>
        <w:rPr>
          <w:rFonts w:ascii="Times New Roman" w:eastAsiaTheme="minorHAnsi" w:hAnsi="Times New Roman"/>
          <w:noProof/>
          <w:sz w:val="24"/>
          <w:szCs w:val="24"/>
        </w:rPr>
        <w:t xml:space="preserve">, </w:t>
      </w:r>
      <w:r>
        <w:rPr>
          <w:rFonts w:ascii="Times New Roman" w:hAnsi="Times New Roman"/>
          <w:noProof/>
          <w:sz w:val="24"/>
          <w:szCs w:val="24"/>
        </w:rPr>
        <w:t xml:space="preserve">was </w:t>
      </w:r>
      <w:r>
        <w:rPr>
          <w:rFonts w:ascii="Times New Roman" w:eastAsiaTheme="minorHAnsi" w:hAnsi="Times New Roman"/>
          <w:noProof/>
          <w:sz w:val="24"/>
          <w:szCs w:val="24"/>
        </w:rPr>
        <w:t>prolonged for a second time on 31 August 2018.</w:t>
      </w:r>
      <w:r>
        <w:rPr>
          <w:rFonts w:ascii="Times New Roman" w:eastAsiaTheme="minorHAnsi" w:hAnsi="Times New Roman"/>
          <w:noProof/>
          <w:sz w:val="24"/>
          <w:szCs w:val="24"/>
        </w:rPr>
        <w:footnoteReference w:id="266"/>
      </w:r>
      <w:r>
        <w:rPr>
          <w:rFonts w:ascii="Times New Roman" w:eastAsiaTheme="minorHAnsi" w:hAnsi="Times New Roman"/>
          <w:noProof/>
          <w:sz w:val="24"/>
          <w:szCs w:val="24"/>
        </w:rPr>
        <w:t xml:space="preserve"> Under the scheme, Italian banks, meeting certain conditions, will continue to be able to request a State guarantee on the lower-risk senior notes issued by private securitisation vehicles which help to </w:t>
      </w:r>
      <w:r>
        <w:rPr>
          <w:rFonts w:ascii="Times New Roman" w:eastAsiaTheme="minorHAnsi" w:hAnsi="Times New Roman"/>
          <w:noProof/>
          <w:sz w:val="24"/>
          <w:szCs w:val="24"/>
        </w:rPr>
        <w:t>finance the purchase of non-performing loan portfolios from them. The GACS mechanism is set up such to ensure that State guarantees on the senior notes continue to be remunerated at market terms according to the risk taken, that is to say in a manner accep</w:t>
      </w:r>
      <w:r>
        <w:rPr>
          <w:rFonts w:ascii="Times New Roman" w:eastAsiaTheme="minorHAnsi" w:hAnsi="Times New Roman"/>
          <w:noProof/>
          <w:sz w:val="24"/>
          <w:szCs w:val="24"/>
        </w:rPr>
        <w:t>table for a private operator under market conditions. Since its entry into force until mid-November 2018, the scheme has been accessed 17 times, removing ca. EUR 51 billion (gross book value) of non-performing loans from the Italian banking system, which c</w:t>
      </w:r>
      <w:r>
        <w:rPr>
          <w:rFonts w:ascii="Times New Roman" w:eastAsiaTheme="minorHAnsi" w:hAnsi="Times New Roman"/>
          <w:noProof/>
          <w:sz w:val="24"/>
          <w:szCs w:val="24"/>
        </w:rPr>
        <w:t>orresponds to over 60% of the total reduction of non-performing loans in Italy during that period.</w:t>
      </w:r>
    </w:p>
    <w:p w:rsidR="00320198" w:rsidRDefault="005C0948">
      <w:pPr>
        <w:widowControl w:val="0"/>
        <w:spacing w:line="240" w:lineRule="auto"/>
        <w:jc w:val="both"/>
        <w:rPr>
          <w:rFonts w:ascii="Times New Roman" w:hAnsi="Times New Roman"/>
          <w:noProof/>
          <w:sz w:val="24"/>
        </w:rPr>
      </w:pPr>
      <w:r>
        <w:rPr>
          <w:rFonts w:ascii="Times New Roman" w:hAnsi="Times New Roman"/>
          <w:noProof/>
          <w:sz w:val="24"/>
          <w:szCs w:val="24"/>
        </w:rPr>
        <w:t xml:space="preserve">As in previous years, State aid control in 2018 included </w:t>
      </w:r>
      <w:r>
        <w:rPr>
          <w:rFonts w:ascii="Times New Roman" w:eastAsiaTheme="minorHAnsi" w:hAnsi="Times New Roman"/>
          <w:noProof/>
          <w:sz w:val="24"/>
          <w:szCs w:val="24"/>
        </w:rPr>
        <w:t>legacy cases which preceded the entry into force of the BRRD. The Commission monitored the Member St</w:t>
      </w:r>
      <w:r>
        <w:rPr>
          <w:rFonts w:ascii="Times New Roman" w:eastAsiaTheme="minorHAnsi" w:hAnsi="Times New Roman"/>
          <w:noProof/>
          <w:sz w:val="24"/>
          <w:szCs w:val="24"/>
        </w:rPr>
        <w:t xml:space="preserve">ates' compliance with their commitments given in the context of previous decisions. When an additional  assessment was required, the Commission adopted an additional decision. This happened in the case of the German </w:t>
      </w:r>
      <w:r>
        <w:rPr>
          <w:rFonts w:ascii="Times New Roman" w:eastAsiaTheme="minorHAnsi" w:hAnsi="Times New Roman"/>
          <w:i/>
          <w:noProof/>
          <w:sz w:val="24"/>
          <w:szCs w:val="24"/>
        </w:rPr>
        <w:t>HSH Nordbank</w:t>
      </w:r>
      <w:r>
        <w:rPr>
          <w:rFonts w:ascii="Times New Roman" w:eastAsiaTheme="minorHAnsi" w:hAnsi="Times New Roman"/>
          <w:noProof/>
          <w:sz w:val="24"/>
          <w:szCs w:val="24"/>
        </w:rPr>
        <w:t xml:space="preserve"> where the Commission in 201</w:t>
      </w:r>
      <w:r>
        <w:rPr>
          <w:rFonts w:ascii="Times New Roman" w:eastAsiaTheme="minorHAnsi" w:hAnsi="Times New Roman"/>
          <w:noProof/>
          <w:sz w:val="24"/>
          <w:szCs w:val="24"/>
        </w:rPr>
        <w:t>6 approved the bank's guarantee ceiling - which was re-increased in 2013 back to the level of 2011 – but adopted an additional decision assessing Germany's compliance with its commitment to split the bank and either privatise the operational subsidiary or,</w:t>
      </w:r>
      <w:r>
        <w:rPr>
          <w:rFonts w:ascii="Times New Roman" w:eastAsiaTheme="minorHAnsi" w:hAnsi="Times New Roman"/>
          <w:noProof/>
          <w:sz w:val="24"/>
          <w:szCs w:val="24"/>
        </w:rPr>
        <w:t xml:space="preserve"> in case of a failed sale, to </w:t>
      </w:r>
      <w:r>
        <w:rPr>
          <w:rFonts w:ascii="Times New Roman" w:hAnsi="Times New Roman"/>
          <w:noProof/>
          <w:sz w:val="24"/>
        </w:rPr>
        <w:t>cease new business and divest its assets.</w:t>
      </w:r>
      <w:r>
        <w:rPr>
          <w:rFonts w:ascii="Times New Roman" w:eastAsiaTheme="minorHAnsi" w:hAnsi="Times New Roman"/>
          <w:noProof/>
          <w:sz w:val="24"/>
          <w:szCs w:val="24"/>
          <w:vertAlign w:val="superscript"/>
        </w:rPr>
        <w:footnoteReference w:id="267"/>
      </w:r>
    </w:p>
    <w:p w:rsidR="00320198" w:rsidRDefault="005C0948">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42" w:name="_Toc8831318"/>
      <w:r>
        <w:rPr>
          <w:rFonts w:ascii="Times New Roman" w:eastAsia="Times New Roman" w:hAnsi="Times New Roman"/>
          <w:b/>
          <w:smallCaps/>
          <w:noProof/>
          <w:sz w:val="24"/>
          <w:szCs w:val="24"/>
        </w:rPr>
        <w:t>4. Taxation and State aid</w:t>
      </w:r>
      <w:bookmarkEnd w:id="42"/>
      <w:r>
        <w:rPr>
          <w:rFonts w:ascii="Times New Roman" w:eastAsia="Times New Roman" w:hAnsi="Times New Roman"/>
          <w:b/>
          <w:smallCaps/>
          <w:noProof/>
          <w:sz w:val="24"/>
          <w:szCs w:val="24"/>
        </w:rPr>
        <w:t xml:space="preserve"> </w:t>
      </w:r>
    </w:p>
    <w:p w:rsidR="00320198" w:rsidRDefault="005C0948">
      <w:pPr>
        <w:widowControl w:val="0"/>
        <w:tabs>
          <w:tab w:val="num" w:pos="360"/>
        </w:tabs>
        <w:spacing w:line="240" w:lineRule="auto"/>
        <w:jc w:val="both"/>
        <w:rPr>
          <w:rFonts w:ascii="Times New Roman" w:hAnsi="Times New Roman"/>
          <w:b/>
          <w:noProof/>
          <w:color w:val="000000"/>
          <w:sz w:val="24"/>
          <w:szCs w:val="24"/>
          <w:lang w:eastAsia="en-GB"/>
        </w:rPr>
      </w:pPr>
      <w:r>
        <w:rPr>
          <w:rFonts w:ascii="Times New Roman" w:hAnsi="Times New Roman"/>
          <w:b/>
          <w:noProof/>
          <w:color w:val="000000"/>
          <w:sz w:val="24"/>
          <w:szCs w:val="24"/>
          <w:lang w:eastAsia="en-GB"/>
        </w:rPr>
        <w:t>Overview of key challenges on tax evasion and avoidance and fiscal aid</w:t>
      </w:r>
    </w:p>
    <w:p w:rsidR="00320198" w:rsidRDefault="005C0948">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The focus the Commission has put on fighting tax evasion and tax avoidance echoes </w:t>
      </w:r>
      <w:r>
        <w:rPr>
          <w:rFonts w:ascii="Times New Roman" w:hAnsi="Times New Roman"/>
          <w:noProof/>
          <w:sz w:val="24"/>
          <w:szCs w:val="24"/>
        </w:rPr>
        <w:t>the priorities set by President Juncker in his Political Guidelines and which are also reflected in his Mission Letter to Commissioner Vestager. That is also in line with efforts at the international level, namely by the OECD, to tackle tax base erosion an</w:t>
      </w:r>
      <w:r>
        <w:rPr>
          <w:rFonts w:ascii="Times New Roman" w:hAnsi="Times New Roman"/>
          <w:noProof/>
          <w:sz w:val="24"/>
          <w:szCs w:val="24"/>
        </w:rPr>
        <w:t>d profit shifting to better align the right to tax with economic activity.</w:t>
      </w:r>
      <w:r>
        <w:rPr>
          <w:rFonts w:ascii="Times New Roman" w:hAnsi="Times New Roman"/>
          <w:noProof/>
          <w:sz w:val="24"/>
          <w:szCs w:val="24"/>
          <w:vertAlign w:val="superscript"/>
        </w:rPr>
        <w:footnoteReference w:id="268"/>
      </w:r>
      <w:r>
        <w:rPr>
          <w:rFonts w:ascii="Times New Roman" w:hAnsi="Times New Roman"/>
          <w:noProof/>
          <w:sz w:val="24"/>
          <w:szCs w:val="24"/>
        </w:rPr>
        <w:t xml:space="preserve"> State aid investigations into Member States' tax ruling practices, which began in 2013, before the Luxleaks revelations, are one of the tools the Commission has at its disposal to </w:t>
      </w:r>
      <w:r>
        <w:rPr>
          <w:rFonts w:ascii="Times New Roman" w:hAnsi="Times New Roman"/>
          <w:noProof/>
          <w:sz w:val="24"/>
          <w:szCs w:val="24"/>
        </w:rPr>
        <w:t>ensure that companies pay the taxes they owe in the Member States where they generate economic value.</w:t>
      </w:r>
    </w:p>
    <w:p w:rsidR="00320198" w:rsidRDefault="005C0948">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Tax evasion and avoidance can be the result of aggressive tax planning strategies, in so far as they shift profits to low or no-tax locations where there </w:t>
      </w:r>
      <w:r>
        <w:rPr>
          <w:rFonts w:ascii="Times New Roman" w:hAnsi="Times New Roman"/>
          <w:noProof/>
          <w:sz w:val="24"/>
          <w:szCs w:val="24"/>
        </w:rPr>
        <w:t>is little or no economic activity, resulting in little or no overall corporate tax being paid. Aggressive tax planning can be pursued by making use of preferential tax schemes, or by requesting individual tax rulings. They all have in common that they resu</w:t>
      </w:r>
      <w:r>
        <w:rPr>
          <w:rFonts w:ascii="Times New Roman" w:hAnsi="Times New Roman"/>
          <w:noProof/>
          <w:sz w:val="24"/>
          <w:szCs w:val="24"/>
        </w:rPr>
        <w:t>lt in a loss of tax revenue in the Member State where economic value is generated but not taxed, and in Europe as a whole because the tax eventually paid is less than it would have been if the profits had not been shifted.</w:t>
      </w:r>
    </w:p>
    <w:p w:rsidR="00320198" w:rsidRDefault="005C0948">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The side effects of aggressive ta</w:t>
      </w:r>
      <w:r>
        <w:rPr>
          <w:rFonts w:ascii="Times New Roman" w:hAnsi="Times New Roman"/>
          <w:noProof/>
          <w:sz w:val="24"/>
          <w:szCs w:val="24"/>
        </w:rPr>
        <w:t>x planning for the EU are particularly negative: first, it results in undue tax reliefs that distort competition by granting advantages only to selected companies; second, it involves an issue of social equity as the revenues foregone from untaxed multinat</w:t>
      </w:r>
      <w:r>
        <w:rPr>
          <w:rFonts w:ascii="Times New Roman" w:hAnsi="Times New Roman"/>
          <w:noProof/>
          <w:sz w:val="24"/>
          <w:szCs w:val="24"/>
        </w:rPr>
        <w:t>ionals need to be compensated, which normally shifts the burden to the less mobile income of SMEs and labour and third, from the perspective of the dislocation of activities, aggressive tax planning can present a threat to the sustainable growth of the int</w:t>
      </w:r>
      <w:r>
        <w:rPr>
          <w:rFonts w:ascii="Times New Roman" w:hAnsi="Times New Roman"/>
          <w:noProof/>
          <w:sz w:val="24"/>
          <w:szCs w:val="24"/>
        </w:rPr>
        <w:t>ernal market if some Member States were to offer exit points for European profits of multinationals in exchange for creating jobs on their territory and a limited tax payment.</w:t>
      </w:r>
    </w:p>
    <w:p w:rsidR="00320198" w:rsidRDefault="005C0948">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Tax legislation and tax collection are competences of the Member States. However</w:t>
      </w:r>
      <w:r>
        <w:rPr>
          <w:rFonts w:ascii="Times New Roman" w:hAnsi="Times New Roman"/>
          <w:noProof/>
          <w:sz w:val="24"/>
          <w:szCs w:val="24"/>
        </w:rPr>
        <w:t>, even in this area where the Member States enjoy fiscal autonomy, any national tax measures adopted have to comply with internal market rules and, amongst others, abide by competition law.</w:t>
      </w:r>
      <w:r>
        <w:rPr>
          <w:rFonts w:ascii="Times New Roman" w:hAnsi="Times New Roman"/>
          <w:noProof/>
          <w:sz w:val="24"/>
          <w:szCs w:val="24"/>
          <w:vertAlign w:val="superscript"/>
        </w:rPr>
        <w:footnoteReference w:id="269"/>
      </w:r>
    </w:p>
    <w:p w:rsidR="00320198" w:rsidRDefault="005C0948">
      <w:pPr>
        <w:spacing w:after="240" w:line="240" w:lineRule="auto"/>
        <w:rPr>
          <w:rFonts w:ascii="Times New Roman" w:hAnsi="Times New Roman"/>
          <w:i/>
          <w:iCs/>
          <w:noProof/>
          <w:color w:val="000000"/>
          <w:sz w:val="24"/>
          <w:szCs w:val="24"/>
          <w:lang w:eastAsia="en-GB"/>
        </w:rPr>
      </w:pPr>
      <w:r>
        <w:rPr>
          <w:rFonts w:ascii="Times New Roman" w:hAnsi="Times New Roman"/>
          <w:b/>
          <w:noProof/>
          <w:color w:val="000000"/>
          <w:sz w:val="24"/>
          <w:szCs w:val="24"/>
          <w:lang w:eastAsia="en-GB"/>
        </w:rPr>
        <w:t>Contribution of EU competition policy to tackling the challenges</w:t>
      </w:r>
    </w:p>
    <w:p w:rsidR="00320198" w:rsidRDefault="005C0948">
      <w:pPr>
        <w:widowControl w:val="0"/>
        <w:tabs>
          <w:tab w:val="num" w:pos="360"/>
        </w:tabs>
        <w:spacing w:line="240" w:lineRule="auto"/>
        <w:jc w:val="both"/>
        <w:rPr>
          <w:rFonts w:ascii="Times New Roman" w:hAnsi="Times New Roman"/>
          <w:i/>
          <w:iCs/>
          <w:noProof/>
          <w:color w:val="000000"/>
          <w:sz w:val="24"/>
          <w:szCs w:val="24"/>
          <w:lang w:eastAsia="en-GB"/>
        </w:rPr>
      </w:pPr>
      <w:r>
        <w:rPr>
          <w:rFonts w:ascii="Times New Roman" w:hAnsi="Times New Roman"/>
          <w:i/>
          <w:iCs/>
          <w:noProof/>
          <w:color w:val="000000"/>
          <w:sz w:val="24"/>
          <w:szCs w:val="24"/>
          <w:lang w:eastAsia="en-GB"/>
        </w:rPr>
        <w:t>State aid investigations and decisions concerning aggressive tax planning</w:t>
      </w:r>
    </w:p>
    <w:p w:rsidR="00320198" w:rsidRDefault="005C0948">
      <w:pPr>
        <w:widowControl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Throughout 2014-2018, the Commission has continued to gather information on tax planning practices, enquiring into the tax rulings practice and possible fiscal aid schemes of all Mem</w:t>
      </w:r>
      <w:r>
        <w:rPr>
          <w:rFonts w:ascii="Times New Roman" w:hAnsi="Times New Roman"/>
          <w:noProof/>
          <w:sz w:val="24"/>
          <w:szCs w:val="24"/>
          <w:lang w:eastAsia="en-GB"/>
        </w:rPr>
        <w:t>ber States. The enquiry is aimed at clarifying allegations that tax rulings may constitute State aid and to allow the Commission to take an informed view of the practices of all Member States. Overall the Commission has looked into more than 1 000 rulings.</w:t>
      </w:r>
    </w:p>
    <w:p w:rsidR="00320198" w:rsidRDefault="005C0948">
      <w:pPr>
        <w:spacing w:before="200" w:after="0" w:line="240" w:lineRule="auto"/>
        <w:jc w:val="both"/>
        <w:rPr>
          <w:rFonts w:ascii="Times New Roman" w:hAnsi="Times New Roman"/>
          <w:noProof/>
          <w:spacing w:val="-2"/>
          <w:sz w:val="24"/>
          <w:szCs w:val="24"/>
          <w:lang w:eastAsia="en-GB"/>
        </w:rPr>
      </w:pPr>
      <w:r>
        <w:rPr>
          <w:rFonts w:ascii="Times New Roman" w:hAnsi="Times New Roman"/>
          <w:noProof/>
          <w:spacing w:val="-2"/>
          <w:sz w:val="24"/>
          <w:szCs w:val="24"/>
          <w:lang w:eastAsia="en-GB"/>
        </w:rPr>
        <w:t>Financing companies provide financial services intra-group and their profit is the remuneration for their financing activities. This remuneration has to be in line with the arm's length principle. This issue has been one of the key areas since the Commiss</w:t>
      </w:r>
      <w:r>
        <w:rPr>
          <w:rFonts w:ascii="Times New Roman" w:hAnsi="Times New Roman"/>
          <w:noProof/>
          <w:spacing w:val="-2"/>
          <w:sz w:val="24"/>
          <w:szCs w:val="24"/>
          <w:lang w:eastAsia="en-GB"/>
        </w:rPr>
        <w:t>ion started looking into the tax ruling practices of Member States. The Working Paper published as part of this review in June 2016 indicated concerns that some tax rulings for financing companies endorse very low margins and a low taxable base.</w:t>
      </w:r>
      <w:r>
        <w:rPr>
          <w:rFonts w:ascii="Times New Roman" w:hAnsi="Times New Roman"/>
          <w:noProof/>
          <w:spacing w:val="-2"/>
          <w:sz w:val="24"/>
          <w:szCs w:val="24"/>
          <w:vertAlign w:val="superscript"/>
          <w:lang w:eastAsia="en-GB"/>
        </w:rPr>
        <w:footnoteReference w:id="270"/>
      </w:r>
      <w:r>
        <w:rPr>
          <w:rFonts w:ascii="Times New Roman" w:hAnsi="Times New Roman"/>
          <w:noProof/>
          <w:spacing w:val="-2"/>
          <w:sz w:val="24"/>
          <w:szCs w:val="24"/>
          <w:lang w:eastAsia="en-GB"/>
        </w:rPr>
        <w:t xml:space="preserve"> </w:t>
      </w:r>
    </w:p>
    <w:p w:rsidR="00320198" w:rsidRDefault="005C0948">
      <w:pPr>
        <w:spacing w:before="200" w:after="0" w:line="240" w:lineRule="auto"/>
        <w:jc w:val="both"/>
        <w:rPr>
          <w:rFonts w:ascii="Times New Roman" w:hAnsi="Times New Roman"/>
          <w:noProof/>
          <w:spacing w:val="-2"/>
          <w:sz w:val="24"/>
          <w:szCs w:val="24"/>
        </w:rPr>
      </w:pPr>
      <w:r>
        <w:rPr>
          <w:rFonts w:ascii="Times New Roman" w:hAnsi="Times New Roman"/>
          <w:noProof/>
          <w:spacing w:val="-2"/>
          <w:sz w:val="24"/>
          <w:szCs w:val="24"/>
        </w:rPr>
        <w:t xml:space="preserve">In this </w:t>
      </w:r>
      <w:r>
        <w:rPr>
          <w:rFonts w:ascii="Times New Roman" w:hAnsi="Times New Roman"/>
          <w:noProof/>
          <w:spacing w:val="-2"/>
          <w:sz w:val="24"/>
          <w:szCs w:val="24"/>
        </w:rPr>
        <w:t>context, the Commission supported Luxembourg and Cyprus to amend their tax rules in order to avoid undue advantages to financing companies. Luxembourg amended its rules on financing companies at the end of 2016, by way of an administrative circular.</w:t>
      </w:r>
      <w:r>
        <w:rPr>
          <w:rFonts w:ascii="Times New Roman" w:hAnsi="Times New Roman"/>
          <w:noProof/>
          <w:spacing w:val="-2"/>
          <w:sz w:val="24"/>
          <w:szCs w:val="24"/>
          <w:vertAlign w:val="superscript"/>
        </w:rPr>
        <w:footnoteReference w:id="271"/>
      </w:r>
      <w:r>
        <w:rPr>
          <w:rFonts w:ascii="Times New Roman" w:hAnsi="Times New Roman"/>
          <w:noProof/>
          <w:spacing w:val="-2"/>
          <w:sz w:val="24"/>
          <w:szCs w:val="24"/>
        </w:rPr>
        <w:t xml:space="preserve"> These</w:t>
      </w:r>
      <w:r>
        <w:rPr>
          <w:rFonts w:ascii="Times New Roman" w:hAnsi="Times New Roman"/>
          <w:noProof/>
          <w:spacing w:val="-2"/>
          <w:sz w:val="24"/>
          <w:szCs w:val="24"/>
        </w:rPr>
        <w:t xml:space="preserve"> rules entered into effect as of 1 January 2017. Similarly, with a circular dated 30 June 2017, Cyprus introduced changes to their national rules to make them more stringent as regards the tax treatment of financing companies. Additional changes were made </w:t>
      </w:r>
      <w:r>
        <w:rPr>
          <w:rFonts w:ascii="Times New Roman" w:hAnsi="Times New Roman"/>
          <w:noProof/>
          <w:spacing w:val="-2"/>
          <w:sz w:val="24"/>
          <w:szCs w:val="24"/>
        </w:rPr>
        <w:t>by Cyprus on 3 September 2018 on the rules on non-return capital contributions. On 21 December 2018, Luxembourg addressed certain issues with regard to Art. 22bis LIR</w:t>
      </w:r>
      <w:r>
        <w:rPr>
          <w:rFonts w:ascii="Times New Roman" w:hAnsi="Times New Roman"/>
          <w:noProof/>
          <w:spacing w:val="-2"/>
          <w:sz w:val="24"/>
          <w:szCs w:val="24"/>
        </w:rPr>
        <w:footnoteReference w:id="272"/>
      </w:r>
      <w:r>
        <w:rPr>
          <w:rFonts w:ascii="Times New Roman" w:hAnsi="Times New Roman"/>
          <w:noProof/>
          <w:spacing w:val="-2"/>
          <w:sz w:val="24"/>
          <w:szCs w:val="24"/>
        </w:rPr>
        <w:t xml:space="preserve"> and Art. 16 StAnpG.</w:t>
      </w:r>
      <w:r>
        <w:rPr>
          <w:rFonts w:ascii="Times New Roman" w:hAnsi="Times New Roman"/>
          <w:noProof/>
          <w:spacing w:val="-2"/>
          <w:sz w:val="24"/>
          <w:szCs w:val="24"/>
        </w:rPr>
        <w:footnoteReference w:id="273"/>
      </w:r>
      <w:r>
        <w:rPr>
          <w:rFonts w:ascii="Times New Roman" w:hAnsi="Times New Roman"/>
          <w:noProof/>
          <w:spacing w:val="-2"/>
          <w:sz w:val="24"/>
          <w:szCs w:val="24"/>
        </w:rPr>
        <w:t xml:space="preserve"> </w:t>
      </w:r>
    </w:p>
    <w:p w:rsidR="00320198" w:rsidRDefault="005C0948">
      <w:pPr>
        <w:widowControl w:val="0"/>
        <w:tabs>
          <w:tab w:val="num" w:pos="360"/>
        </w:tabs>
        <w:spacing w:before="240" w:line="240" w:lineRule="auto"/>
        <w:jc w:val="both"/>
        <w:rPr>
          <w:rFonts w:ascii="Times New Roman" w:hAnsi="Times New Roman"/>
          <w:i/>
          <w:iCs/>
          <w:noProof/>
          <w:color w:val="000000"/>
          <w:sz w:val="24"/>
          <w:szCs w:val="24"/>
          <w:lang w:eastAsia="en-GB"/>
        </w:rPr>
      </w:pPr>
      <w:r>
        <w:rPr>
          <w:rFonts w:ascii="Times New Roman" w:hAnsi="Times New Roman"/>
          <w:i/>
          <w:iCs/>
          <w:noProof/>
          <w:color w:val="000000"/>
          <w:sz w:val="24"/>
          <w:szCs w:val="24"/>
          <w:lang w:eastAsia="en-GB"/>
        </w:rPr>
        <w:t>Important cases</w:t>
      </w:r>
    </w:p>
    <w:p w:rsidR="00320198" w:rsidRDefault="005C0948">
      <w:pPr>
        <w:widowControl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On 20 June 2018, the Commission adopted a decision</w:t>
      </w:r>
      <w:r>
        <w:rPr>
          <w:rFonts w:ascii="Times New Roman" w:hAnsi="Times New Roman"/>
          <w:noProof/>
          <w:sz w:val="24"/>
          <w:szCs w:val="24"/>
          <w:lang w:eastAsia="en-GB"/>
        </w:rPr>
        <w:t xml:space="preserve"> requiring Luxembourg to recover a selective tax advantage granted to </w:t>
      </w:r>
      <w:r>
        <w:rPr>
          <w:rFonts w:ascii="Times New Roman" w:hAnsi="Times New Roman"/>
          <w:i/>
          <w:noProof/>
          <w:sz w:val="24"/>
          <w:szCs w:val="24"/>
          <w:lang w:eastAsia="en-GB"/>
        </w:rPr>
        <w:t>Engie</w:t>
      </w:r>
      <w:r>
        <w:rPr>
          <w:rFonts w:ascii="Times New Roman" w:hAnsi="Times New Roman"/>
          <w:noProof/>
          <w:sz w:val="24"/>
          <w:szCs w:val="24"/>
          <w:vertAlign w:val="superscript"/>
          <w:lang w:eastAsia="en-GB"/>
        </w:rPr>
        <w:footnoteReference w:id="274"/>
      </w:r>
      <w:r>
        <w:rPr>
          <w:rFonts w:ascii="Times New Roman" w:hAnsi="Times New Roman"/>
          <w:noProof/>
          <w:sz w:val="24"/>
          <w:szCs w:val="24"/>
          <w:lang w:eastAsia="en-GB"/>
        </w:rPr>
        <w:t xml:space="preserve"> by way of several tax rulings amounting to more than EUR 120 million.</w:t>
      </w:r>
    </w:p>
    <w:p w:rsidR="00320198" w:rsidRDefault="005C0948">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b/>
          <w:noProof/>
          <w:spacing w:val="-2"/>
          <w:sz w:val="20"/>
          <w:szCs w:val="20"/>
        </w:rPr>
      </w:pPr>
      <w:r>
        <w:rPr>
          <w:rFonts w:ascii="Times New Roman" w:hAnsi="Times New Roman"/>
          <w:b/>
          <w:noProof/>
          <w:color w:val="000000"/>
          <w:sz w:val="20"/>
          <w:szCs w:val="20"/>
          <w:lang w:eastAsia="en-GB"/>
        </w:rPr>
        <w:t xml:space="preserve">Luxembourg – The Engie decision </w:t>
      </w:r>
    </w:p>
    <w:p w:rsidR="00320198" w:rsidRDefault="005C0948">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 xml:space="preserve">In 2008 and 2010, respectively, Engie implemented two complex intra-group </w:t>
      </w:r>
      <w:r>
        <w:rPr>
          <w:rFonts w:ascii="Times New Roman" w:hAnsi="Times New Roman"/>
          <w:noProof/>
          <w:sz w:val="20"/>
          <w:szCs w:val="24"/>
          <w:lang w:eastAsia="en-GB"/>
        </w:rPr>
        <w:t>financing structures in Luxembourg. These involved triangular financing transactions where two holdings of the Engie group would provide financing via intermediary companies to two subsidiaires, Engie LNG Supply and Engie Treasury Management, in the form o</w:t>
      </w:r>
      <w:r>
        <w:rPr>
          <w:rFonts w:ascii="Times New Roman" w:hAnsi="Times New Roman"/>
          <w:noProof/>
          <w:sz w:val="20"/>
          <w:szCs w:val="24"/>
          <w:lang w:eastAsia="en-GB"/>
        </w:rPr>
        <w:t>f highly complex convertible loans.</w:t>
      </w:r>
    </w:p>
    <w:p w:rsidR="00320198" w:rsidRDefault="005C0948">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Subsequent tax rulings issued by the Luxembourg tax administration from 2008 endorsed a tax treatment where the same financing transaction was treated as debt at the level of Engie LNG Supply and Engie Treasury Managemen</w:t>
      </w:r>
      <w:r>
        <w:rPr>
          <w:rFonts w:ascii="Times New Roman" w:hAnsi="Times New Roman"/>
          <w:noProof/>
          <w:sz w:val="20"/>
          <w:szCs w:val="24"/>
          <w:lang w:eastAsia="en-GB"/>
        </w:rPr>
        <w:t>t and equity at the level of the holdings. According to the tax rulings, Engie LNG Supply and Engie Treasury Management are allowed to deduct annually from their tax base the interest related to the convertible loans, which in practice amounted to more tha</w:t>
      </w:r>
      <w:r>
        <w:rPr>
          <w:rFonts w:ascii="Times New Roman" w:hAnsi="Times New Roman"/>
          <w:noProof/>
          <w:sz w:val="20"/>
          <w:szCs w:val="24"/>
          <w:lang w:eastAsia="en-GB"/>
        </w:rPr>
        <w:t>n 99% of their profit. That interest is however paid only at conversion and in the form of shares to the intermediaries, that would pass on the shares to the holdings. The holdings would then cancel the shares to cash the profit made by Engie LNG Supply an</w:t>
      </w:r>
      <w:r>
        <w:rPr>
          <w:rFonts w:ascii="Times New Roman" w:hAnsi="Times New Roman"/>
          <w:noProof/>
          <w:sz w:val="20"/>
          <w:szCs w:val="24"/>
          <w:lang w:eastAsia="en-GB"/>
        </w:rPr>
        <w:t>d Engie Treasury Management, which would remain tax-exempt in application of the participation exemption. The result is that Engie did not pay any tax on more than 99% of the profit generated by Engie LNG Supply and Engie Treasury Management in Luxembourg.</w:t>
      </w:r>
    </w:p>
    <w:p w:rsidR="00320198" w:rsidRDefault="005C0948">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The Commission concluded that the tax rulings endorsed an inconsistent tax reatment of the same financing transaction leading to non-taxation at all levels. This is a more favourable treatment than under the standard Luxembourg tax rules, which exempt fro</w:t>
      </w:r>
      <w:r>
        <w:rPr>
          <w:rFonts w:ascii="Times New Roman" w:hAnsi="Times New Roman"/>
          <w:noProof/>
          <w:sz w:val="20"/>
          <w:szCs w:val="24"/>
          <w:lang w:eastAsia="en-GB"/>
        </w:rPr>
        <w:t xml:space="preserve">m taxation income received by a shareholder from its subsidiary, </w:t>
      </w:r>
      <w:r>
        <w:rPr>
          <w:rFonts w:ascii="Times New Roman" w:hAnsi="Times New Roman"/>
          <w:bCs/>
          <w:noProof/>
          <w:sz w:val="20"/>
          <w:szCs w:val="24"/>
          <w:lang w:eastAsia="en-GB"/>
        </w:rPr>
        <w:t>provided</w:t>
      </w:r>
      <w:r>
        <w:rPr>
          <w:rFonts w:ascii="Times New Roman" w:hAnsi="Times New Roman"/>
          <w:noProof/>
          <w:sz w:val="20"/>
          <w:szCs w:val="24"/>
          <w:lang w:eastAsia="en-GB"/>
        </w:rPr>
        <w:t xml:space="preserve"> that income is in general taxed at the level of the subsidiary. Luxembourg did not provide any valid justification for this derogation. Therefore, the tax treament granted to Engie c</w:t>
      </w:r>
      <w:r>
        <w:rPr>
          <w:rFonts w:ascii="Times New Roman" w:hAnsi="Times New Roman"/>
          <w:noProof/>
          <w:sz w:val="20"/>
          <w:szCs w:val="24"/>
          <w:lang w:eastAsia="en-GB"/>
        </w:rPr>
        <w:t xml:space="preserve">onstitutes a selective advantage. </w:t>
      </w:r>
    </w:p>
    <w:p w:rsidR="00320198" w:rsidRDefault="005C0948">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The Commission estimates that this unfair tax advantage amounted to up to EUR 120 million corresponding to the profit generated by Engie LNG Supply in the period between 2009 and 2014 and exempted at the level of the hold</w:t>
      </w:r>
      <w:r>
        <w:rPr>
          <w:rFonts w:ascii="Times New Roman" w:hAnsi="Times New Roman"/>
          <w:noProof/>
          <w:sz w:val="20"/>
          <w:szCs w:val="24"/>
          <w:lang w:eastAsia="en-GB"/>
        </w:rPr>
        <w:t>ing after the partial conversion of the convertible loan in 2014. As regards Engie Treasury Management, its profits will have to be taxed in line with standard Luxembourg tax rules, as soon as the loan is converted.</w:t>
      </w:r>
    </w:p>
    <w:p w:rsidR="00320198" w:rsidRDefault="005C0948">
      <w:pPr>
        <w:widowControl w:val="0"/>
        <w:spacing w:line="240" w:lineRule="auto"/>
        <w:jc w:val="both"/>
        <w:rPr>
          <w:rFonts w:ascii="Times New Roman" w:hAnsi="Times New Roman"/>
          <w:noProof/>
          <w:spacing w:val="-2"/>
          <w:sz w:val="24"/>
        </w:rPr>
      </w:pPr>
      <w:r>
        <w:rPr>
          <w:rFonts w:ascii="Times New Roman" w:hAnsi="Times New Roman"/>
          <w:noProof/>
          <w:spacing w:val="-2"/>
          <w:sz w:val="24"/>
        </w:rPr>
        <w:t>On 19 September 2018, the Commission dec</w:t>
      </w:r>
      <w:r>
        <w:rPr>
          <w:rFonts w:ascii="Times New Roman" w:hAnsi="Times New Roman"/>
          <w:noProof/>
          <w:spacing w:val="-2"/>
          <w:sz w:val="24"/>
        </w:rPr>
        <w:t xml:space="preserve">ided that the non-taxation of certain </w:t>
      </w:r>
      <w:r>
        <w:rPr>
          <w:rFonts w:ascii="Times New Roman" w:hAnsi="Times New Roman"/>
          <w:i/>
          <w:noProof/>
          <w:spacing w:val="-2"/>
          <w:sz w:val="24"/>
        </w:rPr>
        <w:t>McDonald's</w:t>
      </w:r>
      <w:r>
        <w:rPr>
          <w:rFonts w:ascii="Times New Roman" w:hAnsi="Times New Roman"/>
          <w:noProof/>
          <w:spacing w:val="-2"/>
          <w:sz w:val="24"/>
          <w:vertAlign w:val="superscript"/>
        </w:rPr>
        <w:footnoteReference w:id="275"/>
      </w:r>
      <w:r>
        <w:rPr>
          <w:rFonts w:ascii="Times New Roman" w:hAnsi="Times New Roman"/>
          <w:noProof/>
          <w:spacing w:val="-2"/>
          <w:sz w:val="24"/>
        </w:rPr>
        <w:t xml:space="preserve"> profits in Luxembourg did not lead to illegal State aid, as it was in line with national tax laws and the Luxembourg-United States Double Taxation Treaty.</w:t>
      </w:r>
    </w:p>
    <w:p w:rsidR="00320198" w:rsidRDefault="005C0948">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b/>
          <w:noProof/>
          <w:spacing w:val="-2"/>
          <w:sz w:val="20"/>
          <w:szCs w:val="20"/>
        </w:rPr>
      </w:pPr>
      <w:r>
        <w:rPr>
          <w:rFonts w:ascii="Times New Roman" w:hAnsi="Times New Roman"/>
          <w:b/>
          <w:noProof/>
          <w:color w:val="000000"/>
          <w:sz w:val="20"/>
          <w:szCs w:val="20"/>
          <w:lang w:eastAsia="en-GB"/>
        </w:rPr>
        <w:t xml:space="preserve">Luxembourg – The McDonald’s decision </w:t>
      </w:r>
    </w:p>
    <w:p w:rsidR="00320198" w:rsidRDefault="005C0948">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McDonald's Eu</w:t>
      </w:r>
      <w:r>
        <w:rPr>
          <w:rFonts w:ascii="Times New Roman" w:hAnsi="Times New Roman"/>
          <w:noProof/>
          <w:sz w:val="20"/>
          <w:szCs w:val="24"/>
          <w:lang w:eastAsia="en-GB"/>
        </w:rPr>
        <w:t>rope Franchising is a subsidiary of McDonald's Corporation, based in the United States. The company is tax resident in Luxembourg and has two branches, one in the United States and the other in Switzerland. In 2009, McDonald's Europe Franchising acquired a</w:t>
      </w:r>
      <w:r>
        <w:rPr>
          <w:rFonts w:ascii="Times New Roman" w:hAnsi="Times New Roman"/>
          <w:noProof/>
          <w:sz w:val="20"/>
          <w:szCs w:val="24"/>
          <w:lang w:eastAsia="en-GB"/>
        </w:rPr>
        <w:t xml:space="preserve"> number of McDonald's franchise rights from McDonald's Corporation in the United States, which it subsequently allocated internally to the US branch of the company. As a result, McDonald's Europe Franchising received royalties from franchisees operating Mc</w:t>
      </w:r>
      <w:r>
        <w:rPr>
          <w:rFonts w:ascii="Times New Roman" w:hAnsi="Times New Roman"/>
          <w:noProof/>
          <w:sz w:val="20"/>
          <w:szCs w:val="24"/>
          <w:lang w:eastAsia="en-GB"/>
        </w:rPr>
        <w:t xml:space="preserve">Donald’s fast food outlets in Europe, Ukraine and Russia for the right to use the McDonald's brand. </w:t>
      </w:r>
    </w:p>
    <w:p w:rsidR="00320198" w:rsidRDefault="005C0948">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McDonald's Europe Franchising also set up a Swiss branch responsible for the licensing of the franchise rights to franchisors and through which royalty pay</w:t>
      </w:r>
      <w:r>
        <w:rPr>
          <w:rFonts w:ascii="Times New Roman" w:hAnsi="Times New Roman"/>
          <w:noProof/>
          <w:sz w:val="20"/>
          <w:szCs w:val="24"/>
          <w:lang w:eastAsia="en-GB"/>
        </w:rPr>
        <w:t>ments flowed from Luxembourg to the US branch of the company. The tax rulings given by the Luxembourg authorities confirmed that McDonald's Europe Franchising was not due to pay corporate tax in Luxembourg on the grounds that the profits were to be attribu</w:t>
      </w:r>
      <w:r>
        <w:rPr>
          <w:rFonts w:ascii="Times New Roman" w:hAnsi="Times New Roman"/>
          <w:noProof/>
          <w:sz w:val="20"/>
          <w:szCs w:val="24"/>
          <w:lang w:eastAsia="en-GB"/>
        </w:rPr>
        <w:t>ted to the branch in the US. This was justified by reference to the Luxembourg-US Double Taxation Treaty, despite the fact that the US did not recognise the US branch of McDonald's as a taxable entity.</w:t>
      </w:r>
    </w:p>
    <w:p w:rsidR="00320198" w:rsidRDefault="005C0948">
      <w:pPr>
        <w:widowControl w:val="0"/>
        <w:pBdr>
          <w:top w:val="single" w:sz="4" w:space="1" w:color="auto"/>
          <w:left w:val="single" w:sz="4" w:space="4" w:color="auto"/>
          <w:bottom w:val="single" w:sz="4" w:space="1" w:color="auto"/>
          <w:right w:val="single" w:sz="4" w:space="4" w:color="auto"/>
        </w:pBdr>
        <w:tabs>
          <w:tab w:val="num" w:pos="360"/>
        </w:tabs>
        <w:spacing w:line="240" w:lineRule="auto"/>
        <w:jc w:val="both"/>
        <w:rPr>
          <w:rFonts w:ascii="Times New Roman" w:hAnsi="Times New Roman"/>
          <w:noProof/>
          <w:sz w:val="20"/>
          <w:szCs w:val="24"/>
          <w:lang w:eastAsia="en-GB"/>
        </w:rPr>
      </w:pPr>
      <w:r>
        <w:rPr>
          <w:rFonts w:ascii="Times New Roman" w:hAnsi="Times New Roman"/>
          <w:noProof/>
          <w:sz w:val="20"/>
          <w:szCs w:val="24"/>
          <w:lang w:eastAsia="en-GB"/>
        </w:rPr>
        <w:t>Following an in-depth investigation and after having t</w:t>
      </w:r>
      <w:r>
        <w:rPr>
          <w:rFonts w:ascii="Times New Roman" w:hAnsi="Times New Roman"/>
          <w:noProof/>
          <w:sz w:val="20"/>
          <w:szCs w:val="24"/>
          <w:lang w:eastAsia="en-GB"/>
        </w:rPr>
        <w:t xml:space="preserve">horoughly considered the Luxembourg authorities' and McDonald's arguments in response to the opening decision, in particular as regards the correct application of the Luxembourg – US Double Taxation Treaty by the Luxembourg tax authorities, the Commission </w:t>
      </w:r>
      <w:r>
        <w:rPr>
          <w:rFonts w:ascii="Times New Roman" w:hAnsi="Times New Roman"/>
          <w:noProof/>
          <w:sz w:val="20"/>
          <w:szCs w:val="24"/>
          <w:lang w:eastAsia="en-GB"/>
        </w:rPr>
        <w:t>found that its concerns under EU State aid rules raised in the opening decision were unfounded. In particular, the Commission concluded that Luxembourg had not misapplied the Luxembourg – US Double Taxation Treaty and that the contested tax rulings therefo</w:t>
      </w:r>
      <w:r>
        <w:rPr>
          <w:rFonts w:ascii="Times New Roman" w:hAnsi="Times New Roman"/>
          <w:noProof/>
          <w:sz w:val="20"/>
          <w:szCs w:val="24"/>
          <w:lang w:eastAsia="en-GB"/>
        </w:rPr>
        <w:t xml:space="preserve">re did not selectively favour McDonald's Europe over other companies that are in a similar legal and factual situation. </w:t>
      </w:r>
    </w:p>
    <w:p w:rsidR="00320198" w:rsidRDefault="005C0948">
      <w:pPr>
        <w:spacing w:line="240" w:lineRule="auto"/>
        <w:jc w:val="both"/>
        <w:rPr>
          <w:rFonts w:ascii="Times New Roman" w:hAnsi="Times New Roman"/>
          <w:noProof/>
          <w:sz w:val="24"/>
          <w:szCs w:val="24"/>
        </w:rPr>
      </w:pPr>
      <w:r>
        <w:rPr>
          <w:rFonts w:ascii="Times New Roman" w:hAnsi="Times New Roman"/>
          <w:noProof/>
          <w:sz w:val="24"/>
          <w:szCs w:val="24"/>
        </w:rPr>
        <w:t>In addition, the Commission adopted on 19 December 2018</w:t>
      </w:r>
      <w:r>
        <w:rPr>
          <w:rFonts w:ascii="Times New Roman" w:hAnsi="Times New Roman"/>
          <w:iCs/>
          <w:noProof/>
          <w:color w:val="000000"/>
          <w:sz w:val="20"/>
          <w:vertAlign w:val="superscript"/>
          <w:lang w:eastAsia="en-GB"/>
        </w:rPr>
        <w:footnoteReference w:id="276"/>
      </w:r>
      <w:r>
        <w:rPr>
          <w:rFonts w:ascii="Times New Roman" w:hAnsi="Times New Roman"/>
          <w:noProof/>
          <w:sz w:val="24"/>
          <w:szCs w:val="24"/>
        </w:rPr>
        <w:t xml:space="preserve"> a final decision on the corporate income tax regime (including the tax ruling </w:t>
      </w:r>
      <w:r>
        <w:rPr>
          <w:rFonts w:ascii="Times New Roman" w:hAnsi="Times New Roman"/>
          <w:noProof/>
          <w:sz w:val="24"/>
          <w:szCs w:val="24"/>
        </w:rPr>
        <w:t xml:space="preserve">practice) in </w:t>
      </w:r>
      <w:r>
        <w:rPr>
          <w:rFonts w:ascii="Times New Roman" w:hAnsi="Times New Roman"/>
          <w:i/>
          <w:noProof/>
          <w:sz w:val="24"/>
          <w:szCs w:val="24"/>
        </w:rPr>
        <w:t>Gibraltar</w:t>
      </w:r>
      <w:r>
        <w:rPr>
          <w:rFonts w:ascii="Times New Roman" w:hAnsi="Times New Roman"/>
          <w:iCs/>
          <w:noProof/>
          <w:color w:val="000000"/>
          <w:sz w:val="24"/>
          <w:szCs w:val="24"/>
          <w:lang w:eastAsia="en-GB"/>
        </w:rPr>
        <w:t xml:space="preserve">. </w:t>
      </w:r>
      <w:r>
        <w:rPr>
          <w:rFonts w:ascii="Times New Roman" w:hAnsi="Times New Roman"/>
          <w:noProof/>
          <w:sz w:val="24"/>
          <w:szCs w:val="24"/>
        </w:rPr>
        <w:t xml:space="preserve">The Commission found that the exemption for interest and royalties (between 2011 and 2013) under the 2010 Corporate Tax Act was designed to attract multinationals and it effectively reduced the tax bill of a limited number of </w:t>
      </w:r>
      <w:r>
        <w:rPr>
          <w:rFonts w:ascii="Times New Roman" w:hAnsi="Times New Roman"/>
          <w:noProof/>
          <w:sz w:val="24"/>
          <w:szCs w:val="24"/>
        </w:rPr>
        <w:t>companies belonging to multinational groups. In addition, the investigation also confirmed that five rulings granted in 2011 and 2012 by the Gibraltar tax authorities to large multinationals involve illegal state aid, as they continued to exempt interest a</w:t>
      </w:r>
      <w:r>
        <w:rPr>
          <w:rFonts w:ascii="Times New Roman" w:hAnsi="Times New Roman"/>
          <w:noProof/>
          <w:sz w:val="24"/>
          <w:szCs w:val="24"/>
        </w:rPr>
        <w:t>nd royalties from taxation even after Gibraltar adopted legislative amendments to bring these types of income within the scope of taxation. With its decision, the Commission confirmed that these measures involve illegal and incompatible aid and ordered rec</w:t>
      </w:r>
      <w:r>
        <w:rPr>
          <w:rFonts w:ascii="Times New Roman" w:hAnsi="Times New Roman"/>
          <w:noProof/>
          <w:sz w:val="24"/>
          <w:szCs w:val="24"/>
        </w:rPr>
        <w:t>overy of the tax foregone.</w:t>
      </w:r>
    </w:p>
    <w:p w:rsidR="00320198" w:rsidRDefault="005C0948">
      <w:pPr>
        <w:widowControl w:val="0"/>
        <w:tabs>
          <w:tab w:val="num" w:pos="360"/>
        </w:tabs>
        <w:spacing w:line="240" w:lineRule="auto"/>
        <w:jc w:val="both"/>
        <w:rPr>
          <w:rFonts w:ascii="Times New Roman" w:hAnsi="Times New Roman"/>
          <w:noProof/>
          <w:spacing w:val="-2"/>
          <w:sz w:val="24"/>
          <w:szCs w:val="24"/>
        </w:rPr>
      </w:pPr>
      <w:r>
        <w:rPr>
          <w:rFonts w:ascii="Times New Roman" w:hAnsi="Times New Roman"/>
          <w:iCs/>
          <w:noProof/>
          <w:color w:val="000000"/>
          <w:sz w:val="24"/>
          <w:szCs w:val="24"/>
          <w:lang w:eastAsia="en-GB"/>
        </w:rPr>
        <w:t>In the context of that case, t</w:t>
      </w:r>
      <w:r>
        <w:rPr>
          <w:rFonts w:ascii="Times New Roman" w:hAnsi="Times New Roman"/>
          <w:noProof/>
          <w:spacing w:val="-2"/>
          <w:sz w:val="24"/>
          <w:szCs w:val="24"/>
        </w:rPr>
        <w:t>he Commission also supported Gibraltar in taking steps to provide clarification and guidance on their tax rules in order to mitigate risks of cross-border tax avoidance and prevent that potential dis</w:t>
      </w:r>
      <w:r>
        <w:rPr>
          <w:rFonts w:ascii="Times New Roman" w:hAnsi="Times New Roman"/>
          <w:noProof/>
          <w:spacing w:val="-2"/>
          <w:sz w:val="24"/>
          <w:szCs w:val="24"/>
        </w:rPr>
        <w:t>cretion exercised by the tax authorities in granting tax rulings results to undue State aid. To this end, in October 2018, the Gibraltar authorities introduced changes to their Income Tax Act</w:t>
      </w:r>
      <w:r>
        <w:rPr>
          <w:rFonts w:ascii="Times New Roman" w:hAnsi="Times New Roman"/>
          <w:noProof/>
          <w:spacing w:val="-2"/>
          <w:sz w:val="24"/>
          <w:szCs w:val="24"/>
          <w:vertAlign w:val="superscript"/>
        </w:rPr>
        <w:footnoteReference w:id="277"/>
      </w:r>
      <w:r>
        <w:rPr>
          <w:rFonts w:ascii="Times New Roman" w:hAnsi="Times New Roman"/>
          <w:noProof/>
          <w:spacing w:val="-2"/>
          <w:sz w:val="24"/>
          <w:szCs w:val="24"/>
        </w:rPr>
        <w:t xml:space="preserve"> and adopted Guidance notes on territoriality</w:t>
      </w:r>
      <w:r>
        <w:rPr>
          <w:rFonts w:ascii="Times New Roman" w:hAnsi="Times New Roman"/>
          <w:noProof/>
          <w:spacing w:val="-2"/>
          <w:sz w:val="24"/>
          <w:szCs w:val="24"/>
          <w:vertAlign w:val="superscript"/>
        </w:rPr>
        <w:footnoteReference w:id="278"/>
      </w:r>
      <w:r>
        <w:rPr>
          <w:rFonts w:ascii="Times New Roman" w:hAnsi="Times New Roman"/>
          <w:noProof/>
          <w:spacing w:val="-2"/>
          <w:sz w:val="24"/>
          <w:szCs w:val="24"/>
        </w:rPr>
        <w:t xml:space="preserve"> and the tax rulin</w:t>
      </w:r>
      <w:r>
        <w:rPr>
          <w:rFonts w:ascii="Times New Roman" w:hAnsi="Times New Roman"/>
          <w:noProof/>
          <w:spacing w:val="-2"/>
          <w:sz w:val="24"/>
          <w:szCs w:val="24"/>
        </w:rPr>
        <w:t>g procedure.</w:t>
      </w:r>
      <w:r>
        <w:rPr>
          <w:rFonts w:ascii="Times New Roman" w:hAnsi="Times New Roman"/>
          <w:noProof/>
          <w:spacing w:val="-2"/>
          <w:sz w:val="24"/>
          <w:szCs w:val="24"/>
          <w:vertAlign w:val="superscript"/>
        </w:rPr>
        <w:footnoteReference w:id="279"/>
      </w:r>
    </w:p>
    <w:p w:rsidR="00320198" w:rsidRDefault="005C0948">
      <w:pPr>
        <w:widowControl w:val="0"/>
        <w:tabs>
          <w:tab w:val="num" w:pos="360"/>
        </w:tabs>
        <w:spacing w:line="240" w:lineRule="auto"/>
        <w:jc w:val="both"/>
        <w:rPr>
          <w:rFonts w:ascii="Times New Roman" w:hAnsi="Times New Roman"/>
          <w:i/>
          <w:noProof/>
          <w:color w:val="000000"/>
          <w:sz w:val="24"/>
          <w:szCs w:val="24"/>
          <w:lang w:eastAsia="en-GB"/>
        </w:rPr>
      </w:pPr>
      <w:r>
        <w:rPr>
          <w:rFonts w:ascii="Times New Roman" w:hAnsi="Times New Roman"/>
          <w:i/>
          <w:noProof/>
          <w:color w:val="000000"/>
          <w:sz w:val="24"/>
          <w:szCs w:val="24"/>
          <w:lang w:eastAsia="en-GB"/>
        </w:rPr>
        <w:t xml:space="preserve">Fight against discriminatory tax schemes and measures sheltering national companies from competition in the internal market </w:t>
      </w:r>
    </w:p>
    <w:p w:rsidR="00320198" w:rsidRDefault="005C0948">
      <w:pPr>
        <w:widowControl w:val="0"/>
        <w:tabs>
          <w:tab w:val="num" w:pos="360"/>
        </w:tabs>
        <w:spacing w:line="240" w:lineRule="auto"/>
        <w:jc w:val="both"/>
        <w:rPr>
          <w:rFonts w:ascii="Times New Roman" w:hAnsi="Times New Roman"/>
          <w:noProof/>
          <w:spacing w:val="-2"/>
          <w:sz w:val="24"/>
        </w:rPr>
      </w:pPr>
      <w:r>
        <w:rPr>
          <w:rFonts w:ascii="Times New Roman" w:hAnsi="Times New Roman"/>
          <w:noProof/>
          <w:spacing w:val="-2"/>
          <w:sz w:val="24"/>
        </w:rPr>
        <w:t>Beyond the cases involving tax rulings, the Commission remains vigilant to ensure that Member States do not use fisca</w:t>
      </w:r>
      <w:r>
        <w:rPr>
          <w:rFonts w:ascii="Times New Roman" w:hAnsi="Times New Roman"/>
          <w:noProof/>
          <w:spacing w:val="-2"/>
          <w:sz w:val="24"/>
        </w:rPr>
        <w:t>l tools to unduly favour certain companies/sectors and shelter national companies from competition in the internal market.</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With regard to the investigation into fiscal aid to ports, further to the negative decisions adopted in January 2016</w:t>
      </w:r>
      <w:r>
        <w:rPr>
          <w:rFonts w:ascii="Times New Roman" w:hAnsi="Times New Roman"/>
          <w:noProof/>
          <w:sz w:val="24"/>
          <w:szCs w:val="24"/>
          <w:vertAlign w:val="superscript"/>
        </w:rPr>
        <w:footnoteReference w:id="280"/>
      </w:r>
      <w:r>
        <w:rPr>
          <w:rFonts w:ascii="Times New Roman" w:hAnsi="Times New Roman"/>
          <w:noProof/>
          <w:sz w:val="24"/>
          <w:szCs w:val="24"/>
        </w:rPr>
        <w:t xml:space="preserve"> (Dutch seaports) and July 2017 (Belgian</w:t>
      </w:r>
      <w:r>
        <w:rPr>
          <w:rFonts w:ascii="Times New Roman" w:hAnsi="Times New Roman"/>
          <w:noProof/>
          <w:vertAlign w:val="superscript"/>
        </w:rPr>
        <w:footnoteReference w:id="281"/>
      </w:r>
      <w:r>
        <w:rPr>
          <w:rFonts w:ascii="Times New Roman" w:hAnsi="Times New Roman"/>
          <w:noProof/>
          <w:sz w:val="24"/>
          <w:szCs w:val="24"/>
        </w:rPr>
        <w:t xml:space="preserve"> and French</w:t>
      </w:r>
      <w:r>
        <w:rPr>
          <w:rFonts w:ascii="Times New Roman" w:hAnsi="Times New Roman"/>
          <w:noProof/>
          <w:sz w:val="24"/>
          <w:szCs w:val="24"/>
          <w:vertAlign w:val="superscript"/>
        </w:rPr>
        <w:footnoteReference w:id="282"/>
      </w:r>
      <w:r>
        <w:rPr>
          <w:rFonts w:ascii="Times New Roman" w:hAnsi="Times New Roman"/>
          <w:noProof/>
          <w:sz w:val="24"/>
          <w:szCs w:val="24"/>
        </w:rPr>
        <w:t xml:space="preserve"> ports), the Commission initiated in April 2018 the cooperation procedure with regard to the corporate tax exemptions benefitting ports in Spain and Italy. The Commission's action is consistent with the </w:t>
      </w:r>
      <w:r>
        <w:rPr>
          <w:rFonts w:ascii="Times New Roman" w:hAnsi="Times New Roman"/>
          <w:noProof/>
          <w:sz w:val="24"/>
          <w:szCs w:val="24"/>
        </w:rPr>
        <w:t>need to ensure that all companies pay their fair share of taxes and that no sector or company of a certain type unduly receives a more favourable corporate tax treatment. Ports are essential to the EU economy and the Commission does not prevent Member Stat</w:t>
      </w:r>
      <w:r>
        <w:rPr>
          <w:rFonts w:ascii="Times New Roman" w:hAnsi="Times New Roman"/>
          <w:noProof/>
          <w:sz w:val="24"/>
          <w:szCs w:val="24"/>
        </w:rPr>
        <w:t>es from providing aid to their ports, for instance when this is necessary to develop port infrastructure. However, corporate tax exemptions provide a bigger advantage to those beneficiaries who are most profitable. They are neither transparent, nor limited</w:t>
      </w:r>
      <w:r>
        <w:rPr>
          <w:rFonts w:ascii="Times New Roman" w:hAnsi="Times New Roman"/>
          <w:noProof/>
          <w:sz w:val="24"/>
          <w:szCs w:val="24"/>
        </w:rPr>
        <w:t xml:space="preserve"> or targeted at financing activities or investments which are necessary and justified by objectives of common interest.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More generally, thoughout 2018, the Commission provided guidance to Member States and helped them designing tax measures that comply </w:t>
      </w:r>
      <w:r>
        <w:rPr>
          <w:rFonts w:ascii="Times New Roman" w:hAnsi="Times New Roman"/>
          <w:noProof/>
          <w:sz w:val="24"/>
          <w:szCs w:val="24"/>
        </w:rPr>
        <w:t>with State aid rules, for example health related taxes</w:t>
      </w:r>
      <w:r>
        <w:rPr>
          <w:rFonts w:ascii="Times New Roman" w:hAnsi="Times New Roman"/>
          <w:noProof/>
          <w:sz w:val="24"/>
          <w:szCs w:val="24"/>
          <w:vertAlign w:val="superscript"/>
        </w:rPr>
        <w:footnoteReference w:id="283"/>
      </w:r>
      <w:r>
        <w:rPr>
          <w:rFonts w:ascii="Times New Roman" w:hAnsi="Times New Roman"/>
          <w:noProof/>
          <w:sz w:val="24"/>
          <w:szCs w:val="24"/>
        </w:rPr>
        <w:t xml:space="preserve"> or real estate taxes.</w:t>
      </w:r>
      <w:r>
        <w:rPr>
          <w:rFonts w:ascii="Times New Roman" w:hAnsi="Times New Roman"/>
          <w:noProof/>
          <w:sz w:val="24"/>
          <w:szCs w:val="24"/>
          <w:vertAlign w:val="superscript"/>
        </w:rPr>
        <w:footnoteReference w:id="284"/>
      </w:r>
    </w:p>
    <w:bookmarkEnd w:id="40"/>
    <w:p w:rsidR="00320198" w:rsidRDefault="005C0948">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43" w:name="_Toc8831319"/>
      <w:r>
        <w:rPr>
          <w:rFonts w:ascii="Times New Roman" w:eastAsia="Times New Roman" w:hAnsi="Times New Roman"/>
          <w:b/>
          <w:smallCaps/>
          <w:noProof/>
          <w:sz w:val="24"/>
          <w:szCs w:val="24"/>
        </w:rPr>
        <w:t>5. Basic industries and manufacturing</w:t>
      </w:r>
      <w:bookmarkEnd w:id="43"/>
    </w:p>
    <w:p w:rsidR="00320198" w:rsidRDefault="005C0948">
      <w:pPr>
        <w:widowControl w:val="0"/>
        <w:spacing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Overview of key challenges in the sector</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Manufacturing is important to the EU economy as a driver of growth and employment. Close to 30 mi</w:t>
      </w:r>
      <w:r>
        <w:rPr>
          <w:rFonts w:ascii="Times New Roman" w:eastAsiaTheme="minorHAnsi" w:hAnsi="Times New Roman"/>
          <w:noProof/>
          <w:sz w:val="24"/>
          <w:szCs w:val="24"/>
        </w:rPr>
        <w:t>llion people, that is, more than 20% of the European workforce is active in the sector. Substantial advancements in automatisation and the growing widespread use of robotics in many industries in the past decades have led to significant restructuring and j</w:t>
      </w:r>
      <w:r>
        <w:rPr>
          <w:rFonts w:ascii="Times New Roman" w:eastAsiaTheme="minorHAnsi" w:hAnsi="Times New Roman"/>
          <w:noProof/>
          <w:sz w:val="24"/>
          <w:szCs w:val="24"/>
        </w:rPr>
        <w:t>ob losses across Europe. The manufacturing sector faces additional challenges, due to the relocation of jobs to countries with lower labour costs and the rise of global supply chains with producers located outside the EU. Moreover, high energy prices and l</w:t>
      </w:r>
      <w:r>
        <w:rPr>
          <w:rFonts w:ascii="Times New Roman" w:eastAsiaTheme="minorHAnsi" w:hAnsi="Times New Roman"/>
          <w:noProof/>
          <w:sz w:val="24"/>
          <w:szCs w:val="24"/>
        </w:rPr>
        <w:t>ow productivity growth as compared to the OECD average are hampering the competitiveness of European companies. While new technologies and digitisation help to increase efficiencies and reduce costs, these techniques are also available to competing economi</w:t>
      </w:r>
      <w:r>
        <w:rPr>
          <w:rFonts w:ascii="Times New Roman" w:eastAsiaTheme="minorHAnsi" w:hAnsi="Times New Roman"/>
          <w:noProof/>
          <w:sz w:val="24"/>
          <w:szCs w:val="24"/>
        </w:rPr>
        <w:t>es.</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The EU’s renewed industrial policy strategy</w:t>
      </w:r>
      <w:r>
        <w:rPr>
          <w:rFonts w:ascii="Times New Roman" w:eastAsiaTheme="minorHAnsi" w:hAnsi="Times New Roman"/>
          <w:noProof/>
          <w:sz w:val="24"/>
          <w:szCs w:val="24"/>
          <w:vertAlign w:val="superscript"/>
        </w:rPr>
        <w:footnoteReference w:id="285"/>
      </w:r>
      <w:r>
        <w:rPr>
          <w:rFonts w:ascii="Times New Roman" w:eastAsiaTheme="minorHAnsi" w:hAnsi="Times New Roman"/>
          <w:noProof/>
          <w:sz w:val="24"/>
          <w:szCs w:val="24"/>
        </w:rPr>
        <w:t xml:space="preserve"> aims to address these challenges by boosting investment in a smart, innovative and sustainable industry. Enforcing the competition rules in the manufacturing sector contributes to these objectives, in partic</w:t>
      </w:r>
      <w:r>
        <w:rPr>
          <w:rFonts w:ascii="Times New Roman" w:eastAsiaTheme="minorHAnsi" w:hAnsi="Times New Roman"/>
          <w:noProof/>
          <w:sz w:val="24"/>
          <w:szCs w:val="24"/>
        </w:rPr>
        <w:t>ular by ensuring that firms can compete on fair and equal terms in the internal market. In addition the State aid rules are used to steer public funding towards research, training and energy efficiency. Only innovative companies with a sustainable business</w:t>
      </w:r>
      <w:r>
        <w:rPr>
          <w:rFonts w:ascii="Times New Roman" w:eastAsiaTheme="minorHAnsi" w:hAnsi="Times New Roman"/>
          <w:noProof/>
          <w:sz w:val="24"/>
          <w:szCs w:val="24"/>
        </w:rPr>
        <w:t xml:space="preserve"> plan can deliver smart goods and services at competitive prices for European consumers and businesses. Improving companies’ efficiency and long-term competitiveness at home also makes them fit for competing in the global market place.</w:t>
      </w:r>
    </w:p>
    <w:p w:rsidR="00320198" w:rsidRDefault="005C0948">
      <w:pPr>
        <w:widowControl w:val="0"/>
        <w:tabs>
          <w:tab w:val="num" w:pos="360"/>
        </w:tabs>
        <w:spacing w:line="240" w:lineRule="auto"/>
        <w:jc w:val="both"/>
        <w:rPr>
          <w:rFonts w:ascii="Times New Roman" w:hAnsi="Times New Roman"/>
          <w:b/>
          <w:noProof/>
          <w:sz w:val="24"/>
        </w:rPr>
      </w:pPr>
      <w:r>
        <w:rPr>
          <w:rFonts w:ascii="Times New Roman" w:hAnsi="Times New Roman"/>
          <w:b/>
          <w:noProof/>
          <w:sz w:val="24"/>
        </w:rPr>
        <w:t>Contribution of EU c</w:t>
      </w:r>
      <w:r>
        <w:rPr>
          <w:rFonts w:ascii="Times New Roman" w:hAnsi="Times New Roman"/>
          <w:b/>
          <w:noProof/>
          <w:sz w:val="24"/>
        </w:rPr>
        <w:t>ompetition policy to tackling the challenges</w:t>
      </w:r>
    </w:p>
    <w:p w:rsidR="00320198" w:rsidRDefault="005C0948">
      <w:pPr>
        <w:keepNext/>
        <w:keepLines/>
        <w:tabs>
          <w:tab w:val="num" w:pos="360"/>
        </w:tabs>
        <w:spacing w:line="240" w:lineRule="auto"/>
        <w:jc w:val="both"/>
        <w:rPr>
          <w:rFonts w:ascii="Times New Roman" w:hAnsi="Times New Roman"/>
          <w:i/>
          <w:noProof/>
          <w:sz w:val="24"/>
        </w:rPr>
      </w:pPr>
      <w:r>
        <w:rPr>
          <w:rFonts w:ascii="Times New Roman" w:hAnsi="Times New Roman"/>
          <w:i/>
          <w:noProof/>
          <w:sz w:val="24"/>
        </w:rPr>
        <w:t>Antitrust investigations in basic industries</w:t>
      </w:r>
    </w:p>
    <w:p w:rsidR="00320198" w:rsidRDefault="005C0948">
      <w:pPr>
        <w:tabs>
          <w:tab w:val="num" w:pos="360"/>
        </w:tabs>
        <w:spacing w:line="240" w:lineRule="auto"/>
        <w:jc w:val="both"/>
        <w:rPr>
          <w:rFonts w:ascii="Times New Roman" w:eastAsia="Times New Roman" w:hAnsi="Times New Roman"/>
          <w:bCs/>
          <w:iCs/>
          <w:noProof/>
          <w:color w:val="000000"/>
          <w:sz w:val="24"/>
          <w:szCs w:val="20"/>
          <w:lang w:eastAsia="en-GB"/>
        </w:rPr>
      </w:pPr>
      <w:r>
        <w:rPr>
          <w:rFonts w:ascii="Times New Roman" w:eastAsia="ヒラギノ角ゴ Pro W3" w:hAnsi="Times New Roman"/>
          <w:noProof/>
          <w:color w:val="000000"/>
          <w:sz w:val="24"/>
          <w:szCs w:val="20"/>
          <w:lang w:eastAsia="en-GB"/>
        </w:rPr>
        <w:t>Basic manufacturing and consumer goods industries continue to represent a significant share of the Commission's enforcement practice. In 2018, the Commission continued its lines of action (including individual case work, market surveillance and advocacy) i</w:t>
      </w:r>
      <w:r>
        <w:rPr>
          <w:rFonts w:ascii="Times New Roman" w:eastAsia="ヒラギノ角ゴ Pro W3" w:hAnsi="Times New Roman"/>
          <w:noProof/>
          <w:color w:val="000000"/>
          <w:sz w:val="24"/>
          <w:szCs w:val="20"/>
          <w:lang w:eastAsia="en-GB"/>
        </w:rPr>
        <w:t xml:space="preserve">n these sectors, including for example, those in the motor vehicle and consumer goods sectors. The </w:t>
      </w:r>
      <w:r>
        <w:rPr>
          <w:rFonts w:ascii="Times New Roman" w:eastAsia="Times New Roman" w:hAnsi="Times New Roman"/>
          <w:bCs/>
          <w:iCs/>
          <w:noProof/>
          <w:color w:val="000000"/>
          <w:sz w:val="24"/>
          <w:szCs w:val="20"/>
          <w:lang w:eastAsia="en-GB"/>
        </w:rPr>
        <w:t>EU's high value-added manufacturing industry requires access to basic materials at affordable prices that reflect international cost conditions. In 2018, the</w:t>
      </w:r>
      <w:r>
        <w:rPr>
          <w:rFonts w:ascii="Times New Roman" w:eastAsia="Times New Roman" w:hAnsi="Times New Roman"/>
          <w:bCs/>
          <w:iCs/>
          <w:noProof/>
          <w:color w:val="000000"/>
          <w:sz w:val="24"/>
          <w:szCs w:val="20"/>
          <w:lang w:eastAsia="en-GB"/>
        </w:rPr>
        <w:t xml:space="preserve"> Commission actively monitored the markets for these inputs to ensure that firms have adequate access </w:t>
      </w:r>
      <w:r>
        <w:rPr>
          <w:rFonts w:ascii="Times New Roman" w:eastAsia="ヒラギノ角ゴ Pro W3" w:hAnsi="Times New Roman"/>
          <w:noProof/>
          <w:color w:val="000000"/>
          <w:sz w:val="24"/>
          <w:szCs w:val="20"/>
          <w:lang w:eastAsia="en-GB"/>
        </w:rPr>
        <w:t xml:space="preserve">in </w:t>
      </w:r>
      <w:r>
        <w:rPr>
          <w:rFonts w:ascii="Times New Roman" w:eastAsia="Times New Roman" w:hAnsi="Times New Roman"/>
          <w:bCs/>
          <w:iCs/>
          <w:noProof/>
          <w:color w:val="000000"/>
          <w:sz w:val="24"/>
          <w:szCs w:val="20"/>
          <w:lang w:eastAsia="en-GB"/>
        </w:rPr>
        <w:t xml:space="preserve">a healthy and competitive environment. </w:t>
      </w:r>
    </w:p>
    <w:p w:rsidR="00320198" w:rsidRDefault="005C0948">
      <w:pPr>
        <w:widowControl w:val="0"/>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Merger investigations in basic industries and manufacturing</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Commision’s main merger investigations in basic</w:t>
      </w:r>
      <w:r>
        <w:rPr>
          <w:rFonts w:ascii="Times New Roman" w:hAnsi="Times New Roman"/>
          <w:noProof/>
          <w:sz w:val="24"/>
          <w:szCs w:val="24"/>
        </w:rPr>
        <w:t xml:space="preserve"> industries concerned notably the steel sector, as well as a broad range of other sectors, including the manufacture of machinery and components for aircrafts, robotic cleaners for swimming pools, construction material, paper and paperborad, as well as pet</w:t>
      </w:r>
      <w:r>
        <w:rPr>
          <w:rFonts w:ascii="Times New Roman" w:hAnsi="Times New Roman"/>
          <w:noProof/>
          <w:sz w:val="24"/>
          <w:szCs w:val="24"/>
        </w:rPr>
        <w:t xml:space="preserve"> food.</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Amongst those investigations, most noteworthy is the one into the acquisition of </w:t>
      </w:r>
      <w:r>
        <w:rPr>
          <w:rFonts w:ascii="Times New Roman" w:hAnsi="Times New Roman"/>
          <w:i/>
          <w:noProof/>
          <w:sz w:val="24"/>
          <w:szCs w:val="24"/>
        </w:rPr>
        <w:t>Ilva</w:t>
      </w:r>
      <w:r>
        <w:rPr>
          <w:rFonts w:ascii="Times New Roman" w:hAnsi="Times New Roman"/>
          <w:noProof/>
          <w:sz w:val="24"/>
          <w:szCs w:val="24"/>
        </w:rPr>
        <w:t xml:space="preserve"> by </w:t>
      </w:r>
      <w:r>
        <w:rPr>
          <w:rFonts w:ascii="Times New Roman" w:hAnsi="Times New Roman"/>
          <w:i/>
          <w:noProof/>
          <w:sz w:val="24"/>
          <w:szCs w:val="24"/>
        </w:rPr>
        <w:t>ArcelorMittal</w:t>
      </w:r>
      <w:r>
        <w:rPr>
          <w:rFonts w:ascii="Times New Roman" w:hAnsi="Times New Roman"/>
          <w:noProof/>
          <w:sz w:val="24"/>
          <w:szCs w:val="24"/>
        </w:rPr>
        <w:t>.</w:t>
      </w:r>
      <w:r>
        <w:rPr>
          <w:rFonts w:ascii="Times New Roman" w:hAnsi="Times New Roman"/>
          <w:noProof/>
          <w:sz w:val="24"/>
          <w:szCs w:val="24"/>
          <w:vertAlign w:val="superscript"/>
        </w:rPr>
        <w:footnoteReference w:id="286"/>
      </w:r>
      <w:r>
        <w:rPr>
          <w:rFonts w:ascii="Times New Roman" w:hAnsi="Times New Roman"/>
          <w:noProof/>
          <w:sz w:val="24"/>
          <w:szCs w:val="24"/>
        </w:rPr>
        <w:t xml:space="preserve"> The merger combined ArcelorMittal, the largest producer of flat carbon steel in Europe and worldwide, with the main assets of Ilva, notably its </w:t>
      </w:r>
      <w:r>
        <w:rPr>
          <w:rFonts w:ascii="Times New Roman" w:hAnsi="Times New Roman"/>
          <w:noProof/>
          <w:sz w:val="24"/>
          <w:szCs w:val="24"/>
        </w:rPr>
        <w:t>steel plant in Taranto, Italy, which is Europe's largest single-site integrated flat carbon steel plant. Both companies are significant producers in Europe of hot rolled, cold rolled and galvanised flat carbon steel. ArcelorMittal has a wide production net</w:t>
      </w:r>
      <w:r>
        <w:rPr>
          <w:rFonts w:ascii="Times New Roman" w:hAnsi="Times New Roman"/>
          <w:noProof/>
          <w:sz w:val="24"/>
          <w:szCs w:val="24"/>
        </w:rPr>
        <w:t xml:space="preserve">work across the EEA and Ilva has major production assets in Italy.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After an in-depth investigation, where the Commission identified competition concerns, it made the clearance decision conditional on the divestiture, proposed by ArcelorMittal, of an exten</w:t>
      </w:r>
      <w:r>
        <w:rPr>
          <w:rFonts w:ascii="Times New Roman" w:hAnsi="Times New Roman"/>
          <w:noProof/>
          <w:sz w:val="24"/>
          <w:szCs w:val="24"/>
        </w:rPr>
        <w:t>sive remedy package to preserve effective competition on European steel markets to the benefit of consumers and businesses.</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Steel is a critical input for many EU industries and for products used every day. The Commission’s intervention ensured that Arcelor</w:t>
      </w:r>
      <w:r>
        <w:rPr>
          <w:rFonts w:ascii="Times New Roman" w:hAnsi="Times New Roman"/>
          <w:noProof/>
          <w:sz w:val="24"/>
          <w:szCs w:val="24"/>
        </w:rPr>
        <w:t>Mittal's acquisition of Ilva, creating the by far largest steelmaker in Europe, does not result in higher steel prices – at the expense of European industries, the people they employ and consumers. ArcelorMittal proposed to sell a number of steel plants th</w:t>
      </w:r>
      <w:r>
        <w:rPr>
          <w:rFonts w:ascii="Times New Roman" w:hAnsi="Times New Roman"/>
          <w:noProof/>
          <w:sz w:val="24"/>
          <w:szCs w:val="24"/>
        </w:rPr>
        <w:t>roughout Europe to one or more buyers, who will run them to compete with ArcelorMittal on a lasting basis. This will preserve effective competition on European steel markets. It goes hand in hand with decisive EU action to protect the European steel indust</w:t>
      </w:r>
      <w:r>
        <w:rPr>
          <w:rFonts w:ascii="Times New Roman" w:hAnsi="Times New Roman"/>
          <w:noProof/>
          <w:sz w:val="24"/>
          <w:szCs w:val="24"/>
        </w:rPr>
        <w:t>ry from unfair trade distortions from third countries.</w:t>
      </w:r>
    </w:p>
    <w:p w:rsidR="00320198" w:rsidRDefault="005C0948">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On 13 July 2018, the Commission opened an in-depth investigation of the proposed acquisition of </w:t>
      </w:r>
      <w:r>
        <w:rPr>
          <w:rFonts w:ascii="Times New Roman" w:eastAsiaTheme="minorHAnsi" w:hAnsi="Times New Roman"/>
          <w:i/>
          <w:noProof/>
          <w:sz w:val="24"/>
          <w:szCs w:val="24"/>
        </w:rPr>
        <w:t>Alstom</w:t>
      </w:r>
      <w:r>
        <w:rPr>
          <w:rFonts w:ascii="Times New Roman" w:eastAsiaTheme="minorHAnsi" w:hAnsi="Times New Roman"/>
          <w:noProof/>
          <w:sz w:val="24"/>
          <w:szCs w:val="24"/>
        </w:rPr>
        <w:t xml:space="preserve"> by </w:t>
      </w:r>
      <w:r>
        <w:rPr>
          <w:rFonts w:ascii="Times New Roman" w:eastAsiaTheme="minorHAnsi" w:hAnsi="Times New Roman"/>
          <w:i/>
          <w:noProof/>
          <w:sz w:val="24"/>
          <w:szCs w:val="24"/>
        </w:rPr>
        <w:t>Siemens</w:t>
      </w:r>
      <w:r>
        <w:rPr>
          <w:rFonts w:ascii="Times New Roman" w:eastAsiaTheme="minorHAnsi" w:hAnsi="Times New Roman"/>
          <w:noProof/>
          <w:sz w:val="24"/>
          <w:szCs w:val="24"/>
        </w:rPr>
        <w:t>, under the EU Merger Regulation.</w:t>
      </w:r>
      <w:r>
        <w:rPr>
          <w:rFonts w:ascii="Times New Roman" w:eastAsiaTheme="minorHAnsi" w:hAnsi="Times New Roman"/>
          <w:noProof/>
          <w:sz w:val="24"/>
          <w:szCs w:val="24"/>
          <w:vertAlign w:val="superscript"/>
        </w:rPr>
        <w:footnoteReference w:id="287"/>
      </w:r>
      <w:r>
        <w:rPr>
          <w:rFonts w:ascii="Times New Roman" w:eastAsiaTheme="minorHAnsi" w:hAnsi="Times New Roman"/>
          <w:noProof/>
          <w:sz w:val="24"/>
          <w:szCs w:val="24"/>
        </w:rPr>
        <w:t xml:space="preserve"> The mobility division of Siemens offers a broad portfolio of trains (rolling stock), rail automation and signalling equipment, as well as rail electrification systems. Alstom is active worldwide in the rail transport industry, offering a wide range of rol</w:t>
      </w:r>
      <w:r>
        <w:rPr>
          <w:rFonts w:ascii="Times New Roman" w:eastAsiaTheme="minorHAnsi" w:hAnsi="Times New Roman"/>
          <w:noProof/>
          <w:sz w:val="24"/>
          <w:szCs w:val="24"/>
        </w:rPr>
        <w:t>ling stock (from high-speed trains to metros and trams) as well as signalling and rail electrification systems. On 6 February 2019, the Commission prohibited the proposed transaction under the EU Merger Regulation.</w:t>
      </w:r>
      <w:r>
        <w:rPr>
          <w:rStyle w:val="FootnoteReference"/>
          <w:rFonts w:ascii="Times New Roman" w:eastAsiaTheme="minorHAnsi" w:hAnsi="Times New Roman"/>
          <w:noProof/>
          <w:sz w:val="24"/>
          <w:szCs w:val="24"/>
        </w:rPr>
        <w:footnoteReference w:id="288"/>
      </w:r>
      <w:r>
        <w:rPr>
          <w:rFonts w:ascii="Times New Roman" w:eastAsiaTheme="minorHAnsi" w:hAnsi="Times New Roman"/>
          <w:noProof/>
          <w:sz w:val="24"/>
          <w:szCs w:val="24"/>
        </w:rPr>
        <w:t xml:space="preserve"> The proposed transaction would have comb</w:t>
      </w:r>
      <w:r>
        <w:rPr>
          <w:rFonts w:ascii="Times New Roman" w:eastAsiaTheme="minorHAnsi" w:hAnsi="Times New Roman"/>
          <w:noProof/>
          <w:sz w:val="24"/>
          <w:szCs w:val="24"/>
        </w:rPr>
        <w:t>ined the two largest suppliers of trains and signalling solutions in the EEA, not only in terms of size of the combined operations, but also in terms of their geographic footprint. The Commission considered that the merger would have reduced competition in</w:t>
      </w:r>
      <w:r>
        <w:rPr>
          <w:rFonts w:ascii="Times New Roman" w:eastAsiaTheme="minorHAnsi" w:hAnsi="Times New Roman"/>
          <w:noProof/>
          <w:sz w:val="24"/>
          <w:szCs w:val="24"/>
        </w:rPr>
        <w:t xml:space="preserve"> the supply of several types of trains and signalling systems in the EEA.</w:t>
      </w:r>
    </w:p>
    <w:p w:rsidR="00320198" w:rsidRDefault="005C0948">
      <w:pPr>
        <w:widowControl w:val="0"/>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State aid investigations in basic industries</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Economic growth is only possible where efficient and innovative companies have room to expand. To make this happen, less efficient compan</w:t>
      </w:r>
      <w:r>
        <w:rPr>
          <w:rFonts w:ascii="Times New Roman" w:hAnsi="Times New Roman"/>
          <w:noProof/>
          <w:sz w:val="24"/>
          <w:szCs w:val="24"/>
        </w:rPr>
        <w:t>ies with outdated products have to leave the market. Subsidising inefficient companies interferes with this process and may significantly slow down economic growth. The State aid rules on industrial restructuring ensure that public funding goes to companie</w:t>
      </w:r>
      <w:r>
        <w:rPr>
          <w:rFonts w:ascii="Times New Roman" w:hAnsi="Times New Roman"/>
          <w:noProof/>
          <w:sz w:val="24"/>
          <w:szCs w:val="24"/>
        </w:rPr>
        <w:t xml:space="preserve">s that are addressing their problems in order to become viable on their own.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In 2018, the Commission concluded its in-depth investigation into the restructuring of the Romanian petrochemical company </w:t>
      </w:r>
      <w:r>
        <w:rPr>
          <w:rFonts w:ascii="Times New Roman" w:hAnsi="Times New Roman"/>
          <w:i/>
          <w:noProof/>
          <w:sz w:val="24"/>
          <w:szCs w:val="24"/>
        </w:rPr>
        <w:t>Oltchim.</w:t>
      </w:r>
      <w:r>
        <w:rPr>
          <w:rFonts w:ascii="Times New Roman" w:hAnsi="Times New Roman"/>
          <w:noProof/>
          <w:sz w:val="24"/>
          <w:szCs w:val="24"/>
          <w:vertAlign w:val="superscript"/>
        </w:rPr>
        <w:footnoteReference w:id="289"/>
      </w:r>
      <w:r>
        <w:rPr>
          <w:rFonts w:ascii="Times New Roman" w:hAnsi="Times New Roman"/>
          <w:noProof/>
          <w:sz w:val="24"/>
          <w:szCs w:val="24"/>
        </w:rPr>
        <w:t xml:space="preserve"> The Commission found that Oltchim received ar</w:t>
      </w:r>
      <w:r>
        <w:rPr>
          <w:rFonts w:ascii="Times New Roman" w:hAnsi="Times New Roman"/>
          <w:noProof/>
          <w:sz w:val="24"/>
          <w:szCs w:val="24"/>
        </w:rPr>
        <w:t>ound EUR 335 million of incompatible aid from Romania since the company’s failed privatisation in September 2012. This gave the company an unfair economic advantage over competitors, who have to work without such subsidies. Oltchim now needs to pay back th</w:t>
      </w:r>
      <w:r>
        <w:rPr>
          <w:rFonts w:ascii="Times New Roman" w:hAnsi="Times New Roman"/>
          <w:noProof/>
          <w:sz w:val="24"/>
          <w:szCs w:val="24"/>
        </w:rPr>
        <w:t xml:space="preserve">e money to the Romanian State to make up for the distortion of competition created by the aid. At the same time, the Commission made sure that the sale of Oltchim’s assets was carried out at market conditions and thus none of the past aid was passed on to </w:t>
      </w:r>
      <w:r>
        <w:rPr>
          <w:rFonts w:ascii="Times New Roman" w:hAnsi="Times New Roman"/>
          <w:noProof/>
          <w:sz w:val="24"/>
          <w:szCs w:val="24"/>
        </w:rPr>
        <w:t>the buyers. Indeed, After the Commission opened its in-depth investigation in April 2016, Romania amended the terms of sale, in particular allowing interested investors to bid for any one of nine asset bundles. This increased the likelihood of a successful</w:t>
      </w:r>
      <w:r>
        <w:rPr>
          <w:rFonts w:ascii="Times New Roman" w:hAnsi="Times New Roman"/>
          <w:noProof/>
          <w:sz w:val="24"/>
          <w:szCs w:val="24"/>
        </w:rPr>
        <w:t xml:space="preserve"> sale as well as the proceeds from the asset sale and dispelled the Commission’s initial doubts.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In May 2018, the Commission also opened an in-depth investigation into the restructuring of </w:t>
      </w:r>
      <w:r>
        <w:rPr>
          <w:rFonts w:ascii="Times New Roman" w:hAnsi="Times New Roman"/>
          <w:i/>
          <w:noProof/>
          <w:sz w:val="24"/>
          <w:szCs w:val="24"/>
        </w:rPr>
        <w:t>CNU</w:t>
      </w:r>
      <w:r>
        <w:rPr>
          <w:rFonts w:ascii="Times New Roman" w:hAnsi="Times New Roman"/>
          <w:noProof/>
          <w:sz w:val="24"/>
          <w:szCs w:val="24"/>
          <w:vertAlign w:val="superscript"/>
        </w:rPr>
        <w:footnoteReference w:id="290"/>
      </w:r>
      <w:r>
        <w:rPr>
          <w:rFonts w:ascii="Times New Roman" w:hAnsi="Times New Roman"/>
          <w:noProof/>
          <w:sz w:val="24"/>
          <w:szCs w:val="24"/>
        </w:rPr>
        <w:t>, a Romanian company active in the mining of uranium and its</w:t>
      </w:r>
      <w:r>
        <w:rPr>
          <w:rFonts w:ascii="Times New Roman" w:hAnsi="Times New Roman"/>
          <w:noProof/>
          <w:sz w:val="24"/>
          <w:szCs w:val="24"/>
        </w:rPr>
        <w:t xml:space="preserve"> processing into nuclear fuel. After a rescue loan of around EUR 13 million to keep the company afloat, which the Commission temporarily approved in 2016, Romania intends to grant around EUR 95 million of restructuring support to CNU. The Commission’s inve</w:t>
      </w:r>
      <w:r>
        <w:rPr>
          <w:rFonts w:ascii="Times New Roman" w:hAnsi="Times New Roman"/>
          <w:noProof/>
          <w:sz w:val="24"/>
          <w:szCs w:val="24"/>
        </w:rPr>
        <w:t xml:space="preserve">stigation aims to ensure in particular that the company addresses the problems that caused its difficulties and becomes viable in the long-term without continued State support. </w:t>
      </w:r>
    </w:p>
    <w:p w:rsidR="00320198" w:rsidRDefault="005C0948">
      <w:pPr>
        <w:spacing w:after="240" w:line="240" w:lineRule="auto"/>
        <w:jc w:val="both"/>
        <w:rPr>
          <w:rFonts w:ascii="Times New Roman" w:eastAsiaTheme="minorHAnsi" w:hAnsi="Times New Roman" w:cstheme="minorBidi"/>
          <w:bCs/>
          <w:noProof/>
          <w:sz w:val="24"/>
          <w:szCs w:val="24"/>
        </w:rPr>
      </w:pPr>
      <w:r>
        <w:rPr>
          <w:rFonts w:ascii="Times New Roman" w:eastAsiaTheme="minorHAnsi" w:hAnsi="Times New Roman" w:cstheme="minorBidi"/>
          <w:bCs/>
          <w:noProof/>
          <w:sz w:val="24"/>
          <w:szCs w:val="24"/>
        </w:rPr>
        <w:t xml:space="preserve">Moreover, in November 2018, the Commission requested Romania to recover around EUR 60 million of from the State-owned electricity and heat producer </w:t>
      </w:r>
      <w:r>
        <w:rPr>
          <w:rFonts w:ascii="Times New Roman" w:eastAsiaTheme="minorHAnsi" w:hAnsi="Times New Roman" w:cstheme="minorBidi"/>
          <w:bCs/>
          <w:i/>
          <w:noProof/>
          <w:sz w:val="24"/>
          <w:szCs w:val="24"/>
        </w:rPr>
        <w:t>CE Hunedoara</w:t>
      </w:r>
      <w:r>
        <w:rPr>
          <w:rFonts w:ascii="Times New Roman" w:eastAsiaTheme="minorHAnsi" w:hAnsi="Times New Roman" w:cstheme="minorBidi"/>
          <w:bCs/>
          <w:noProof/>
          <w:sz w:val="24"/>
          <w:szCs w:val="24"/>
        </w:rPr>
        <w:t>.</w:t>
      </w:r>
      <w:r>
        <w:rPr>
          <w:rFonts w:ascii="Times New Roman" w:eastAsiaTheme="minorHAnsi" w:hAnsi="Times New Roman" w:cstheme="minorBidi"/>
          <w:bCs/>
          <w:noProof/>
          <w:sz w:val="24"/>
          <w:szCs w:val="24"/>
        </w:rPr>
        <w:footnoteReference w:id="291"/>
      </w:r>
      <w:r>
        <w:rPr>
          <w:rFonts w:ascii="Times New Roman" w:eastAsiaTheme="minorHAnsi" w:hAnsi="Times New Roman" w:cstheme="minorBidi"/>
          <w:bCs/>
          <w:noProof/>
          <w:sz w:val="24"/>
          <w:szCs w:val="24"/>
        </w:rPr>
        <w:t xml:space="preserve"> The company was incorporated in November 2012 with assets of other failed and dissolved State-owned companies and had in turn been in financial difficulties as from 2013. Following rescue aid approved in April 2014 and not reimbursed after a six-month per</w:t>
      </w:r>
      <w:r>
        <w:rPr>
          <w:rFonts w:ascii="Times New Roman" w:eastAsiaTheme="minorHAnsi" w:hAnsi="Times New Roman" w:cstheme="minorBidi"/>
          <w:bCs/>
          <w:noProof/>
          <w:sz w:val="24"/>
          <w:szCs w:val="24"/>
        </w:rPr>
        <w:t>iod, the Commission found that CE Hunedoara’s restructuring plan was not capable of making the company viable without continued State support after the restructuring period. CE Hunedoara had also received three other State loans that it could not have obta</w:t>
      </w:r>
      <w:r>
        <w:rPr>
          <w:rFonts w:ascii="Times New Roman" w:eastAsiaTheme="minorHAnsi" w:hAnsi="Times New Roman" w:cstheme="minorBidi"/>
          <w:bCs/>
          <w:noProof/>
          <w:sz w:val="24"/>
          <w:szCs w:val="24"/>
        </w:rPr>
        <w:t>ined on the market. Moreover, Hunedoara was not sufficiently contributing with market-based revenues or finance to the cost of restructuring and no measures to limit the distortions of competition caused by the aid were put in place. The Commission therefo</w:t>
      </w:r>
      <w:r>
        <w:rPr>
          <w:rFonts w:ascii="Times New Roman" w:eastAsiaTheme="minorHAnsi" w:hAnsi="Times New Roman" w:cstheme="minorBidi"/>
          <w:bCs/>
          <w:noProof/>
          <w:sz w:val="24"/>
          <w:szCs w:val="24"/>
        </w:rPr>
        <w:t xml:space="preserve">re concluded that the State aid through public loans did not meet the compatibility conditions under the Rescue and Restructuring Guidelines. </w:t>
      </w:r>
    </w:p>
    <w:p w:rsidR="00320198" w:rsidRDefault="005C0948">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44" w:name="_Toc8831320"/>
      <w:r>
        <w:rPr>
          <w:rFonts w:ascii="Times New Roman" w:eastAsia="Times New Roman" w:hAnsi="Times New Roman"/>
          <w:b/>
          <w:smallCaps/>
          <w:noProof/>
          <w:sz w:val="24"/>
          <w:szCs w:val="24"/>
        </w:rPr>
        <w:t>6. Agri-food industry</w:t>
      </w:r>
      <w:bookmarkEnd w:id="44"/>
      <w:r>
        <w:rPr>
          <w:rFonts w:ascii="Times New Roman" w:eastAsia="Times New Roman" w:hAnsi="Times New Roman"/>
          <w:b/>
          <w:smallCaps/>
          <w:noProof/>
          <w:sz w:val="24"/>
          <w:szCs w:val="24"/>
        </w:rPr>
        <w:t xml:space="preserve"> </w:t>
      </w:r>
    </w:p>
    <w:p w:rsidR="00320198" w:rsidRDefault="005C0948">
      <w:pPr>
        <w:widowControl w:val="0"/>
        <w:spacing w:after="194" w:line="266" w:lineRule="exact"/>
        <w:jc w:val="both"/>
        <w:rPr>
          <w:rFonts w:ascii="Times New Roman" w:eastAsia="Times New Roman" w:hAnsi="Times New Roman"/>
          <w:i/>
          <w:noProof/>
          <w:color w:val="000000"/>
          <w:sz w:val="24"/>
        </w:rPr>
      </w:pPr>
      <w:bookmarkStart w:id="45" w:name="bookmark59"/>
      <w:bookmarkStart w:id="46" w:name="bookmark60"/>
      <w:bookmarkStart w:id="47" w:name="_Toc533093937"/>
      <w:r>
        <w:rPr>
          <w:rFonts w:ascii="Times New Roman" w:eastAsia="Times New Roman" w:hAnsi="Times New Roman"/>
          <w:i/>
          <w:noProof/>
          <w:color w:val="000000"/>
          <w:sz w:val="24"/>
        </w:rPr>
        <w:t>Overview of key challenges in the sector</w:t>
      </w:r>
      <w:bookmarkEnd w:id="45"/>
      <w:bookmarkEnd w:id="46"/>
      <w:bookmarkEnd w:id="47"/>
    </w:p>
    <w:p w:rsidR="00320198" w:rsidRDefault="005C0948">
      <w:pPr>
        <w:widowControl w:val="0"/>
        <w:spacing w:after="206"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While most firms in the European food sector ben</w:t>
      </w:r>
      <w:r>
        <w:rPr>
          <w:rFonts w:ascii="Times New Roman" w:eastAsia="Times New Roman" w:hAnsi="Times New Roman"/>
          <w:noProof/>
          <w:color w:val="000000"/>
          <w:sz w:val="24"/>
        </w:rPr>
        <w:t>efit from operating in the EU internal  market, others face challenges operating in this market and in a globalised world. EU farmers, food manufacturers and retailers should get more out of their access to the internal market and the ensuing possibility a</w:t>
      </w:r>
      <w:r>
        <w:rPr>
          <w:rFonts w:ascii="Times New Roman" w:eastAsia="Times New Roman" w:hAnsi="Times New Roman"/>
          <w:noProof/>
          <w:color w:val="000000"/>
          <w:sz w:val="24"/>
        </w:rPr>
        <w:t>bility to buy and sell produce across EU borders. EU competition policy contributes to this process.</w:t>
      </w:r>
    </w:p>
    <w:p w:rsidR="00320198" w:rsidRDefault="005C0948">
      <w:pPr>
        <w:widowControl w:val="0"/>
        <w:spacing w:after="194" w:line="266" w:lineRule="exact"/>
        <w:jc w:val="both"/>
        <w:rPr>
          <w:rFonts w:ascii="Times New Roman" w:eastAsia="Times New Roman" w:hAnsi="Times New Roman"/>
          <w:noProof/>
          <w:color w:val="000000"/>
          <w:sz w:val="24"/>
        </w:rPr>
      </w:pPr>
      <w:r>
        <w:rPr>
          <w:rFonts w:ascii="Times New Roman" w:eastAsia="Times New Roman" w:hAnsi="Times New Roman"/>
          <w:i/>
          <w:noProof/>
          <w:color w:val="000000"/>
          <w:sz w:val="24"/>
        </w:rPr>
        <w:t>Challenges for European farmers operating in the internal market</w:t>
      </w:r>
    </w:p>
    <w:p w:rsidR="00320198" w:rsidRDefault="005C0948">
      <w:pPr>
        <w:widowControl w:val="0"/>
        <w:spacing w:after="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Farmers are particularly vulnerable to the challenges raised by globalisation and their fu</w:t>
      </w:r>
      <w:r>
        <w:rPr>
          <w:rFonts w:ascii="Times New Roman" w:eastAsia="Times New Roman" w:hAnsi="Times New Roman"/>
          <w:noProof/>
          <w:color w:val="000000"/>
          <w:sz w:val="24"/>
        </w:rPr>
        <w:t>nctioning in a larger internal market for a number of reasons. European farmers are facing (i) more competition from other farmers inside as well as outside Europe, (ii) higher demands from end consumers in terms of quality, variety and traceability, and (</w:t>
      </w:r>
      <w:r>
        <w:rPr>
          <w:rFonts w:ascii="Times New Roman" w:eastAsia="Times New Roman" w:hAnsi="Times New Roman"/>
          <w:noProof/>
          <w:color w:val="000000"/>
          <w:sz w:val="24"/>
        </w:rPr>
        <w:t>iii) higher investments needs linked to initiatives towards a greener and more sustainable agriculture.</w:t>
      </w:r>
    </w:p>
    <w:p w:rsidR="00320198" w:rsidRDefault="00320198">
      <w:pPr>
        <w:widowControl w:val="0"/>
        <w:spacing w:after="0" w:line="274" w:lineRule="exact"/>
        <w:jc w:val="both"/>
        <w:rPr>
          <w:rFonts w:ascii="Times New Roman" w:eastAsia="Times New Roman" w:hAnsi="Times New Roman"/>
          <w:noProof/>
          <w:color w:val="000000"/>
          <w:sz w:val="24"/>
        </w:rPr>
      </w:pPr>
    </w:p>
    <w:p w:rsidR="00320198" w:rsidRDefault="005C0948">
      <w:pPr>
        <w:widowControl w:val="0"/>
        <w:spacing w:after="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The European agricultural sector has certain structural characteristics which make it more difficult to cope with these challenges. First, agricultural</w:t>
      </w:r>
      <w:r>
        <w:rPr>
          <w:rFonts w:ascii="Times New Roman" w:eastAsia="Times New Roman" w:hAnsi="Times New Roman"/>
          <w:noProof/>
          <w:color w:val="000000"/>
          <w:sz w:val="24"/>
        </w:rPr>
        <w:t xml:space="preserve"> producers are the least concentrated level of the food supply chain in the EU. They are mostly small or grouped into small cooperatives and other types of producer organisations. In contrast, their input suppliers and customers (processors, wholesalers an</w:t>
      </w:r>
      <w:r>
        <w:rPr>
          <w:rFonts w:ascii="Times New Roman" w:eastAsia="Times New Roman" w:hAnsi="Times New Roman"/>
          <w:noProof/>
          <w:color w:val="000000"/>
          <w:sz w:val="24"/>
        </w:rPr>
        <w:t>d retailers) are often much larger and more concentrated, giving them more bargaining power in their negotiations with farmers.</w:t>
      </w:r>
      <w:r>
        <w:rPr>
          <w:rStyle w:val="FootnoteReference"/>
          <w:rFonts w:ascii="Times New Roman" w:eastAsia="Times New Roman" w:hAnsi="Times New Roman"/>
          <w:noProof/>
          <w:color w:val="000000"/>
          <w:sz w:val="24"/>
        </w:rPr>
        <w:footnoteReference w:id="292"/>
      </w:r>
      <w:r>
        <w:rPr>
          <w:rFonts w:ascii="Times New Roman" w:eastAsia="Times New Roman" w:hAnsi="Times New Roman"/>
          <w:noProof/>
          <w:color w:val="000000"/>
          <w:sz w:val="24"/>
        </w:rPr>
        <w:t xml:space="preserve"> Second, unforeseeable natural elements (such as adverse weather conditions and diseases) can significantly alter production, re</w:t>
      </w:r>
      <w:r>
        <w:rPr>
          <w:rFonts w:ascii="Times New Roman" w:eastAsia="Times New Roman" w:hAnsi="Times New Roman"/>
          <w:noProof/>
          <w:color w:val="000000"/>
          <w:sz w:val="24"/>
        </w:rPr>
        <w:t>sulting in volatility of production and prices.</w:t>
      </w:r>
    </w:p>
    <w:p w:rsidR="00320198" w:rsidRDefault="00320198">
      <w:pPr>
        <w:widowControl w:val="0"/>
        <w:spacing w:after="0" w:line="274" w:lineRule="exact"/>
        <w:jc w:val="both"/>
        <w:rPr>
          <w:rFonts w:ascii="Times New Roman" w:eastAsia="Times New Roman" w:hAnsi="Times New Roman"/>
          <w:noProof/>
          <w:color w:val="000000"/>
          <w:sz w:val="24"/>
        </w:rPr>
      </w:pPr>
    </w:p>
    <w:p w:rsidR="00320198" w:rsidRDefault="005C0948">
      <w:pPr>
        <w:widowControl w:val="0"/>
        <w:spacing w:after="24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 xml:space="preserve">European farmers can manage these challenges better by their integration into larger producer organisations where these organisations aggregate supply (in terms of </w:t>
      </w:r>
      <w:r>
        <w:rPr>
          <w:rFonts w:ascii="Times New Roman" w:eastAsia="Times New Roman" w:hAnsi="Times New Roman"/>
          <w:noProof/>
          <w:color w:val="000000"/>
          <w:sz w:val="24"/>
          <w:szCs w:val="24"/>
        </w:rPr>
        <w:t xml:space="preserve">both </w:t>
      </w:r>
      <w:r>
        <w:rPr>
          <w:rFonts w:ascii="Times New Roman" w:eastAsia="Times New Roman" w:hAnsi="Times New Roman"/>
          <w:noProof/>
          <w:color w:val="000000"/>
          <w:sz w:val="24"/>
        </w:rPr>
        <w:t>volumes and variety of products), offe</w:t>
      </w:r>
      <w:r>
        <w:rPr>
          <w:rFonts w:ascii="Times New Roman" w:eastAsia="Times New Roman" w:hAnsi="Times New Roman"/>
          <w:noProof/>
          <w:color w:val="000000"/>
          <w:sz w:val="24"/>
        </w:rPr>
        <w:t>r supporting services and add value through processing. Such integration can provide more stability and risk-management, scale to reach more customers, flexibility, more value and more bargaining power.</w:t>
      </w:r>
    </w:p>
    <w:p w:rsidR="00320198" w:rsidRDefault="005C0948">
      <w:pPr>
        <w:widowControl w:val="0"/>
        <w:spacing w:after="120" w:line="240" w:lineRule="auto"/>
        <w:ind w:right="198"/>
        <w:jc w:val="both"/>
        <w:rPr>
          <w:rFonts w:ascii="Times New Roman" w:eastAsia="Times New Roman" w:hAnsi="Times New Roman"/>
          <w:i/>
          <w:noProof/>
          <w:color w:val="000000"/>
          <w:sz w:val="24"/>
          <w:szCs w:val="24"/>
        </w:rPr>
      </w:pPr>
      <w:r>
        <w:rPr>
          <w:rFonts w:ascii="Times New Roman" w:eastAsia="Times New Roman" w:hAnsi="Times New Roman"/>
          <w:i/>
          <w:noProof/>
          <w:sz w:val="24"/>
          <w:szCs w:val="24"/>
        </w:rPr>
        <w:t xml:space="preserve">Opportunities and challenges posed by increased retail concentration in the internal market </w:t>
      </w:r>
    </w:p>
    <w:p w:rsidR="00320198" w:rsidRDefault="005C0948">
      <w:pPr>
        <w:spacing w:after="0" w:line="240" w:lineRule="auto"/>
        <w:ind w:right="198"/>
        <w:jc w:val="both"/>
        <w:rPr>
          <w:rFonts w:ascii="Times New Roman" w:eastAsia="Times New Roman" w:hAnsi="Times New Roman"/>
          <w:noProof/>
          <w:color w:val="000000"/>
          <w:sz w:val="24"/>
        </w:rPr>
      </w:pPr>
      <w:r>
        <w:rPr>
          <w:rFonts w:ascii="Times New Roman" w:eastAsia="Times New Roman" w:hAnsi="Times New Roman"/>
          <w:noProof/>
          <w:color w:val="000000"/>
          <w:sz w:val="24"/>
        </w:rPr>
        <w:t>Chains of retailers have developed sophisticated distribution systems and varied store formats that supply wide arrays of products to customers. Many such chains h</w:t>
      </w:r>
      <w:r>
        <w:rPr>
          <w:rFonts w:ascii="Times New Roman" w:eastAsia="Times New Roman" w:hAnsi="Times New Roman"/>
          <w:noProof/>
          <w:color w:val="000000"/>
          <w:sz w:val="24"/>
        </w:rPr>
        <w:t>ave opened shops in other Member States than their home market, hereby bringing a different business model and more competition to other markets. On the one hand, consumers often value the offer of different products, a wider choice and variety coming from</w:t>
      </w:r>
      <w:r>
        <w:rPr>
          <w:rFonts w:ascii="Times New Roman" w:eastAsia="Times New Roman" w:hAnsi="Times New Roman"/>
          <w:noProof/>
          <w:color w:val="000000"/>
          <w:sz w:val="24"/>
        </w:rPr>
        <w:t xml:space="preserve"> other markets, especially when this goes along with lower prices. On the other hand, the increasing concentration of retailers (through internal growth, mergers/acquisitions and/or the formation of buying alliances) continues to worry certain trading part</w:t>
      </w:r>
      <w:r>
        <w:rPr>
          <w:rFonts w:ascii="Times New Roman" w:eastAsia="Times New Roman" w:hAnsi="Times New Roman"/>
          <w:noProof/>
          <w:color w:val="000000"/>
          <w:sz w:val="24"/>
        </w:rPr>
        <w:t>ners, especially smaller operators. In particular, they question whether large retail chains have obtained too much bargaining power (in the bilateral negotiations with their suppliers) and buyer power (in the market overall).</w:t>
      </w:r>
    </w:p>
    <w:p w:rsidR="00320198" w:rsidRDefault="00320198">
      <w:pPr>
        <w:spacing w:after="0" w:line="240" w:lineRule="auto"/>
        <w:rPr>
          <w:rFonts w:ascii="Times New Roman" w:eastAsia="Times New Roman" w:hAnsi="Times New Roman"/>
          <w:i/>
          <w:noProof/>
          <w:color w:val="000000"/>
          <w:sz w:val="24"/>
        </w:rPr>
      </w:pPr>
    </w:p>
    <w:p w:rsidR="00320198" w:rsidRDefault="005C0948">
      <w:pPr>
        <w:widowControl w:val="0"/>
        <w:spacing w:after="194" w:line="266" w:lineRule="exact"/>
        <w:jc w:val="both"/>
        <w:rPr>
          <w:rFonts w:ascii="Times New Roman" w:eastAsia="Times New Roman" w:hAnsi="Times New Roman"/>
          <w:noProof/>
          <w:color w:val="000000"/>
          <w:sz w:val="24"/>
        </w:rPr>
      </w:pPr>
      <w:r>
        <w:rPr>
          <w:rFonts w:ascii="Times New Roman" w:eastAsia="Times New Roman" w:hAnsi="Times New Roman"/>
          <w:i/>
          <w:noProof/>
          <w:color w:val="000000"/>
          <w:sz w:val="24"/>
        </w:rPr>
        <w:t>Challenges for the optimal f</w:t>
      </w:r>
      <w:r>
        <w:rPr>
          <w:rFonts w:ascii="Times New Roman" w:eastAsia="Times New Roman" w:hAnsi="Times New Roman"/>
          <w:i/>
          <w:noProof/>
          <w:color w:val="000000"/>
          <w:sz w:val="24"/>
        </w:rPr>
        <w:t>unctioning of the EU internal market</w:t>
      </w:r>
    </w:p>
    <w:p w:rsidR="00320198" w:rsidRDefault="005C0948">
      <w:pPr>
        <w:widowControl w:val="0"/>
        <w:spacing w:after="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There are challenges to the EU internal market itself, restricting competition at all levels of the food supply chain.</w:t>
      </w:r>
    </w:p>
    <w:p w:rsidR="00320198" w:rsidRDefault="00320198">
      <w:pPr>
        <w:widowControl w:val="0"/>
        <w:spacing w:after="0" w:line="274" w:lineRule="exact"/>
        <w:jc w:val="both"/>
        <w:rPr>
          <w:rFonts w:ascii="Times New Roman" w:eastAsia="Times New Roman" w:hAnsi="Times New Roman"/>
          <w:noProof/>
          <w:color w:val="000000"/>
          <w:sz w:val="24"/>
        </w:rPr>
      </w:pPr>
    </w:p>
    <w:p w:rsidR="00320198" w:rsidRDefault="005C0948">
      <w:pPr>
        <w:widowControl w:val="0"/>
        <w:spacing w:after="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 xml:space="preserve">Operators in some national markets sometimes agree on excluding operators from other Member States </w:t>
      </w:r>
      <w:r>
        <w:rPr>
          <w:rFonts w:ascii="Times New Roman" w:eastAsia="Times New Roman" w:hAnsi="Times New Roman"/>
          <w:noProof/>
          <w:color w:val="000000"/>
          <w:sz w:val="24"/>
        </w:rPr>
        <w:t xml:space="preserve">and give preference to domestic products even though this preference is not based on objective criteria (quality, specific traits, etc.) of the products. These types of discrimination based on nationality are hurting the fundamental principle of the EU to </w:t>
      </w:r>
      <w:r>
        <w:rPr>
          <w:rFonts w:ascii="Times New Roman" w:eastAsia="Times New Roman" w:hAnsi="Times New Roman"/>
          <w:noProof/>
          <w:color w:val="000000"/>
          <w:sz w:val="24"/>
        </w:rPr>
        <w:t>give a fair chance to all producers inside the EU independently of their origin.</w:t>
      </w:r>
    </w:p>
    <w:p w:rsidR="00320198" w:rsidRDefault="00320198">
      <w:pPr>
        <w:widowControl w:val="0"/>
        <w:spacing w:after="0" w:line="274" w:lineRule="exact"/>
        <w:jc w:val="both"/>
        <w:rPr>
          <w:rFonts w:ascii="Times New Roman" w:eastAsia="Times New Roman" w:hAnsi="Times New Roman"/>
          <w:noProof/>
          <w:color w:val="000000"/>
          <w:sz w:val="24"/>
        </w:rPr>
      </w:pPr>
    </w:p>
    <w:p w:rsidR="00320198" w:rsidRDefault="005C0948">
      <w:pPr>
        <w:widowControl w:val="0"/>
        <w:spacing w:after="206"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Further, international food manufacturers, for years already present with equal or similar brands in different Member States reportedly try to compartmentalise the Internal M</w:t>
      </w:r>
      <w:r>
        <w:rPr>
          <w:rFonts w:ascii="Times New Roman" w:eastAsia="Times New Roman" w:hAnsi="Times New Roman"/>
          <w:noProof/>
          <w:color w:val="000000"/>
          <w:sz w:val="24"/>
        </w:rPr>
        <w:t>arket by preventing or hindering retailers from bringing products from lower-priced markets into higher-priced markets.</w:t>
      </w:r>
    </w:p>
    <w:p w:rsidR="00320198" w:rsidRDefault="005C0948">
      <w:pPr>
        <w:widowControl w:val="0"/>
        <w:spacing w:line="240" w:lineRule="auto"/>
        <w:jc w:val="both"/>
        <w:rPr>
          <w:rFonts w:ascii="Times New Roman" w:hAnsi="Times New Roman"/>
          <w:b/>
          <w:noProof/>
          <w:sz w:val="24"/>
          <w:szCs w:val="24"/>
        </w:rPr>
      </w:pPr>
      <w:bookmarkStart w:id="48" w:name="_Toc533093938"/>
      <w:r>
        <w:rPr>
          <w:rFonts w:ascii="Times New Roman" w:hAnsi="Times New Roman"/>
          <w:b/>
          <w:noProof/>
          <w:sz w:val="24"/>
          <w:szCs w:val="24"/>
        </w:rPr>
        <w:t>Contribution of EU competition policy to make the internal market work better</w:t>
      </w:r>
      <w:bookmarkEnd w:id="48"/>
    </w:p>
    <w:p w:rsidR="00320198" w:rsidRDefault="005C0948">
      <w:pPr>
        <w:widowControl w:val="0"/>
        <w:spacing w:after="194" w:line="266" w:lineRule="exact"/>
        <w:jc w:val="both"/>
        <w:rPr>
          <w:rFonts w:ascii="Times New Roman" w:eastAsia="Times New Roman" w:hAnsi="Times New Roman"/>
          <w:noProof/>
          <w:color w:val="000000"/>
          <w:sz w:val="24"/>
        </w:rPr>
      </w:pPr>
      <w:r>
        <w:rPr>
          <w:rFonts w:ascii="Times New Roman" w:eastAsia="Times New Roman" w:hAnsi="Times New Roman"/>
          <w:i/>
          <w:noProof/>
          <w:color w:val="000000"/>
          <w:sz w:val="24"/>
        </w:rPr>
        <w:t>Making farmers more competitive in the EU internal market</w:t>
      </w:r>
    </w:p>
    <w:p w:rsidR="00320198" w:rsidRDefault="005C0948">
      <w:pPr>
        <w:widowControl w:val="0"/>
        <w:tabs>
          <w:tab w:val="left" w:pos="851"/>
        </w:tabs>
        <w:spacing w:after="206"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In previous years, several legislative initiatives aimed to help European farmers to better cope with the challenges posed by the internal market and globalisation, to increase the competitiveness of the EU agricultural sector and to strengthen the bargain</w:t>
      </w:r>
      <w:r>
        <w:rPr>
          <w:rFonts w:ascii="Times New Roman" w:eastAsia="Times New Roman" w:hAnsi="Times New Roman"/>
          <w:noProof/>
          <w:color w:val="000000"/>
          <w:sz w:val="24"/>
        </w:rPr>
        <w:t>ing power of smaller agricultural producers have been introduced. Several derogations from the competition rules were granted to the EU agricultural sector through the CMO Regulation</w:t>
      </w:r>
      <w:r>
        <w:rPr>
          <w:rFonts w:ascii="Times New Roman" w:eastAsia="Times New Roman" w:hAnsi="Times New Roman"/>
          <w:i/>
          <w:noProof/>
          <w:color w:val="000000"/>
          <w:sz w:val="24"/>
        </w:rPr>
        <w:t>.</w:t>
      </w:r>
      <w:r>
        <w:rPr>
          <w:rFonts w:ascii="Times New Roman" w:eastAsia="Times New Roman" w:hAnsi="Times New Roman"/>
          <w:i/>
          <w:noProof/>
          <w:color w:val="000000"/>
          <w:sz w:val="24"/>
          <w:vertAlign w:val="superscript"/>
        </w:rPr>
        <w:footnoteReference w:id="293"/>
      </w:r>
      <w:r>
        <w:rPr>
          <w:rFonts w:ascii="Times New Roman" w:eastAsia="Times New Roman" w:hAnsi="Times New Roman"/>
          <w:noProof/>
          <w:color w:val="000000"/>
          <w:sz w:val="24"/>
        </w:rPr>
        <w:t xml:space="preserve"> For instance, the reform of the Common Agricultural Policy in 2013 intr</w:t>
      </w:r>
      <w:r>
        <w:rPr>
          <w:rFonts w:ascii="Times New Roman" w:eastAsia="Times New Roman" w:hAnsi="Times New Roman"/>
          <w:noProof/>
          <w:color w:val="000000"/>
          <w:sz w:val="24"/>
        </w:rPr>
        <w:t>oduced derogations to antitrust rules for certain agricultural sectors (olive oil, beef and veal, and arable crops) and to manage crisis situations. These sector-specific derogations were deleted in 2018 when the Council and the European Parliament amended</w:t>
      </w:r>
      <w:r>
        <w:rPr>
          <w:rFonts w:ascii="Times New Roman" w:eastAsia="Times New Roman" w:hAnsi="Times New Roman"/>
          <w:noProof/>
          <w:color w:val="000000"/>
          <w:sz w:val="24"/>
        </w:rPr>
        <w:t xml:space="preserve"> the application of the competition rules to the agricultural sector through the “Omnibus Regulation”</w:t>
      </w:r>
      <w:r>
        <w:rPr>
          <w:rFonts w:ascii="Times New Roman" w:eastAsia="Times New Roman" w:hAnsi="Times New Roman"/>
          <w:noProof/>
          <w:color w:val="000000"/>
          <w:sz w:val="24"/>
          <w:vertAlign w:val="superscript"/>
        </w:rPr>
        <w:footnoteReference w:id="294"/>
      </w:r>
      <w:r>
        <w:rPr>
          <w:rFonts w:ascii="Times New Roman" w:eastAsia="Times New Roman" w:hAnsi="Times New Roman"/>
          <w:noProof/>
          <w:color w:val="000000"/>
          <w:sz w:val="24"/>
        </w:rPr>
        <w:t xml:space="preserve"> by creating a horizontal provision, which allows recognised producer organisations and their associations to engage in practices such as production plann</w:t>
      </w:r>
      <w:r>
        <w:rPr>
          <w:rFonts w:ascii="Times New Roman" w:eastAsia="Times New Roman" w:hAnsi="Times New Roman"/>
          <w:noProof/>
          <w:color w:val="000000"/>
          <w:sz w:val="24"/>
        </w:rPr>
        <w:t>ing and contractual negotiations, in derogation from Article 101 TFEU.</w:t>
      </w:r>
    </w:p>
    <w:p w:rsidR="00320198" w:rsidRDefault="005C0948">
      <w:pPr>
        <w:widowControl w:val="0"/>
        <w:spacing w:before="200" w:line="266"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In June 2018 the Commission published proposals for the CAP 2020 reform. These proposals do not contain any possible modifications of the competition rules applicable in the agricultura</w:t>
      </w:r>
      <w:r>
        <w:rPr>
          <w:rFonts w:ascii="Times New Roman" w:eastAsia="Times New Roman" w:hAnsi="Times New Roman"/>
          <w:noProof/>
          <w:color w:val="000000"/>
          <w:sz w:val="24"/>
        </w:rPr>
        <w:t>l sector.</w:t>
      </w:r>
      <w:r>
        <w:rPr>
          <w:rFonts w:ascii="Times New Roman" w:eastAsia="Times New Roman" w:hAnsi="Times New Roman"/>
          <w:noProof/>
          <w:color w:val="000000"/>
          <w:sz w:val="24"/>
          <w:vertAlign w:val="superscript"/>
        </w:rPr>
        <w:footnoteReference w:id="295"/>
      </w:r>
      <w:r>
        <w:rPr>
          <w:rFonts w:ascii="Times New Roman" w:eastAsia="Times New Roman" w:hAnsi="Times New Roman"/>
          <w:noProof/>
          <w:color w:val="000000"/>
          <w:sz w:val="24"/>
        </w:rPr>
        <w:t xml:space="preserve"> </w:t>
      </w:r>
    </w:p>
    <w:p w:rsidR="00320198" w:rsidRDefault="005C0948">
      <w:pPr>
        <w:widowControl w:val="0"/>
        <w:tabs>
          <w:tab w:val="left" w:pos="0"/>
        </w:tabs>
        <w:spacing w:after="0" w:line="274" w:lineRule="exact"/>
        <w:jc w:val="both"/>
        <w:rPr>
          <w:rFonts w:ascii="Times New Roman" w:eastAsia="Times New Roman" w:hAnsi="Times New Roman"/>
          <w:i/>
          <w:noProof/>
          <w:color w:val="000000"/>
          <w:sz w:val="24"/>
        </w:rPr>
      </w:pPr>
      <w:r>
        <w:rPr>
          <w:rFonts w:ascii="Times New Roman" w:eastAsia="Times New Roman" w:hAnsi="Times New Roman"/>
          <w:i/>
          <w:noProof/>
          <w:color w:val="000000"/>
          <w:sz w:val="24"/>
        </w:rPr>
        <w:t xml:space="preserve">Analysis and reporting </w:t>
      </w:r>
    </w:p>
    <w:p w:rsidR="00320198" w:rsidRDefault="00320198">
      <w:pPr>
        <w:widowControl w:val="0"/>
        <w:tabs>
          <w:tab w:val="left" w:pos="0"/>
        </w:tabs>
        <w:spacing w:after="0" w:line="274" w:lineRule="exact"/>
        <w:jc w:val="both"/>
        <w:rPr>
          <w:rFonts w:ascii="Times New Roman" w:eastAsia="Times New Roman" w:hAnsi="Times New Roman"/>
          <w:i/>
          <w:noProof/>
          <w:color w:val="000000"/>
          <w:sz w:val="24"/>
        </w:rPr>
      </w:pPr>
    </w:p>
    <w:p w:rsidR="00320198" w:rsidRDefault="005C0948">
      <w:pPr>
        <w:widowControl w:val="0"/>
        <w:numPr>
          <w:ilvl w:val="0"/>
          <w:numId w:val="10"/>
        </w:numPr>
        <w:tabs>
          <w:tab w:val="left" w:pos="709"/>
        </w:tabs>
        <w:spacing w:after="0" w:line="274" w:lineRule="exact"/>
        <w:contextualSpacing/>
        <w:jc w:val="both"/>
        <w:rPr>
          <w:rFonts w:ascii="Times New Roman" w:eastAsia="Times New Roman" w:hAnsi="Times New Roman"/>
          <w:i/>
          <w:noProof/>
          <w:color w:val="000000"/>
          <w:sz w:val="24"/>
          <w:szCs w:val="24"/>
          <w:lang w:bidi="en-US"/>
        </w:rPr>
      </w:pPr>
      <w:r>
        <w:rPr>
          <w:rFonts w:ascii="Times New Roman" w:eastAsia="Times New Roman" w:hAnsi="Times New Roman"/>
          <w:i/>
          <w:noProof/>
          <w:color w:val="000000"/>
          <w:sz w:val="24"/>
          <w:szCs w:val="24"/>
          <w:lang w:bidi="en-US"/>
        </w:rPr>
        <w:t>Study on producer organisations and their activities in the olive oil, beef and veal and arable crops sectors</w:t>
      </w:r>
    </w:p>
    <w:p w:rsidR="00320198" w:rsidRDefault="00320198">
      <w:pPr>
        <w:widowControl w:val="0"/>
        <w:tabs>
          <w:tab w:val="left" w:pos="709"/>
        </w:tabs>
        <w:spacing w:after="0" w:line="274" w:lineRule="exact"/>
        <w:ind w:left="1444"/>
        <w:contextualSpacing/>
        <w:jc w:val="both"/>
        <w:rPr>
          <w:rFonts w:ascii="Times New Roman" w:eastAsia="Times New Roman" w:hAnsi="Times New Roman"/>
          <w:i/>
          <w:noProof/>
          <w:color w:val="000000"/>
          <w:sz w:val="24"/>
          <w:szCs w:val="24"/>
          <w:lang w:bidi="en-US"/>
        </w:rPr>
      </w:pPr>
    </w:p>
    <w:p w:rsidR="00320198" w:rsidRDefault="005C0948">
      <w:pPr>
        <w:widowControl w:val="0"/>
        <w:tabs>
          <w:tab w:val="left" w:pos="0"/>
        </w:tabs>
        <w:spacing w:after="0" w:line="240" w:lineRule="auto"/>
        <w:jc w:val="both"/>
        <w:rPr>
          <w:rFonts w:ascii="Times New Roman" w:eastAsia="Times New Roman" w:hAnsi="Times New Roman"/>
          <w:noProof/>
          <w:color w:val="000000"/>
          <w:sz w:val="24"/>
        </w:rPr>
      </w:pPr>
      <w:r>
        <w:rPr>
          <w:rFonts w:ascii="Times New Roman" w:eastAsia="Times New Roman" w:hAnsi="Times New Roman"/>
          <w:noProof/>
          <w:color w:val="000000"/>
          <w:sz w:val="24"/>
        </w:rPr>
        <w:t xml:space="preserve">In order to understand better the challenges of farmers in the supply chain and to help them to become more </w:t>
      </w:r>
      <w:r>
        <w:rPr>
          <w:rFonts w:ascii="Times New Roman" w:eastAsia="Times New Roman" w:hAnsi="Times New Roman"/>
          <w:noProof/>
          <w:color w:val="000000"/>
          <w:sz w:val="24"/>
        </w:rPr>
        <w:t>efficient, the Commission launched an external study. In June 2018 the Commission published the Study on producer organisations and their activities in the olive oil, beef and veal and arable crops sectors.</w:t>
      </w:r>
      <w:r>
        <w:rPr>
          <w:rStyle w:val="FootnoteReference"/>
          <w:rFonts w:ascii="Times New Roman" w:eastAsia="Times New Roman" w:hAnsi="Times New Roman"/>
          <w:noProof/>
          <w:color w:val="000000"/>
          <w:sz w:val="24"/>
        </w:rPr>
        <w:footnoteReference w:id="296"/>
      </w:r>
      <w:r>
        <w:rPr>
          <w:rFonts w:ascii="Times New Roman" w:eastAsia="Times New Roman" w:hAnsi="Times New Roman"/>
          <w:noProof/>
          <w:color w:val="000000"/>
          <w:sz w:val="24"/>
        </w:rPr>
        <w:t xml:space="preserve"> In these sectors there are overall five times mo</w:t>
      </w:r>
      <w:r>
        <w:rPr>
          <w:rFonts w:ascii="Times New Roman" w:eastAsia="Times New Roman" w:hAnsi="Times New Roman"/>
          <w:noProof/>
          <w:color w:val="000000"/>
          <w:sz w:val="24"/>
        </w:rPr>
        <w:t xml:space="preserve">re unrecognised producer organisations/associations of producer organisations than those formally recognised by Member States under EU legislation. </w:t>
      </w:r>
    </w:p>
    <w:p w:rsidR="00320198" w:rsidRDefault="00320198">
      <w:pPr>
        <w:widowControl w:val="0"/>
        <w:tabs>
          <w:tab w:val="left" w:pos="0"/>
        </w:tabs>
        <w:spacing w:after="0" w:line="274" w:lineRule="exact"/>
        <w:jc w:val="both"/>
        <w:rPr>
          <w:rFonts w:ascii="Times New Roman" w:eastAsia="Times New Roman" w:hAnsi="Times New Roman"/>
          <w:noProof/>
          <w:color w:val="000000"/>
          <w:sz w:val="24"/>
        </w:rPr>
      </w:pPr>
    </w:p>
    <w:p w:rsidR="00320198" w:rsidRDefault="005C0948">
      <w:pPr>
        <w:widowControl w:val="0"/>
        <w:tabs>
          <w:tab w:val="left" w:pos="0"/>
        </w:tabs>
        <w:spacing w:after="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 xml:space="preserve">The study revealed that the main motivating factors for farmers to set up a producer organisation or an </w:t>
      </w:r>
      <w:r>
        <w:rPr>
          <w:rFonts w:ascii="Times New Roman" w:eastAsia="Times New Roman" w:hAnsi="Times New Roman"/>
          <w:noProof/>
          <w:color w:val="000000"/>
          <w:sz w:val="24"/>
        </w:rPr>
        <w:t>association of producer organisations are (i) to improve access to markets due to an increased volume and (ii) to improve the position of the members in negotiations with buyers. Furthermore, according to the study the main benefits for members in a Produc</w:t>
      </w:r>
      <w:r>
        <w:rPr>
          <w:rFonts w:ascii="Times New Roman" w:eastAsia="Times New Roman" w:hAnsi="Times New Roman"/>
          <w:noProof/>
          <w:color w:val="000000"/>
          <w:sz w:val="24"/>
        </w:rPr>
        <w:t>er Organisation/an Association of producer organisations are (i) improved market access and price stability and (ii) reduced costs and economies of scale.</w:t>
      </w:r>
    </w:p>
    <w:p w:rsidR="00320198" w:rsidRDefault="00320198">
      <w:pPr>
        <w:widowControl w:val="0"/>
        <w:tabs>
          <w:tab w:val="left" w:pos="0"/>
        </w:tabs>
        <w:spacing w:after="0" w:line="274" w:lineRule="exact"/>
        <w:jc w:val="both"/>
        <w:rPr>
          <w:rFonts w:ascii="Times New Roman" w:eastAsia="Times New Roman" w:hAnsi="Times New Roman"/>
          <w:noProof/>
          <w:color w:val="000000"/>
          <w:sz w:val="24"/>
        </w:rPr>
      </w:pPr>
    </w:p>
    <w:p w:rsidR="00320198" w:rsidRDefault="005C0948">
      <w:pPr>
        <w:widowControl w:val="0"/>
        <w:tabs>
          <w:tab w:val="left" w:pos="0"/>
        </w:tabs>
        <w:spacing w:after="0" w:line="274" w:lineRule="exact"/>
        <w:jc w:val="both"/>
        <w:rPr>
          <w:rFonts w:ascii="Times New Roman" w:eastAsia="Times New Roman" w:hAnsi="Times New Roman"/>
          <w:noProof/>
          <w:color w:val="000000"/>
          <w:sz w:val="24"/>
        </w:rPr>
      </w:pPr>
      <w:r>
        <w:rPr>
          <w:rFonts w:ascii="Times New Roman" w:eastAsia="Times New Roman" w:hAnsi="Times New Roman"/>
          <w:noProof/>
          <w:color w:val="000000"/>
          <w:sz w:val="24"/>
        </w:rPr>
        <w:t>The study also shows that two-thirds of producer organisations and associations of producer organisa</w:t>
      </w:r>
      <w:r>
        <w:rPr>
          <w:rFonts w:ascii="Times New Roman" w:eastAsia="Times New Roman" w:hAnsi="Times New Roman"/>
          <w:noProof/>
          <w:color w:val="000000"/>
          <w:sz w:val="24"/>
        </w:rPr>
        <w:t>tions carry out contractual negotiations and other commercialisation-related activities (commercialisation strategies and the planning of quantities). More than 90% of the entities that carry out these commercialisation-related activities also carry out co</w:t>
      </w:r>
      <w:r>
        <w:rPr>
          <w:rFonts w:ascii="Times New Roman" w:eastAsia="Times New Roman" w:hAnsi="Times New Roman"/>
          <w:noProof/>
          <w:color w:val="000000"/>
          <w:sz w:val="24"/>
        </w:rPr>
        <w:t>mmon efficiency-enhancing activities, such as quality control, distribution/transport, and procurement of inputs, as was foreseen by the sector-specific derogations from competition rules for these sectors.</w:t>
      </w:r>
    </w:p>
    <w:p w:rsidR="00320198" w:rsidRDefault="005C0948">
      <w:pPr>
        <w:tabs>
          <w:tab w:val="left" w:pos="0"/>
        </w:tabs>
        <w:spacing w:before="20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Most </w:t>
      </w:r>
      <w:r>
        <w:rPr>
          <w:rFonts w:ascii="Times New Roman" w:eastAsia="Times New Roman" w:hAnsi="Times New Roman"/>
          <w:noProof/>
          <w:color w:val="000000"/>
          <w:sz w:val="24"/>
        </w:rPr>
        <w:t>producer organisations</w:t>
      </w:r>
      <w:r>
        <w:rPr>
          <w:rFonts w:ascii="Times New Roman" w:eastAsia="Times New Roman" w:hAnsi="Times New Roman"/>
          <w:noProof/>
          <w:sz w:val="24"/>
          <w:szCs w:val="20"/>
        </w:rPr>
        <w:t xml:space="preserve"> carry out these effic</w:t>
      </w:r>
      <w:r>
        <w:rPr>
          <w:rFonts w:ascii="Times New Roman" w:eastAsia="Times New Roman" w:hAnsi="Times New Roman"/>
          <w:noProof/>
          <w:sz w:val="24"/>
          <w:szCs w:val="20"/>
        </w:rPr>
        <w:t xml:space="preserve">iency-enhancing activities because they consider that they improve their position in negotiations with buyers and because they reduce the costs of the members. </w:t>
      </w:r>
    </w:p>
    <w:p w:rsidR="00320198" w:rsidRDefault="005C0948">
      <w:pPr>
        <w:spacing w:before="100" w:beforeAutospacing="1" w:after="100" w:afterAutospacing="1" w:line="240" w:lineRule="auto"/>
        <w:ind w:firstLine="720"/>
        <w:jc w:val="both"/>
        <w:rPr>
          <w:rFonts w:ascii="Times New Roman" w:eastAsia="Times New Roman" w:hAnsi="Times New Roman"/>
          <w:noProof/>
          <w:sz w:val="24"/>
          <w:szCs w:val="24"/>
          <w:lang w:eastAsia="en-GB"/>
        </w:rPr>
      </w:pPr>
      <w:r>
        <w:rPr>
          <w:rFonts w:ascii="Times New Roman" w:eastAsia="Times New Roman" w:hAnsi="Times New Roman"/>
          <w:i/>
          <w:noProof/>
          <w:sz w:val="24"/>
          <w:szCs w:val="24"/>
          <w:lang w:eastAsia="en-GB"/>
        </w:rPr>
        <w:t>b)</w:t>
      </w:r>
      <w:r>
        <w:rPr>
          <w:rFonts w:ascii="Times New Roman" w:eastAsia="Times New Roman" w:hAnsi="Times New Roman"/>
          <w:i/>
          <w:noProof/>
          <w:sz w:val="24"/>
          <w:szCs w:val="24"/>
          <w:lang w:eastAsia="en-GB"/>
        </w:rPr>
        <w:tab/>
        <w:t>Report on the application of competition rules in the agricultural sector</w:t>
      </w:r>
    </w:p>
    <w:p w:rsidR="00320198" w:rsidRDefault="005C0948">
      <w:pPr>
        <w:tabs>
          <w:tab w:val="left" w:pos="284"/>
        </w:tabs>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In October 2018, the Commission published the </w:t>
      </w:r>
      <w:r>
        <w:rPr>
          <w:rFonts w:ascii="Times New Roman" w:eastAsia="Times New Roman" w:hAnsi="Times New Roman"/>
          <w:i/>
          <w:noProof/>
          <w:sz w:val="24"/>
          <w:szCs w:val="24"/>
          <w:lang w:eastAsia="en-GB"/>
        </w:rPr>
        <w:t>Report on the application of competition rules in the agricultural sector.</w:t>
      </w:r>
      <w:r>
        <w:rPr>
          <w:rFonts w:ascii="Times New Roman" w:eastAsia="Times New Roman" w:hAnsi="Times New Roman"/>
          <w:noProof/>
          <w:sz w:val="24"/>
          <w:szCs w:val="24"/>
          <w:vertAlign w:val="superscript"/>
          <w:lang w:eastAsia="en-GB"/>
        </w:rPr>
        <w:footnoteReference w:id="297"/>
      </w:r>
    </w:p>
    <w:p w:rsidR="00320198" w:rsidRDefault="005C0948">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 competition authorities have carried out around 170 investigations in the agricultural sector. More than a third of these concerned</w:t>
      </w:r>
      <w:r>
        <w:rPr>
          <w:rFonts w:ascii="Times New Roman" w:eastAsia="Times New Roman" w:hAnsi="Times New Roman"/>
          <w:noProof/>
          <w:sz w:val="24"/>
          <w:szCs w:val="24"/>
          <w:lang w:eastAsia="en-GB"/>
        </w:rPr>
        <w:t xml:space="preserve"> processors of agricultural products. The report found that the enforcement work of EU competition authorities benefitted farmers with better deals for their products. In particular, the report identifies several instances of European competition authoriti</w:t>
      </w:r>
      <w:r>
        <w:rPr>
          <w:rFonts w:ascii="Times New Roman" w:eastAsia="Times New Roman" w:hAnsi="Times New Roman"/>
          <w:noProof/>
          <w:sz w:val="24"/>
          <w:szCs w:val="24"/>
          <w:lang w:eastAsia="en-GB"/>
        </w:rPr>
        <w:t>es stopping and sanctioning practices employed by large buyers that aimed at reducing prices paid to farmers. Furthermore, the work of EU competition authorities also helped farmers improve their conditions with cooperatives.</w:t>
      </w:r>
    </w:p>
    <w:p w:rsidR="00320198" w:rsidRDefault="005C0948">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One of the key findings of the</w:t>
      </w:r>
      <w:r>
        <w:rPr>
          <w:rFonts w:ascii="Times New Roman" w:eastAsia="Times New Roman" w:hAnsi="Times New Roman"/>
          <w:noProof/>
          <w:sz w:val="24"/>
          <w:szCs w:val="24"/>
          <w:lang w:eastAsia="en-GB"/>
        </w:rPr>
        <w:t xml:space="preserve"> report is a new trend of national initiatives to restrict imports of specific agricultural products from other Member States. Several NCAs (as well as the Commission in its 2015-2016 enquiry into the dairy sector in several Member States) have investigate</w:t>
      </w:r>
      <w:r>
        <w:rPr>
          <w:rFonts w:ascii="Times New Roman" w:eastAsia="Times New Roman" w:hAnsi="Times New Roman"/>
          <w:noProof/>
          <w:sz w:val="24"/>
          <w:szCs w:val="24"/>
          <w:lang w:eastAsia="en-GB"/>
        </w:rPr>
        <w:t xml:space="preserve">d and stopped a number of collective agreements, where for instance farmers in a given Member State attempt to hinder sales by farmers from other Member States. </w:t>
      </w:r>
    </w:p>
    <w:p w:rsidR="00320198" w:rsidRDefault="005C0948">
      <w:pPr>
        <w:widowControl w:val="0"/>
        <w:shd w:val="clear" w:color="auto" w:fill="FFFFFF"/>
        <w:spacing w:after="0" w:line="240" w:lineRule="auto"/>
        <w:jc w:val="both"/>
        <w:rPr>
          <w:rFonts w:ascii="Times New Roman" w:eastAsiaTheme="minorHAnsi" w:hAnsi="Times New Roman"/>
          <w:i/>
          <w:iCs/>
          <w:noProof/>
          <w:sz w:val="24"/>
          <w:szCs w:val="24"/>
        </w:rPr>
      </w:pPr>
      <w:r>
        <w:rPr>
          <w:rFonts w:ascii="Times New Roman" w:eastAsiaTheme="minorHAnsi" w:hAnsi="Times New Roman"/>
          <w:i/>
          <w:iCs/>
          <w:noProof/>
          <w:sz w:val="24"/>
          <w:szCs w:val="24"/>
        </w:rPr>
        <w:t xml:space="preserve">Tackling the challenges of increased retail concentration and unequal bargaining power in the </w:t>
      </w:r>
      <w:r>
        <w:rPr>
          <w:rFonts w:ascii="Times New Roman" w:eastAsiaTheme="minorHAnsi" w:hAnsi="Times New Roman"/>
          <w:i/>
          <w:iCs/>
          <w:noProof/>
          <w:sz w:val="24"/>
          <w:szCs w:val="24"/>
        </w:rPr>
        <w:t>EU Internal Market</w:t>
      </w:r>
    </w:p>
    <w:p w:rsidR="00320198" w:rsidRDefault="00320198">
      <w:pPr>
        <w:widowControl w:val="0"/>
        <w:shd w:val="clear" w:color="auto" w:fill="FFFFFF"/>
        <w:spacing w:after="0" w:line="274" w:lineRule="exact"/>
        <w:jc w:val="both"/>
        <w:rPr>
          <w:rFonts w:ascii="Times New Roman" w:eastAsiaTheme="minorHAnsi" w:hAnsi="Times New Roman"/>
          <w:iCs/>
          <w:noProof/>
          <w:sz w:val="24"/>
          <w:szCs w:val="24"/>
        </w:rPr>
      </w:pPr>
    </w:p>
    <w:p w:rsidR="00320198" w:rsidRDefault="005C0948">
      <w:pPr>
        <w:widowControl w:val="0"/>
        <w:shd w:val="clear" w:color="auto" w:fill="FFFFFF"/>
        <w:spacing w:after="0" w:line="274" w:lineRule="exact"/>
        <w:jc w:val="both"/>
        <w:rPr>
          <w:rFonts w:ascii="Times New Roman" w:eastAsiaTheme="minorHAnsi" w:hAnsi="Times New Roman"/>
          <w:iCs/>
          <w:noProof/>
          <w:sz w:val="24"/>
          <w:szCs w:val="24"/>
        </w:rPr>
      </w:pPr>
      <w:r>
        <w:rPr>
          <w:rFonts w:ascii="Times New Roman" w:eastAsiaTheme="minorHAnsi" w:hAnsi="Times New Roman"/>
          <w:iCs/>
          <w:noProof/>
          <w:sz w:val="24"/>
          <w:szCs w:val="24"/>
        </w:rPr>
        <w:t>On 30 April 2019, the Directive on unfair trading practices in business-to-business relationships in the food supply chain entered into force. The Directive is based on a 2018 Commission proposal aiming to tackle at EU level the imbalan</w:t>
      </w:r>
      <w:r>
        <w:rPr>
          <w:rFonts w:ascii="Times New Roman" w:eastAsiaTheme="minorHAnsi" w:hAnsi="Times New Roman"/>
          <w:iCs/>
          <w:noProof/>
          <w:sz w:val="24"/>
          <w:szCs w:val="24"/>
        </w:rPr>
        <w:t xml:space="preserve">ces of bargaining power </w:t>
      </w:r>
      <w:r>
        <w:rPr>
          <w:rFonts w:ascii="Times New Roman" w:eastAsiaTheme="minorHAnsi" w:hAnsi="Times New Roman"/>
          <w:bCs/>
          <w:iCs/>
          <w:noProof/>
          <w:sz w:val="24"/>
          <w:szCs w:val="24"/>
        </w:rPr>
        <w:t xml:space="preserve">throughout </w:t>
      </w:r>
      <w:r>
        <w:rPr>
          <w:rFonts w:ascii="Times New Roman" w:eastAsiaTheme="minorHAnsi" w:hAnsi="Times New Roman"/>
          <w:iCs/>
          <w:noProof/>
          <w:sz w:val="24"/>
          <w:szCs w:val="24"/>
        </w:rPr>
        <w:t>the food supply chain by banning the most damaging unfair trading practices imposed by buyers with strong bargaining power on small suppliers, in particular small farmers.</w:t>
      </w:r>
      <w:r>
        <w:rPr>
          <w:rFonts w:ascii="Times New Roman" w:eastAsiaTheme="minorHAnsi" w:hAnsi="Times New Roman"/>
          <w:iCs/>
          <w:noProof/>
          <w:sz w:val="24"/>
          <w:szCs w:val="24"/>
          <w:vertAlign w:val="superscript"/>
        </w:rPr>
        <w:t xml:space="preserve"> </w:t>
      </w:r>
      <w:r>
        <w:rPr>
          <w:rFonts w:ascii="Times New Roman" w:eastAsiaTheme="minorHAnsi" w:hAnsi="Times New Roman"/>
          <w:iCs/>
          <w:noProof/>
          <w:sz w:val="24"/>
          <w:szCs w:val="24"/>
          <w:vertAlign w:val="superscript"/>
        </w:rPr>
        <w:footnoteReference w:id="298"/>
      </w:r>
    </w:p>
    <w:p w:rsidR="00320198" w:rsidRDefault="00320198">
      <w:pPr>
        <w:widowControl w:val="0"/>
        <w:shd w:val="clear" w:color="auto" w:fill="FFFFFF"/>
        <w:spacing w:after="0" w:line="274" w:lineRule="exact"/>
        <w:jc w:val="both"/>
        <w:rPr>
          <w:rFonts w:ascii="Times New Roman" w:eastAsiaTheme="minorHAnsi" w:hAnsi="Times New Roman"/>
          <w:bCs/>
          <w:iCs/>
          <w:noProof/>
          <w:sz w:val="24"/>
          <w:szCs w:val="24"/>
        </w:rPr>
      </w:pPr>
    </w:p>
    <w:p w:rsidR="00320198" w:rsidRDefault="005C0948">
      <w:pPr>
        <w:widowControl w:val="0"/>
        <w:shd w:val="clear" w:color="auto" w:fill="FFFFFF"/>
        <w:spacing w:after="0" w:line="274" w:lineRule="exact"/>
        <w:jc w:val="both"/>
        <w:rPr>
          <w:rFonts w:ascii="Times New Roman" w:eastAsiaTheme="minorHAnsi" w:hAnsi="Times New Roman"/>
          <w:bCs/>
          <w:iCs/>
          <w:noProof/>
          <w:sz w:val="24"/>
          <w:szCs w:val="24"/>
        </w:rPr>
      </w:pPr>
      <w:r>
        <w:rPr>
          <w:rFonts w:ascii="Times New Roman" w:eastAsiaTheme="minorHAnsi" w:hAnsi="Times New Roman"/>
          <w:bCs/>
          <w:iCs/>
          <w:noProof/>
          <w:sz w:val="24"/>
          <w:szCs w:val="24"/>
        </w:rPr>
        <w:t>The list of unfair trading practices in the Co</w:t>
      </w:r>
      <w:r>
        <w:rPr>
          <w:rFonts w:ascii="Times New Roman" w:eastAsiaTheme="minorHAnsi" w:hAnsi="Times New Roman"/>
          <w:bCs/>
          <w:iCs/>
          <w:noProof/>
          <w:sz w:val="24"/>
          <w:szCs w:val="24"/>
        </w:rPr>
        <w:t>mmission proposal was carefully tailored based on input from DG Competition’s Chief Economist, in order not to prevent trading partners from engaging in efficiency-enhancing agreements or trading conditions.</w:t>
      </w:r>
      <w:r>
        <w:rPr>
          <w:rFonts w:ascii="Times New Roman" w:eastAsiaTheme="minorHAnsi" w:hAnsi="Times New Roman"/>
          <w:bCs/>
          <w:iCs/>
          <w:noProof/>
          <w:sz w:val="24"/>
          <w:szCs w:val="24"/>
          <w:vertAlign w:val="superscript"/>
        </w:rPr>
        <w:footnoteReference w:id="299"/>
      </w:r>
      <w:r>
        <w:rPr>
          <w:rFonts w:ascii="Times New Roman" w:eastAsiaTheme="minorHAnsi" w:hAnsi="Times New Roman"/>
          <w:bCs/>
          <w:iCs/>
          <w:noProof/>
          <w:sz w:val="24"/>
          <w:szCs w:val="24"/>
        </w:rPr>
        <w:t xml:space="preserve"> The scope of protection was designed to avoid protecting businesses that have sufficient bargaining power to fend for themselves. Protecting businesses with bargaining power in the food supply chain through rules on unfair trading practices would not bene</w:t>
      </w:r>
      <w:r>
        <w:rPr>
          <w:rFonts w:ascii="Times New Roman" w:eastAsiaTheme="minorHAnsi" w:hAnsi="Times New Roman"/>
          <w:bCs/>
          <w:iCs/>
          <w:noProof/>
          <w:sz w:val="24"/>
          <w:szCs w:val="24"/>
        </w:rPr>
        <w:t>fit farmers.</w:t>
      </w:r>
    </w:p>
    <w:p w:rsidR="00320198" w:rsidRDefault="005C0948">
      <w:pPr>
        <w:widowControl w:val="0"/>
        <w:spacing w:before="200" w:after="0" w:line="274" w:lineRule="exact"/>
        <w:jc w:val="both"/>
        <w:rPr>
          <w:rFonts w:ascii="Times New Roman" w:eastAsiaTheme="minorHAnsi" w:hAnsi="Times New Roman"/>
          <w:iCs/>
          <w:noProof/>
          <w:sz w:val="24"/>
          <w:szCs w:val="24"/>
        </w:rPr>
      </w:pPr>
      <w:r>
        <w:rPr>
          <w:rFonts w:ascii="Times New Roman" w:eastAsiaTheme="minorHAnsi" w:hAnsi="Times New Roman"/>
          <w:bCs/>
          <w:iCs/>
          <w:noProof/>
          <w:sz w:val="24"/>
          <w:szCs w:val="24"/>
        </w:rPr>
        <w:t>Member States will be able to maintain or introduce stricter national rules as the proposed Directive only introduces minimum harmonisation at EU level.</w:t>
      </w:r>
    </w:p>
    <w:p w:rsidR="00320198" w:rsidRDefault="00320198">
      <w:pPr>
        <w:widowControl w:val="0"/>
        <w:spacing w:after="0" w:line="274" w:lineRule="exact"/>
        <w:jc w:val="both"/>
        <w:rPr>
          <w:rFonts w:ascii="Times New Roman" w:eastAsiaTheme="minorHAnsi" w:hAnsi="Times New Roman"/>
          <w:iCs/>
          <w:noProof/>
          <w:sz w:val="24"/>
          <w:szCs w:val="24"/>
        </w:rPr>
      </w:pPr>
    </w:p>
    <w:p w:rsidR="00320198" w:rsidRDefault="005C0948">
      <w:pPr>
        <w:widowControl w:val="0"/>
        <w:spacing w:after="204" w:line="278" w:lineRule="exact"/>
        <w:jc w:val="both"/>
        <w:rPr>
          <w:rFonts w:ascii="Times New Roman" w:eastAsiaTheme="minorHAnsi" w:hAnsi="Times New Roman"/>
          <w:i/>
          <w:iCs/>
          <w:noProof/>
          <w:sz w:val="24"/>
          <w:szCs w:val="24"/>
        </w:rPr>
      </w:pPr>
      <w:r>
        <w:rPr>
          <w:rFonts w:ascii="Times New Roman" w:eastAsiaTheme="minorHAnsi" w:hAnsi="Times New Roman"/>
          <w:i/>
          <w:iCs/>
          <w:noProof/>
          <w:sz w:val="24"/>
          <w:szCs w:val="24"/>
        </w:rPr>
        <w:t xml:space="preserve">Preventing market segmentation and trade restrictions by food manufacturers in the EU </w:t>
      </w:r>
      <w:r>
        <w:rPr>
          <w:rFonts w:ascii="Times New Roman" w:eastAsiaTheme="minorHAnsi" w:hAnsi="Times New Roman"/>
          <w:i/>
          <w:iCs/>
          <w:noProof/>
          <w:sz w:val="24"/>
          <w:szCs w:val="24"/>
        </w:rPr>
        <w:t>Internal Market</w:t>
      </w:r>
    </w:p>
    <w:p w:rsidR="00320198" w:rsidRDefault="005C0948">
      <w:pPr>
        <w:tabs>
          <w:tab w:val="left" w:pos="0"/>
        </w:tabs>
        <w:spacing w:after="210" w:line="278" w:lineRule="exact"/>
        <w:jc w:val="both"/>
        <w:rPr>
          <w:rFonts w:ascii="Times New Roman" w:eastAsia="Times New Roman" w:hAnsi="Times New Roman"/>
          <w:noProof/>
          <w:sz w:val="24"/>
          <w:szCs w:val="24"/>
        </w:rPr>
      </w:pPr>
      <w:r>
        <w:rPr>
          <w:rFonts w:ascii="Times New Roman" w:eastAsia="Times New Roman" w:hAnsi="Times New Roman"/>
          <w:noProof/>
          <w:sz w:val="24"/>
          <w:szCs w:val="24"/>
        </w:rPr>
        <w:t>Following the adoption of the Statement of Objections in November 2017,</w:t>
      </w:r>
      <w:r>
        <w:rPr>
          <w:rFonts w:ascii="Times New Roman" w:eastAsia="Times New Roman" w:hAnsi="Times New Roman"/>
          <w:noProof/>
          <w:sz w:val="24"/>
          <w:szCs w:val="24"/>
          <w:vertAlign w:val="superscript"/>
        </w:rPr>
        <w:footnoteReference w:id="300"/>
      </w:r>
      <w:r>
        <w:rPr>
          <w:rFonts w:ascii="Times New Roman" w:eastAsia="Times New Roman" w:hAnsi="Times New Roman"/>
          <w:noProof/>
          <w:sz w:val="24"/>
          <w:szCs w:val="24"/>
        </w:rPr>
        <w:t xml:space="preserve"> the Commission continued in 2018 its investigation of AB InBev’s apparent strategy to allegedly prevent supermarkets and wholesalers from buying its most popular beer </w:t>
      </w:r>
      <w:r>
        <w:rPr>
          <w:rFonts w:ascii="Times New Roman" w:eastAsia="Times New Roman" w:hAnsi="Times New Roman"/>
          <w:noProof/>
          <w:sz w:val="24"/>
          <w:szCs w:val="24"/>
        </w:rPr>
        <w:t>brands in Belgium at lower prices in the Netherlands and France and from importing them into Belgium.</w:t>
      </w:r>
      <w:r>
        <w:rPr>
          <w:rFonts w:ascii="Times New Roman" w:eastAsia="Times New Roman" w:hAnsi="Times New Roman"/>
          <w:noProof/>
          <w:color w:val="1F497D"/>
          <w:sz w:val="24"/>
          <w:szCs w:val="24"/>
        </w:rPr>
        <w:t xml:space="preserve"> </w:t>
      </w:r>
      <w:r>
        <w:rPr>
          <w:rFonts w:ascii="Times New Roman" w:eastAsia="Times New Roman" w:hAnsi="Times New Roman"/>
          <w:noProof/>
          <w:sz w:val="24"/>
          <w:szCs w:val="24"/>
          <w:lang w:eastAsia="de-DE" w:bidi="de-DE"/>
        </w:rPr>
        <w:t xml:space="preserve">AB </w:t>
      </w:r>
      <w:r>
        <w:rPr>
          <w:rFonts w:ascii="Times New Roman" w:eastAsia="Times New Roman" w:hAnsi="Times New Roman"/>
          <w:noProof/>
          <w:sz w:val="24"/>
          <w:szCs w:val="24"/>
        </w:rPr>
        <w:t xml:space="preserve">InBev’s practices, which may prevent the free trade of goods in </w:t>
      </w:r>
      <w:r>
        <w:rPr>
          <w:rFonts w:ascii="Times New Roman" w:eastAsia="Times New Roman" w:hAnsi="Times New Roman"/>
          <w:noProof/>
          <w:sz w:val="24"/>
          <w:szCs w:val="24"/>
          <w:lang w:eastAsia="nl-NL" w:bidi="nl-NL"/>
        </w:rPr>
        <w:t xml:space="preserve">the </w:t>
      </w:r>
      <w:r>
        <w:rPr>
          <w:rFonts w:ascii="Times New Roman" w:eastAsia="Times New Roman" w:hAnsi="Times New Roman"/>
          <w:noProof/>
          <w:sz w:val="24"/>
          <w:szCs w:val="24"/>
        </w:rPr>
        <w:t xml:space="preserve">EU Internal Market, may result in a violation of </w:t>
      </w:r>
      <w:r>
        <w:rPr>
          <w:rFonts w:ascii="Times New Roman" w:eastAsia="Times New Roman" w:hAnsi="Times New Roman"/>
          <w:noProof/>
          <w:sz w:val="24"/>
          <w:szCs w:val="24"/>
          <w:lang w:eastAsia="da-DK" w:bidi="da-DK"/>
        </w:rPr>
        <w:t xml:space="preserve">Article </w:t>
      </w:r>
      <w:r>
        <w:rPr>
          <w:rFonts w:ascii="Times New Roman" w:eastAsia="Times New Roman" w:hAnsi="Times New Roman"/>
          <w:noProof/>
          <w:sz w:val="24"/>
          <w:szCs w:val="24"/>
        </w:rPr>
        <w:t>102 TFEU.</w:t>
      </w:r>
    </w:p>
    <w:p w:rsidR="00320198" w:rsidRDefault="005C0948">
      <w:pPr>
        <w:widowControl w:val="0"/>
        <w:spacing w:after="120" w:line="274" w:lineRule="exact"/>
        <w:jc w:val="both"/>
        <w:rPr>
          <w:rFonts w:ascii="Times New Roman" w:eastAsia="Times New Roman" w:hAnsi="Times New Roman"/>
          <w:noProof/>
          <w:color w:val="000000"/>
          <w:sz w:val="24"/>
        </w:rPr>
      </w:pPr>
      <w:r>
        <w:rPr>
          <w:rFonts w:ascii="Times New Roman" w:eastAsia="Times New Roman" w:hAnsi="Times New Roman"/>
          <w:i/>
          <w:noProof/>
          <w:color w:val="000000"/>
          <w:sz w:val="24"/>
        </w:rPr>
        <w:t xml:space="preserve">Merger </w:t>
      </w:r>
      <w:r>
        <w:rPr>
          <w:rFonts w:ascii="Times New Roman" w:eastAsia="Times New Roman" w:hAnsi="Times New Roman"/>
          <w:i/>
          <w:noProof/>
          <w:color w:val="000000"/>
          <w:sz w:val="24"/>
        </w:rPr>
        <w:t>investigations in the agri-food industry</w:t>
      </w:r>
      <w:r>
        <w:rPr>
          <w:rFonts w:ascii="Times New Roman" w:eastAsia="Times New Roman" w:hAnsi="Times New Roman"/>
          <w:i/>
          <w:iCs/>
          <w:noProof/>
          <w:color w:val="000000"/>
          <w:sz w:val="24"/>
          <w:szCs w:val="24"/>
        </w:rPr>
        <w:t xml:space="preserve"> </w:t>
      </w:r>
    </w:p>
    <w:p w:rsidR="00320198" w:rsidRDefault="005C0948">
      <w:pPr>
        <w:widowControl w:val="0"/>
        <w:spacing w:after="240" w:line="274" w:lineRule="exact"/>
        <w:jc w:val="both"/>
        <w:rPr>
          <w:rFonts w:ascii="Times New Roman" w:eastAsia="Times New Roman" w:hAnsi="Times New Roman"/>
          <w:noProof/>
          <w:color w:val="000000"/>
          <w:sz w:val="24"/>
          <w:szCs w:val="24"/>
          <w:lang w:bidi="en-US"/>
        </w:rPr>
      </w:pPr>
      <w:r>
        <w:rPr>
          <w:rFonts w:ascii="Times New Roman" w:eastAsia="Times New Roman" w:hAnsi="Times New Roman"/>
          <w:iCs/>
          <w:noProof/>
          <w:color w:val="000000"/>
          <w:sz w:val="24"/>
          <w:szCs w:val="24"/>
          <w:lang w:bidi="en-US"/>
        </w:rPr>
        <w:t>In</w:t>
      </w:r>
      <w:r>
        <w:rPr>
          <w:rFonts w:ascii="Times New Roman" w:eastAsia="Times New Roman" w:hAnsi="Times New Roman"/>
          <w:noProof/>
          <w:color w:val="000000"/>
          <w:sz w:val="24"/>
          <w:szCs w:val="24"/>
          <w:lang w:bidi="en-US"/>
        </w:rPr>
        <w:t xml:space="preserve"> 2018, the agri-food sector was characterised by the continuation of the consolidation wave of agro-chemical players. Following the conditional clearances of </w:t>
      </w:r>
      <w:r>
        <w:rPr>
          <w:rFonts w:ascii="Times New Roman" w:eastAsia="Times New Roman" w:hAnsi="Times New Roman"/>
          <w:i/>
          <w:noProof/>
          <w:color w:val="000000"/>
          <w:sz w:val="24"/>
          <w:szCs w:val="24"/>
          <w:lang w:bidi="en-US"/>
        </w:rPr>
        <w:t>Dow/Dupont</w:t>
      </w:r>
      <w:r>
        <w:rPr>
          <w:rFonts w:ascii="Times New Roman" w:eastAsia="Times New Roman" w:hAnsi="Times New Roman"/>
          <w:noProof/>
          <w:color w:val="000000"/>
          <w:sz w:val="24"/>
          <w:szCs w:val="24"/>
          <w:lang w:bidi="en-US"/>
        </w:rPr>
        <w:t xml:space="preserve"> and </w:t>
      </w:r>
      <w:r>
        <w:rPr>
          <w:rFonts w:ascii="Times New Roman" w:eastAsia="Times New Roman" w:hAnsi="Times New Roman"/>
          <w:i/>
          <w:noProof/>
          <w:color w:val="000000"/>
          <w:sz w:val="24"/>
          <w:szCs w:val="24"/>
          <w:lang w:bidi="en-US"/>
        </w:rPr>
        <w:t>ChemChina/ Syngenta</w:t>
      </w:r>
      <w:r>
        <w:rPr>
          <w:rFonts w:ascii="Times New Roman" w:eastAsia="Times New Roman" w:hAnsi="Times New Roman"/>
          <w:noProof/>
          <w:color w:val="000000"/>
          <w:sz w:val="24"/>
          <w:szCs w:val="24"/>
          <w:lang w:bidi="en-US"/>
        </w:rPr>
        <w:t xml:space="preserve"> in 2017, the Commis</w:t>
      </w:r>
      <w:r>
        <w:rPr>
          <w:rFonts w:ascii="Times New Roman" w:eastAsia="Times New Roman" w:hAnsi="Times New Roman"/>
          <w:noProof/>
          <w:color w:val="000000"/>
          <w:sz w:val="24"/>
          <w:szCs w:val="24"/>
          <w:lang w:bidi="en-US"/>
        </w:rPr>
        <w:t xml:space="preserve">sion took again a rigorous stance in the assessment of the proposed acquisition of </w:t>
      </w:r>
      <w:r>
        <w:rPr>
          <w:rFonts w:ascii="Times New Roman" w:eastAsia="Times New Roman" w:hAnsi="Times New Roman"/>
          <w:i/>
          <w:noProof/>
          <w:color w:val="000000"/>
          <w:sz w:val="24"/>
          <w:szCs w:val="24"/>
          <w:lang w:bidi="en-US"/>
        </w:rPr>
        <w:t>Monsanto by Bayer</w:t>
      </w:r>
      <w:r>
        <w:rPr>
          <w:rFonts w:ascii="Times New Roman" w:eastAsia="Times New Roman" w:hAnsi="Times New Roman"/>
          <w:noProof/>
          <w:color w:val="000000"/>
          <w:sz w:val="24"/>
          <w:szCs w:val="24"/>
          <w:lang w:bidi="en-US"/>
        </w:rPr>
        <w:t>,</w:t>
      </w:r>
      <w:r>
        <w:rPr>
          <w:rStyle w:val="FootnoteReference"/>
          <w:rFonts w:ascii="Times New Roman" w:eastAsia="Times New Roman" w:hAnsi="Times New Roman"/>
          <w:noProof/>
          <w:color w:val="000000"/>
          <w:sz w:val="24"/>
          <w:szCs w:val="24"/>
          <w:lang w:bidi="en-US"/>
        </w:rPr>
        <w:footnoteReference w:id="301"/>
      </w:r>
      <w:r>
        <w:rPr>
          <w:rFonts w:ascii="Times New Roman" w:eastAsia="Times New Roman" w:hAnsi="Times New Roman"/>
          <w:noProof/>
          <w:color w:val="000000"/>
          <w:sz w:val="24"/>
          <w:szCs w:val="24"/>
          <w:lang w:bidi="en-US"/>
        </w:rPr>
        <w:t xml:space="preserve"> thereby ensuring that farmers in Europe continue to benefit from innovative inputs at competitive prices. </w:t>
      </w:r>
    </w:p>
    <w:p w:rsidR="00320198" w:rsidRDefault="005C0948">
      <w:pPr>
        <w:widowControl w:val="0"/>
        <w:spacing w:after="240" w:line="274" w:lineRule="exact"/>
        <w:jc w:val="both"/>
        <w:rPr>
          <w:rFonts w:ascii="Times New Roman" w:eastAsia="Times New Roman" w:hAnsi="Times New Roman"/>
          <w:noProof/>
          <w:color w:val="000000"/>
          <w:sz w:val="24"/>
          <w:szCs w:val="24"/>
          <w:lang w:bidi="en-US"/>
        </w:rPr>
      </w:pPr>
      <w:r>
        <w:rPr>
          <w:rFonts w:ascii="Times New Roman" w:eastAsia="Times New Roman" w:hAnsi="Times New Roman"/>
          <w:noProof/>
          <w:color w:val="000000"/>
          <w:sz w:val="24"/>
          <w:szCs w:val="24"/>
          <w:lang w:bidi="en-US"/>
        </w:rPr>
        <w:t>Bayer is a German company, active in pharmaceu</w:t>
      </w:r>
      <w:r>
        <w:rPr>
          <w:rFonts w:ascii="Times New Roman" w:eastAsia="Times New Roman" w:hAnsi="Times New Roman"/>
          <w:noProof/>
          <w:color w:val="000000"/>
          <w:sz w:val="24"/>
          <w:szCs w:val="24"/>
          <w:lang w:bidi="en-US"/>
        </w:rPr>
        <w:t>ticals, consumer health, agriculture (through its Bayer Crop Science division) and animal health. Monsanto was a US agriculture company that produced seeds for broad acre crops, fruits and vegetables. It also produced plant biotechnology traits and supplie</w:t>
      </w:r>
      <w:r>
        <w:rPr>
          <w:rFonts w:ascii="Times New Roman" w:eastAsia="Times New Roman" w:hAnsi="Times New Roman"/>
          <w:noProof/>
          <w:color w:val="000000"/>
          <w:sz w:val="24"/>
          <w:szCs w:val="24"/>
          <w:lang w:bidi="en-US"/>
        </w:rPr>
        <w:t>d pesticides. Monsanto was perhaps most known for its glyphosate herbicide, sold under the "Roundup" brand, and the development of genetically modified crops. There was a degree of complementarity between Bayer, a leading player in crop protection, particu</w:t>
      </w:r>
      <w:r>
        <w:rPr>
          <w:rFonts w:ascii="Times New Roman" w:eastAsia="Times New Roman" w:hAnsi="Times New Roman"/>
          <w:noProof/>
          <w:color w:val="000000"/>
          <w:sz w:val="24"/>
          <w:szCs w:val="24"/>
          <w:lang w:bidi="en-US"/>
        </w:rPr>
        <w:t>larly in Europe, and the Monsanto businesses, the world’s leading seed supplier, with its main markets in the Americas. The acquisition of Monsanto by Bayer created the biggest integrated agrochemical, trait and seed player worldwide and was viewed by some</w:t>
      </w:r>
      <w:r>
        <w:rPr>
          <w:rFonts w:ascii="Times New Roman" w:eastAsia="Times New Roman" w:hAnsi="Times New Roman"/>
          <w:noProof/>
          <w:color w:val="000000"/>
          <w:sz w:val="24"/>
          <w:szCs w:val="24"/>
          <w:lang w:bidi="en-US"/>
        </w:rPr>
        <w:t xml:space="preserve"> commentators and interested observers as transformative for the industry.</w:t>
      </w:r>
    </w:p>
    <w:p w:rsidR="00320198" w:rsidRDefault="005C0948">
      <w:pPr>
        <w:widowControl w:val="0"/>
        <w:spacing w:after="240" w:line="274" w:lineRule="exact"/>
        <w:jc w:val="both"/>
        <w:rPr>
          <w:rFonts w:ascii="Times New Roman" w:eastAsia="Times New Roman" w:hAnsi="Times New Roman"/>
          <w:noProof/>
          <w:color w:val="000000"/>
          <w:sz w:val="24"/>
          <w:szCs w:val="24"/>
          <w:lang w:bidi="en-US"/>
        </w:rPr>
      </w:pPr>
      <w:r>
        <w:rPr>
          <w:rFonts w:ascii="Times New Roman" w:eastAsia="Times New Roman" w:hAnsi="Times New Roman"/>
          <w:noProof/>
          <w:color w:val="000000"/>
          <w:sz w:val="24"/>
          <w:szCs w:val="24"/>
          <w:lang w:bidi="en-US"/>
        </w:rPr>
        <w:t>After a comprehensive in-depth investigation, the Commission identified likely harmful effects of the concentration on product and innovation competition in several seeds, traits, p</w:t>
      </w:r>
      <w:r>
        <w:rPr>
          <w:rFonts w:ascii="Times New Roman" w:eastAsia="Times New Roman" w:hAnsi="Times New Roman"/>
          <w:noProof/>
          <w:color w:val="000000"/>
          <w:sz w:val="24"/>
          <w:szCs w:val="24"/>
          <w:lang w:bidi="en-US"/>
        </w:rPr>
        <w:t>esticides and digital agricultural markets. Bayer offered far reaching remedies comprising the divestiture of its entire seeds and traits business, its glufosinate business and its digital agriculture efforts, which addressed all competition concerns inclu</w:t>
      </w:r>
      <w:r>
        <w:rPr>
          <w:rFonts w:ascii="Times New Roman" w:eastAsia="Times New Roman" w:hAnsi="Times New Roman"/>
          <w:noProof/>
          <w:color w:val="000000"/>
          <w:sz w:val="24"/>
          <w:szCs w:val="24"/>
          <w:lang w:bidi="en-US"/>
        </w:rPr>
        <w:t>ding those related to innovation. This remedy package was sold to BASF, which the Commission approved as a suitable buyer. In the review of the Bayer/Monsanto transaction, the Commission closely cooperated with many competition authorities around the world</w:t>
      </w:r>
      <w:r>
        <w:rPr>
          <w:rFonts w:ascii="Times New Roman" w:eastAsia="Times New Roman" w:hAnsi="Times New Roman"/>
          <w:noProof/>
          <w:color w:val="000000"/>
          <w:sz w:val="24"/>
          <w:szCs w:val="24"/>
          <w:lang w:bidi="en-US"/>
        </w:rPr>
        <w:t>.</w:t>
      </w:r>
    </w:p>
    <w:p w:rsidR="00320198" w:rsidRDefault="005C0948">
      <w:pPr>
        <w:widowControl w:val="0"/>
        <w:tabs>
          <w:tab w:val="left" w:pos="850"/>
        </w:tabs>
        <w:spacing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49" w:name="_Toc8831321"/>
      <w:r>
        <w:rPr>
          <w:rFonts w:ascii="Times New Roman" w:eastAsia="Times New Roman" w:hAnsi="Times New Roman"/>
          <w:b/>
          <w:smallCaps/>
          <w:noProof/>
          <w:sz w:val="24"/>
          <w:szCs w:val="24"/>
        </w:rPr>
        <w:t>7. Pharmaceutical and health services sector</w:t>
      </w:r>
      <w:bookmarkEnd w:id="49"/>
      <w:r>
        <w:rPr>
          <w:rFonts w:ascii="Times New Roman" w:eastAsia="Times New Roman" w:hAnsi="Times New Roman"/>
          <w:b/>
          <w:smallCaps/>
          <w:noProof/>
          <w:sz w:val="24"/>
          <w:szCs w:val="24"/>
        </w:rPr>
        <w:t xml:space="preserve"> </w:t>
      </w:r>
    </w:p>
    <w:p w:rsidR="00320198" w:rsidRDefault="005C0948">
      <w:pPr>
        <w:widowControl w:val="0"/>
        <w:spacing w:line="240" w:lineRule="auto"/>
        <w:jc w:val="both"/>
        <w:rPr>
          <w:rFonts w:ascii="Times New Roman" w:hAnsi="Times New Roman"/>
          <w:b/>
          <w:noProof/>
          <w:sz w:val="24"/>
          <w:szCs w:val="24"/>
        </w:rPr>
      </w:pPr>
      <w:r>
        <w:rPr>
          <w:rFonts w:ascii="Times New Roman" w:hAnsi="Times New Roman"/>
          <w:b/>
          <w:noProof/>
          <w:sz w:val="24"/>
          <w:szCs w:val="24"/>
        </w:rPr>
        <w:t xml:space="preserve">Overview of key challenges in the sector </w:t>
      </w:r>
    </w:p>
    <w:p w:rsidR="00320198" w:rsidRDefault="005C0948">
      <w:pPr>
        <w:spacing w:line="240" w:lineRule="auto"/>
        <w:jc w:val="both"/>
        <w:rPr>
          <w:rFonts w:ascii="Times New Roman" w:hAnsi="Times New Roman"/>
          <w:noProof/>
          <w:sz w:val="24"/>
          <w:szCs w:val="24"/>
        </w:rPr>
      </w:pPr>
      <w:r>
        <w:rPr>
          <w:rFonts w:ascii="Times New Roman" w:hAnsi="Times New Roman"/>
          <w:noProof/>
          <w:sz w:val="24"/>
          <w:szCs w:val="24"/>
        </w:rPr>
        <w:t xml:space="preserve">The pharmaceutical sector and the health sector are of particular societal and economic importance. Health and access to effective and affordable medicines are key </w:t>
      </w:r>
      <w:r>
        <w:rPr>
          <w:rFonts w:ascii="Times New Roman" w:hAnsi="Times New Roman"/>
          <w:noProof/>
          <w:sz w:val="24"/>
          <w:szCs w:val="24"/>
        </w:rPr>
        <w:t>concerns for the general public. The economic crisis, demographic evolution and changes in the types of diseases affecting EU citizens have put significant constraints on public health budgets. Public spending on healthcare overall has over past decades in</w:t>
      </w:r>
      <w:r>
        <w:rPr>
          <w:rFonts w:ascii="Times New Roman" w:hAnsi="Times New Roman"/>
          <w:noProof/>
          <w:sz w:val="24"/>
          <w:szCs w:val="24"/>
        </w:rPr>
        <w:t>creased to between 5.7% and 11.3% of GDP in the different Member States,</w:t>
      </w:r>
      <w:r>
        <w:rPr>
          <w:rFonts w:ascii="Times New Roman" w:hAnsi="Times New Roman"/>
          <w:noProof/>
          <w:sz w:val="24"/>
          <w:szCs w:val="24"/>
          <w:vertAlign w:val="superscript"/>
        </w:rPr>
        <w:footnoteReference w:id="302"/>
      </w:r>
      <w:r>
        <w:rPr>
          <w:rFonts w:ascii="Times New Roman" w:hAnsi="Times New Roman"/>
          <w:noProof/>
          <w:sz w:val="24"/>
          <w:szCs w:val="24"/>
        </w:rPr>
        <w:t xml:space="preserve"> and is expected to grow further. Spending on pharmaceuticals constitutes a significant share of government spending on healthcare.</w:t>
      </w:r>
      <w:r>
        <w:rPr>
          <w:rFonts w:ascii="Times New Roman" w:hAnsi="Times New Roman"/>
          <w:noProof/>
          <w:sz w:val="24"/>
          <w:szCs w:val="24"/>
          <w:vertAlign w:val="superscript"/>
        </w:rPr>
        <w:footnoteReference w:id="303"/>
      </w:r>
      <w:r>
        <w:rPr>
          <w:rFonts w:ascii="Times New Roman" w:hAnsi="Times New Roman"/>
          <w:noProof/>
          <w:sz w:val="24"/>
          <w:szCs w:val="24"/>
          <w:vertAlign w:val="superscript"/>
        </w:rPr>
        <w:t xml:space="preserve">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On 28 January 2019, the Commission published a re</w:t>
      </w:r>
      <w:r>
        <w:rPr>
          <w:rFonts w:ascii="Times New Roman" w:hAnsi="Times New Roman"/>
          <w:noProof/>
          <w:sz w:val="24"/>
          <w:szCs w:val="24"/>
        </w:rPr>
        <w:t>port to the Council and the European Parliament entitled “Competition enforcement in the pharmaceutical sector (2009-2017) - European competition authorities working together for affordable and innovative medicines".</w:t>
      </w:r>
      <w:r>
        <w:rPr>
          <w:rFonts w:ascii="Times New Roman" w:hAnsi="Times New Roman"/>
          <w:noProof/>
          <w:sz w:val="24"/>
          <w:szCs w:val="24"/>
          <w:vertAlign w:val="superscript"/>
        </w:rPr>
        <w:footnoteReference w:id="304"/>
      </w:r>
      <w:r>
        <w:rPr>
          <w:rFonts w:ascii="Times New Roman" w:hAnsi="Times New Roman"/>
          <w:noProof/>
          <w:sz w:val="24"/>
          <w:szCs w:val="24"/>
          <w:vertAlign w:val="superscript"/>
        </w:rPr>
        <w:t xml:space="preserve"> </w:t>
      </w:r>
      <w:r>
        <w:rPr>
          <w:rFonts w:ascii="Times New Roman" w:hAnsi="Times New Roman"/>
          <w:noProof/>
          <w:sz w:val="24"/>
          <w:szCs w:val="24"/>
        </w:rPr>
        <w:t>This report provides an overview and e</w:t>
      </w:r>
      <w:r>
        <w:rPr>
          <w:rFonts w:ascii="Times New Roman" w:hAnsi="Times New Roman"/>
          <w:noProof/>
          <w:sz w:val="24"/>
          <w:szCs w:val="24"/>
        </w:rPr>
        <w:t xml:space="preserve">xamples of how the Commission and the national competition authorities of the 28 Member States have enforced the EU antitrust and merger rules in the pharmaceutical sector over the period 2009-2017. The pharmaceutical sector requires close competition law </w:t>
      </w:r>
      <w:r>
        <w:rPr>
          <w:rFonts w:ascii="Times New Roman" w:hAnsi="Times New Roman"/>
          <w:noProof/>
          <w:sz w:val="24"/>
          <w:szCs w:val="24"/>
        </w:rPr>
        <w:t>scrutiny. The report explains, in response to concerns expressed by the Council and the European Parliament, how enforcing competition law specifically helps to safeguard EU patients’ access to affordable and innovative medicines. Since the conclusion of t</w:t>
      </w:r>
      <w:r>
        <w:rPr>
          <w:rFonts w:ascii="Times New Roman" w:hAnsi="Times New Roman"/>
          <w:noProof/>
          <w:sz w:val="24"/>
          <w:szCs w:val="24"/>
        </w:rPr>
        <w:t>he Commission inquiry into the pharmaceutical sector in 2009,  NCAs have adopted a wide range of antitrust decisions against pharmaceutical companies. These imposed sanctions (fines over EUR 1 billion in total) and made binding commitments to remedy anti-c</w:t>
      </w:r>
      <w:r>
        <w:rPr>
          <w:rFonts w:ascii="Times New Roman" w:hAnsi="Times New Roman"/>
          <w:noProof/>
          <w:sz w:val="24"/>
          <w:szCs w:val="24"/>
        </w:rPr>
        <w:t xml:space="preserve">ompetitive behaviour. In its task of overseeing that pharmaceutical markets do not get overly concentrated due to mergers, the Commission in this period reviewed more than 80 transactions. In 19 cases competition concerns were detected, and the Commission </w:t>
      </w:r>
      <w:r>
        <w:rPr>
          <w:rFonts w:ascii="Times New Roman" w:hAnsi="Times New Roman"/>
          <w:noProof/>
          <w:sz w:val="24"/>
          <w:szCs w:val="24"/>
        </w:rPr>
        <w:t>cleared these mergers only after the companies offered to address concerns and to modify the transaction.</w:t>
      </w:r>
      <w:r>
        <w:rPr>
          <w:noProof/>
        </w:rPr>
        <w:t xml:space="preserve"> </w:t>
      </w:r>
      <w:r>
        <w:rPr>
          <w:rFonts w:ascii="Times New Roman" w:hAnsi="Times New Roman"/>
          <w:noProof/>
          <w:sz w:val="24"/>
          <w:szCs w:val="24"/>
        </w:rPr>
        <w:t xml:space="preserve"> </w:t>
      </w:r>
    </w:p>
    <w:p w:rsidR="00320198" w:rsidRDefault="005C0948">
      <w:pPr>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Ensuring access to innovative, high quality healthcare and medicines at competitive prices </w:t>
      </w:r>
      <w:r>
        <w:rPr>
          <w:rFonts w:ascii="Times New Roman" w:hAnsi="Times New Roman"/>
          <w:noProof/>
          <w:sz w:val="24"/>
          <w:szCs w:val="24"/>
        </w:rPr>
        <w:t xml:space="preserve">is an important objective in competition law enforcement </w:t>
      </w:r>
      <w:r>
        <w:rPr>
          <w:rFonts w:ascii="Times New Roman" w:hAnsi="Times New Roman"/>
          <w:noProof/>
          <w:sz w:val="24"/>
          <w:szCs w:val="24"/>
        </w:rPr>
        <w:t>in the pharmaceutical and health services</w:t>
      </w:r>
      <w:r>
        <w:rPr>
          <w:rFonts w:ascii="Times New Roman" w:eastAsia="Times New Roman" w:hAnsi="Times New Roman"/>
          <w:noProof/>
          <w:sz w:val="24"/>
          <w:szCs w:val="24"/>
          <w:lang w:eastAsia="en-GB"/>
        </w:rPr>
        <w:t xml:space="preserve"> sectors. Innovation can lead to increased healthcare benefits flowing from R&amp;D into novel treatments and more efficient technologies which may reduce the cost of treatments, for example, by developing production pr</w:t>
      </w:r>
      <w:r>
        <w:rPr>
          <w:rFonts w:ascii="Times New Roman" w:eastAsia="Times New Roman" w:hAnsi="Times New Roman"/>
          <w:noProof/>
          <w:sz w:val="24"/>
          <w:szCs w:val="24"/>
          <w:lang w:eastAsia="en-GB"/>
        </w:rPr>
        <w:t>ocesses that make it viable for cheaper medicines to be commercially produced. Competition law enforcement can complement the regulatory framework that exists in this sector.</w:t>
      </w:r>
    </w:p>
    <w:p w:rsidR="00320198" w:rsidRDefault="005C0948">
      <w:pPr>
        <w:widowControl w:val="0"/>
        <w:tabs>
          <w:tab w:val="num" w:pos="360"/>
        </w:tabs>
        <w:spacing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Commission’s competition enforcement on pharmaceutical and health markets fos</w:t>
      </w:r>
      <w:r>
        <w:rPr>
          <w:rFonts w:ascii="Times New Roman" w:eastAsia="Times New Roman" w:hAnsi="Times New Roman"/>
          <w:noProof/>
          <w:sz w:val="24"/>
          <w:szCs w:val="24"/>
          <w:lang w:eastAsia="en-GB"/>
        </w:rPr>
        <w:t xml:space="preserve">ters both dynamic competition, which leads to more innovative medicines, and effective price competition, which contributes to more affordable medicines and treatments. </w:t>
      </w:r>
    </w:p>
    <w:p w:rsidR="00320198" w:rsidRDefault="005C0948">
      <w:pPr>
        <w:widowControl w:val="0"/>
        <w:tabs>
          <w:tab w:val="num" w:pos="360"/>
        </w:tabs>
        <w:spacing w:line="240" w:lineRule="auto"/>
        <w:jc w:val="both"/>
        <w:rPr>
          <w:rFonts w:ascii="Times New Roman" w:hAnsi="Times New Roman"/>
          <w:b/>
          <w:noProof/>
          <w:sz w:val="24"/>
          <w:szCs w:val="24"/>
        </w:rPr>
      </w:pPr>
      <w:r>
        <w:rPr>
          <w:rFonts w:ascii="Times New Roman" w:hAnsi="Times New Roman"/>
          <w:b/>
          <w:noProof/>
          <w:sz w:val="24"/>
          <w:szCs w:val="24"/>
        </w:rPr>
        <w:t xml:space="preserve">Contribution of EU competition policy to tackling the challenges </w:t>
      </w:r>
    </w:p>
    <w:p w:rsidR="00320198" w:rsidRDefault="005C0948">
      <w:pPr>
        <w:widowControl w:val="0"/>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 xml:space="preserve">Antitrust </w:t>
      </w:r>
      <w:r>
        <w:rPr>
          <w:rFonts w:ascii="Times New Roman" w:hAnsi="Times New Roman"/>
          <w:i/>
          <w:noProof/>
          <w:sz w:val="24"/>
          <w:szCs w:val="24"/>
        </w:rPr>
        <w:t>enforcement in the pharmaceutical sector</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Commission is actively monitoring and screening markets for diverse competition issues concerning pharmaceuticals. In 2018, the Commission initiated proceedings in two cases where it is investigating firms suspe</w:t>
      </w:r>
      <w:r>
        <w:rPr>
          <w:rFonts w:ascii="Times New Roman" w:hAnsi="Times New Roman"/>
          <w:noProof/>
          <w:sz w:val="24"/>
          <w:szCs w:val="24"/>
        </w:rPr>
        <w:t xml:space="preserve">cted of preventing or reducing  consumers’ access to effective, innovative and affordable medicines.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The first case concerns the Commission's formal antitrust proceedings against </w:t>
      </w:r>
      <w:r>
        <w:rPr>
          <w:rFonts w:ascii="Times New Roman" w:hAnsi="Times New Roman"/>
          <w:i/>
          <w:noProof/>
          <w:sz w:val="24"/>
          <w:szCs w:val="24"/>
        </w:rPr>
        <w:t>Aspen Pharma</w:t>
      </w:r>
      <w:r>
        <w:rPr>
          <w:rFonts w:ascii="Times New Roman" w:hAnsi="Times New Roman"/>
          <w:i/>
          <w:noProof/>
          <w:sz w:val="24"/>
          <w:szCs w:val="24"/>
          <w:vertAlign w:val="superscript"/>
        </w:rPr>
        <w:footnoteReference w:id="305"/>
      </w:r>
      <w:r>
        <w:rPr>
          <w:rFonts w:ascii="Times New Roman" w:hAnsi="Times New Roman"/>
          <w:noProof/>
          <w:sz w:val="24"/>
          <w:szCs w:val="24"/>
        </w:rPr>
        <w:t xml:space="preserve"> for a suspected abuse of a dominant position infringing Articl</w:t>
      </w:r>
      <w:r>
        <w:rPr>
          <w:rFonts w:ascii="Times New Roman" w:hAnsi="Times New Roman"/>
          <w:noProof/>
          <w:sz w:val="24"/>
          <w:szCs w:val="24"/>
        </w:rPr>
        <w:t>e 102 TFEU. The Commission investigates allegations that Aspen may have imposed unfair and excessive prices for a range of cancer medicines in all countries in the EEA except Italy.</w:t>
      </w:r>
      <w:r>
        <w:rPr>
          <w:rFonts w:ascii="Times New Roman" w:hAnsi="Times New Roman"/>
          <w:noProof/>
          <w:sz w:val="24"/>
          <w:szCs w:val="24"/>
          <w:vertAlign w:val="superscript"/>
        </w:rPr>
        <w:footnoteReference w:id="306"/>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second case concerns the Commission's investigation into so-called pa</w:t>
      </w:r>
      <w:r>
        <w:rPr>
          <w:rFonts w:ascii="Times New Roman" w:hAnsi="Times New Roman"/>
          <w:noProof/>
          <w:sz w:val="24"/>
          <w:szCs w:val="24"/>
        </w:rPr>
        <w:t xml:space="preserve">y-for-delay practices for the market entry of generic </w:t>
      </w:r>
      <w:r>
        <w:rPr>
          <w:rFonts w:ascii="Times New Roman" w:hAnsi="Times New Roman"/>
          <w:i/>
          <w:noProof/>
          <w:sz w:val="24"/>
          <w:szCs w:val="24"/>
        </w:rPr>
        <w:t>modafinil</w:t>
      </w:r>
      <w:r>
        <w:rPr>
          <w:rFonts w:ascii="Times New Roman" w:hAnsi="Times New Roman"/>
          <w:noProof/>
          <w:sz w:val="24"/>
          <w:szCs w:val="24"/>
        </w:rPr>
        <w:t xml:space="preserve"> (a sleeping disorder medicine). A Statement of Objections was sent to </w:t>
      </w:r>
      <w:r>
        <w:rPr>
          <w:rFonts w:ascii="Times New Roman" w:hAnsi="Times New Roman"/>
          <w:i/>
          <w:noProof/>
          <w:sz w:val="24"/>
          <w:szCs w:val="24"/>
        </w:rPr>
        <w:t>Teva</w:t>
      </w:r>
      <w:r>
        <w:rPr>
          <w:rFonts w:ascii="Times New Roman" w:hAnsi="Times New Roman"/>
          <w:noProof/>
          <w:sz w:val="24"/>
          <w:szCs w:val="24"/>
        </w:rPr>
        <w:t xml:space="preserve"> regarding an agreement with Cephalon. According to the agreement, Teva undertook not to sell its generic modafinil products in the EEA.</w:t>
      </w:r>
      <w:r>
        <w:rPr>
          <w:rFonts w:ascii="Times New Roman" w:hAnsi="Times New Roman"/>
          <w:noProof/>
          <w:sz w:val="24"/>
          <w:szCs w:val="24"/>
          <w:vertAlign w:val="superscript"/>
        </w:rPr>
        <w:footnoteReference w:id="307"/>
      </w:r>
      <w:r>
        <w:rPr>
          <w:rFonts w:ascii="Times New Roman" w:hAnsi="Times New Roman"/>
          <w:noProof/>
          <w:sz w:val="24"/>
          <w:szCs w:val="24"/>
        </w:rPr>
        <w:t xml:space="preserve"> The Commission is in the process of concluding its investigation in the course of 2019.</w:t>
      </w:r>
    </w:p>
    <w:p w:rsidR="00320198" w:rsidRDefault="005C0948">
      <w:pPr>
        <w:widowControl w:val="0"/>
        <w:tabs>
          <w:tab w:val="num" w:pos="360"/>
        </w:tabs>
        <w:spacing w:line="240" w:lineRule="auto"/>
        <w:jc w:val="both"/>
        <w:rPr>
          <w:rFonts w:ascii="Times New Roman" w:hAnsi="Times New Roman"/>
          <w:i/>
          <w:iCs/>
          <w:noProof/>
          <w:color w:val="000000"/>
          <w:sz w:val="24"/>
          <w:szCs w:val="24"/>
          <w:lang w:eastAsia="en-GB"/>
        </w:rPr>
      </w:pPr>
      <w:r>
        <w:rPr>
          <w:rFonts w:ascii="Times New Roman" w:hAnsi="Times New Roman"/>
          <w:i/>
          <w:iCs/>
          <w:noProof/>
          <w:color w:val="000000"/>
          <w:sz w:val="24"/>
          <w:szCs w:val="24"/>
          <w:lang w:eastAsia="en-GB"/>
        </w:rPr>
        <w:t>Merger review in the pharmaceu</w:t>
      </w:r>
      <w:r>
        <w:rPr>
          <w:rFonts w:ascii="Times New Roman" w:hAnsi="Times New Roman"/>
          <w:i/>
          <w:iCs/>
          <w:noProof/>
          <w:color w:val="000000"/>
          <w:sz w:val="24"/>
          <w:szCs w:val="24"/>
          <w:lang w:eastAsia="en-GB"/>
        </w:rPr>
        <w:t>tical sector</w:t>
      </w:r>
    </w:p>
    <w:p w:rsidR="00320198" w:rsidRDefault="005C0948">
      <w:pPr>
        <w:widowControl w:val="0"/>
        <w:autoSpaceDE w:val="0"/>
        <w:autoSpaceDN w:val="0"/>
        <w:adjustRightInd w:val="0"/>
        <w:spacing w:line="240" w:lineRule="auto"/>
        <w:jc w:val="both"/>
        <w:rPr>
          <w:rFonts w:ascii="Times New Roman" w:hAnsi="Times New Roman"/>
          <w:bCs/>
          <w:i/>
          <w:noProof/>
          <w:sz w:val="24"/>
          <w:szCs w:val="19"/>
          <w:lang w:eastAsia="en-GB"/>
        </w:rPr>
      </w:pPr>
      <w:r>
        <w:rPr>
          <w:rFonts w:ascii="Times New Roman" w:hAnsi="Times New Roman"/>
          <w:iCs/>
          <w:noProof/>
          <w:color w:val="000000"/>
          <w:sz w:val="24"/>
          <w:szCs w:val="24"/>
          <w:lang w:eastAsia="en-GB"/>
        </w:rPr>
        <w:t>The</w:t>
      </w:r>
      <w:r>
        <w:rPr>
          <w:rFonts w:ascii="Times New Roman" w:hAnsi="Times New Roman"/>
          <w:i/>
          <w:iCs/>
          <w:noProof/>
          <w:color w:val="000000"/>
          <w:sz w:val="24"/>
          <w:szCs w:val="24"/>
          <w:lang w:eastAsia="en-GB"/>
        </w:rPr>
        <w:t xml:space="preserve"> </w:t>
      </w:r>
      <w:r>
        <w:rPr>
          <w:rFonts w:ascii="Times New Roman" w:hAnsi="Times New Roman"/>
          <w:iCs/>
          <w:noProof/>
          <w:color w:val="000000"/>
          <w:sz w:val="24"/>
          <w:szCs w:val="24"/>
          <w:lang w:eastAsia="en-GB"/>
        </w:rPr>
        <w:t>Commission continued its careful review of mergers in the pharmaceutical sector, to ensure availability of affordable medicines to patients across Europe, and to protect innovation and choice for consumers. On 20 November 2018, the Commiss</w:t>
      </w:r>
      <w:r>
        <w:rPr>
          <w:rFonts w:ascii="Times New Roman" w:hAnsi="Times New Roman"/>
          <w:iCs/>
          <w:noProof/>
          <w:color w:val="000000"/>
          <w:sz w:val="24"/>
          <w:szCs w:val="24"/>
          <w:lang w:eastAsia="en-GB"/>
        </w:rPr>
        <w:t xml:space="preserve">ion approved the acquisition of </w:t>
      </w:r>
      <w:r>
        <w:rPr>
          <w:rFonts w:ascii="Times New Roman" w:hAnsi="Times New Roman"/>
          <w:i/>
          <w:iCs/>
          <w:noProof/>
          <w:color w:val="000000"/>
          <w:sz w:val="24"/>
          <w:szCs w:val="24"/>
          <w:lang w:eastAsia="en-GB"/>
        </w:rPr>
        <w:t>Shire</w:t>
      </w:r>
      <w:r>
        <w:rPr>
          <w:rFonts w:ascii="Times New Roman" w:hAnsi="Times New Roman"/>
          <w:iCs/>
          <w:noProof/>
          <w:color w:val="000000"/>
          <w:sz w:val="24"/>
          <w:szCs w:val="24"/>
          <w:lang w:eastAsia="en-GB"/>
        </w:rPr>
        <w:t xml:space="preserve"> by </w:t>
      </w:r>
      <w:r>
        <w:rPr>
          <w:rFonts w:ascii="Times New Roman" w:hAnsi="Times New Roman"/>
          <w:i/>
          <w:iCs/>
          <w:noProof/>
          <w:color w:val="000000"/>
          <w:sz w:val="24"/>
          <w:szCs w:val="24"/>
          <w:lang w:eastAsia="en-GB"/>
        </w:rPr>
        <w:t>Takeda Pharmaceutical Company</w:t>
      </w:r>
      <w:r>
        <w:rPr>
          <w:rFonts w:ascii="Times New Roman" w:hAnsi="Times New Roman"/>
          <w:iCs/>
          <w:noProof/>
          <w:color w:val="000000"/>
          <w:sz w:val="24"/>
          <w:szCs w:val="24"/>
          <w:lang w:eastAsia="en-GB"/>
        </w:rPr>
        <w:footnoteReference w:id="308"/>
      </w:r>
      <w:r>
        <w:rPr>
          <w:rFonts w:ascii="Times New Roman" w:hAnsi="Times New Roman"/>
          <w:iCs/>
          <w:noProof/>
          <w:color w:val="000000"/>
          <w:sz w:val="24"/>
          <w:szCs w:val="24"/>
          <w:lang w:eastAsia="en-GB"/>
        </w:rPr>
        <w:t>, subject to the divestment of a biologic treatment product under development by Shire to treat inflammatory bowel disease. The Commission had identified the risk that that Takeda would</w:t>
      </w:r>
      <w:r>
        <w:rPr>
          <w:rFonts w:ascii="Times New Roman" w:hAnsi="Times New Roman"/>
          <w:iCs/>
          <w:noProof/>
          <w:color w:val="000000"/>
          <w:sz w:val="24"/>
          <w:szCs w:val="24"/>
          <w:lang w:eastAsia="en-GB"/>
        </w:rPr>
        <w:t xml:space="preserve"> be unlikely to continue developing Shire's new drug, causing a serious loss of innovation on a market where patients currently have few treatment options available to them. </w:t>
      </w:r>
      <w:r>
        <w:rPr>
          <w:rFonts w:ascii="Times New Roman" w:hAnsi="Times New Roman"/>
          <w:i/>
          <w:iCs/>
          <w:noProof/>
          <w:color w:val="000000"/>
          <w:sz w:val="24"/>
          <w:szCs w:val="24"/>
          <w:lang w:eastAsia="en-GB"/>
        </w:rPr>
        <w:t xml:space="preserve"> </w:t>
      </w:r>
    </w:p>
    <w:p w:rsidR="00320198" w:rsidRDefault="005C0948">
      <w:pPr>
        <w:widowControl w:val="0"/>
        <w:autoSpaceDE w:val="0"/>
        <w:autoSpaceDN w:val="0"/>
        <w:adjustRightInd w:val="0"/>
        <w:spacing w:line="240" w:lineRule="auto"/>
        <w:rPr>
          <w:rFonts w:ascii="Times New Roman" w:hAnsi="Times New Roman"/>
          <w:bCs/>
          <w:i/>
          <w:noProof/>
          <w:sz w:val="24"/>
          <w:szCs w:val="19"/>
          <w:lang w:eastAsia="en-GB"/>
        </w:rPr>
      </w:pPr>
      <w:r>
        <w:rPr>
          <w:rFonts w:ascii="Times New Roman" w:hAnsi="Times New Roman"/>
          <w:bCs/>
          <w:i/>
          <w:noProof/>
          <w:sz w:val="24"/>
          <w:szCs w:val="19"/>
          <w:lang w:eastAsia="en-GB"/>
        </w:rPr>
        <w:t>State aid actions in the health services sector</w:t>
      </w:r>
    </w:p>
    <w:p w:rsidR="00320198" w:rsidRDefault="005C0948">
      <w:pPr>
        <w:spacing w:line="240" w:lineRule="auto"/>
        <w:jc w:val="both"/>
        <w:rPr>
          <w:rFonts w:ascii="Times New Roman" w:hAnsi="Times New Roman"/>
          <w:noProof/>
          <w:sz w:val="24"/>
          <w:szCs w:val="24"/>
        </w:rPr>
      </w:pPr>
      <w:r>
        <w:rPr>
          <w:rFonts w:ascii="Times New Roman" w:hAnsi="Times New Roman"/>
          <w:noProof/>
          <w:sz w:val="24"/>
          <w:szCs w:val="24"/>
        </w:rPr>
        <w:t>The Commission did not adopt any</w:t>
      </w:r>
      <w:r>
        <w:rPr>
          <w:rFonts w:ascii="Times New Roman" w:hAnsi="Times New Roman"/>
          <w:noProof/>
          <w:sz w:val="24"/>
          <w:szCs w:val="24"/>
        </w:rPr>
        <w:t xml:space="preserve"> State aid decisions in the field of healthcare services in 2018. In February 2018, however, the General Court annulled a Commission Decision from 2014 concerning funding measures to public health insurance companies in </w:t>
      </w:r>
      <w:r>
        <w:rPr>
          <w:rFonts w:ascii="Times New Roman" w:hAnsi="Times New Roman"/>
          <w:i/>
          <w:noProof/>
          <w:sz w:val="24"/>
          <w:szCs w:val="24"/>
        </w:rPr>
        <w:t>Slovakia</w:t>
      </w:r>
      <w:r>
        <w:rPr>
          <w:rFonts w:ascii="Times New Roman" w:hAnsi="Times New Roman"/>
          <w:noProof/>
          <w:sz w:val="24"/>
          <w:szCs w:val="24"/>
        </w:rPr>
        <w:t>.</w:t>
      </w:r>
      <w:r>
        <w:rPr>
          <w:rFonts w:ascii="Times New Roman" w:hAnsi="Times New Roman"/>
          <w:noProof/>
          <w:sz w:val="24"/>
          <w:szCs w:val="24"/>
        </w:rPr>
        <w:footnoteReference w:id="309"/>
      </w:r>
      <w:r>
        <w:rPr>
          <w:rFonts w:ascii="Times New Roman" w:hAnsi="Times New Roman"/>
          <w:noProof/>
          <w:sz w:val="24"/>
          <w:szCs w:val="24"/>
        </w:rPr>
        <w:t xml:space="preserve"> Although the General Cour</w:t>
      </w:r>
      <w:r>
        <w:rPr>
          <w:rFonts w:ascii="Times New Roman" w:hAnsi="Times New Roman"/>
          <w:noProof/>
          <w:sz w:val="24"/>
          <w:szCs w:val="24"/>
        </w:rPr>
        <w:t>t confirmed the Commission’s finding that the Slovak compulsory health insurance system had predominant social, solidarity and regulatory features, the General Court nevertheless rejected the Commission’s conclusion that the insurance companies in question</w:t>
      </w:r>
      <w:r>
        <w:rPr>
          <w:rFonts w:ascii="Times New Roman" w:hAnsi="Times New Roman"/>
          <w:noProof/>
          <w:sz w:val="24"/>
          <w:szCs w:val="24"/>
        </w:rPr>
        <w:t xml:space="preserve"> did not constitute undertakings within the meaning of Article 107(1) TFEU on the ground that their activities were not economic in nature. The Commission has appealed the judgment before the Court of Justice (pending case C-262/18 P). </w:t>
      </w:r>
    </w:p>
    <w:p w:rsidR="00320198" w:rsidRDefault="005C0948">
      <w:pPr>
        <w:widowControl w:val="0"/>
        <w:tabs>
          <w:tab w:val="left" w:pos="850"/>
        </w:tabs>
        <w:spacing w:line="240" w:lineRule="auto"/>
        <w:ind w:left="851" w:hanging="851"/>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ab/>
      </w:r>
      <w:bookmarkStart w:id="50" w:name="_Toc8831322"/>
      <w:r>
        <w:rPr>
          <w:rFonts w:ascii="Times New Roman" w:eastAsia="Times New Roman" w:hAnsi="Times New Roman"/>
          <w:b/>
          <w:smallCaps/>
          <w:noProof/>
          <w:sz w:val="24"/>
          <w:szCs w:val="24"/>
        </w:rPr>
        <w:t xml:space="preserve">8. Transport and </w:t>
      </w:r>
      <w:r>
        <w:rPr>
          <w:rFonts w:ascii="Times New Roman" w:eastAsia="Times New Roman" w:hAnsi="Times New Roman"/>
          <w:b/>
          <w:smallCaps/>
          <w:noProof/>
          <w:sz w:val="24"/>
          <w:szCs w:val="24"/>
        </w:rPr>
        <w:t>postal services</w:t>
      </w:r>
      <w:bookmarkEnd w:id="50"/>
    </w:p>
    <w:p w:rsidR="00320198" w:rsidRDefault="005C0948">
      <w:pPr>
        <w:widowControl w:val="0"/>
        <w:autoSpaceDE w:val="0"/>
        <w:autoSpaceDN w:val="0"/>
        <w:adjustRightInd w:val="0"/>
        <w:spacing w:line="240" w:lineRule="auto"/>
        <w:jc w:val="both"/>
        <w:rPr>
          <w:rFonts w:ascii="Times New Roman" w:hAnsi="Times New Roman"/>
          <w:b/>
          <w:bCs/>
          <w:noProof/>
          <w:color w:val="000000"/>
          <w:sz w:val="24"/>
          <w:szCs w:val="24"/>
          <w:lang w:eastAsia="en-GB"/>
        </w:rPr>
      </w:pPr>
      <w:r>
        <w:rPr>
          <w:rFonts w:ascii="Times New Roman" w:hAnsi="Times New Roman"/>
          <w:b/>
          <w:bCs/>
          <w:noProof/>
          <w:color w:val="000000"/>
          <w:sz w:val="24"/>
          <w:szCs w:val="24"/>
          <w:lang w:eastAsia="en-GB"/>
        </w:rPr>
        <w:t>Overview of key challenges in the sector</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transport and postal services sectors account for approximately 5% of the EU economy,</w:t>
      </w:r>
      <w:r>
        <w:rPr>
          <w:rFonts w:ascii="Times New Roman" w:hAnsi="Times New Roman"/>
          <w:noProof/>
          <w:position w:val="6"/>
          <w:sz w:val="16"/>
          <w:szCs w:val="24"/>
        </w:rPr>
        <w:footnoteReference w:id="310"/>
      </w:r>
      <w:r>
        <w:rPr>
          <w:rFonts w:ascii="Times New Roman" w:hAnsi="Times New Roman"/>
          <w:noProof/>
          <w:sz w:val="24"/>
          <w:szCs w:val="24"/>
        </w:rPr>
        <w:t xml:space="preserve"> and their performance can have many beneficial effects for other sectors of the European economy. Transport </w:t>
      </w:r>
      <w:r>
        <w:rPr>
          <w:rFonts w:ascii="Times New Roman" w:hAnsi="Times New Roman"/>
          <w:noProof/>
          <w:sz w:val="24"/>
          <w:szCs w:val="24"/>
        </w:rPr>
        <w:t>is the key to both an integrated internal market and to an open economy integrated into the world economy. In the postal sector parcel services are supplied by competitive transnational suppliers while other services are mostly in the hands of national pos</w:t>
      </w:r>
      <w:r>
        <w:rPr>
          <w:rFonts w:ascii="Times New Roman" w:hAnsi="Times New Roman"/>
          <w:noProof/>
          <w:sz w:val="24"/>
          <w:szCs w:val="24"/>
        </w:rPr>
        <w:t>tal operators often depending on compensation from their government.</w:t>
      </w:r>
      <w:r>
        <w:rPr>
          <w:rFonts w:ascii="Times New Roman" w:hAnsi="Times New Roman"/>
          <w:noProof/>
          <w:sz w:val="24"/>
          <w:szCs w:val="24"/>
          <w:vertAlign w:val="superscript"/>
        </w:rPr>
        <w:footnoteReference w:id="311"/>
      </w:r>
      <w:r>
        <w:rPr>
          <w:rFonts w:ascii="Times New Roman" w:hAnsi="Times New Roman"/>
          <w:noProof/>
          <w:sz w:val="24"/>
          <w:szCs w:val="24"/>
        </w:rPr>
        <w:t xml:space="preserv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In 2018, the Commission used its competition tools to keep the transport and postal markets open and competitive, and to facilitate entry. It also continued to facilitate State aid that</w:t>
      </w:r>
      <w:r>
        <w:rPr>
          <w:rFonts w:ascii="Times New Roman" w:hAnsi="Times New Roman"/>
          <w:noProof/>
          <w:sz w:val="24"/>
          <w:szCs w:val="24"/>
        </w:rPr>
        <w:t xml:space="preserve"> enabled interoperability between different modes of transport and a modal shift to more environmentally-friendly modes of transport, as well as State aid for modern infrastructure. </w:t>
      </w:r>
    </w:p>
    <w:p w:rsidR="00320198" w:rsidRDefault="005C0948">
      <w:pPr>
        <w:widowControl w:val="0"/>
        <w:autoSpaceDE w:val="0"/>
        <w:autoSpaceDN w:val="0"/>
        <w:adjustRightInd w:val="0"/>
        <w:spacing w:line="240" w:lineRule="auto"/>
        <w:jc w:val="both"/>
        <w:rPr>
          <w:rFonts w:ascii="Times New Roman" w:hAnsi="Times New Roman"/>
          <w:b/>
          <w:bCs/>
          <w:noProof/>
          <w:color w:val="000000"/>
          <w:sz w:val="24"/>
          <w:szCs w:val="24"/>
          <w:lang w:eastAsia="en-GB"/>
        </w:rPr>
      </w:pPr>
      <w:r>
        <w:rPr>
          <w:rFonts w:ascii="Times New Roman" w:hAnsi="Times New Roman"/>
          <w:b/>
          <w:bCs/>
          <w:noProof/>
          <w:color w:val="000000"/>
          <w:sz w:val="24"/>
          <w:szCs w:val="24"/>
          <w:lang w:eastAsia="en-GB"/>
        </w:rPr>
        <w:t>Contribution of EU competition policy to tackling the challenges</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rPr>
        <w:t>Merger r</w:t>
      </w:r>
      <w:r>
        <w:rPr>
          <w:rFonts w:ascii="Times New Roman" w:hAnsi="Times New Roman"/>
          <w:i/>
          <w:noProof/>
          <w:sz w:val="24"/>
          <w:szCs w:val="24"/>
        </w:rPr>
        <w:t>eview in air transport</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air transport sector is still very fragmented. In the EU there are more than 150 airlines offering scheduled air passenger transport. The five largest airlines in the EU, comprising Lufthansa, Air France / KLM and the Internation</w:t>
      </w:r>
      <w:r>
        <w:rPr>
          <w:rFonts w:ascii="Times New Roman" w:hAnsi="Times New Roman"/>
          <w:noProof/>
          <w:sz w:val="24"/>
          <w:szCs w:val="24"/>
        </w:rPr>
        <w:t>al Consolidated Airlines Group ("IAG" is the parent company of Aer Lingus, British Airways, Iberia, and Vueling), Ryanair and easyJet  account for around 50 % of the EU market. In contrast, in the United States, the three legacy carrier groups American Air</w:t>
      </w:r>
      <w:r>
        <w:rPr>
          <w:rFonts w:ascii="Times New Roman" w:hAnsi="Times New Roman"/>
          <w:noProof/>
          <w:sz w:val="24"/>
          <w:szCs w:val="24"/>
        </w:rPr>
        <w:t>lines, Delta and United together with the low cost carrier Southwest jointly control more than 80 % of the United States market. The need for further consolidation was underpinned by the financial difficulties encoutered by two medium-sized European airlin</w:t>
      </w:r>
      <w:r>
        <w:rPr>
          <w:rFonts w:ascii="Times New Roman" w:hAnsi="Times New Roman"/>
          <w:noProof/>
          <w:sz w:val="24"/>
          <w:szCs w:val="24"/>
        </w:rPr>
        <w:t xml:space="preserve">es, WOW and Flybe, which were looking for a strong partner to continue their development.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In this context, the Commission reviewed the acquisition of sole control over </w:t>
      </w:r>
      <w:r>
        <w:rPr>
          <w:rFonts w:ascii="Times New Roman" w:hAnsi="Times New Roman"/>
          <w:i/>
          <w:noProof/>
          <w:sz w:val="24"/>
          <w:szCs w:val="24"/>
        </w:rPr>
        <w:t>LaudaMotion</w:t>
      </w:r>
      <w:r>
        <w:rPr>
          <w:rFonts w:ascii="Times New Roman" w:hAnsi="Times New Roman"/>
          <w:noProof/>
          <w:sz w:val="24"/>
          <w:szCs w:val="24"/>
        </w:rPr>
        <w:t xml:space="preserve"> by the air carrier </w:t>
      </w:r>
      <w:r>
        <w:rPr>
          <w:rFonts w:ascii="Times New Roman" w:hAnsi="Times New Roman"/>
          <w:i/>
          <w:noProof/>
          <w:sz w:val="24"/>
          <w:szCs w:val="24"/>
        </w:rPr>
        <w:t>Ryanair</w:t>
      </w:r>
      <w:r>
        <w:rPr>
          <w:rFonts w:ascii="Times New Roman" w:hAnsi="Times New Roman"/>
          <w:noProof/>
          <w:sz w:val="24"/>
          <w:szCs w:val="24"/>
        </w:rPr>
        <w:t>.</w:t>
      </w:r>
      <w:r>
        <w:rPr>
          <w:rFonts w:ascii="Times New Roman" w:hAnsi="Times New Roman"/>
          <w:noProof/>
          <w:sz w:val="24"/>
          <w:szCs w:val="24"/>
          <w:vertAlign w:val="superscript"/>
        </w:rPr>
        <w:footnoteReference w:id="312"/>
      </w:r>
      <w:r>
        <w:rPr>
          <w:rFonts w:ascii="Times New Roman" w:hAnsi="Times New Roman"/>
          <w:noProof/>
          <w:sz w:val="24"/>
          <w:szCs w:val="24"/>
        </w:rPr>
        <w:t xml:space="preserve"> LaudaMotion is the company through which Mr Ni</w:t>
      </w:r>
      <w:r>
        <w:rPr>
          <w:rFonts w:ascii="Times New Roman" w:hAnsi="Times New Roman"/>
          <w:noProof/>
          <w:sz w:val="24"/>
          <w:szCs w:val="24"/>
        </w:rPr>
        <w:t>ki Lauda re-acquired in January 2018 the assets of NIKI, the leisure air carrier he founded in 2003 and which was then later integrated into Air Berlin. The assets of NIKI were for sale because in December 2017 Lufthansa decided not to acquire NIKI and NIK</w:t>
      </w:r>
      <w:r>
        <w:rPr>
          <w:rFonts w:ascii="Times New Roman" w:hAnsi="Times New Roman"/>
          <w:noProof/>
          <w:sz w:val="24"/>
          <w:szCs w:val="24"/>
        </w:rPr>
        <w:t>I immediately filed for insolvency. As for the two mergers involving Air Berlin's assets that the Commission reviewed in 2017,</w:t>
      </w:r>
      <w:r>
        <w:rPr>
          <w:rFonts w:ascii="Times New Roman" w:hAnsi="Times New Roman"/>
          <w:noProof/>
          <w:sz w:val="24"/>
          <w:szCs w:val="24"/>
          <w:vertAlign w:val="superscript"/>
        </w:rPr>
        <w:footnoteReference w:id="313"/>
      </w:r>
      <w:r>
        <w:rPr>
          <w:rFonts w:ascii="Times New Roman" w:hAnsi="Times New Roman"/>
          <w:noProof/>
          <w:sz w:val="24"/>
          <w:szCs w:val="24"/>
        </w:rPr>
        <w:t xml:space="preserve"> the Commission investigated the impact of the transaction from two angles. First, the Commission assessed the effects of the tra</w:t>
      </w:r>
      <w:r>
        <w:rPr>
          <w:rFonts w:ascii="Times New Roman" w:hAnsi="Times New Roman"/>
          <w:noProof/>
          <w:sz w:val="24"/>
          <w:szCs w:val="24"/>
        </w:rPr>
        <w:t>nsaction on the market for air transport of passengers, more specifically on the routes from German, Austrian and Swiss airports to leisure destinations in the Mediterranean and Canary Islands, where the activities of Ryanair and LaudaMotion overlap. Secon</w:t>
      </w:r>
      <w:r>
        <w:rPr>
          <w:rFonts w:ascii="Times New Roman" w:hAnsi="Times New Roman"/>
          <w:noProof/>
          <w:sz w:val="24"/>
          <w:szCs w:val="24"/>
        </w:rPr>
        <w:t>d, the Commission examined whether LaudaMotion's portfolio of airport slots to be acquired by Ryanair at different airports would allow Ryanair to prevent competitors from entering or expanding their presence at these airports. Control over a large slot po</w:t>
      </w:r>
      <w:r>
        <w:rPr>
          <w:rFonts w:ascii="Times New Roman" w:hAnsi="Times New Roman"/>
          <w:noProof/>
          <w:sz w:val="24"/>
          <w:szCs w:val="24"/>
        </w:rPr>
        <w:t>rtfolio at congested airports can result in higher barriers to entry for airlines wanting to operate to and from these airports, which in turn could result in higher fares for passengers. As no serious doubts arose either on the overlap routes or through t</w:t>
      </w:r>
      <w:r>
        <w:rPr>
          <w:rFonts w:ascii="Times New Roman" w:hAnsi="Times New Roman"/>
          <w:noProof/>
          <w:sz w:val="24"/>
          <w:szCs w:val="24"/>
        </w:rPr>
        <w:t xml:space="preserve">he acquried slots, the Commission cleared the takeover unconditionally.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2018, in the framework of commitments attached to previous clearance decisions, a number of new applications highlighted increased interest in slots made available under the Commi</w:t>
      </w:r>
      <w:r>
        <w:rPr>
          <w:rFonts w:ascii="Times New Roman" w:hAnsi="Times New Roman"/>
          <w:noProof/>
          <w:sz w:val="24"/>
          <w:szCs w:val="24"/>
        </w:rPr>
        <w:t>ssion commitments. In particular, the Commission received requests for additional slots by Flybe on the route connecting London Heathrow to Edinburgh,</w:t>
      </w:r>
      <w:r>
        <w:rPr>
          <w:rFonts w:ascii="Times New Roman" w:hAnsi="Times New Roman"/>
          <w:noProof/>
          <w:sz w:val="24"/>
          <w:szCs w:val="24"/>
          <w:vertAlign w:val="superscript"/>
        </w:rPr>
        <w:footnoteReference w:id="314"/>
      </w:r>
      <w:r>
        <w:rPr>
          <w:rFonts w:ascii="Times New Roman" w:hAnsi="Times New Roman"/>
          <w:noProof/>
          <w:sz w:val="24"/>
          <w:szCs w:val="24"/>
        </w:rPr>
        <w:t xml:space="preserve"> and by easyJet  on two routes connecting London Gatwick to Belfast and Dublin.</w:t>
      </w:r>
      <w:r>
        <w:rPr>
          <w:rFonts w:ascii="Times New Roman" w:hAnsi="Times New Roman"/>
          <w:noProof/>
          <w:sz w:val="24"/>
          <w:szCs w:val="24"/>
        </w:rPr>
        <w:footnoteReference w:id="315"/>
      </w:r>
      <w:r>
        <w:rPr>
          <w:rFonts w:ascii="Times New Roman" w:hAnsi="Times New Roman"/>
          <w:noProof/>
          <w:sz w:val="24"/>
          <w:szCs w:val="24"/>
        </w:rPr>
        <w:t xml:space="preserve"> Furthermore, Transavia requested additional slots at Ibiza for the city pair Paris-Ibiza under the commitments given by Iberia in the framework of the Commission clearance decision of Iberia's takeover of Clickair and Vueling.</w:t>
      </w:r>
      <w:r>
        <w:rPr>
          <w:rFonts w:ascii="Times New Roman" w:hAnsi="Times New Roman"/>
          <w:noProof/>
          <w:sz w:val="24"/>
          <w:szCs w:val="24"/>
          <w:vertAlign w:val="superscript"/>
        </w:rPr>
        <w:footnoteReference w:id="316"/>
      </w:r>
      <w:r>
        <w:rPr>
          <w:rFonts w:ascii="Times New Roman" w:hAnsi="Times New Roman"/>
          <w:noProof/>
          <w:sz w:val="24"/>
          <w:szCs w:val="24"/>
        </w:rPr>
        <w:t xml:space="preserve"> </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rPr>
        <w:t>Antitrust enforcement in t</w:t>
      </w:r>
      <w:r>
        <w:rPr>
          <w:rFonts w:ascii="Times New Roman" w:hAnsi="Times New Roman"/>
          <w:i/>
          <w:noProof/>
          <w:sz w:val="24"/>
          <w:szCs w:val="24"/>
        </w:rPr>
        <w:t>he aviation sector</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On 23 November 2018, the Commission opened proceedings under Article 101 TFEU against computerised reservation systems</w:t>
      </w:r>
      <w:r>
        <w:rPr>
          <w:rFonts w:ascii="Times New Roman" w:hAnsi="Times New Roman"/>
          <w:noProof/>
          <w:sz w:val="24"/>
          <w:szCs w:val="24"/>
          <w:vertAlign w:val="superscript"/>
        </w:rPr>
        <w:footnoteReference w:id="317"/>
      </w:r>
      <w:r>
        <w:rPr>
          <w:rFonts w:ascii="Times New Roman" w:hAnsi="Times New Roman"/>
          <w:noProof/>
          <w:sz w:val="24"/>
          <w:szCs w:val="24"/>
        </w:rPr>
        <w:t xml:space="preserve"> providers Amadeus and Sabre. The Commission suspects that certain terms in Amadeus' and Sabre's agreements with airli</w:t>
      </w:r>
      <w:r>
        <w:rPr>
          <w:rFonts w:ascii="Times New Roman" w:hAnsi="Times New Roman"/>
          <w:noProof/>
          <w:sz w:val="24"/>
          <w:szCs w:val="24"/>
        </w:rPr>
        <w:t>nes and travel agents may restrict competition for the provision of ticket distribution services, by limiting the ability of airlines and travel agents to use alternative suppliers of these services.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On 30 October 2018, the Commission decided to close its </w:t>
      </w:r>
      <w:r>
        <w:rPr>
          <w:rFonts w:ascii="Times New Roman" w:hAnsi="Times New Roman"/>
          <w:noProof/>
          <w:sz w:val="24"/>
          <w:szCs w:val="24"/>
        </w:rPr>
        <w:t xml:space="preserve">antitrust investigation into a codeshare agreement between </w:t>
      </w:r>
      <w:r>
        <w:rPr>
          <w:rFonts w:ascii="Times New Roman" w:hAnsi="Times New Roman"/>
          <w:i/>
          <w:noProof/>
          <w:sz w:val="24"/>
          <w:szCs w:val="24"/>
        </w:rPr>
        <w:t>Brussels Airlines and TAP Air Portugal</w:t>
      </w:r>
      <w:r>
        <w:rPr>
          <w:rFonts w:ascii="Times New Roman" w:hAnsi="Times New Roman"/>
          <w:noProof/>
          <w:sz w:val="24"/>
          <w:szCs w:val="24"/>
        </w:rPr>
        <w:t xml:space="preserve"> relating to the Brussels-Lisbon route. Following a thorough analysis of all relevant evidence, including the parties' responses to the Commission's statement </w:t>
      </w:r>
      <w:r>
        <w:rPr>
          <w:rFonts w:ascii="Times New Roman" w:hAnsi="Times New Roman"/>
          <w:noProof/>
          <w:sz w:val="24"/>
          <w:szCs w:val="24"/>
        </w:rPr>
        <w:t>of objections, the Commission concluded that there were insufficient grounds to confirm its initial concerns.</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 xml:space="preserve">In early 2018, the Commission received an application from the airline </w:t>
      </w:r>
      <w:r>
        <w:rPr>
          <w:rFonts w:ascii="Times New Roman" w:hAnsi="Times New Roman"/>
          <w:i/>
          <w:noProof/>
          <w:sz w:val="24"/>
          <w:szCs w:val="24"/>
        </w:rPr>
        <w:t>Norwegian</w:t>
      </w:r>
      <w:r>
        <w:rPr>
          <w:rFonts w:ascii="Times New Roman" w:hAnsi="Times New Roman"/>
          <w:noProof/>
          <w:sz w:val="24"/>
          <w:szCs w:val="24"/>
        </w:rPr>
        <w:t xml:space="preserve"> for take-off and landing slots at Amsterdam Schiphol and New York JFK airports, pursuant to the Commission's 2015 commitments decision relating to the Skyteam transatlantic joint venture. The Commission decided that Norwegian satisfied the conditions for </w:t>
      </w:r>
      <w:r>
        <w:rPr>
          <w:rFonts w:ascii="Times New Roman" w:hAnsi="Times New Roman"/>
          <w:noProof/>
          <w:sz w:val="24"/>
          <w:szCs w:val="24"/>
        </w:rPr>
        <w:t xml:space="preserve">the award of slots, and the Skyteam joint venture parties accordingly released three weekly slots at these two airports, enabling Norwegian to provide a daily service between Amsterdam Schiphol and New York JFK. </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rPr>
        <w:t>State aid to airports and airlines</w:t>
      </w:r>
    </w:p>
    <w:p w:rsidR="00320198" w:rsidRDefault="005C0948">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On 10 De</w:t>
      </w:r>
      <w:r>
        <w:rPr>
          <w:rFonts w:ascii="Times New Roman" w:hAnsi="Times New Roman"/>
          <w:noProof/>
          <w:color w:val="000000" w:themeColor="text1"/>
          <w:sz w:val="24"/>
          <w:szCs w:val="24"/>
        </w:rPr>
        <w:t>cember 2018, the Commission adopted a communication prolonging until 2024 the specific regime for operating aid for airports with up to 700 000 passengers per year in the Aviation Guidelines adopted in 2014. The prolongation will provide legal certainty to</w:t>
      </w:r>
      <w:r>
        <w:rPr>
          <w:rFonts w:ascii="Times New Roman" w:hAnsi="Times New Roman"/>
          <w:noProof/>
          <w:color w:val="000000" w:themeColor="text1"/>
          <w:sz w:val="24"/>
          <w:szCs w:val="24"/>
        </w:rPr>
        <w:t xml:space="preserve"> airports with less than 700 000 passengers per year, and will align the period concerning operating aid for all airports.</w:t>
      </w:r>
      <w:r>
        <w:rPr>
          <w:rFonts w:ascii="Times New Roman" w:hAnsi="Times New Roman"/>
          <w:noProof/>
          <w:color w:val="000000" w:themeColor="text1"/>
          <w:sz w:val="24"/>
          <w:szCs w:val="24"/>
          <w:vertAlign w:val="superscript"/>
        </w:rPr>
        <w:footnoteReference w:id="318"/>
      </w:r>
      <w:r>
        <w:rPr>
          <w:rFonts w:ascii="Times New Roman" w:hAnsi="Times New Roman"/>
          <w:noProof/>
          <w:color w:val="000000" w:themeColor="text1"/>
          <w:sz w:val="24"/>
          <w:szCs w:val="24"/>
          <w:vertAlign w:val="superscript"/>
        </w:rPr>
        <w:t xml:space="preserve"> </w:t>
      </w:r>
    </w:p>
    <w:p w:rsidR="00320198" w:rsidRDefault="005C0948">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In addition, the Commission continued to apply the 2014 Aviation Guidelines. In 2018, the Commission adopted several decisions in c</w:t>
      </w:r>
      <w:r>
        <w:rPr>
          <w:rFonts w:ascii="Times New Roman" w:hAnsi="Times New Roman"/>
          <w:noProof/>
          <w:color w:val="000000" w:themeColor="text1"/>
          <w:sz w:val="24"/>
          <w:szCs w:val="24"/>
        </w:rPr>
        <w:t>ases involving operating aid to airports,</w:t>
      </w:r>
      <w:r>
        <w:rPr>
          <w:rFonts w:ascii="Times New Roman" w:hAnsi="Times New Roman"/>
          <w:noProof/>
          <w:color w:val="000000" w:themeColor="text1"/>
          <w:sz w:val="24"/>
          <w:szCs w:val="24"/>
          <w:vertAlign w:val="superscript"/>
        </w:rPr>
        <w:footnoteReference w:id="319"/>
      </w:r>
      <w:r>
        <w:rPr>
          <w:rFonts w:ascii="Times New Roman" w:hAnsi="Times New Roman"/>
          <w:noProof/>
          <w:color w:val="000000" w:themeColor="text1"/>
          <w:sz w:val="24"/>
          <w:szCs w:val="24"/>
        </w:rPr>
        <w:t xml:space="preserve"> or the operation of an airport as a service of general economic interest.</w:t>
      </w:r>
      <w:r>
        <w:rPr>
          <w:rFonts w:ascii="Times New Roman" w:hAnsi="Times New Roman"/>
          <w:noProof/>
          <w:color w:val="000000" w:themeColor="text1"/>
          <w:sz w:val="24"/>
          <w:szCs w:val="24"/>
          <w:vertAlign w:val="superscript"/>
        </w:rPr>
        <w:footnoteReference w:id="320"/>
      </w:r>
      <w:r>
        <w:rPr>
          <w:rFonts w:ascii="Times New Roman" w:hAnsi="Times New Roman"/>
          <w:noProof/>
          <w:color w:val="000000" w:themeColor="text1"/>
          <w:sz w:val="24"/>
          <w:szCs w:val="24"/>
        </w:rPr>
        <w:t xml:space="preserve"> The Commission also opened proceedings in relation to marketing agreements at Montpellier airport,</w:t>
      </w:r>
      <w:r>
        <w:rPr>
          <w:rFonts w:ascii="Times New Roman" w:hAnsi="Times New Roman"/>
          <w:noProof/>
          <w:color w:val="000000" w:themeColor="text1"/>
          <w:sz w:val="24"/>
          <w:szCs w:val="24"/>
          <w:vertAlign w:val="superscript"/>
        </w:rPr>
        <w:footnoteReference w:id="321"/>
      </w:r>
      <w:r>
        <w:rPr>
          <w:rFonts w:ascii="Times New Roman" w:hAnsi="Times New Roman"/>
          <w:noProof/>
          <w:color w:val="000000" w:themeColor="text1"/>
          <w:sz w:val="24"/>
          <w:szCs w:val="24"/>
        </w:rPr>
        <w:t xml:space="preserve"> and in relation to marketing agreement</w:t>
      </w:r>
      <w:r>
        <w:rPr>
          <w:rFonts w:ascii="Times New Roman" w:hAnsi="Times New Roman"/>
          <w:noProof/>
          <w:color w:val="000000" w:themeColor="text1"/>
          <w:sz w:val="24"/>
          <w:szCs w:val="24"/>
        </w:rPr>
        <w:t>s and potential aid to the airport at Frankfurt-Hahn.</w:t>
      </w:r>
      <w:r>
        <w:rPr>
          <w:rFonts w:ascii="Times New Roman" w:hAnsi="Times New Roman"/>
          <w:noProof/>
          <w:color w:val="000000" w:themeColor="text1"/>
          <w:sz w:val="24"/>
          <w:szCs w:val="24"/>
          <w:vertAlign w:val="superscript"/>
        </w:rPr>
        <w:footnoteReference w:id="322"/>
      </w:r>
      <w:r>
        <w:rPr>
          <w:rFonts w:ascii="Times New Roman" w:hAnsi="Times New Roman"/>
          <w:noProof/>
          <w:color w:val="000000" w:themeColor="text1"/>
          <w:sz w:val="24"/>
          <w:szCs w:val="24"/>
        </w:rPr>
        <w:t xml:space="preserve"> </w:t>
      </w:r>
    </w:p>
    <w:p w:rsidR="00320198" w:rsidRDefault="005C0948">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The Commission intervened in many occasions to support Member States to ensure that investments or changes in concessions they are planning at public airports are market conform. These interventions g</w:t>
      </w:r>
      <w:r>
        <w:rPr>
          <w:rFonts w:ascii="Times New Roman" w:hAnsi="Times New Roman"/>
          <w:noProof/>
          <w:color w:val="000000" w:themeColor="text1"/>
          <w:sz w:val="24"/>
          <w:szCs w:val="24"/>
        </w:rPr>
        <w:t>enerally require in-depth business and/or legal analyses, but are not necessarily the object of a Commission's decision. They are thus less publicized than cases subject to a decision. Nevertheless they contribute substantially to the promotion of market-c</w:t>
      </w:r>
      <w:r>
        <w:rPr>
          <w:rFonts w:ascii="Times New Roman" w:hAnsi="Times New Roman"/>
          <w:noProof/>
          <w:color w:val="000000" w:themeColor="text1"/>
          <w:sz w:val="24"/>
          <w:szCs w:val="24"/>
        </w:rPr>
        <w:t>onform practices.</w:t>
      </w:r>
    </w:p>
    <w:p w:rsidR="00320198" w:rsidRDefault="005C0948">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On 12 December 2018, the Commission adopted a decision finding that the twenty-year extension of the concession for </w:t>
      </w:r>
      <w:r>
        <w:rPr>
          <w:rFonts w:ascii="Times New Roman" w:hAnsi="Times New Roman"/>
          <w:i/>
          <w:noProof/>
          <w:color w:val="000000" w:themeColor="text1"/>
          <w:sz w:val="24"/>
          <w:szCs w:val="24"/>
        </w:rPr>
        <w:t>Athens International Airport</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szCs w:val="24"/>
          <w:vertAlign w:val="superscript"/>
        </w:rPr>
        <w:footnoteReference w:id="323"/>
      </w:r>
      <w:r>
        <w:rPr>
          <w:rFonts w:ascii="Times New Roman" w:hAnsi="Times New Roman"/>
          <w:noProof/>
          <w:color w:val="000000" w:themeColor="text1"/>
          <w:sz w:val="24"/>
          <w:szCs w:val="24"/>
          <w:vertAlign w:val="superscript"/>
        </w:rPr>
        <w:t xml:space="preserve"> </w:t>
      </w:r>
      <w:r>
        <w:rPr>
          <w:rFonts w:ascii="Times New Roman" w:hAnsi="Times New Roman"/>
          <w:noProof/>
          <w:color w:val="000000" w:themeColor="text1"/>
          <w:sz w:val="24"/>
          <w:szCs w:val="24"/>
        </w:rPr>
        <w:t>does not constitute State aid.</w:t>
      </w:r>
    </w:p>
    <w:p w:rsidR="00320198" w:rsidRDefault="005C0948">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In April 2018, following complaints, the Commission also opened a formal investigation procedure into a EUR 900 million bridging loan granted by Italy to its flag carrier </w:t>
      </w:r>
      <w:r>
        <w:rPr>
          <w:rFonts w:ascii="Times New Roman" w:hAnsi="Times New Roman"/>
          <w:i/>
          <w:noProof/>
          <w:color w:val="000000" w:themeColor="text1"/>
          <w:sz w:val="24"/>
          <w:szCs w:val="24"/>
        </w:rPr>
        <w:t>Alitalia.</w:t>
      </w:r>
      <w:r>
        <w:rPr>
          <w:rFonts w:ascii="Times New Roman" w:hAnsi="Times New Roman"/>
          <w:noProof/>
          <w:color w:val="000000" w:themeColor="text1"/>
          <w:sz w:val="24"/>
          <w:szCs w:val="24"/>
          <w:vertAlign w:val="superscript"/>
        </w:rPr>
        <w:footnoteReference w:id="324"/>
      </w:r>
      <w:r>
        <w:rPr>
          <w:rFonts w:ascii="Times New Roman" w:hAnsi="Times New Roman"/>
          <w:noProof/>
          <w:color w:val="000000" w:themeColor="text1"/>
          <w:sz w:val="24"/>
          <w:szCs w:val="24"/>
        </w:rPr>
        <w:t xml:space="preserve"> The company has been in financial difficulties for several years and is cu</w:t>
      </w:r>
      <w:r>
        <w:rPr>
          <w:rFonts w:ascii="Times New Roman" w:hAnsi="Times New Roman"/>
          <w:noProof/>
          <w:color w:val="000000" w:themeColor="text1"/>
          <w:sz w:val="24"/>
          <w:szCs w:val="24"/>
        </w:rPr>
        <w:t>rrently looking for an investor. The investigation aims to establish whether the loan was granted on market terms or whether it involves State aid within the meaning of the EU rules. In the latter case, the loan needs to be in line with EU rules on the res</w:t>
      </w:r>
      <w:r>
        <w:rPr>
          <w:rFonts w:ascii="Times New Roman" w:hAnsi="Times New Roman"/>
          <w:noProof/>
          <w:color w:val="000000" w:themeColor="text1"/>
          <w:sz w:val="24"/>
          <w:szCs w:val="24"/>
        </w:rPr>
        <w:t xml:space="preserve">cue and restructuring of companies in difficulty, to ensure that inefficient companies are not artificially kept alive with continued State support. </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Antitrust enforcement in maritime transport </w:t>
      </w:r>
    </w:p>
    <w:p w:rsidR="00320198" w:rsidRDefault="005C0948">
      <w:pPr>
        <w:widowControl w:val="0"/>
        <w:tabs>
          <w:tab w:val="num" w:pos="360"/>
        </w:tabs>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The Commission began a review of Commission Regulation 906/20</w:t>
      </w:r>
      <w:r>
        <w:rPr>
          <w:rFonts w:ascii="Times New Roman" w:hAnsi="Times New Roman"/>
          <w:noProof/>
          <w:color w:val="000000" w:themeColor="text1"/>
          <w:sz w:val="24"/>
          <w:szCs w:val="24"/>
        </w:rPr>
        <w:t>09 ("the Consortia Block Exemption Regulation"),</w:t>
      </w:r>
      <w:r>
        <w:rPr>
          <w:noProof/>
          <w:color w:val="000000" w:themeColor="text1"/>
          <w:vertAlign w:val="superscript"/>
        </w:rPr>
        <w:footnoteReference w:id="325"/>
      </w:r>
      <w:r>
        <w:rPr>
          <w:rFonts w:ascii="Times New Roman" w:hAnsi="Times New Roman"/>
          <w:noProof/>
          <w:color w:val="000000" w:themeColor="text1"/>
          <w:sz w:val="24"/>
          <w:szCs w:val="24"/>
        </w:rPr>
        <w:t xml:space="preserve"> with a view to informing its decision on the future of the Regulation in view of its statutory expiration on 25 April 2020.</w:t>
      </w:r>
      <w:r>
        <w:rPr>
          <w:noProof/>
          <w:color w:val="000000" w:themeColor="text1"/>
          <w:vertAlign w:val="superscript"/>
        </w:rPr>
        <w:footnoteReference w:id="326"/>
      </w:r>
      <w:r>
        <w:rPr>
          <w:rFonts w:ascii="Times New Roman" w:hAnsi="Times New Roman"/>
          <w:noProof/>
          <w:color w:val="000000" w:themeColor="text1"/>
          <w:sz w:val="24"/>
          <w:szCs w:val="24"/>
        </w:rPr>
        <w:t xml:space="preserve"> On 7 May 2018, the Commission invited the public to comment on the evaluation Roa</w:t>
      </w:r>
      <w:r>
        <w:rPr>
          <w:rFonts w:ascii="Times New Roman" w:hAnsi="Times New Roman"/>
          <w:noProof/>
          <w:color w:val="000000" w:themeColor="text1"/>
          <w:sz w:val="24"/>
          <w:szCs w:val="24"/>
        </w:rPr>
        <w:t>dmap and on 27 September 2018 the Commission launched a 12-week public consultation on the Regulation, inviting the public to respond to a questionnaire or otherwise make its views known.</w:t>
      </w:r>
      <w:r>
        <w:rPr>
          <w:rFonts w:ascii="Times New Roman" w:hAnsi="Times New Roman"/>
          <w:noProof/>
          <w:color w:val="000000" w:themeColor="text1"/>
          <w:sz w:val="24"/>
          <w:szCs w:val="24"/>
          <w:vertAlign w:val="superscript"/>
        </w:rPr>
        <w:footnoteReference w:id="327"/>
      </w:r>
      <w:r>
        <w:rPr>
          <w:rFonts w:ascii="Times New Roman" w:hAnsi="Times New Roman"/>
          <w:noProof/>
          <w:color w:val="000000" w:themeColor="text1"/>
          <w:sz w:val="24"/>
          <w:szCs w:val="24"/>
          <w:vertAlign w:val="superscript"/>
        </w:rPr>
        <w:t xml:space="preserve"> </w:t>
      </w:r>
      <w:r>
        <w:rPr>
          <w:rFonts w:ascii="Times New Roman" w:hAnsi="Times New Roman"/>
          <w:noProof/>
          <w:color w:val="000000" w:themeColor="text1"/>
          <w:sz w:val="24"/>
          <w:szCs w:val="24"/>
        </w:rPr>
        <w:t>In addition, targeted questionnaires were sent to groups of major s</w:t>
      </w:r>
      <w:r>
        <w:rPr>
          <w:rFonts w:ascii="Times New Roman" w:hAnsi="Times New Roman"/>
          <w:noProof/>
          <w:color w:val="000000" w:themeColor="text1"/>
          <w:sz w:val="24"/>
          <w:szCs w:val="24"/>
        </w:rPr>
        <w:t xml:space="preserve">takeholders (shipping companies, customers and ports) and the Competition authorities of the Member States were invited to contribute. </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rPr>
        <w:t>Merger review in maritime transport</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global container shipping industry is undergoing a period of change, in reaction</w:t>
      </w:r>
      <w:r>
        <w:rPr>
          <w:rFonts w:ascii="Times New Roman" w:hAnsi="Times New Roman"/>
          <w:noProof/>
          <w:sz w:val="24"/>
          <w:szCs w:val="24"/>
        </w:rPr>
        <w:t xml:space="preserve"> to the challenges it has been facing in recent years. The sector is characterised by overcapacity, resulting from several carriers' expansion and investment in ultra-large vessels in recent years, and a slow recovery of demand following the economic crisi</w:t>
      </w:r>
      <w:r>
        <w:rPr>
          <w:rFonts w:ascii="Times New Roman" w:hAnsi="Times New Roman"/>
          <w:noProof/>
          <w:sz w:val="24"/>
          <w:szCs w:val="24"/>
        </w:rPr>
        <w:t>s. Also as a means to improve their efficiency and reduce their operating costs, container shipping companies do not only provide services individually, but they have also put in place operational agreements, such as consortia or alliances, with other ship</w:t>
      </w:r>
      <w:r>
        <w:rPr>
          <w:rFonts w:ascii="Times New Roman" w:hAnsi="Times New Roman"/>
          <w:noProof/>
          <w:sz w:val="24"/>
          <w:szCs w:val="24"/>
        </w:rPr>
        <w:t xml:space="preserve">ping companies that allow them to combine their vessels and offer a joint service.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A wave of consolidation can be observed, which started in 2014 with the merger of </w:t>
      </w:r>
      <w:r>
        <w:rPr>
          <w:rFonts w:ascii="Times New Roman" w:hAnsi="Times New Roman"/>
          <w:i/>
          <w:noProof/>
          <w:sz w:val="24"/>
          <w:szCs w:val="24"/>
        </w:rPr>
        <w:t>Hapag-Lloyd and CSAV</w:t>
      </w:r>
      <w:r>
        <w:rPr>
          <w:rFonts w:ascii="Times New Roman" w:hAnsi="Times New Roman"/>
          <w:noProof/>
          <w:sz w:val="24"/>
          <w:szCs w:val="24"/>
          <w:vertAlign w:val="superscript"/>
        </w:rPr>
        <w:footnoteReference w:id="328"/>
      </w:r>
      <w:r>
        <w:rPr>
          <w:rFonts w:ascii="Times New Roman" w:hAnsi="Times New Roman"/>
          <w:noProof/>
          <w:sz w:val="24"/>
          <w:szCs w:val="24"/>
        </w:rPr>
        <w:t xml:space="preserve"> and intensified in 2016 and 2017. In 2018, the Commission assessed t</w:t>
      </w:r>
      <w:r>
        <w:rPr>
          <w:rFonts w:ascii="Times New Roman" w:hAnsi="Times New Roman"/>
          <w:noProof/>
          <w:sz w:val="24"/>
          <w:szCs w:val="24"/>
        </w:rPr>
        <w:t xml:space="preserve">he acquisition of control over </w:t>
      </w:r>
      <w:r>
        <w:rPr>
          <w:rFonts w:ascii="Times New Roman" w:hAnsi="Times New Roman"/>
          <w:i/>
          <w:noProof/>
          <w:sz w:val="24"/>
          <w:szCs w:val="24"/>
        </w:rPr>
        <w:t>Container Finance Ltd Oy</w:t>
      </w:r>
      <w:r>
        <w:rPr>
          <w:rFonts w:ascii="Times New Roman" w:hAnsi="Times New Roman"/>
          <w:noProof/>
          <w:sz w:val="24"/>
          <w:szCs w:val="24"/>
        </w:rPr>
        <w:t xml:space="preserve">, of Finland, by the French group </w:t>
      </w:r>
      <w:r>
        <w:rPr>
          <w:rFonts w:ascii="Times New Roman" w:hAnsi="Times New Roman"/>
          <w:i/>
          <w:noProof/>
          <w:sz w:val="24"/>
          <w:szCs w:val="24"/>
        </w:rPr>
        <w:t>CMA CGM</w:t>
      </w:r>
      <w:r>
        <w:rPr>
          <w:rFonts w:ascii="Times New Roman" w:hAnsi="Times New Roman"/>
          <w:noProof/>
          <w:sz w:val="24"/>
          <w:szCs w:val="24"/>
        </w:rPr>
        <w:t>.</w:t>
      </w:r>
      <w:r>
        <w:rPr>
          <w:rFonts w:ascii="Times New Roman" w:hAnsi="Times New Roman"/>
          <w:noProof/>
          <w:sz w:val="24"/>
          <w:szCs w:val="24"/>
          <w:vertAlign w:val="superscript"/>
        </w:rPr>
        <w:footnoteReference w:id="329"/>
      </w:r>
      <w:r>
        <w:rPr>
          <w:rFonts w:ascii="Times New Roman" w:hAnsi="Times New Roman"/>
          <w:noProof/>
          <w:sz w:val="24"/>
          <w:szCs w:val="24"/>
        </w:rPr>
        <w:t xml:space="preserve"> Both CMA CGM and Container Finance provide intra-European door-to-door multimodal transport services and, to a lesser extent, container terminal services and freight forwarding services. Due to its limited structural impact on these services in the EEA, t</w:t>
      </w:r>
      <w:r>
        <w:rPr>
          <w:rFonts w:ascii="Times New Roman" w:hAnsi="Times New Roman"/>
          <w:noProof/>
          <w:sz w:val="24"/>
          <w:szCs w:val="24"/>
        </w:rPr>
        <w:t xml:space="preserve">he Commission cleared the merger without conditions.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Moreover, the Commission investigated the (reverse) vertical integration of </w:t>
      </w:r>
      <w:r>
        <w:rPr>
          <w:rFonts w:ascii="Times New Roman" w:hAnsi="Times New Roman"/>
          <w:i/>
          <w:noProof/>
          <w:sz w:val="24"/>
          <w:szCs w:val="24"/>
        </w:rPr>
        <w:t>Unifeeder</w:t>
      </w:r>
      <w:r>
        <w:rPr>
          <w:rFonts w:ascii="Times New Roman" w:hAnsi="Times New Roman"/>
          <w:noProof/>
          <w:sz w:val="24"/>
          <w:szCs w:val="24"/>
        </w:rPr>
        <w:t xml:space="preserve">, of Denmark, into the </w:t>
      </w:r>
      <w:r>
        <w:rPr>
          <w:rFonts w:ascii="Times New Roman" w:hAnsi="Times New Roman"/>
          <w:i/>
          <w:noProof/>
          <w:sz w:val="24"/>
          <w:szCs w:val="24"/>
        </w:rPr>
        <w:t>DP World group</w:t>
      </w:r>
      <w:r>
        <w:rPr>
          <w:rFonts w:ascii="Times New Roman" w:hAnsi="Times New Roman"/>
          <w:noProof/>
          <w:sz w:val="24"/>
          <w:szCs w:val="24"/>
        </w:rPr>
        <w:t>, based in the United Arab Emirates.</w:t>
      </w:r>
      <w:r>
        <w:rPr>
          <w:rFonts w:ascii="Times New Roman" w:hAnsi="Times New Roman"/>
          <w:noProof/>
          <w:sz w:val="24"/>
          <w:szCs w:val="24"/>
          <w:vertAlign w:val="superscript"/>
        </w:rPr>
        <w:footnoteReference w:id="330"/>
      </w:r>
      <w:r>
        <w:rPr>
          <w:rFonts w:ascii="Times New Roman" w:hAnsi="Times New Roman"/>
          <w:noProof/>
          <w:sz w:val="24"/>
          <w:szCs w:val="24"/>
        </w:rPr>
        <w:t xml:space="preserve"> Unifeeder is active in the provision of ma</w:t>
      </w:r>
      <w:r>
        <w:rPr>
          <w:rFonts w:ascii="Times New Roman" w:hAnsi="Times New Roman"/>
          <w:noProof/>
          <w:sz w:val="24"/>
          <w:szCs w:val="24"/>
        </w:rPr>
        <w:t>ritime transportation services for containerised goods including feeder services (transport of cargo between hub ports and out-ports) and short sea services (transport of cargo from point to point). Unifeeder operates primarily in Northern Europe and the M</w:t>
      </w:r>
      <w:r>
        <w:rPr>
          <w:rFonts w:ascii="Times New Roman" w:hAnsi="Times New Roman"/>
          <w:noProof/>
          <w:sz w:val="24"/>
          <w:szCs w:val="24"/>
        </w:rPr>
        <w:t>editerranean. DP World is a global marine terminals operator.</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Commission analysed whether the vertically integrated entity would have the ability and incentive to foreclose customers. The Commission considered that, even if Unifeeder's feeder volumes w</w:t>
      </w:r>
      <w:r>
        <w:rPr>
          <w:rFonts w:ascii="Times New Roman" w:hAnsi="Times New Roman"/>
          <w:noProof/>
          <w:sz w:val="24"/>
          <w:szCs w:val="24"/>
        </w:rPr>
        <w:t>ere re-routed to DP World's terminals in Belgium, France, the Netherlands, the United Kingdom, or Cyprus, this would only have a limited impact on the capacity utilisation of DP World's rivals for terminal services. The majority of the respondents to the C</w:t>
      </w:r>
      <w:r>
        <w:rPr>
          <w:rFonts w:ascii="Times New Roman" w:hAnsi="Times New Roman"/>
          <w:noProof/>
          <w:sz w:val="24"/>
          <w:szCs w:val="24"/>
        </w:rPr>
        <w:t>ommission’s market investigation did not foresee any significant negative impact on their companies due to the proposed transaction. For these reasons, the Commission concluded that the implementation of a customer foreclosure strategy by Unifeeder in Belg</w:t>
      </w:r>
      <w:r>
        <w:rPr>
          <w:rFonts w:ascii="Times New Roman" w:hAnsi="Times New Roman"/>
          <w:noProof/>
          <w:sz w:val="24"/>
          <w:szCs w:val="24"/>
        </w:rPr>
        <w:t>ium, France, the Netherlands, the United Kingdom, or Cyprus would be unlikely to have overall negative effects on effective competition. The transaction was cleared without conditions.</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rPr>
        <w:t>State aid enforcement in the maritime transport sector</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2018, the Com</w:t>
      </w:r>
      <w:r>
        <w:rPr>
          <w:rFonts w:ascii="Times New Roman" w:hAnsi="Times New Roman"/>
          <w:noProof/>
          <w:sz w:val="24"/>
          <w:szCs w:val="24"/>
        </w:rPr>
        <w:t>mission continued to ensure compliance with the Maritime State aid Guidelines.</w:t>
      </w:r>
      <w:r>
        <w:rPr>
          <w:rFonts w:ascii="Times New Roman" w:hAnsi="Times New Roman"/>
          <w:noProof/>
          <w:sz w:val="24"/>
          <w:szCs w:val="24"/>
          <w:vertAlign w:val="superscript"/>
        </w:rPr>
        <w:footnoteReference w:id="331"/>
      </w:r>
      <w:r>
        <w:rPr>
          <w:rFonts w:ascii="Times New Roman" w:hAnsi="Times New Roman"/>
          <w:noProof/>
          <w:sz w:val="24"/>
          <w:szCs w:val="24"/>
        </w:rPr>
        <w:t xml:space="preserve"> The aim of those Guidelines is to maintain the European maritime sector's competitiveness. The Commission is determined to ensure consistency and equal treatment throughout the</w:t>
      </w:r>
      <w:r>
        <w:rPr>
          <w:rFonts w:ascii="Times New Roman" w:hAnsi="Times New Roman"/>
          <w:noProof/>
          <w:sz w:val="24"/>
          <w:szCs w:val="24"/>
        </w:rPr>
        <w:t xml:space="preserve"> EU while at the same time making sure that the beneficial tonnage tax regimes do not contravene internal market rules.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order to support that objective and ensure compliance with the Commission's current interpretation of the Maritime State aid Guideli</w:t>
      </w:r>
      <w:r>
        <w:rPr>
          <w:rFonts w:ascii="Times New Roman" w:hAnsi="Times New Roman"/>
          <w:noProof/>
          <w:sz w:val="24"/>
          <w:szCs w:val="24"/>
        </w:rPr>
        <w:t>nes, the Commission organized two technical meetings on the enforcement of the 2004 Guidelines on State aid to Maritime Transport with the Member States and sector representatives (both ship owners and seafarer representatives) on 13 and 21 June 2018 respe</w:t>
      </w:r>
      <w:r>
        <w:rPr>
          <w:rFonts w:ascii="Times New Roman" w:hAnsi="Times New Roman"/>
          <w:noProof/>
          <w:sz w:val="24"/>
          <w:szCs w:val="24"/>
        </w:rPr>
        <w:t>ctively. In these meetings, the Commission described the technical standards that it had progressively developed to ensure compliance with the objectives of the Maritime Guidelines and with the internal market rules</w:t>
      </w:r>
      <w:r>
        <w:rPr>
          <w:rFonts w:ascii="Times New Roman" w:hAnsi="Times New Roman"/>
          <w:noProof/>
        </w:rPr>
        <w:t xml:space="preserve"> as a response to </w:t>
      </w:r>
      <w:r>
        <w:rPr>
          <w:rFonts w:ascii="Times New Roman" w:hAnsi="Times New Roman"/>
          <w:noProof/>
          <w:sz w:val="24"/>
          <w:szCs w:val="24"/>
        </w:rPr>
        <w:t>questions of interpreta</w:t>
      </w:r>
      <w:r>
        <w:rPr>
          <w:rFonts w:ascii="Times New Roman" w:hAnsi="Times New Roman"/>
          <w:noProof/>
          <w:sz w:val="24"/>
          <w:szCs w:val="24"/>
        </w:rPr>
        <w:t>tion</w:t>
      </w:r>
      <w:r>
        <w:rPr>
          <w:rFonts w:ascii="Times New Roman" w:hAnsi="Times New Roman"/>
          <w:noProof/>
        </w:rPr>
        <w:t xml:space="preserve"> which arose ov</w:t>
      </w:r>
      <w:r>
        <w:rPr>
          <w:rFonts w:ascii="Times New Roman" w:hAnsi="Times New Roman"/>
          <w:noProof/>
          <w:sz w:val="24"/>
          <w:szCs w:val="24"/>
        </w:rPr>
        <w:t xml:space="preserve">er time regarding certain provisions of the guidelines.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Moreover, on 6 April 2018, the Commission approved the first tonnage tax and seafarer scheme put in place by Portugal.</w:t>
      </w:r>
      <w:r>
        <w:rPr>
          <w:rFonts w:ascii="Times New Roman" w:hAnsi="Times New Roman"/>
          <w:noProof/>
        </w:rPr>
        <w:footnoteReference w:id="332"/>
      </w:r>
      <w:r>
        <w:rPr>
          <w:rFonts w:ascii="Times New Roman" w:hAnsi="Times New Roman"/>
          <w:noProof/>
        </w:rPr>
        <w:t xml:space="preserve"> </w:t>
      </w:r>
      <w:r>
        <w:rPr>
          <w:rFonts w:ascii="Times New Roman" w:hAnsi="Times New Roman"/>
          <w:noProof/>
          <w:sz w:val="24"/>
          <w:szCs w:val="24"/>
        </w:rPr>
        <w:t>The Commission found that the scheme would encourage ship re</w:t>
      </w:r>
      <w:r>
        <w:rPr>
          <w:rFonts w:ascii="Times New Roman" w:hAnsi="Times New Roman"/>
          <w:noProof/>
          <w:sz w:val="24"/>
          <w:szCs w:val="24"/>
        </w:rPr>
        <w:t xml:space="preserve">gistration in Europe and contribute to the competitiveness of maritime transport while preserving employment in the sector and promoting high environmental standards. </w:t>
      </w:r>
    </w:p>
    <w:p w:rsidR="00320198" w:rsidRDefault="005C0948">
      <w:pPr>
        <w:shd w:val="clear" w:color="auto" w:fill="FFFFFF"/>
        <w:spacing w:line="240" w:lineRule="auto"/>
        <w:jc w:val="both"/>
        <w:rPr>
          <w:rFonts w:ascii="Times New Roman" w:hAnsi="Times New Roman"/>
          <w:noProof/>
          <w:sz w:val="24"/>
          <w:szCs w:val="24"/>
        </w:rPr>
      </w:pPr>
      <w:r>
        <w:rPr>
          <w:rFonts w:ascii="Times New Roman" w:hAnsi="Times New Roman"/>
          <w:noProof/>
          <w:sz w:val="24"/>
          <w:szCs w:val="24"/>
        </w:rPr>
        <w:t>On 12 July 2018, the Commission also approved State aid to five ferry connections betwee</w:t>
      </w:r>
      <w:r>
        <w:rPr>
          <w:rFonts w:ascii="Times New Roman" w:hAnsi="Times New Roman"/>
          <w:noProof/>
          <w:sz w:val="24"/>
          <w:szCs w:val="24"/>
        </w:rPr>
        <w:t xml:space="preserve">n Croatian islands and the mainland to be operated as </w:t>
      </w:r>
      <w:hyperlink r:id="rId26" w:history="1">
        <w:r>
          <w:rPr>
            <w:rFonts w:ascii="Times New Roman" w:hAnsi="Times New Roman"/>
            <w:noProof/>
            <w:sz w:val="24"/>
            <w:szCs w:val="24"/>
          </w:rPr>
          <w:t xml:space="preserve"> services of general economic interest</w:t>
        </w:r>
      </w:hyperlink>
      <w:r>
        <w:rPr>
          <w:rFonts w:ascii="Times New Roman" w:hAnsi="Times New Roman"/>
          <w:noProof/>
          <w:sz w:val="24"/>
          <w:szCs w:val="24"/>
        </w:rPr>
        <w:t>.</w:t>
      </w:r>
      <w:r>
        <w:rPr>
          <w:rFonts w:ascii="Times New Roman" w:hAnsi="Times New Roman"/>
          <w:noProof/>
          <w:sz w:val="24"/>
          <w:szCs w:val="24"/>
        </w:rPr>
        <w:footnoteReference w:id="333"/>
      </w:r>
      <w:r>
        <w:rPr>
          <w:rFonts w:ascii="Times New Roman" w:hAnsi="Times New Roman"/>
          <w:noProof/>
          <w:sz w:val="24"/>
          <w:szCs w:val="24"/>
        </w:rPr>
        <w:t xml:space="preserve"> The aid will be granted to maritime companies selected through public tenders an</w:t>
      </w:r>
      <w:r>
        <w:rPr>
          <w:rFonts w:ascii="Times New Roman" w:hAnsi="Times New Roman"/>
          <w:noProof/>
          <w:sz w:val="24"/>
          <w:szCs w:val="24"/>
        </w:rPr>
        <w:t>d will cover the difference between revenues from ferry tickets and the cost of operating the ferries regularly so as to allow the islands' inhabitants to commute daily to work or study, as well as to transport vehicles and supplies to and from the islands</w:t>
      </w:r>
      <w:r>
        <w:rPr>
          <w:rFonts w:ascii="Times New Roman" w:hAnsi="Times New Roman"/>
          <w:noProof/>
          <w:sz w:val="24"/>
          <w:szCs w:val="24"/>
        </w:rPr>
        <w:t>. The Commission found that the aid is necessary to ensure operation of the routes with adequate frequencies over the whole year, since ticket revenues exceed the cost of the ferry operations only during the summer peak season.</w:t>
      </w:r>
    </w:p>
    <w:p w:rsidR="00320198" w:rsidRDefault="005C0948">
      <w:pPr>
        <w:shd w:val="clear" w:color="auto" w:fill="FFFFFF"/>
        <w:spacing w:line="240" w:lineRule="auto"/>
        <w:jc w:val="both"/>
        <w:rPr>
          <w:rFonts w:ascii="Times New Roman" w:hAnsi="Times New Roman"/>
          <w:noProof/>
          <w:sz w:val="24"/>
          <w:szCs w:val="24"/>
        </w:rPr>
      </w:pPr>
      <w:r>
        <w:rPr>
          <w:rFonts w:ascii="Times New Roman" w:hAnsi="Times New Roman"/>
          <w:noProof/>
          <w:sz w:val="24"/>
          <w:szCs w:val="24"/>
        </w:rPr>
        <w:t>On 12 October 2018, the Comm</w:t>
      </w:r>
      <w:r>
        <w:rPr>
          <w:rFonts w:ascii="Times New Roman" w:hAnsi="Times New Roman"/>
          <w:noProof/>
          <w:sz w:val="24"/>
          <w:szCs w:val="24"/>
        </w:rPr>
        <w:t xml:space="preserve">ission approved the extension of an existing </w:t>
      </w:r>
      <w:r>
        <w:rPr>
          <w:rFonts w:ascii="Times New Roman" w:hAnsi="Times New Roman"/>
          <w:i/>
          <w:noProof/>
          <w:sz w:val="24"/>
          <w:szCs w:val="24"/>
        </w:rPr>
        <w:t>Danish tonnage tax scheme</w:t>
      </w:r>
      <w:r>
        <w:rPr>
          <w:rFonts w:ascii="Times New Roman" w:hAnsi="Times New Roman"/>
          <w:noProof/>
          <w:sz w:val="24"/>
          <w:szCs w:val="24"/>
        </w:rPr>
        <w:t xml:space="preserve"> to new types of vessels</w:t>
      </w:r>
      <w:r>
        <w:rPr>
          <w:rFonts w:ascii="Times New Roman" w:hAnsi="Times New Roman"/>
          <w:noProof/>
          <w:vertAlign w:val="superscript"/>
        </w:rPr>
        <w:footnoteReference w:id="334"/>
      </w:r>
      <w:r>
        <w:rPr>
          <w:rFonts w:ascii="Times New Roman" w:hAnsi="Times New Roman"/>
          <w:noProof/>
          <w:sz w:val="24"/>
          <w:szCs w:val="24"/>
        </w:rPr>
        <w:t xml:space="preserve"> (guard vessels, vessels servicing off-shore installations, and vessels for raising, repairing and dismantling wind turbines).</w:t>
      </w:r>
      <w:r>
        <w:rPr>
          <w:rFonts w:ascii="Times New Roman" w:hAnsi="Times New Roman"/>
          <w:noProof/>
        </w:rPr>
        <w:t xml:space="preserve"> </w:t>
      </w:r>
      <w:r>
        <w:rPr>
          <w:rFonts w:ascii="Times New Roman" w:hAnsi="Times New Roman"/>
          <w:noProof/>
          <w:sz w:val="24"/>
          <w:szCs w:val="24"/>
        </w:rPr>
        <w:t>The Commission considered that the</w:t>
      </w:r>
      <w:r>
        <w:rPr>
          <w:rFonts w:ascii="Times New Roman" w:hAnsi="Times New Roman"/>
          <w:noProof/>
          <w:sz w:val="24"/>
          <w:szCs w:val="24"/>
        </w:rPr>
        <w:t>se types of vessels are involved in maritime activities that are subject to the same legal requirements and competitive conditions as maritime transport. The Commission also took into account commitments from Denmark to amend certain aspects of its existin</w:t>
      </w:r>
      <w:r>
        <w:rPr>
          <w:rFonts w:ascii="Times New Roman" w:hAnsi="Times New Roman"/>
          <w:noProof/>
          <w:sz w:val="24"/>
          <w:szCs w:val="24"/>
        </w:rPr>
        <w:t>g tonnage tax scheme to align it with the Commission's current interpretation of the Maritime Guidelines (notably regarding ancillary services and bareboat chartering out activities).</w:t>
      </w:r>
    </w:p>
    <w:p w:rsidR="00320198" w:rsidRDefault="005C0948">
      <w:pPr>
        <w:shd w:val="clear" w:color="auto" w:fill="FFFFFF"/>
        <w:spacing w:before="60" w:after="240" w:line="240" w:lineRule="auto"/>
        <w:jc w:val="both"/>
        <w:rPr>
          <w:rFonts w:ascii="Times New Roman" w:hAnsi="Times New Roman"/>
          <w:noProof/>
          <w:sz w:val="24"/>
          <w:szCs w:val="24"/>
        </w:rPr>
      </w:pPr>
      <w:r>
        <w:rPr>
          <w:rFonts w:ascii="Times New Roman" w:hAnsi="Times New Roman"/>
          <w:noProof/>
          <w:sz w:val="24"/>
          <w:szCs w:val="24"/>
        </w:rPr>
        <w:t xml:space="preserve">Furthermore, the Commission approved the prolongation of the </w:t>
      </w:r>
      <w:r>
        <w:rPr>
          <w:rFonts w:ascii="Times New Roman" w:hAnsi="Times New Roman"/>
          <w:i/>
          <w:noProof/>
          <w:sz w:val="24"/>
          <w:szCs w:val="24"/>
        </w:rPr>
        <w:t>Dutch schem</w:t>
      </w:r>
      <w:r>
        <w:rPr>
          <w:rFonts w:ascii="Times New Roman" w:hAnsi="Times New Roman"/>
          <w:i/>
          <w:noProof/>
          <w:sz w:val="24"/>
          <w:szCs w:val="24"/>
        </w:rPr>
        <w:t>e</w:t>
      </w:r>
      <w:r>
        <w:rPr>
          <w:rFonts w:ascii="Times New Roman" w:hAnsi="Times New Roman"/>
          <w:noProof/>
          <w:sz w:val="24"/>
          <w:szCs w:val="24"/>
          <w:vertAlign w:val="superscript"/>
        </w:rPr>
        <w:footnoteReference w:id="335"/>
      </w:r>
      <w:r>
        <w:rPr>
          <w:rFonts w:ascii="Times New Roman" w:hAnsi="Times New Roman"/>
          <w:noProof/>
          <w:sz w:val="24"/>
          <w:szCs w:val="24"/>
        </w:rPr>
        <w:t xml:space="preserve"> and the prolongation and extension of the French scheme</w:t>
      </w:r>
      <w:r>
        <w:rPr>
          <w:rFonts w:ascii="Times New Roman" w:hAnsi="Times New Roman"/>
          <w:noProof/>
          <w:sz w:val="24"/>
          <w:szCs w:val="24"/>
          <w:vertAlign w:val="superscript"/>
        </w:rPr>
        <w:footnoteReference w:id="336"/>
      </w:r>
      <w:r>
        <w:rPr>
          <w:rFonts w:ascii="Times New Roman" w:hAnsi="Times New Roman"/>
          <w:noProof/>
          <w:sz w:val="24"/>
          <w:szCs w:val="24"/>
        </w:rPr>
        <w:t xml:space="preserve"> for the reduction of social contributions for seafarers subject to the commitment by the Netherlands and France to open their schemes to all EEA-flagged vessels.</w:t>
      </w:r>
    </w:p>
    <w:p w:rsidR="00320198" w:rsidRDefault="005C0948">
      <w:pPr>
        <w:autoSpaceDE w:val="0"/>
        <w:autoSpaceDN w:val="0"/>
        <w:adjustRightInd w:val="0"/>
        <w:spacing w:after="0" w:line="240" w:lineRule="auto"/>
        <w:rPr>
          <w:rFonts w:ascii="Times New Roman" w:hAnsi="Times New Roman"/>
          <w:i/>
          <w:noProof/>
          <w:sz w:val="24"/>
          <w:szCs w:val="24"/>
        </w:rPr>
      </w:pPr>
      <w:r>
        <w:rPr>
          <w:rFonts w:ascii="Times New Roman" w:hAnsi="Times New Roman"/>
          <w:i/>
          <w:noProof/>
          <w:sz w:val="24"/>
          <w:szCs w:val="24"/>
        </w:rPr>
        <w:t xml:space="preserve">Antitrust enforcement in the rail </w:t>
      </w:r>
      <w:r>
        <w:rPr>
          <w:rFonts w:ascii="Times New Roman" w:hAnsi="Times New Roman"/>
          <w:i/>
          <w:noProof/>
          <w:sz w:val="24"/>
          <w:szCs w:val="24"/>
        </w:rPr>
        <w:t>sector</w:t>
      </w:r>
    </w:p>
    <w:p w:rsidR="00320198" w:rsidRDefault="00320198">
      <w:pPr>
        <w:autoSpaceDE w:val="0"/>
        <w:autoSpaceDN w:val="0"/>
        <w:adjustRightInd w:val="0"/>
        <w:spacing w:after="0" w:line="240" w:lineRule="auto"/>
        <w:rPr>
          <w:rFonts w:ascii="Times New Roman" w:hAnsi="Times New Roman"/>
          <w:noProof/>
          <w:sz w:val="24"/>
          <w:szCs w:val="24"/>
        </w:rPr>
      </w:pPr>
    </w:p>
    <w:p w:rsidR="00320198" w:rsidRDefault="005C0948">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On 25 September 2018 the Commission adopted a Statement of Objections against the Slovak rail company </w:t>
      </w:r>
      <w:r>
        <w:rPr>
          <w:rFonts w:ascii="Times New Roman" w:hAnsi="Times New Roman"/>
          <w:i/>
          <w:noProof/>
          <w:sz w:val="24"/>
          <w:szCs w:val="24"/>
        </w:rPr>
        <w:t>ZSSK</w:t>
      </w:r>
      <w:r>
        <w:rPr>
          <w:rFonts w:ascii="Times New Roman" w:hAnsi="Times New Roman"/>
          <w:noProof/>
          <w:sz w:val="24"/>
          <w:szCs w:val="24"/>
        </w:rPr>
        <w:footnoteReference w:id="337"/>
      </w:r>
      <w:r>
        <w:rPr>
          <w:rFonts w:ascii="Times New Roman" w:hAnsi="Times New Roman"/>
          <w:noProof/>
          <w:sz w:val="24"/>
          <w:szCs w:val="24"/>
        </w:rPr>
        <w:t xml:space="preserve"> for obstruction of a Commission inspection. The Commission carried out inspections at the ZSSK premises in June 2016. The inspection focussed on whether  ZSSK had entered into anti-competitive agreements aimed at excluding its competitors on the rail pass</w:t>
      </w:r>
      <w:r>
        <w:rPr>
          <w:rFonts w:ascii="Times New Roman" w:hAnsi="Times New Roman"/>
          <w:noProof/>
          <w:sz w:val="24"/>
          <w:szCs w:val="24"/>
        </w:rPr>
        <w:t xml:space="preserve">enger market, in breach of EU antitrust rules. </w:t>
      </w:r>
    </w:p>
    <w:p w:rsidR="00320198" w:rsidRDefault="00320198">
      <w:pPr>
        <w:autoSpaceDE w:val="0"/>
        <w:autoSpaceDN w:val="0"/>
        <w:adjustRightInd w:val="0"/>
        <w:spacing w:after="0" w:line="240" w:lineRule="auto"/>
        <w:jc w:val="both"/>
        <w:rPr>
          <w:rFonts w:ascii="Times New Roman" w:hAnsi="Times New Roman"/>
          <w:noProof/>
          <w:sz w:val="24"/>
          <w:szCs w:val="24"/>
        </w:rPr>
      </w:pPr>
    </w:p>
    <w:p w:rsidR="00320198" w:rsidRDefault="005C0948">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In the Statement of Objections, the Commission took the preliminary view that ZSSK may have obstructed the inspection by providing incorrect information about the location of the laptop of one of its employe</w:t>
      </w:r>
      <w:r>
        <w:rPr>
          <w:rFonts w:ascii="Times New Roman" w:hAnsi="Times New Roman"/>
          <w:noProof/>
          <w:sz w:val="24"/>
          <w:szCs w:val="24"/>
        </w:rPr>
        <w:t>es and by failing to provide requested data from this laptop by allowing its re-installation. Therefore, ZSSK may not have fulfilled its obligation to comply with the inspectors’ requests under Regulation 1/2003.</w:t>
      </w:r>
    </w:p>
    <w:p w:rsidR="00320198" w:rsidRDefault="00320198">
      <w:pPr>
        <w:autoSpaceDE w:val="0"/>
        <w:autoSpaceDN w:val="0"/>
        <w:adjustRightInd w:val="0"/>
        <w:spacing w:after="0" w:line="240" w:lineRule="auto"/>
        <w:jc w:val="both"/>
        <w:rPr>
          <w:rFonts w:ascii="Times New Roman" w:hAnsi="Times New Roman"/>
          <w:noProof/>
          <w:sz w:val="24"/>
          <w:szCs w:val="24"/>
        </w:rPr>
      </w:pP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rPr>
        <w:t xml:space="preserve">Rail and intermodal State aid enforcement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2018, the Commission approved a number of schemes supporting rail and intermodal transport, which aim to support the transfer of cargo from the road to the safer and more environmentally friendly rail transport modes.</w:t>
      </w:r>
      <w:r>
        <w:rPr>
          <w:rFonts w:ascii="Times New Roman" w:hAnsi="Times New Roman"/>
          <w:noProof/>
          <w:sz w:val="24"/>
          <w:szCs w:val="24"/>
          <w:vertAlign w:val="superscript"/>
        </w:rPr>
        <w:footnoteReference w:id="338"/>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Moreover, the Commission continue</w:t>
      </w:r>
      <w:r>
        <w:rPr>
          <w:rFonts w:ascii="Times New Roman" w:hAnsi="Times New Roman"/>
          <w:noProof/>
          <w:sz w:val="24"/>
          <w:szCs w:val="24"/>
        </w:rPr>
        <w:t xml:space="preserve">d its investigation into State measures in favour of the ailing state-owned Romanian rail freight operator </w:t>
      </w:r>
      <w:r>
        <w:rPr>
          <w:rFonts w:ascii="Times New Roman" w:hAnsi="Times New Roman"/>
          <w:i/>
          <w:noProof/>
          <w:sz w:val="24"/>
          <w:szCs w:val="24"/>
        </w:rPr>
        <w:t>CFR Marfa</w:t>
      </w:r>
      <w:r>
        <w:rPr>
          <w:rFonts w:ascii="Times New Roman" w:hAnsi="Times New Roman"/>
          <w:noProof/>
          <w:sz w:val="24"/>
          <w:szCs w:val="24"/>
        </w:rPr>
        <w:t>, opened in December 2017 following a complaint by the Association of Romanian Private Rail Freight Operators.</w:t>
      </w:r>
      <w:r>
        <w:rPr>
          <w:rFonts w:ascii="Times New Roman" w:hAnsi="Times New Roman"/>
          <w:noProof/>
          <w:sz w:val="24"/>
          <w:szCs w:val="24"/>
          <w:vertAlign w:val="superscript"/>
        </w:rPr>
        <w:footnoteReference w:id="339"/>
      </w:r>
      <w:r>
        <w:rPr>
          <w:rFonts w:ascii="Times New Roman" w:hAnsi="Times New Roman"/>
          <w:noProof/>
          <w:sz w:val="24"/>
          <w:szCs w:val="24"/>
        </w:rPr>
        <w:t xml:space="preserve"> Since the liberalisation of </w:t>
      </w:r>
      <w:r>
        <w:rPr>
          <w:rFonts w:ascii="Times New Roman" w:hAnsi="Times New Roman"/>
          <w:noProof/>
          <w:sz w:val="24"/>
          <w:szCs w:val="24"/>
        </w:rPr>
        <w:t>the Romanian rail freight transport market in 2007, numerous private operators have successfully entered the market, which is highly competitive. It is therefore particularly important that public interventions do not relieve selected companies from normal</w:t>
      </w:r>
      <w:r>
        <w:rPr>
          <w:rFonts w:ascii="Times New Roman" w:hAnsi="Times New Roman"/>
          <w:noProof/>
          <w:sz w:val="24"/>
          <w:szCs w:val="24"/>
        </w:rPr>
        <w:t xml:space="preserve"> business costs that their competitors have to bear. The Commission’s investigation focuses on a debt-to-equity swap of around EUR 360 million as well as the non-collection of social security debts, taxes and debts towards the public rail infrastructure ma</w:t>
      </w:r>
      <w:r>
        <w:rPr>
          <w:rFonts w:ascii="Times New Roman" w:hAnsi="Times New Roman"/>
          <w:noProof/>
          <w:sz w:val="24"/>
          <w:szCs w:val="24"/>
        </w:rPr>
        <w:t xml:space="preserve">nager CFR Infrastructure. The Commission will examine whether these measures have procured CFR Marfa an unfair economic advantage over its competitors.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In January 2018, the Commission opened an in-depth investigation into the restructuring of Polish Regi</w:t>
      </w:r>
      <w:r>
        <w:rPr>
          <w:rFonts w:ascii="Times New Roman" w:hAnsi="Times New Roman"/>
          <w:noProof/>
          <w:sz w:val="24"/>
          <w:szCs w:val="24"/>
        </w:rPr>
        <w:t>onal Railways.</w:t>
      </w:r>
      <w:r>
        <w:rPr>
          <w:rFonts w:ascii="Times New Roman" w:hAnsi="Times New Roman"/>
          <w:noProof/>
          <w:sz w:val="24"/>
          <w:szCs w:val="24"/>
          <w:vertAlign w:val="superscript"/>
        </w:rPr>
        <w:footnoteReference w:id="340"/>
      </w:r>
      <w:r>
        <w:rPr>
          <w:rFonts w:ascii="Times New Roman" w:hAnsi="Times New Roman"/>
          <w:noProof/>
          <w:sz w:val="24"/>
          <w:szCs w:val="24"/>
        </w:rPr>
        <w:t xml:space="preserve"> the largest passenger regional rail operator in Poland. The company has been in financial difficulties for some time. In 2015, Poland notified restructuring aid of around EUR 188 million in favour of the company. Under EU rules, companies i</w:t>
      </w:r>
      <w:r>
        <w:rPr>
          <w:rFonts w:ascii="Times New Roman" w:hAnsi="Times New Roman"/>
          <w:noProof/>
          <w:sz w:val="24"/>
          <w:szCs w:val="24"/>
        </w:rPr>
        <w:t>n difficulty can receive restructuring aid only once in ten years (the “one-time / last-time” principle). This is to avoid that ailing firms rely on public funding to stay in business, instead of improving their business performance and competing on the me</w:t>
      </w:r>
      <w:r>
        <w:rPr>
          <w:rFonts w:ascii="Times New Roman" w:hAnsi="Times New Roman"/>
          <w:noProof/>
          <w:sz w:val="24"/>
          <w:szCs w:val="24"/>
        </w:rPr>
        <w:t>rits. During its investigation, the Commission found that Polish Regional Railways had already received State support in the past. The Commission now has to determine, in particular, whether this past aid qualifies as restructuring aid and whether the 2015</w:t>
      </w:r>
      <w:r>
        <w:rPr>
          <w:rFonts w:ascii="Times New Roman" w:hAnsi="Times New Roman"/>
          <w:noProof/>
          <w:sz w:val="24"/>
          <w:szCs w:val="24"/>
        </w:rPr>
        <w:t xml:space="preserve"> restructuring support is in line with the one-time/last-time principle. </w:t>
      </w:r>
    </w:p>
    <w:p w:rsidR="00320198" w:rsidRDefault="005C0948">
      <w:pPr>
        <w:widowControl w:val="0"/>
        <w:tabs>
          <w:tab w:val="num" w:pos="360"/>
        </w:tabs>
        <w:spacing w:line="240" w:lineRule="auto"/>
        <w:jc w:val="both"/>
        <w:rPr>
          <w:rFonts w:ascii="Times New Roman" w:hAnsi="Times New Roman"/>
          <w:i/>
          <w:noProof/>
          <w:sz w:val="24"/>
          <w:szCs w:val="24"/>
        </w:rPr>
      </w:pPr>
      <w:r>
        <w:rPr>
          <w:rFonts w:ascii="Times New Roman" w:hAnsi="Times New Roman"/>
          <w:i/>
          <w:noProof/>
          <w:sz w:val="24"/>
          <w:szCs w:val="24"/>
        </w:rPr>
        <w:t>State aid review in the road sector</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The Commission continued to enforce Regulation (EC) No 1370/2007 on public passenger transport services.</w:t>
      </w:r>
      <w:r>
        <w:rPr>
          <w:rFonts w:ascii="Times New Roman" w:hAnsi="Times New Roman"/>
          <w:noProof/>
          <w:sz w:val="24"/>
          <w:szCs w:val="24"/>
          <w:vertAlign w:val="superscript"/>
        </w:rPr>
        <w:footnoteReference w:id="341"/>
      </w:r>
      <w:r>
        <w:rPr>
          <w:rFonts w:ascii="Times New Roman" w:hAnsi="Times New Roman"/>
          <w:noProof/>
          <w:sz w:val="24"/>
          <w:szCs w:val="24"/>
        </w:rPr>
        <w:t xml:space="preserve"> </w:t>
      </w:r>
    </w:p>
    <w:p w:rsidR="00320198" w:rsidRDefault="005C0948">
      <w:pPr>
        <w:widowControl w:val="0"/>
        <w:spacing w:line="240" w:lineRule="auto"/>
        <w:jc w:val="both"/>
        <w:rPr>
          <w:rFonts w:ascii="Times New Roman" w:hAnsi="Times New Roman"/>
          <w:noProof/>
          <w:sz w:val="24"/>
          <w:szCs w:val="24"/>
        </w:rPr>
      </w:pPr>
      <w:r>
        <w:rPr>
          <w:rFonts w:ascii="Times New Roman" w:hAnsi="Times New Roman"/>
          <w:noProof/>
          <w:sz w:val="24"/>
          <w:szCs w:val="24"/>
        </w:rPr>
        <w:t>Recent case law</w:t>
      </w:r>
      <w:r>
        <w:rPr>
          <w:rFonts w:ascii="Times New Roman" w:hAnsi="Times New Roman"/>
          <w:noProof/>
          <w:sz w:val="24"/>
          <w:szCs w:val="24"/>
          <w:vertAlign w:val="superscript"/>
        </w:rPr>
        <w:footnoteReference w:id="342"/>
      </w:r>
      <w:r>
        <w:rPr>
          <w:rFonts w:ascii="Times New Roman" w:hAnsi="Times New Roman"/>
          <w:noProof/>
          <w:sz w:val="24"/>
          <w:szCs w:val="24"/>
        </w:rPr>
        <w:t xml:space="preserve"> has confirmed the Comm</w:t>
      </w:r>
      <w:r>
        <w:rPr>
          <w:rFonts w:ascii="Times New Roman" w:hAnsi="Times New Roman"/>
          <w:noProof/>
          <w:sz w:val="24"/>
          <w:szCs w:val="24"/>
        </w:rPr>
        <w:t xml:space="preserve">ission approach on the application </w:t>
      </w:r>
      <w:r>
        <w:rPr>
          <w:rFonts w:ascii="Times New Roman" w:hAnsi="Times New Roman"/>
          <w:i/>
          <w:noProof/>
          <w:sz w:val="24"/>
          <w:szCs w:val="24"/>
        </w:rPr>
        <w:t>rationae temporis</w:t>
      </w:r>
      <w:r>
        <w:rPr>
          <w:rFonts w:ascii="Times New Roman" w:hAnsi="Times New Roman"/>
          <w:noProof/>
          <w:sz w:val="24"/>
          <w:szCs w:val="24"/>
        </w:rPr>
        <w:t xml:space="preserve"> of the application of the above-mentioned Regulation. More specifically, these judgments confirmed that the compatibility of public measures adopted in the past but continuing having effects (i.e. they c</w:t>
      </w:r>
      <w:r>
        <w:rPr>
          <w:rFonts w:ascii="Times New Roman" w:hAnsi="Times New Roman"/>
          <w:noProof/>
          <w:sz w:val="24"/>
          <w:szCs w:val="24"/>
        </w:rPr>
        <w:t xml:space="preserve">ontinue to provide aid), are assessed not on the basis of old rules but on the basis of the rules which are applicable at the moment the aid measures produce effects that fall within the scope of the new rules, unless the new rules explicitly exclude them </w:t>
      </w:r>
      <w:r>
        <w:rPr>
          <w:rFonts w:ascii="Times New Roman" w:hAnsi="Times New Roman"/>
          <w:noProof/>
          <w:sz w:val="24"/>
          <w:szCs w:val="24"/>
        </w:rPr>
        <w:t>from their scope.</w:t>
      </w:r>
    </w:p>
    <w:p w:rsidR="00320198" w:rsidRDefault="005C0948">
      <w:pPr>
        <w:widowControl w:val="0"/>
        <w:spacing w:line="240" w:lineRule="auto"/>
        <w:jc w:val="both"/>
        <w:rPr>
          <w:rFonts w:ascii="Times New Roman" w:hAnsi="Times New Roman"/>
          <w:i/>
          <w:noProof/>
          <w:sz w:val="24"/>
          <w:szCs w:val="24"/>
        </w:rPr>
      </w:pPr>
      <w:r>
        <w:rPr>
          <w:rFonts w:ascii="Times New Roman" w:hAnsi="Times New Roman"/>
          <w:i/>
          <w:noProof/>
          <w:sz w:val="24"/>
          <w:szCs w:val="24"/>
        </w:rPr>
        <w:t>State aid review in the postal services sector</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The postal sector continues to evolve and traditional letter delivery, against the backdrop of electronic substitution, remains on a declining trajectory. Nevertheless, postal services have r</w:t>
      </w:r>
      <w:r>
        <w:rPr>
          <w:rFonts w:ascii="Times New Roman" w:hAnsi="Times New Roman"/>
          <w:noProof/>
          <w:sz w:val="24"/>
          <w:szCs w:val="24"/>
        </w:rPr>
        <w:t xml:space="preserve">etained a very significant economic and social value. In a shrinking market of traditional letter delivery, many postal incumbents are being forced to diversify the portfolio of their activities and innovate in order to stay competitive. At the same time, </w:t>
      </w:r>
      <w:r>
        <w:rPr>
          <w:rFonts w:ascii="Times New Roman" w:hAnsi="Times New Roman"/>
          <w:noProof/>
          <w:sz w:val="24"/>
          <w:szCs w:val="24"/>
        </w:rPr>
        <w:t xml:space="preserve">the explosive growth of e-commerce necessitates a well-functioning parcel delivery market linking buyers and sellers. Efficient postal services are thus a key factor in allowing e-commerce to realise its potential in propelling growth and creating jobs.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T</w:t>
      </w:r>
      <w:r>
        <w:rPr>
          <w:rFonts w:ascii="Times New Roman" w:hAnsi="Times New Roman"/>
          <w:noProof/>
          <w:sz w:val="24"/>
          <w:szCs w:val="24"/>
        </w:rPr>
        <w:t>hrough State aid control in the postal sector, the Commission pursues multiple related goals. State aid control ensures that where a postal service provider – typically a postal incumbent – is entrusted with a costly public service obligation, any compensa</w:t>
      </w:r>
      <w:r>
        <w:rPr>
          <w:rFonts w:ascii="Times New Roman" w:hAnsi="Times New Roman"/>
          <w:noProof/>
          <w:sz w:val="24"/>
          <w:szCs w:val="24"/>
        </w:rPr>
        <w:t xml:space="preserve">tion paid to the provider does not distort competition between postal incumbents and new entrants. State aid should not shield the recipients from competitive pressures and market developments, but should incentivise efficiency, innovation and investment. </w:t>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In February 2018, the Commission approved in two decisions two sets of compensations in favour of </w:t>
      </w:r>
      <w:r>
        <w:rPr>
          <w:rFonts w:ascii="Times New Roman" w:hAnsi="Times New Roman"/>
          <w:i/>
          <w:noProof/>
          <w:sz w:val="24"/>
          <w:szCs w:val="24"/>
        </w:rPr>
        <w:t>Czech Post</w:t>
      </w:r>
      <w:r>
        <w:rPr>
          <w:rFonts w:ascii="Times New Roman" w:hAnsi="Times New Roman"/>
          <w:noProof/>
          <w:sz w:val="24"/>
          <w:szCs w:val="24"/>
        </w:rPr>
        <w:t>: the first one amounting to CZK 2.6 billion (around EUR 97 million) for the delivery of the universal postal service over 2013-2017</w:t>
      </w:r>
      <w:r>
        <w:rPr>
          <w:noProof/>
        </w:rPr>
        <w:footnoteReference w:id="343"/>
      </w:r>
      <w:r>
        <w:rPr>
          <w:rFonts w:ascii="Times New Roman" w:hAnsi="Times New Roman"/>
          <w:noProof/>
          <w:sz w:val="24"/>
          <w:szCs w:val="24"/>
        </w:rPr>
        <w:t xml:space="preserve"> and the secon</w:t>
      </w:r>
      <w:r>
        <w:rPr>
          <w:rFonts w:ascii="Times New Roman" w:hAnsi="Times New Roman"/>
          <w:noProof/>
          <w:sz w:val="24"/>
          <w:szCs w:val="24"/>
        </w:rPr>
        <w:t>d one amounting to CZK2.3 billion (around EUR 86 million) for the provision of a Data Boxes Information System over the period 2018-2022.</w:t>
      </w:r>
      <w:r>
        <w:rPr>
          <w:noProof/>
        </w:rPr>
        <w:footnoteReference w:id="344"/>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In May 2018, the Commission also approved compensations in favour of </w:t>
      </w:r>
      <w:r>
        <w:rPr>
          <w:rFonts w:ascii="Times New Roman" w:hAnsi="Times New Roman"/>
          <w:i/>
          <w:noProof/>
          <w:sz w:val="24"/>
          <w:szCs w:val="24"/>
        </w:rPr>
        <w:t>Post Denmark</w:t>
      </w:r>
      <w:r>
        <w:rPr>
          <w:rFonts w:ascii="Times New Roman" w:hAnsi="Times New Roman"/>
          <w:noProof/>
          <w:sz w:val="24"/>
          <w:szCs w:val="24"/>
        </w:rPr>
        <w:t xml:space="preserve"> amounting to DKK 1.2 billion (aroun</w:t>
      </w:r>
      <w:r>
        <w:rPr>
          <w:rFonts w:ascii="Times New Roman" w:hAnsi="Times New Roman"/>
          <w:noProof/>
          <w:sz w:val="24"/>
          <w:szCs w:val="24"/>
        </w:rPr>
        <w:t>d EUR 160 million) for the delivery of the universal postal service over 2017-2019.</w:t>
      </w:r>
      <w:r>
        <w:rPr>
          <w:noProof/>
        </w:rPr>
        <w:footnoteReference w:id="345"/>
      </w:r>
    </w:p>
    <w:p w:rsidR="00320198" w:rsidRDefault="005C0948">
      <w:pPr>
        <w:widowControl w:val="0"/>
        <w:tabs>
          <w:tab w:val="num" w:pos="360"/>
        </w:tabs>
        <w:spacing w:line="240" w:lineRule="auto"/>
        <w:jc w:val="both"/>
        <w:rPr>
          <w:rFonts w:ascii="Times New Roman" w:hAnsi="Times New Roman"/>
          <w:noProof/>
          <w:sz w:val="24"/>
          <w:szCs w:val="24"/>
        </w:rPr>
      </w:pPr>
      <w:r>
        <w:rPr>
          <w:rFonts w:ascii="Times New Roman" w:hAnsi="Times New Roman"/>
          <w:noProof/>
          <w:sz w:val="24"/>
          <w:szCs w:val="24"/>
        </w:rPr>
        <w:t xml:space="preserve">Finally, in July 2018, the Commission concluded its investigation in the </w:t>
      </w:r>
      <w:r>
        <w:rPr>
          <w:rFonts w:ascii="Times New Roman" w:hAnsi="Times New Roman"/>
          <w:i/>
          <w:noProof/>
          <w:sz w:val="24"/>
          <w:szCs w:val="24"/>
        </w:rPr>
        <w:t>Correos</w:t>
      </w:r>
      <w:r>
        <w:rPr>
          <w:rFonts w:ascii="Times New Roman" w:hAnsi="Times New Roman"/>
          <w:noProof/>
          <w:vertAlign w:val="superscript"/>
        </w:rPr>
        <w:footnoteReference w:id="346"/>
      </w:r>
      <w:r>
        <w:rPr>
          <w:rFonts w:ascii="Times New Roman" w:hAnsi="Times New Roman"/>
          <w:noProof/>
          <w:sz w:val="24"/>
          <w:szCs w:val="24"/>
          <w:vertAlign w:val="superscript"/>
        </w:rPr>
        <w:t xml:space="preserve"> </w:t>
      </w:r>
      <w:r>
        <w:rPr>
          <w:rFonts w:ascii="Times New Roman" w:hAnsi="Times New Roman"/>
          <w:noProof/>
          <w:sz w:val="24"/>
          <w:szCs w:val="24"/>
        </w:rPr>
        <w:t>case with a negative decision with recovery. The Commission found that Correos, the publi</w:t>
      </w:r>
      <w:r>
        <w:rPr>
          <w:rFonts w:ascii="Times New Roman" w:hAnsi="Times New Roman"/>
          <w:noProof/>
          <w:sz w:val="24"/>
          <w:szCs w:val="24"/>
        </w:rPr>
        <w:t xml:space="preserve">cly-owned Spanish postal operator, was overcompensated for the delivery of its universal postal service obligation between 2004 and 2010, and also benefited from incompatible tax exemptions. The recovery amounted to EUR 167 million. </w:t>
      </w:r>
    </w:p>
    <w:p w:rsidR="00320198" w:rsidRDefault="005C0948">
      <w:pPr>
        <w:jc w:val="both"/>
        <w:rPr>
          <w:rFonts w:ascii="Times New Roman" w:hAnsi="Times New Roman"/>
          <w:i/>
          <w:noProof/>
          <w:sz w:val="24"/>
          <w:szCs w:val="24"/>
        </w:rPr>
      </w:pPr>
      <w:r>
        <w:rPr>
          <w:rFonts w:ascii="Times New Roman" w:hAnsi="Times New Roman"/>
          <w:i/>
          <w:noProof/>
          <w:sz w:val="24"/>
          <w:szCs w:val="24"/>
        </w:rPr>
        <w:t>Anti-trust Enforcement</w:t>
      </w:r>
      <w:r>
        <w:rPr>
          <w:rFonts w:ascii="Times New Roman" w:hAnsi="Times New Roman"/>
          <w:i/>
          <w:noProof/>
          <w:sz w:val="24"/>
          <w:szCs w:val="24"/>
        </w:rPr>
        <w:t xml:space="preserve"> in Legal Services</w:t>
      </w:r>
    </w:p>
    <w:p w:rsidR="00320198" w:rsidRDefault="005C0948">
      <w:pPr>
        <w:spacing w:line="240" w:lineRule="auto"/>
        <w:jc w:val="both"/>
        <w:rPr>
          <w:rFonts w:ascii="Times New Roman" w:hAnsi="Times New Roman"/>
          <w:noProof/>
          <w:sz w:val="24"/>
          <w:szCs w:val="24"/>
        </w:rPr>
      </w:pPr>
      <w:r>
        <w:rPr>
          <w:rFonts w:ascii="Times New Roman" w:hAnsi="Times New Roman"/>
          <w:noProof/>
          <w:sz w:val="24"/>
          <w:szCs w:val="24"/>
        </w:rPr>
        <w:t xml:space="preserve">In early 2018, the Commission raised concerns about the compatibility with the competition rules of the </w:t>
      </w:r>
      <w:r>
        <w:rPr>
          <w:rFonts w:ascii="Times New Roman" w:hAnsi="Times New Roman"/>
          <w:i/>
          <w:noProof/>
          <w:sz w:val="24"/>
          <w:szCs w:val="24"/>
        </w:rPr>
        <w:t>Cyprus Bar Association’s</w:t>
      </w:r>
      <w:r>
        <w:rPr>
          <w:rFonts w:ascii="Times New Roman" w:hAnsi="Times New Roman"/>
          <w:noProof/>
          <w:sz w:val="24"/>
          <w:szCs w:val="24"/>
          <w:vertAlign w:val="superscript"/>
        </w:rPr>
        <w:footnoteReference w:id="347"/>
      </w:r>
      <w:r>
        <w:rPr>
          <w:rFonts w:ascii="Times New Roman" w:hAnsi="Times New Roman"/>
          <w:noProof/>
          <w:sz w:val="24"/>
          <w:szCs w:val="24"/>
          <w:vertAlign w:val="superscript"/>
        </w:rPr>
        <w:t xml:space="preserve"> </w:t>
      </w:r>
      <w:r>
        <w:rPr>
          <w:rFonts w:ascii="Times New Roman" w:hAnsi="Times New Roman"/>
          <w:noProof/>
          <w:sz w:val="24"/>
          <w:szCs w:val="24"/>
        </w:rPr>
        <w:t xml:space="preserve">minimum fees scale for out-of-court work. In this context out-of-court work includes for instance the drawing up of wills and contracts, the administration of estates and the registration of companies. </w:t>
      </w:r>
    </w:p>
    <w:p w:rsidR="00320198" w:rsidRDefault="005C0948">
      <w:pPr>
        <w:spacing w:line="240" w:lineRule="auto"/>
        <w:jc w:val="both"/>
        <w:rPr>
          <w:rFonts w:ascii="Times New Roman" w:hAnsi="Times New Roman"/>
          <w:noProof/>
          <w:sz w:val="24"/>
          <w:szCs w:val="24"/>
        </w:rPr>
      </w:pPr>
      <w:r>
        <w:rPr>
          <w:rFonts w:ascii="Times New Roman" w:hAnsi="Times New Roman"/>
          <w:noProof/>
          <w:sz w:val="24"/>
          <w:szCs w:val="24"/>
        </w:rPr>
        <w:t>The relevant minimum fees for out-of-court work had b</w:t>
      </w:r>
      <w:r>
        <w:rPr>
          <w:rFonts w:ascii="Times New Roman" w:hAnsi="Times New Roman"/>
          <w:noProof/>
          <w:sz w:val="24"/>
          <w:szCs w:val="24"/>
        </w:rPr>
        <w:t>een adopted by the Cyprus Bar Association pursuant to legislation adopted by the Cypriot State (the Advocates’ Law). Member States are required under Article 4 (3) TEU to sincerely cooperate in applying the competition rules. The Commission took the prelim</w:t>
      </w:r>
      <w:r>
        <w:rPr>
          <w:rFonts w:ascii="Times New Roman" w:hAnsi="Times New Roman"/>
          <w:noProof/>
          <w:sz w:val="24"/>
          <w:szCs w:val="24"/>
        </w:rPr>
        <w:t>inary view that the Cypriot State, by empowering the Cypriot Bar Association to adopt the minimum fee scale, had failed in its duty to sincerely cooperate in applying the competition rules. Moreover, the Commission  raised concerns with the Cypriot authori</w:t>
      </w:r>
      <w:r>
        <w:rPr>
          <w:rFonts w:ascii="Times New Roman" w:hAnsi="Times New Roman"/>
          <w:noProof/>
          <w:sz w:val="24"/>
          <w:szCs w:val="24"/>
        </w:rPr>
        <w:t>ties that certain provisions of the Advocates’ Law were incompatible with EU competition rules. In response to the concerns raised, Cyprus amended the legislation in question by removing the specific provision empowering the Cyprus Bar Association to set t</w:t>
      </w:r>
      <w:r>
        <w:rPr>
          <w:rFonts w:ascii="Times New Roman" w:hAnsi="Times New Roman"/>
          <w:noProof/>
          <w:sz w:val="24"/>
          <w:szCs w:val="24"/>
        </w:rPr>
        <w:t xml:space="preserve">hese fees. In response to the Commission’s concerns, the Cyprus Bar Association abrogated the minimum fee scale, and the Commission could close its antitrust investigation in November 2018.  </w:t>
      </w:r>
    </w:p>
    <w:p w:rsidR="00320198" w:rsidRDefault="00320198">
      <w:pPr>
        <w:widowControl w:val="0"/>
        <w:autoSpaceDE w:val="0"/>
        <w:autoSpaceDN w:val="0"/>
        <w:adjustRightInd w:val="0"/>
        <w:spacing w:line="240" w:lineRule="auto"/>
        <w:jc w:val="both"/>
        <w:rPr>
          <w:rFonts w:ascii="Times New Roman" w:hAnsi="Times New Roman"/>
          <w:b/>
          <w:bCs/>
          <w:noProof/>
          <w:color w:val="000000"/>
          <w:sz w:val="24"/>
          <w:szCs w:val="24"/>
          <w:lang w:eastAsia="en-GB"/>
        </w:rPr>
        <w:sectPr w:rsidR="00320198">
          <w:headerReference w:type="even" r:id="rId27"/>
          <w:headerReference w:type="default" r:id="rId28"/>
          <w:footerReference w:type="even" r:id="rId29"/>
          <w:footerReference w:type="default" r:id="rId30"/>
          <w:headerReference w:type="first" r:id="rId31"/>
          <w:footerReference w:type="first" r:id="rId32"/>
          <w:pgSz w:w="11906" w:h="16838" w:code="9"/>
          <w:pgMar w:top="1418" w:right="1418" w:bottom="1418" w:left="1418" w:header="709" w:footer="709" w:gutter="0"/>
          <w:pgNumType w:start="1"/>
          <w:cols w:space="720"/>
          <w:docGrid w:linePitch="360"/>
        </w:sectPr>
      </w:pPr>
    </w:p>
    <w:p w:rsidR="00320198" w:rsidRDefault="005C0948">
      <w:pPr>
        <w:widowControl w:val="0"/>
        <w:spacing w:line="240" w:lineRule="auto"/>
        <w:jc w:val="center"/>
        <w:rPr>
          <w:rFonts w:ascii="Times New Roman" w:hAnsi="Times New Roman"/>
          <w:b/>
          <w:noProof/>
        </w:rPr>
      </w:pPr>
      <w:r>
        <w:rPr>
          <w:rFonts w:ascii="Times New Roman" w:hAnsi="Times New Roman"/>
          <w:b/>
          <w:noProof/>
        </w:rPr>
        <w:t xml:space="preserve">ANNEX </w:t>
      </w:r>
    </w:p>
    <w:p w:rsidR="00320198" w:rsidRDefault="005C0948">
      <w:pPr>
        <w:widowControl w:val="0"/>
        <w:spacing w:line="240" w:lineRule="auto"/>
        <w:jc w:val="center"/>
        <w:rPr>
          <w:rFonts w:ascii="Times New Roman" w:hAnsi="Times New Roman"/>
          <w:b/>
          <w:noProof/>
        </w:rPr>
      </w:pPr>
      <w:r>
        <w:rPr>
          <w:rFonts w:ascii="Times New Roman" w:hAnsi="Times New Roman"/>
          <w:b/>
          <w:noProof/>
        </w:rPr>
        <w:t>Banking State aid cases: Decisions adopted by the Commission in 2018</w:t>
      </w:r>
    </w:p>
    <w:p w:rsidR="00320198" w:rsidRDefault="005C0948">
      <w:pPr>
        <w:widowControl w:val="0"/>
        <w:spacing w:line="240" w:lineRule="auto"/>
        <w:jc w:val="center"/>
        <w:rPr>
          <w:rFonts w:ascii="Times New Roman" w:hAnsi="Times New Roman"/>
          <w:b/>
          <w:noProof/>
        </w:rPr>
      </w:pPr>
      <w:r>
        <w:rPr>
          <w:rFonts w:ascii="Times New Roman" w:hAnsi="Times New Roman"/>
          <w:b/>
          <w:noProof/>
        </w:rPr>
        <w:t>By country</w:t>
      </w:r>
    </w:p>
    <w:tbl>
      <w:tblPr>
        <w:tblW w:w="106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463"/>
        <w:gridCol w:w="1899"/>
        <w:gridCol w:w="3362"/>
        <w:gridCol w:w="2045"/>
        <w:gridCol w:w="1462"/>
      </w:tblGrid>
      <w:tr w:rsidR="00320198">
        <w:trPr>
          <w:trHeight w:val="255"/>
        </w:trPr>
        <w:tc>
          <w:tcPr>
            <w:tcW w:w="425" w:type="dxa"/>
            <w:shd w:val="clear" w:color="auto" w:fill="BFBFBF" w:themeFill="background1" w:themeFillShade="BF"/>
          </w:tcPr>
          <w:p w:rsidR="00320198" w:rsidRDefault="00320198">
            <w:pPr>
              <w:spacing w:after="0" w:line="240" w:lineRule="auto"/>
              <w:ind w:left="283"/>
              <w:jc w:val="center"/>
              <w:rPr>
                <w:rFonts w:ascii="Arial" w:eastAsia="Times New Roman" w:hAnsi="Arial" w:cs="Arial"/>
                <w:b/>
                <w:bCs/>
                <w:noProof/>
                <w:sz w:val="16"/>
                <w:szCs w:val="16"/>
                <w:lang w:eastAsia="en-GB"/>
              </w:rPr>
            </w:pPr>
          </w:p>
        </w:tc>
        <w:tc>
          <w:tcPr>
            <w:tcW w:w="1419" w:type="dxa"/>
            <w:shd w:val="clear" w:color="auto" w:fill="BFBFBF" w:themeFill="background1" w:themeFillShade="BF"/>
            <w:noWrap/>
            <w:vAlign w:val="bottom"/>
            <w:hideMark/>
          </w:tcPr>
          <w:p w:rsidR="00320198" w:rsidRDefault="00320198">
            <w:pPr>
              <w:spacing w:after="0" w:line="240" w:lineRule="auto"/>
              <w:ind w:left="283"/>
              <w:jc w:val="center"/>
              <w:rPr>
                <w:rFonts w:ascii="Arial" w:eastAsia="Times New Roman" w:hAnsi="Arial" w:cs="Arial"/>
                <w:b/>
                <w:bCs/>
                <w:noProof/>
                <w:sz w:val="16"/>
                <w:szCs w:val="16"/>
                <w:lang w:eastAsia="en-GB"/>
              </w:rPr>
            </w:pPr>
          </w:p>
          <w:p w:rsidR="00320198" w:rsidRDefault="005C0948">
            <w:pPr>
              <w:spacing w:after="0" w:line="240" w:lineRule="auto"/>
              <w:ind w:left="33"/>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Member States</w:t>
            </w:r>
          </w:p>
          <w:p w:rsidR="00320198" w:rsidRDefault="00320198">
            <w:pPr>
              <w:spacing w:after="0" w:line="240" w:lineRule="auto"/>
              <w:ind w:left="283"/>
              <w:jc w:val="center"/>
              <w:rPr>
                <w:rFonts w:ascii="Arial" w:eastAsia="Times New Roman" w:hAnsi="Arial" w:cs="Arial"/>
                <w:b/>
                <w:bCs/>
                <w:noProof/>
                <w:sz w:val="16"/>
                <w:szCs w:val="16"/>
                <w:lang w:eastAsia="en-GB"/>
              </w:rPr>
            </w:pPr>
          </w:p>
        </w:tc>
        <w:tc>
          <w:tcPr>
            <w:tcW w:w="5103" w:type="dxa"/>
            <w:gridSpan w:val="2"/>
            <w:shd w:val="clear" w:color="auto" w:fill="BFBFBF" w:themeFill="background1" w:themeFillShade="BF"/>
            <w:noWrap/>
            <w:vAlign w:val="bottom"/>
            <w:hideMark/>
          </w:tcPr>
          <w:p w:rsidR="00320198" w:rsidRDefault="005C0948">
            <w:pPr>
              <w:spacing w:after="0" w:line="240" w:lineRule="auto"/>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Case Number/Title</w:t>
            </w:r>
          </w:p>
          <w:p w:rsidR="00320198" w:rsidRDefault="00320198">
            <w:pPr>
              <w:spacing w:after="0" w:line="240" w:lineRule="auto"/>
              <w:jc w:val="center"/>
              <w:rPr>
                <w:rFonts w:ascii="Arial" w:eastAsia="Times New Roman" w:hAnsi="Arial" w:cs="Arial"/>
                <w:b/>
                <w:bCs/>
                <w:noProof/>
                <w:sz w:val="16"/>
                <w:szCs w:val="16"/>
                <w:lang w:eastAsia="en-GB"/>
              </w:rPr>
            </w:pPr>
          </w:p>
        </w:tc>
        <w:tc>
          <w:tcPr>
            <w:tcW w:w="1984" w:type="dxa"/>
            <w:shd w:val="clear" w:color="auto" w:fill="BFBFBF" w:themeFill="background1" w:themeFillShade="BF"/>
            <w:noWrap/>
            <w:vAlign w:val="bottom"/>
            <w:hideMark/>
          </w:tcPr>
          <w:p w:rsidR="00320198" w:rsidRDefault="005C0948">
            <w:pPr>
              <w:spacing w:after="0" w:line="240" w:lineRule="auto"/>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Type of Decision</w:t>
            </w:r>
          </w:p>
          <w:p w:rsidR="00320198" w:rsidRDefault="00320198">
            <w:pPr>
              <w:spacing w:after="0" w:line="240" w:lineRule="auto"/>
              <w:jc w:val="center"/>
              <w:rPr>
                <w:rFonts w:ascii="Arial" w:eastAsia="Times New Roman" w:hAnsi="Arial" w:cs="Arial"/>
                <w:b/>
                <w:bCs/>
                <w:noProof/>
                <w:sz w:val="16"/>
                <w:szCs w:val="16"/>
                <w:lang w:eastAsia="en-GB"/>
              </w:rPr>
            </w:pPr>
          </w:p>
        </w:tc>
        <w:tc>
          <w:tcPr>
            <w:tcW w:w="1418" w:type="dxa"/>
            <w:shd w:val="clear" w:color="auto" w:fill="BFBFBF" w:themeFill="background1" w:themeFillShade="BF"/>
            <w:noWrap/>
            <w:vAlign w:val="bottom"/>
            <w:hideMark/>
          </w:tcPr>
          <w:p w:rsidR="00320198" w:rsidRDefault="00320198">
            <w:pPr>
              <w:spacing w:after="0" w:line="240" w:lineRule="auto"/>
              <w:jc w:val="center"/>
              <w:rPr>
                <w:rFonts w:ascii="Arial" w:eastAsia="Times New Roman" w:hAnsi="Arial" w:cs="Arial"/>
                <w:b/>
                <w:bCs/>
                <w:noProof/>
                <w:sz w:val="16"/>
                <w:szCs w:val="16"/>
                <w:lang w:eastAsia="en-GB"/>
              </w:rPr>
            </w:pPr>
          </w:p>
          <w:p w:rsidR="00320198" w:rsidRDefault="005C0948">
            <w:pPr>
              <w:spacing w:after="0" w:line="240" w:lineRule="auto"/>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Date of</w:t>
            </w:r>
          </w:p>
          <w:p w:rsidR="00320198" w:rsidRDefault="005C0948">
            <w:pPr>
              <w:spacing w:after="0" w:line="240" w:lineRule="auto"/>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Adoption</w:t>
            </w:r>
          </w:p>
          <w:p w:rsidR="00320198" w:rsidRDefault="00320198">
            <w:pPr>
              <w:spacing w:after="0" w:line="240" w:lineRule="auto"/>
              <w:jc w:val="center"/>
              <w:rPr>
                <w:rFonts w:ascii="Arial" w:eastAsia="Times New Roman" w:hAnsi="Arial" w:cs="Arial"/>
                <w:b/>
                <w:bCs/>
                <w:noProof/>
                <w:sz w:val="16"/>
                <w:szCs w:val="16"/>
                <w:lang w:eastAsia="en-GB"/>
              </w:rPr>
            </w:pPr>
          </w:p>
        </w:tc>
      </w:tr>
      <w:tr w:rsidR="00320198">
        <w:trPr>
          <w:trHeight w:val="510"/>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Austria</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 xml:space="preserve">SA.48840(2018/N) -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Austrian Risk Capital Premium Scheme</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xml:space="preserve">Decision not to raise </w:t>
            </w:r>
            <w:r>
              <w:rPr>
                <w:rFonts w:ascii="Arial" w:eastAsia="Times New Roman" w:hAnsi="Arial" w:cs="Arial"/>
                <w:noProof/>
                <w:sz w:val="18"/>
                <w:szCs w:val="18"/>
                <w:lang w:eastAsia="en-GB"/>
              </w:rPr>
              <w:t>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11/07/2018</w:t>
            </w:r>
          </w:p>
        </w:tc>
      </w:tr>
      <w:tr w:rsidR="00320198">
        <w:trPr>
          <w:trHeight w:val="765"/>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Cyprus</w:t>
            </w:r>
          </w:p>
        </w:tc>
        <w:tc>
          <w:tcPr>
            <w:tcW w:w="1842" w:type="dxa"/>
            <w:shd w:val="clear" w:color="000000" w:fill="FFFFFF"/>
            <w:hideMark/>
          </w:tcPr>
          <w:p w:rsidR="00320198" w:rsidRDefault="00320198">
            <w:pPr>
              <w:spacing w:after="0" w:line="240" w:lineRule="auto"/>
              <w:rPr>
                <w:rFonts w:eastAsia="Times New Roman" w:cs="Arial"/>
                <w:noProof/>
                <w:sz w:val="18"/>
                <w:szCs w:val="18"/>
                <w:lang w:eastAsia="en-GB"/>
              </w:rPr>
            </w:pPr>
          </w:p>
          <w:p w:rsidR="00320198" w:rsidRDefault="005C0948">
            <w:pPr>
              <w:spacing w:after="0" w:line="240" w:lineRule="auto"/>
              <w:rPr>
                <w:rFonts w:eastAsia="Times New Roman" w:cs="Arial"/>
                <w:noProof/>
                <w:sz w:val="18"/>
                <w:szCs w:val="18"/>
                <w:lang w:eastAsia="en-GB"/>
              </w:rPr>
            </w:pPr>
            <w:r>
              <w:rPr>
                <w:rFonts w:eastAsia="Times New Roman" w:cs="Arial"/>
                <w:noProof/>
                <w:sz w:val="18"/>
                <w:szCs w:val="18"/>
                <w:lang w:eastAsia="en-GB"/>
              </w:rPr>
              <w:t>SA.35334(2018/N-2)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Liquidation aid for the orderly market exit of Cyprus Cooperative Bank Ltd</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19/06/2018</w:t>
            </w:r>
          </w:p>
        </w:tc>
      </w:tr>
      <w:tr w:rsidR="00320198">
        <w:trPr>
          <w:trHeight w:val="765"/>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Cyprus</w:t>
            </w:r>
          </w:p>
        </w:tc>
        <w:tc>
          <w:tcPr>
            <w:tcW w:w="1842" w:type="dxa"/>
            <w:shd w:val="clear" w:color="000000" w:fill="FFFFFF"/>
            <w:hideMark/>
          </w:tcPr>
          <w:p w:rsidR="00320198" w:rsidRDefault="00320198">
            <w:pPr>
              <w:spacing w:after="0" w:line="240" w:lineRule="auto"/>
              <w:rPr>
                <w:rFonts w:eastAsia="Times New Roman" w:cs="Arial"/>
                <w:noProof/>
                <w:sz w:val="18"/>
                <w:szCs w:val="18"/>
                <w:lang w:eastAsia="en-GB"/>
              </w:rPr>
            </w:pPr>
          </w:p>
          <w:p w:rsidR="00320198" w:rsidRDefault="005C0948">
            <w:pPr>
              <w:spacing w:after="0" w:line="240" w:lineRule="auto"/>
              <w:rPr>
                <w:rFonts w:eastAsia="Times New Roman" w:cs="Arial"/>
                <w:noProof/>
                <w:sz w:val="18"/>
                <w:szCs w:val="18"/>
                <w:lang w:eastAsia="en-GB"/>
              </w:rPr>
            </w:pPr>
            <w:r>
              <w:rPr>
                <w:rFonts w:eastAsia="Times New Roman" w:cs="Arial"/>
                <w:noProof/>
                <w:sz w:val="18"/>
                <w:szCs w:val="18"/>
                <w:lang w:eastAsia="en-GB"/>
              </w:rPr>
              <w:t>SA.35334(2018/N-3)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 xml:space="preserve">Liquidation aid for the orderly market </w:t>
            </w:r>
            <w:r>
              <w:rPr>
                <w:rFonts w:ascii="Arial" w:eastAsia="Times New Roman" w:hAnsi="Arial" w:cs="Arial"/>
                <w:noProof/>
                <w:sz w:val="18"/>
                <w:szCs w:val="18"/>
                <w:lang w:eastAsia="en-GB"/>
              </w:rPr>
              <w:t>exit of Cyprus Cooperative Bank Ltd</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28/08/2018</w:t>
            </w:r>
          </w:p>
        </w:tc>
      </w:tr>
      <w:tr w:rsidR="00320198">
        <w:trPr>
          <w:trHeight w:val="765"/>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4</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Denmark</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SA.51200(2018/N)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Prolongation of the winding-up scheme for small banks</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31/08/2018</w:t>
            </w:r>
          </w:p>
        </w:tc>
      </w:tr>
      <w:tr w:rsidR="00320198">
        <w:trPr>
          <w:trHeight w:val="1020"/>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5</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Greece</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SA.51087(2018/N)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Prolongation of the Greek State Guarantee Scheme for banks (Art. 2 law 3723/2008)</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07/06/2018</w:t>
            </w:r>
          </w:p>
        </w:tc>
      </w:tr>
      <w:tr w:rsidR="00320198">
        <w:trPr>
          <w:trHeight w:val="1020"/>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6</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Ireland</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SA.52132(2018/N)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Eighth prolongation of the Credit Union restructuring and stabilisation scheme</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 xml:space="preserve">Decision not </w:t>
            </w:r>
            <w:r>
              <w:rPr>
                <w:rFonts w:ascii="Arial" w:eastAsia="Times New Roman" w:hAnsi="Arial" w:cs="Arial"/>
                <w:noProof/>
                <w:sz w:val="18"/>
                <w:szCs w:val="18"/>
                <w:lang w:eastAsia="en-GB"/>
              </w:rPr>
              <w:t>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08/11/2018</w:t>
            </w:r>
          </w:p>
        </w:tc>
      </w:tr>
      <w:tr w:rsidR="00320198">
        <w:trPr>
          <w:trHeight w:val="765"/>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7</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Ireland</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SA.50953(2018/N)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13th prolongation of the Credit Union Resolution Scheme 2018</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25/05/2018</w:t>
            </w:r>
          </w:p>
        </w:tc>
      </w:tr>
      <w:tr w:rsidR="00320198">
        <w:trPr>
          <w:trHeight w:val="1020"/>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8</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Ireland</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SA.50692(2018/N)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 xml:space="preserve">Seventh prolongation of the Credit Union restructuring and stabilisation scheme </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30/04/2018</w:t>
            </w:r>
          </w:p>
        </w:tc>
      </w:tr>
      <w:tr w:rsidR="00320198">
        <w:trPr>
          <w:trHeight w:val="1275"/>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9</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Italy</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SA.51026(2018/N)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Prolongation of the Italian guarantee scheme for the securitisation  of non-performing loans</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31/08/2018</w:t>
            </w:r>
          </w:p>
        </w:tc>
      </w:tr>
      <w:tr w:rsidR="00320198">
        <w:trPr>
          <w:trHeight w:val="510"/>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Italy</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SA.50640(2018/N) -</w:t>
            </w:r>
          </w:p>
        </w:tc>
        <w:tc>
          <w:tcPr>
            <w:tcW w:w="3261" w:type="dxa"/>
            <w:shd w:val="clear" w:color="000000" w:fill="FFFFFF"/>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Italy - liquidation scheme for small banks</w:t>
            </w:r>
          </w:p>
          <w:p w:rsidR="00320198" w:rsidRDefault="00320198">
            <w:pPr>
              <w:spacing w:after="0" w:line="240" w:lineRule="auto"/>
              <w:rPr>
                <w:rFonts w:ascii="Arial" w:eastAsia="Times New Roman" w:hAnsi="Arial" w:cs="Arial"/>
                <w:noProof/>
                <w:sz w:val="18"/>
                <w:szCs w:val="18"/>
                <w:lang w:eastAsia="en-GB"/>
              </w:rPr>
            </w:pPr>
          </w:p>
        </w:tc>
        <w:tc>
          <w:tcPr>
            <w:tcW w:w="1984" w:type="dxa"/>
            <w:shd w:val="clear" w:color="000000" w:fill="FFFFFF"/>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13/04/2018</w:t>
            </w:r>
          </w:p>
        </w:tc>
      </w:tr>
      <w:tr w:rsidR="00320198">
        <w:trPr>
          <w:trHeight w:val="1020"/>
        </w:trPr>
        <w:tc>
          <w:tcPr>
            <w:tcW w:w="425" w:type="dxa"/>
            <w:shd w:val="clear" w:color="000000" w:fill="FFFFFF"/>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11</w:t>
            </w:r>
          </w:p>
        </w:tc>
        <w:tc>
          <w:tcPr>
            <w:tcW w:w="1419" w:type="dxa"/>
            <w:shd w:val="clear" w:color="000000" w:fill="FFFFFF"/>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Netherlands</w:t>
            </w:r>
          </w:p>
        </w:tc>
        <w:tc>
          <w:tcPr>
            <w:tcW w:w="1842" w:type="dxa"/>
            <w:shd w:val="clear" w:color="000000" w:fill="FFFFFF"/>
            <w:hideMark/>
          </w:tcPr>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SA.48350(2017/N) -</w:t>
            </w:r>
          </w:p>
        </w:tc>
        <w:tc>
          <w:tcPr>
            <w:tcW w:w="3261" w:type="dxa"/>
            <w:shd w:val="clear" w:color="000000" w:fill="FFFFFF"/>
          </w:tcPr>
          <w:p w:rsidR="00320198" w:rsidRDefault="005C0948">
            <w:pPr>
              <w:spacing w:after="0" w:line="240" w:lineRule="auto"/>
              <w:rPr>
                <w:rFonts w:ascii="Arial" w:eastAsia="Times New Roman" w:hAnsi="Arial" w:cs="Arial"/>
                <w:noProof/>
                <w:sz w:val="18"/>
                <w:szCs w:val="18"/>
                <w:lang w:val="nl-NL" w:eastAsia="en-GB"/>
              </w:rPr>
            </w:pPr>
            <w:r>
              <w:rPr>
                <w:rFonts w:ascii="Arial" w:eastAsia="Times New Roman" w:hAnsi="Arial" w:cs="Arial"/>
                <w:noProof/>
                <w:sz w:val="18"/>
                <w:szCs w:val="18"/>
                <w:lang w:val="nl-NL" w:eastAsia="en-GB"/>
              </w:rPr>
              <w:t xml:space="preserve">Uitgebreide groeifaciliteit – Nederlandse </w:t>
            </w:r>
            <w:r>
              <w:rPr>
                <w:rFonts w:ascii="Arial" w:eastAsia="Times New Roman" w:hAnsi="Arial" w:cs="Arial"/>
                <w:noProof/>
                <w:sz w:val="18"/>
                <w:szCs w:val="18"/>
                <w:lang w:val="nl-NL" w:eastAsia="en-GB"/>
              </w:rPr>
              <w:t>garantieregeling voor middelgrote en grote ondernemingen met een aanzienlijk groeipotentieel – Nederland</w:t>
            </w:r>
          </w:p>
        </w:tc>
        <w:tc>
          <w:tcPr>
            <w:tcW w:w="1984" w:type="dxa"/>
            <w:shd w:val="clear" w:color="000000" w:fill="FFFFFF"/>
            <w:hideMark/>
          </w:tcPr>
          <w:p w:rsidR="00320198" w:rsidRDefault="00320198">
            <w:pPr>
              <w:spacing w:after="0" w:line="240" w:lineRule="auto"/>
              <w:jc w:val="center"/>
              <w:rPr>
                <w:rFonts w:ascii="Arial" w:eastAsia="Times New Roman" w:hAnsi="Arial" w:cs="Arial"/>
                <w:noProof/>
                <w:sz w:val="18"/>
                <w:szCs w:val="18"/>
                <w:lang w:val="nl-NL"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000000" w:fill="FFFFFF"/>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26/03/2018</w:t>
            </w:r>
          </w:p>
        </w:tc>
      </w:tr>
      <w:tr w:rsidR="00320198">
        <w:trPr>
          <w:trHeight w:val="765"/>
        </w:trPr>
        <w:tc>
          <w:tcPr>
            <w:tcW w:w="425" w:type="dxa"/>
            <w:shd w:val="clear" w:color="000000" w:fill="FFFFFF"/>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12</w:t>
            </w:r>
          </w:p>
        </w:tc>
        <w:tc>
          <w:tcPr>
            <w:tcW w:w="1419" w:type="dxa"/>
            <w:shd w:val="clear" w:color="000000" w:fill="FFFFFF"/>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Netherlands</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SA.48197(2018/N) -</w:t>
            </w:r>
          </w:p>
        </w:tc>
        <w:tc>
          <w:tcPr>
            <w:tcW w:w="3261" w:type="dxa"/>
            <w:shd w:val="clear" w:color="000000" w:fill="FFFFFF"/>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Groeifaciliteit</w:t>
            </w:r>
          </w:p>
        </w:tc>
        <w:tc>
          <w:tcPr>
            <w:tcW w:w="1984" w:type="dxa"/>
            <w:shd w:val="clear" w:color="000000" w:fill="FFFFFF"/>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No aid decision</w:t>
            </w:r>
          </w:p>
        </w:tc>
        <w:tc>
          <w:tcPr>
            <w:tcW w:w="1418" w:type="dxa"/>
            <w:shd w:val="clear" w:color="000000" w:fill="FFFFFF"/>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09/07/2018</w:t>
            </w:r>
          </w:p>
        </w:tc>
      </w:tr>
      <w:tr w:rsidR="00320198">
        <w:trPr>
          <w:trHeight w:val="1020"/>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13</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Poland</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 xml:space="preserve">SA.51482(2018/N) -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Eighth prolongation of the Credit Unions Orderly Liquidation Scheme</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31/08/2018</w:t>
            </w:r>
          </w:p>
        </w:tc>
      </w:tr>
      <w:tr w:rsidR="00320198">
        <w:trPr>
          <w:trHeight w:val="1275"/>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14</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Poland</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 xml:space="preserve">SA.51403(2018/N) -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 xml:space="preserve">Second prolongation of the resolution scheme for cooperative banks and small </w:t>
            </w:r>
            <w:r>
              <w:rPr>
                <w:rFonts w:ascii="Arial" w:eastAsia="Times New Roman" w:hAnsi="Arial" w:cs="Arial"/>
                <w:noProof/>
                <w:sz w:val="18"/>
                <w:szCs w:val="18"/>
                <w:lang w:eastAsia="en-GB"/>
              </w:rPr>
              <w:t>commercial banks</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10/08/2018</w:t>
            </w:r>
          </w:p>
        </w:tc>
      </w:tr>
      <w:tr w:rsidR="00320198">
        <w:trPr>
          <w:trHeight w:val="765"/>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15</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Poland</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 xml:space="preserve">SA.51235(2018/N) -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Eighteenth prolongation of the Polish bank guarantee scheme</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11/07/2018</w:t>
            </w:r>
          </w:p>
        </w:tc>
      </w:tr>
      <w:tr w:rsidR="00320198">
        <w:trPr>
          <w:trHeight w:val="765"/>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16</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Portugal</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 xml:space="preserve">SA.51042(2018/N) -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 xml:space="preserve">17th Extension </w:t>
            </w:r>
            <w:r>
              <w:rPr>
                <w:rFonts w:ascii="Arial" w:eastAsia="Times New Roman" w:hAnsi="Arial" w:cs="Arial"/>
                <w:noProof/>
                <w:sz w:val="18"/>
                <w:szCs w:val="18"/>
                <w:lang w:eastAsia="en-GB"/>
              </w:rPr>
              <w:t>of the Portuguese Guarantee Scheme</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09/08/2018</w:t>
            </w:r>
          </w:p>
        </w:tc>
      </w:tr>
      <w:tr w:rsidR="00320198">
        <w:trPr>
          <w:trHeight w:val="765"/>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17</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Portugal</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jc w:val="right"/>
              <w:rPr>
                <w:rFonts w:eastAsia="Times New Roman" w:cs="Arial"/>
                <w:noProof/>
                <w:sz w:val="18"/>
                <w:szCs w:val="18"/>
                <w:lang w:eastAsia="en-GB"/>
              </w:rPr>
            </w:pPr>
            <w:r>
              <w:rPr>
                <w:rFonts w:eastAsia="Times New Roman" w:cs="Arial"/>
                <w:noProof/>
                <w:sz w:val="18"/>
                <w:szCs w:val="18"/>
                <w:lang w:eastAsia="en-GB"/>
              </w:rPr>
              <w:t xml:space="preserve">SA.51041(2018/N) -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Ninth Prolongation of the Portuguese Guarantee Scheme on EIB lending</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09/08/2018</w:t>
            </w:r>
          </w:p>
        </w:tc>
      </w:tr>
      <w:tr w:rsidR="00320198">
        <w:trPr>
          <w:trHeight w:val="510"/>
        </w:trPr>
        <w:tc>
          <w:tcPr>
            <w:tcW w:w="425" w:type="dxa"/>
            <w:shd w:val="clear" w:color="000000" w:fill="FFFFFF"/>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18</w:t>
            </w:r>
          </w:p>
        </w:tc>
        <w:tc>
          <w:tcPr>
            <w:tcW w:w="1419" w:type="dxa"/>
            <w:shd w:val="clear" w:color="000000" w:fill="FFFFFF"/>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Slovenia</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rPr>
                <w:rFonts w:eastAsia="Times New Roman" w:cs="Arial"/>
                <w:noProof/>
                <w:sz w:val="18"/>
                <w:szCs w:val="18"/>
                <w:lang w:eastAsia="en-GB"/>
              </w:rPr>
            </w:pPr>
            <w:r>
              <w:rPr>
                <w:rFonts w:eastAsia="Times New Roman" w:cs="Arial"/>
                <w:noProof/>
                <w:sz w:val="18"/>
                <w:szCs w:val="18"/>
                <w:lang w:eastAsia="en-GB"/>
              </w:rPr>
              <w:t xml:space="preserve">SA.33229(2017/N-3) - </w:t>
            </w:r>
          </w:p>
        </w:tc>
        <w:tc>
          <w:tcPr>
            <w:tcW w:w="3261" w:type="dxa"/>
            <w:shd w:val="clear" w:color="000000" w:fill="FFFFFF"/>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Amendment of the restructuring commitments of Nova Ljubljanska Banka d.d.</w:t>
            </w:r>
          </w:p>
        </w:tc>
        <w:tc>
          <w:tcPr>
            <w:tcW w:w="1984" w:type="dxa"/>
            <w:shd w:val="clear" w:color="000000" w:fill="FFFFFF"/>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Positive final decision</w:t>
            </w:r>
          </w:p>
        </w:tc>
        <w:tc>
          <w:tcPr>
            <w:tcW w:w="1418" w:type="dxa"/>
            <w:shd w:val="clear" w:color="000000" w:fill="FFFFFF"/>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10/08/2018</w:t>
            </w:r>
          </w:p>
        </w:tc>
      </w:tr>
      <w:tr w:rsidR="00320198">
        <w:trPr>
          <w:trHeight w:val="1020"/>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19</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Slovenia</w:t>
            </w:r>
          </w:p>
        </w:tc>
        <w:tc>
          <w:tcPr>
            <w:tcW w:w="1842" w:type="dxa"/>
            <w:shd w:val="clear" w:color="000000" w:fill="FFFFFF"/>
            <w:hideMark/>
          </w:tcPr>
          <w:p w:rsidR="00320198" w:rsidRDefault="00320198">
            <w:pPr>
              <w:spacing w:after="0" w:line="240" w:lineRule="auto"/>
              <w:rPr>
                <w:rFonts w:eastAsia="Times New Roman" w:cs="Arial"/>
                <w:noProof/>
                <w:sz w:val="18"/>
                <w:szCs w:val="18"/>
                <w:lang w:eastAsia="en-GB"/>
              </w:rPr>
            </w:pPr>
          </w:p>
          <w:p w:rsidR="00320198" w:rsidRDefault="005C0948">
            <w:pPr>
              <w:spacing w:after="0" w:line="240" w:lineRule="auto"/>
              <w:rPr>
                <w:rFonts w:eastAsia="Times New Roman" w:cs="Arial"/>
                <w:noProof/>
                <w:sz w:val="18"/>
                <w:szCs w:val="18"/>
                <w:lang w:eastAsia="en-GB"/>
              </w:rPr>
            </w:pPr>
            <w:r>
              <w:rPr>
                <w:rFonts w:eastAsia="Times New Roman" w:cs="Arial"/>
                <w:noProof/>
                <w:sz w:val="18"/>
                <w:szCs w:val="18"/>
                <w:lang w:eastAsia="en-GB"/>
              </w:rPr>
              <w:t xml:space="preserve">SA.33229(2018/N-4) -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Amendment of the restructuring commitments of Nova Ljubljanska Banka d.d.</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w:t>
            </w:r>
            <w:r>
              <w:rPr>
                <w:rFonts w:ascii="Arial" w:eastAsia="Times New Roman" w:hAnsi="Arial" w:cs="Arial"/>
                <w:noProof/>
                <w:sz w:val="18"/>
                <w:szCs w:val="18"/>
                <w:lang w:eastAsia="en-GB"/>
              </w:rPr>
              <w:t xml:space="preserve">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10/08/2018</w:t>
            </w:r>
          </w:p>
        </w:tc>
      </w:tr>
      <w:tr w:rsidR="00320198">
        <w:trPr>
          <w:trHeight w:val="765"/>
        </w:trPr>
        <w:tc>
          <w:tcPr>
            <w:tcW w:w="425" w:type="dxa"/>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20</w:t>
            </w:r>
          </w:p>
        </w:tc>
        <w:tc>
          <w:tcPr>
            <w:tcW w:w="1419"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United Kingdom</w:t>
            </w:r>
          </w:p>
        </w:tc>
        <w:tc>
          <w:tcPr>
            <w:tcW w:w="1842" w:type="dxa"/>
            <w:shd w:val="clear" w:color="000000" w:fill="FFFFFF"/>
            <w:hideMark/>
          </w:tcPr>
          <w:p w:rsidR="00320198" w:rsidRDefault="00320198">
            <w:pPr>
              <w:spacing w:after="0" w:line="240" w:lineRule="auto"/>
              <w:jc w:val="right"/>
              <w:rPr>
                <w:rFonts w:eastAsia="Times New Roman" w:cs="Arial"/>
                <w:noProof/>
                <w:sz w:val="18"/>
                <w:szCs w:val="18"/>
                <w:lang w:eastAsia="en-GB"/>
              </w:rPr>
            </w:pPr>
          </w:p>
          <w:p w:rsidR="00320198" w:rsidRDefault="005C0948">
            <w:pPr>
              <w:spacing w:after="0" w:line="240" w:lineRule="auto"/>
              <w:rPr>
                <w:rFonts w:eastAsia="Times New Roman" w:cs="Arial"/>
                <w:noProof/>
                <w:sz w:val="18"/>
                <w:szCs w:val="18"/>
                <w:lang w:eastAsia="en-GB"/>
              </w:rPr>
            </w:pPr>
            <w:r>
              <w:rPr>
                <w:rFonts w:eastAsia="Times New Roman" w:cs="Arial"/>
                <w:noProof/>
                <w:sz w:val="18"/>
                <w:szCs w:val="18"/>
                <w:lang w:eastAsia="en-GB"/>
              </w:rPr>
              <w:t xml:space="preserve">SA.49923(2018/N) - </w:t>
            </w:r>
          </w:p>
        </w:tc>
        <w:tc>
          <w:tcPr>
            <w:tcW w:w="3261" w:type="dxa"/>
          </w:tcPr>
          <w:p w:rsidR="00320198" w:rsidRDefault="00320198">
            <w:pPr>
              <w:spacing w:after="0" w:line="240" w:lineRule="auto"/>
              <w:rPr>
                <w:rFonts w:ascii="Arial" w:eastAsia="Times New Roman" w:hAnsi="Arial" w:cs="Arial"/>
                <w:noProof/>
                <w:sz w:val="18"/>
                <w:szCs w:val="18"/>
                <w:lang w:eastAsia="en-GB"/>
              </w:rPr>
            </w:pPr>
          </w:p>
          <w:p w:rsidR="00320198" w:rsidRDefault="005C0948">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Amendments to the existing aid scheme "Enterprise Investment Scheme" and "Venture Capital Trust scheme"</w:t>
            </w:r>
          </w:p>
        </w:tc>
        <w:tc>
          <w:tcPr>
            <w:tcW w:w="1984"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Decision not to raise objections</w:t>
            </w:r>
          </w:p>
        </w:tc>
        <w:tc>
          <w:tcPr>
            <w:tcW w:w="1418" w:type="dxa"/>
            <w:shd w:val="clear" w:color="auto" w:fill="auto"/>
            <w:hideMark/>
          </w:tcPr>
          <w:p w:rsidR="00320198" w:rsidRDefault="00320198">
            <w:pPr>
              <w:spacing w:after="0" w:line="240" w:lineRule="auto"/>
              <w:jc w:val="center"/>
              <w:rPr>
                <w:rFonts w:ascii="Arial" w:eastAsia="Times New Roman" w:hAnsi="Arial" w:cs="Arial"/>
                <w:noProof/>
                <w:sz w:val="18"/>
                <w:szCs w:val="18"/>
                <w:lang w:eastAsia="en-GB"/>
              </w:rPr>
            </w:pPr>
          </w:p>
          <w:p w:rsidR="00320198" w:rsidRDefault="005C0948">
            <w:pPr>
              <w:spacing w:after="0" w:line="240" w:lineRule="auto"/>
              <w:jc w:val="center"/>
              <w:rPr>
                <w:rFonts w:ascii="Arial" w:eastAsia="Times New Roman" w:hAnsi="Arial" w:cs="Arial"/>
                <w:noProof/>
                <w:sz w:val="18"/>
                <w:szCs w:val="18"/>
                <w:lang w:eastAsia="en-GB"/>
              </w:rPr>
            </w:pPr>
            <w:r>
              <w:rPr>
                <w:rFonts w:ascii="Arial" w:eastAsia="Times New Roman" w:hAnsi="Arial" w:cs="Arial"/>
                <w:noProof/>
                <w:sz w:val="18"/>
                <w:szCs w:val="18"/>
                <w:lang w:eastAsia="en-GB"/>
              </w:rPr>
              <w:t>05/07/2018</w:t>
            </w:r>
          </w:p>
        </w:tc>
      </w:tr>
    </w:tbl>
    <w:p w:rsidR="00320198" w:rsidRDefault="00320198">
      <w:pPr>
        <w:widowControl w:val="0"/>
        <w:spacing w:line="240" w:lineRule="auto"/>
        <w:jc w:val="center"/>
        <w:rPr>
          <w:rFonts w:ascii="Times New Roman" w:hAnsi="Times New Roman"/>
          <w:b/>
          <w:noProof/>
        </w:rPr>
      </w:pPr>
    </w:p>
    <w:sectPr w:rsidR="00320198">
      <w:headerReference w:type="even" r:id="rId33"/>
      <w:headerReference w:type="default" r:id="rId34"/>
      <w:footerReference w:type="even" r:id="rId35"/>
      <w:footerReference w:type="default" r:id="rId36"/>
      <w:headerReference w:type="first" r:id="rId37"/>
      <w:footerReference w:type="first" r:id="rId38"/>
      <w:pgSz w:w="11906" w:h="16838" w:code="9"/>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198" w:rsidRDefault="005C0948">
      <w:pPr>
        <w:spacing w:after="0" w:line="240" w:lineRule="auto"/>
      </w:pPr>
      <w:r>
        <w:separator/>
      </w:r>
    </w:p>
  </w:endnote>
  <w:endnote w:type="continuationSeparator" w:id="0">
    <w:p w:rsidR="00320198" w:rsidRDefault="005C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FBSquareSansPro">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48" w:rsidRPr="005C0948" w:rsidRDefault="005C0948" w:rsidP="005C0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48" w:rsidRPr="005C0948" w:rsidRDefault="005C0948" w:rsidP="005C0948">
    <w:pPr>
      <w:pStyle w:val="FooterCoverPage"/>
      <w:rPr>
        <w:rFonts w:ascii="Arial" w:hAnsi="Arial" w:cs="Arial"/>
        <w:b/>
        <w:sz w:val="48"/>
      </w:rPr>
    </w:pPr>
    <w:r w:rsidRPr="005C0948">
      <w:rPr>
        <w:rFonts w:ascii="Arial" w:hAnsi="Arial" w:cs="Arial"/>
        <w:b/>
        <w:sz w:val="48"/>
      </w:rPr>
      <w:t>EN</w:t>
    </w:r>
    <w:r w:rsidRPr="005C0948">
      <w:rPr>
        <w:rFonts w:ascii="Arial" w:hAnsi="Arial" w:cs="Arial"/>
        <w:b/>
        <w:sz w:val="48"/>
      </w:rPr>
      <w:tab/>
    </w:r>
    <w:r w:rsidRPr="005C0948">
      <w:rPr>
        <w:rFonts w:ascii="Arial" w:hAnsi="Arial" w:cs="Arial"/>
        <w:b/>
        <w:sz w:val="48"/>
      </w:rPr>
      <w:tab/>
    </w:r>
    <w:r w:rsidRPr="005C0948">
      <w:tab/>
    </w:r>
    <w:r w:rsidRPr="005C094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48" w:rsidRPr="005C0948" w:rsidRDefault="005C0948" w:rsidP="005C094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98" w:rsidRDefault="003201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98" w:rsidRDefault="005C0948">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98" w:rsidRDefault="003201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98" w:rsidRDefault="0032019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98" w:rsidRDefault="005C0948">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98" w:rsidRDefault="0032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198" w:rsidRDefault="005C0948">
      <w:pPr>
        <w:spacing w:after="0" w:line="240" w:lineRule="auto"/>
      </w:pPr>
      <w:r>
        <w:separator/>
      </w:r>
    </w:p>
  </w:footnote>
  <w:footnote w:type="continuationSeparator" w:id="0">
    <w:p w:rsidR="00320198" w:rsidRDefault="005C0948">
      <w:pPr>
        <w:spacing w:after="0" w:line="240" w:lineRule="auto"/>
      </w:pPr>
      <w:r>
        <w:continuationSeparator/>
      </w:r>
    </w:p>
  </w:footnote>
  <w:footnote w:id="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r>
        <w:rPr>
          <w:rFonts w:ascii="Times New Roman" w:hAnsi="Times New Roman"/>
          <w:lang w:val="en-US"/>
        </w:rPr>
        <w:t>This framework allows the Commission to</w:t>
      </w:r>
      <w:r>
        <w:rPr>
          <w:rFonts w:ascii="Times New Roman" w:hAnsi="Times New Roman"/>
        </w:rPr>
        <w:t xml:space="preserve"> reduce the fine if a company has provided so-called self-incriminating evidence (see Commission Notice on Immunity from fines and reduction of fines in cartel cases) and/or if a c</w:t>
      </w:r>
      <w:r>
        <w:rPr>
          <w:rFonts w:ascii="Times New Roman" w:hAnsi="Times New Roman"/>
        </w:rPr>
        <w:t xml:space="preserve">ompany admits the infringement and agrees to follow a more streamlined and shorter procedure (see Commission Notice on the conduct of settlement procedures in cartel cases). See: </w:t>
      </w:r>
      <w:hyperlink r:id="rId1" w:history="1">
        <w:r>
          <w:rPr>
            <w:rStyle w:val="Hyperlink"/>
            <w:rFonts w:ascii="Times New Roman" w:hAnsi="Times New Roman"/>
          </w:rPr>
          <w:t>http://ec.europa.eu/competition/cartels/legislation/leniency_legislation.html</w:t>
        </w:r>
      </w:hyperlink>
      <w:r>
        <w:rPr>
          <w:rFonts w:ascii="Times New Roman" w:hAnsi="Times New Roman"/>
        </w:rPr>
        <w:t xml:space="preserve">, and </w:t>
      </w:r>
      <w:hyperlink r:id="rId2" w:history="1">
        <w:r>
          <w:rPr>
            <w:rStyle w:val="Hyperlink"/>
            <w:rFonts w:ascii="Times New Roman" w:hAnsi="Times New Roman"/>
          </w:rPr>
          <w:t>http://ec.europa.eu/competition/cartels/legislation/settlements.html</w:t>
        </w:r>
      </w:hyperlink>
      <w:r>
        <w:rPr>
          <w:rStyle w:val="Hyperlink"/>
          <w:rFonts w:ascii="Times New Roman" w:hAnsi="Times New Roman"/>
        </w:rPr>
        <w:t>.</w:t>
      </w:r>
      <w:r>
        <w:rPr>
          <w:rFonts w:ascii="Times New Roman" w:hAnsi="Times New Roman"/>
        </w:rPr>
        <w:t xml:space="preserve"> </w:t>
      </w:r>
    </w:p>
  </w:footnote>
  <w:footnote w:id="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AT.39759 - </w:t>
      </w:r>
      <w:r>
        <w:rPr>
          <w:rFonts w:ascii="Times New Roman" w:hAnsi="Times New Roman"/>
          <w:i/>
        </w:rPr>
        <w:t>ARA foreclosure</w:t>
      </w:r>
      <w:r>
        <w:rPr>
          <w:rFonts w:ascii="Times New Roman" w:hAnsi="Times New Roman"/>
        </w:rPr>
        <w:t xml:space="preserve">, See: </w:t>
      </w:r>
      <w:hyperlink r:id="rId3" w:history="1">
        <w:r>
          <w:rPr>
            <w:rStyle w:val="Hyperlink"/>
            <w:rFonts w:ascii="Times New Roman" w:hAnsi="Times New Roman"/>
          </w:rPr>
          <w:t>http://europa.eu/rapid/press-release_IP-16-3116_en.htm</w:t>
        </w:r>
      </w:hyperlink>
      <w:r>
        <w:rPr>
          <w:rStyle w:val="Hyperlink"/>
          <w:rFonts w:ascii="Times New Roman" w:hAnsi="Times New Roman"/>
        </w:rPr>
        <w:t>.</w:t>
      </w:r>
      <w:r>
        <w:rPr>
          <w:rFonts w:ascii="Times New Roman" w:hAnsi="Times New Roman"/>
        </w:rPr>
        <w:t xml:space="preserve"> </w:t>
      </w:r>
    </w:p>
  </w:footnote>
  <w:footnote w:id="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Cases AT.40181 – </w:t>
      </w:r>
      <w:r>
        <w:rPr>
          <w:rFonts w:ascii="Times New Roman" w:hAnsi="Times New Roman"/>
          <w:i/>
        </w:rPr>
        <w:t>Philips</w:t>
      </w:r>
      <w:r>
        <w:rPr>
          <w:rFonts w:ascii="Times New Roman" w:hAnsi="Times New Roman"/>
        </w:rPr>
        <w:t xml:space="preserve">, AT.40182 - </w:t>
      </w:r>
      <w:r>
        <w:rPr>
          <w:rFonts w:ascii="Times New Roman" w:hAnsi="Times New Roman"/>
          <w:i/>
        </w:rPr>
        <w:t>Pioneer</w:t>
      </w:r>
      <w:r>
        <w:rPr>
          <w:rFonts w:ascii="Times New Roman" w:hAnsi="Times New Roman"/>
        </w:rPr>
        <w:t xml:space="preserve">, AT.40465 - </w:t>
      </w:r>
      <w:r>
        <w:rPr>
          <w:rFonts w:ascii="Times New Roman" w:hAnsi="Times New Roman"/>
          <w:i/>
        </w:rPr>
        <w:t>Asus</w:t>
      </w:r>
      <w:r>
        <w:rPr>
          <w:rFonts w:ascii="Times New Roman" w:hAnsi="Times New Roman"/>
        </w:rPr>
        <w:t xml:space="preserve"> and AT.40469 - </w:t>
      </w:r>
      <w:r>
        <w:rPr>
          <w:rFonts w:ascii="Times New Roman" w:hAnsi="Times New Roman"/>
          <w:i/>
        </w:rPr>
        <w:t>Denon &amp;</w:t>
      </w:r>
      <w:r>
        <w:rPr>
          <w:rFonts w:ascii="Times New Roman" w:hAnsi="Times New Roman"/>
          <w:i/>
        </w:rPr>
        <w:t xml:space="preserve"> Marantz</w:t>
      </w:r>
      <w:r>
        <w:rPr>
          <w:rFonts w:ascii="Times New Roman" w:hAnsi="Times New Roman"/>
        </w:rPr>
        <w:t xml:space="preserve"> (see:  </w:t>
      </w:r>
      <w:hyperlink r:id="rId4" w:history="1">
        <w:r>
          <w:rPr>
            <w:rStyle w:val="Hyperlink"/>
            <w:rFonts w:ascii="Times New Roman" w:hAnsi="Times New Roman"/>
          </w:rPr>
          <w:t>http://europa.eu/rapid/press-release_IP-18-4601_en.htm</w:t>
        </w:r>
      </w:hyperlink>
      <w:r>
        <w:rPr>
          <w:rFonts w:ascii="Times New Roman" w:hAnsi="Times New Roman"/>
        </w:rPr>
        <w:t xml:space="preserve">), and Case AT.40428 – </w:t>
      </w:r>
      <w:r>
        <w:rPr>
          <w:rFonts w:ascii="Times New Roman" w:hAnsi="Times New Roman"/>
          <w:i/>
        </w:rPr>
        <w:t xml:space="preserve">Guess </w:t>
      </w:r>
      <w:r>
        <w:rPr>
          <w:rFonts w:ascii="Times New Roman" w:hAnsi="Times New Roman"/>
        </w:rPr>
        <w:t xml:space="preserve">(see: </w:t>
      </w:r>
      <w:hyperlink r:id="rId5" w:history="1">
        <w:r>
          <w:rPr>
            <w:rStyle w:val="Hyperlink"/>
            <w:rFonts w:ascii="Times New Roman" w:hAnsi="Times New Roman"/>
          </w:rPr>
          <w:t>http://eu</w:t>
        </w:r>
        <w:r>
          <w:rPr>
            <w:rStyle w:val="Hyperlink"/>
            <w:rFonts w:ascii="Times New Roman" w:hAnsi="Times New Roman"/>
          </w:rPr>
          <w:t>ropa.eu/rapid/press-release_IP-18-6844_en.htm</w:t>
        </w:r>
      </w:hyperlink>
      <w:r>
        <w:rPr>
          <w:rStyle w:val="Hyperlink"/>
          <w:rFonts w:ascii="Times New Roman" w:hAnsi="Times New Roman"/>
        </w:rPr>
        <w:t>).</w:t>
      </w:r>
      <w:r>
        <w:rPr>
          <w:rFonts w:ascii="Times New Roman" w:hAnsi="Times New Roman"/>
        </w:rPr>
        <w:t xml:space="preserve"> </w:t>
      </w:r>
    </w:p>
  </w:footnote>
  <w:footnote w:id="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6" w:history="1">
        <w:r>
          <w:rPr>
            <w:rStyle w:val="Hyperlink"/>
            <w:rFonts w:ascii="Times New Roman" w:hAnsi="Times New Roman"/>
          </w:rPr>
          <w:t>http://ec.europa.eu/competition/publications/data/factsheet_guess.pdf</w:t>
        </w:r>
      </w:hyperlink>
      <w:r>
        <w:rPr>
          <w:rStyle w:val="Hyperlink"/>
          <w:rFonts w:ascii="Times New Roman" w:hAnsi="Times New Roman"/>
        </w:rPr>
        <w:t>.</w:t>
      </w:r>
      <w:r>
        <w:rPr>
          <w:rFonts w:ascii="Times New Roman" w:hAnsi="Times New Roman"/>
        </w:rPr>
        <w:t xml:space="preserve"> </w:t>
      </w:r>
    </w:p>
  </w:footnote>
  <w:footnote w:id="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hyperlink w:history="1"/>
      <w:r>
        <w:rPr>
          <w:rFonts w:ascii="Times New Roman" w:hAnsi="Times New Roman"/>
        </w:rPr>
        <w:t>See:</w:t>
      </w:r>
      <w:r>
        <w:rPr>
          <w:rStyle w:val="Hyperlink"/>
          <w:rFonts w:ascii="Times New Roman" w:hAnsi="Times New Roman"/>
        </w:rPr>
        <w:t xml:space="preserve"> </w:t>
      </w:r>
      <w:hyperlink r:id="rId7" w:history="1">
        <w:r>
          <w:rPr>
            <w:rStyle w:val="Hyperlink"/>
            <w:rFonts w:ascii="Times New Roman" w:hAnsi="Times New Roman"/>
          </w:rPr>
          <w:t>http://ec.europa.eu/competition/antitrust/conf_rings.pdf</w:t>
        </w:r>
      </w:hyperlink>
      <w:r>
        <w:rPr>
          <w:rStyle w:val="Hyperlink"/>
          <w:rFonts w:ascii="Times New Roman" w:hAnsi="Times New Roman"/>
        </w:rPr>
        <w:t xml:space="preserve">.  </w:t>
      </w:r>
    </w:p>
  </w:footnote>
  <w:footnote w:id="6">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8" w:history="1">
        <w:r>
          <w:rPr>
            <w:rStyle w:val="Hyperlink"/>
            <w:rFonts w:ascii="Times New Roman" w:hAnsi="Times New Roman"/>
          </w:rPr>
          <w:t>https://ec.europa.eu/commission/commissioners/2014-2019/vestager/announcements/commission-appoints-professors-heike-schweitzer-jacques-cremer-and-assistant-professor-yves_en</w:t>
        </w:r>
      </w:hyperlink>
      <w:r>
        <w:rPr>
          <w:rFonts w:ascii="Times New Roman" w:hAnsi="Times New Roman"/>
        </w:rPr>
        <w:t xml:space="preserve"> and </w:t>
      </w:r>
      <w:hyperlink r:id="rId9" w:history="1">
        <w:r>
          <w:rPr>
            <w:rStyle w:val="Hyperlink"/>
            <w:rFonts w:ascii="Times New Roman" w:hAnsi="Times New Roman"/>
          </w:rPr>
          <w:t>http://ec.europa.eu/competition/scp19/</w:t>
        </w:r>
      </w:hyperlink>
      <w:r>
        <w:rPr>
          <w:rFonts w:ascii="Times New Roman" w:hAnsi="Times New Roman"/>
        </w:rPr>
        <w:t xml:space="preserve">. </w:t>
      </w:r>
    </w:p>
  </w:footnote>
  <w:footnote w:id="7">
    <w:p w:rsidR="00320198" w:rsidRDefault="005C0948">
      <w:pPr>
        <w:pStyle w:val="FootnoteText"/>
        <w:spacing w:after="0" w:line="240" w:lineRule="auto"/>
        <w:ind w:left="284" w:hanging="284"/>
        <w:rPr>
          <w:rStyle w:val="Hyperlink"/>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See</w:t>
      </w:r>
      <w:r>
        <w:rPr>
          <w:rStyle w:val="Hyperlink"/>
          <w:rFonts w:ascii="Times New Roman" w:hAnsi="Times New Roman"/>
        </w:rPr>
        <w:t xml:space="preserve">: </w:t>
      </w:r>
      <w:hyperlink r:id="rId10" w:history="1">
        <w:r>
          <w:rPr>
            <w:rStyle w:val="Hyperlink"/>
            <w:rFonts w:ascii="Times New Roman" w:hAnsi="Times New Roman"/>
          </w:rPr>
          <w:t>http://ec.europa.eu/competition/publications/reports/kd0419345enn.pdf</w:t>
        </w:r>
      </w:hyperlink>
      <w:r>
        <w:rPr>
          <w:rStyle w:val="Hyperlink"/>
          <w:rFonts w:ascii="Times New Roman" w:hAnsi="Times New Roman"/>
          <w:u w:val="none"/>
        </w:rPr>
        <w:t>.</w:t>
      </w:r>
    </w:p>
  </w:footnote>
  <w:footnote w:id="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11" w:history="1">
        <w:r>
          <w:rPr>
            <w:rStyle w:val="Hyperlink"/>
            <w:rFonts w:ascii="Times New Roman" w:hAnsi="Times New Roman"/>
          </w:rPr>
          <w:t>http://ec.europa.eu/competition/speeches/text/sp2018_14_en.pdf</w:t>
        </w:r>
      </w:hyperlink>
      <w:r>
        <w:rPr>
          <w:rFonts w:ascii="Times New Roman" w:hAnsi="Times New Roman"/>
        </w:rPr>
        <w:t xml:space="preserve">. </w:t>
      </w:r>
    </w:p>
  </w:footnote>
  <w:footnote w:id="9">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Commission Regulation (EU) No 330/2010 of 20 April 2010 on the application of Article 101(3) of the Treaty on t</w:t>
      </w:r>
      <w:r>
        <w:rPr>
          <w:rFonts w:ascii="Times New Roman" w:hAnsi="Times New Roman"/>
        </w:rPr>
        <w:t>he Functioning of the European Union to categories of vertical agreements and concerted practices, OJ L 102, 23.4.2010, p. 1.</w:t>
      </w:r>
    </w:p>
  </w:footnote>
  <w:footnote w:id="1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12" w:history="1">
        <w:r>
          <w:rPr>
            <w:rStyle w:val="Hyperlink"/>
            <w:rFonts w:ascii="Times New Roman" w:hAnsi="Times New Roman"/>
            <w:noProof/>
          </w:rPr>
          <w:t>https://ec.europa.eu/info</w:t>
        </w:r>
        <w:r>
          <w:rPr>
            <w:rStyle w:val="Hyperlink"/>
            <w:rFonts w:ascii="Times New Roman" w:hAnsi="Times New Roman"/>
            <w:noProof/>
          </w:rPr>
          <w:t>/law/better-regulation/initiatives/ares-2018-5068981_en</w:t>
        </w:r>
      </w:hyperlink>
      <w:r>
        <w:rPr>
          <w:rStyle w:val="Hyperlink"/>
          <w:rFonts w:ascii="Times New Roman" w:hAnsi="Times New Roman"/>
          <w:noProof/>
        </w:rPr>
        <w:t>.</w:t>
      </w:r>
      <w:r>
        <w:rPr>
          <w:rFonts w:ascii="Times New Roman" w:hAnsi="Times New Roman"/>
        </w:rPr>
        <w:t xml:space="preserve"> </w:t>
      </w:r>
    </w:p>
  </w:footnote>
  <w:footnote w:id="1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Cases AT.40181 – </w:t>
      </w:r>
      <w:r>
        <w:rPr>
          <w:rFonts w:ascii="Times New Roman" w:hAnsi="Times New Roman"/>
          <w:i/>
        </w:rPr>
        <w:t>Philips</w:t>
      </w:r>
      <w:r>
        <w:rPr>
          <w:rFonts w:ascii="Times New Roman" w:hAnsi="Times New Roman"/>
        </w:rPr>
        <w:t xml:space="preserve">, AT.40182 - </w:t>
      </w:r>
      <w:r>
        <w:rPr>
          <w:rFonts w:ascii="Times New Roman" w:hAnsi="Times New Roman"/>
          <w:i/>
        </w:rPr>
        <w:t>Pioneer</w:t>
      </w:r>
      <w:r>
        <w:rPr>
          <w:rFonts w:ascii="Times New Roman" w:hAnsi="Times New Roman"/>
        </w:rPr>
        <w:t xml:space="preserve">, AT.40465 - </w:t>
      </w:r>
      <w:r>
        <w:rPr>
          <w:rFonts w:ascii="Times New Roman" w:hAnsi="Times New Roman"/>
          <w:i/>
        </w:rPr>
        <w:t>Asus</w:t>
      </w:r>
      <w:r>
        <w:rPr>
          <w:rFonts w:ascii="Times New Roman" w:hAnsi="Times New Roman"/>
        </w:rPr>
        <w:t xml:space="preserve"> and AT.40469 - </w:t>
      </w:r>
      <w:r>
        <w:rPr>
          <w:rFonts w:ascii="Times New Roman" w:hAnsi="Times New Roman"/>
          <w:i/>
        </w:rPr>
        <w:t>Denon &amp; Marantz</w:t>
      </w:r>
      <w:r>
        <w:rPr>
          <w:rFonts w:ascii="Times New Roman" w:hAnsi="Times New Roman"/>
        </w:rPr>
        <w:t xml:space="preserve"> (vertical restraints), available at </w:t>
      </w:r>
      <w:hyperlink r:id="rId13" w:history="1">
        <w:r>
          <w:rPr>
            <w:rStyle w:val="Hyperlink"/>
            <w:rFonts w:ascii="Times New Roman" w:hAnsi="Times New Roman"/>
          </w:rPr>
          <w:t>http://europa.eu/rapid/press-release_IP-18-4601_en.htm</w:t>
        </w:r>
      </w:hyperlink>
      <w:r>
        <w:rPr>
          <w:rFonts w:ascii="Times New Roman" w:hAnsi="Times New Roman"/>
        </w:rPr>
        <w:t>.</w:t>
      </w:r>
    </w:p>
  </w:footnote>
  <w:footnote w:id="1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C-179/16 Hoffmann </w:t>
      </w:r>
      <w:r>
        <w:rPr>
          <w:rFonts w:ascii="Times New Roman" w:hAnsi="Times New Roman"/>
          <w:i/>
        </w:rPr>
        <w:t>- La Roche Ltd and Others v Autorità Garante della Concorrenza e del Mercato</w:t>
      </w:r>
      <w:r>
        <w:rPr>
          <w:rFonts w:ascii="Times New Roman" w:hAnsi="Times New Roman"/>
        </w:rPr>
        <w:t>, Judgment of the European Court of Justice (Grand Chamber) of 23 January 2018, ECLI:EU:C:201</w:t>
      </w:r>
      <w:r>
        <w:rPr>
          <w:rFonts w:ascii="Times New Roman" w:hAnsi="Times New Roman"/>
        </w:rPr>
        <w:t>8:25.</w:t>
      </w:r>
    </w:p>
  </w:footnote>
  <w:footnote w:id="1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To regulators, medical professionals and the general public.</w:t>
      </w:r>
    </w:p>
  </w:footnote>
  <w:footnote w:id="1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The term "off label" refers to the intentional prescription of an authorised medicine for a purpose that is not covered by the terms of its marketing authorisation.</w:t>
      </w:r>
    </w:p>
  </w:footnote>
  <w:footnote w:id="1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The two medical</w:t>
      </w:r>
      <w:r>
        <w:rPr>
          <w:rFonts w:ascii="Times New Roman" w:hAnsi="Times New Roman"/>
        </w:rPr>
        <w:t xml:space="preserve"> products - Avastin and Lucentis - were developed by the same company, Genetech. However, Avastin was commercialised by Genetech's parent company Roche, while the commercial exploitation of Lucentis was entrusted to Novartis group via licensing agreement. </w:t>
      </w:r>
      <w:r>
        <w:rPr>
          <w:rFonts w:ascii="Times New Roman" w:hAnsi="Times New Roman"/>
        </w:rPr>
        <w:t xml:space="preserve">The arrangement to disseminate misleading information between Roche and Novartis concerned the use of Avastin and was designed to reduce its use and render more profitable the exploitation by Novartis of the technology rights over Lucentis. </w:t>
      </w:r>
    </w:p>
  </w:footnote>
  <w:footnote w:id="1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The ruling </w:t>
      </w:r>
      <w:r>
        <w:rPr>
          <w:rFonts w:ascii="Times New Roman" w:hAnsi="Times New Roman"/>
        </w:rPr>
        <w:t>follows a series of four decisions by NCAs upheld by national courts, three by the French NCA and one by the Italian NCA. The latter case gave rise to this preliminary ruling.</w:t>
      </w:r>
    </w:p>
  </w:footnote>
  <w:footnote w:id="1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C-525/16 </w:t>
      </w:r>
      <w:r>
        <w:rPr>
          <w:rFonts w:ascii="Times New Roman" w:hAnsi="Times New Roman"/>
          <w:i/>
        </w:rPr>
        <w:t>Meo - Serviços de Comunicações e Multimédia</w:t>
      </w:r>
      <w:r>
        <w:rPr>
          <w:rFonts w:ascii="Times New Roman" w:hAnsi="Times New Roman"/>
        </w:rPr>
        <w:t xml:space="preserve">, Judgment of the </w:t>
      </w:r>
      <w:r>
        <w:rPr>
          <w:rFonts w:ascii="Times New Roman" w:hAnsi="Times New Roman"/>
        </w:rPr>
        <w:t>Court of Justice of 18 April 2018, ECLI:EU:C:2018:270.</w:t>
      </w:r>
    </w:p>
  </w:footnote>
  <w:footnote w:id="18">
    <w:p w:rsidR="00320198" w:rsidRDefault="005C0948">
      <w:pPr>
        <w:pStyle w:val="ListParagraph"/>
        <w:tabs>
          <w:tab w:val="left" w:pos="7080"/>
        </w:tabs>
        <w:ind w:left="284" w:hanging="284"/>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ab/>
        <w:t xml:space="preserve">Case C-595/17 </w:t>
      </w:r>
      <w:r>
        <w:rPr>
          <w:rFonts w:ascii="Times New Roman" w:hAnsi="Times New Roman" w:cs="Times New Roman"/>
          <w:i/>
          <w:sz w:val="20"/>
          <w:szCs w:val="20"/>
        </w:rPr>
        <w:t>Apple Sales International and Others v MJA</w:t>
      </w:r>
      <w:r>
        <w:rPr>
          <w:rFonts w:ascii="Times New Roman" w:hAnsi="Times New Roman" w:cs="Times New Roman"/>
          <w:sz w:val="20"/>
          <w:szCs w:val="20"/>
        </w:rPr>
        <w:t>, Judgment of the European Court of Justice of 24 October 2018, ECLI:EU:C:2018:854.</w:t>
      </w:r>
    </w:p>
  </w:footnote>
  <w:footnote w:id="19">
    <w:p w:rsidR="00320198" w:rsidRDefault="005C0948">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Council Regulation (EC) No 44/2001 of 22 December 2000 </w:t>
      </w:r>
      <w:r>
        <w:rPr>
          <w:rFonts w:ascii="Times New Roman" w:hAnsi="Times New Roman"/>
        </w:rPr>
        <w:t>on jurisdiction and the recognition and enforcement of judgments in civil and commercial matters (OJ 2001 L 12, p. 1).</w:t>
      </w:r>
    </w:p>
  </w:footnote>
  <w:footnote w:id="2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T-677/14 </w:t>
      </w:r>
      <w:r>
        <w:rPr>
          <w:rFonts w:ascii="Times New Roman" w:hAnsi="Times New Roman"/>
          <w:i/>
        </w:rPr>
        <w:t>Biogaran v Commission</w:t>
      </w:r>
      <w:r>
        <w:rPr>
          <w:rFonts w:ascii="Times New Roman" w:hAnsi="Times New Roman"/>
        </w:rPr>
        <w:t xml:space="preserve">, Case T-679/14 </w:t>
      </w:r>
      <w:r>
        <w:rPr>
          <w:rFonts w:ascii="Times New Roman" w:hAnsi="Times New Roman"/>
          <w:i/>
        </w:rPr>
        <w:t>Teva UK and Others v Commission</w:t>
      </w:r>
      <w:r>
        <w:rPr>
          <w:rFonts w:ascii="Times New Roman" w:hAnsi="Times New Roman"/>
        </w:rPr>
        <w:t>, judgment of 12 December 2018, ECLI:EU:T:2018:910;,</w:t>
      </w:r>
      <w:r>
        <w:rPr>
          <w:rFonts w:ascii="Times New Roman" w:hAnsi="Times New Roman"/>
        </w:rPr>
        <w:t xml:space="preserve"> Case T-680/14 </w:t>
      </w:r>
      <w:r>
        <w:rPr>
          <w:rFonts w:ascii="Times New Roman" w:hAnsi="Times New Roman"/>
          <w:i/>
        </w:rPr>
        <w:t>Lupin v Commission</w:t>
      </w:r>
      <w:r>
        <w:rPr>
          <w:rFonts w:ascii="Times New Roman" w:hAnsi="Times New Roman"/>
        </w:rPr>
        <w:t xml:space="preserve">, judgment of 12 December 2018; ECLI:EU:T:2018:908; Case T-682/14 </w:t>
      </w:r>
      <w:r>
        <w:rPr>
          <w:rFonts w:ascii="Times New Roman" w:hAnsi="Times New Roman"/>
          <w:i/>
        </w:rPr>
        <w:t>Mylan Laboratories and Mylan v Commission</w:t>
      </w:r>
      <w:r>
        <w:rPr>
          <w:rFonts w:ascii="Times New Roman" w:hAnsi="Times New Roman"/>
        </w:rPr>
        <w:t xml:space="preserve">, judgment of 12 December 2018, ECLI:EU:T:2018:907; Case T-684/14 </w:t>
      </w:r>
      <w:r>
        <w:rPr>
          <w:rFonts w:ascii="Times New Roman" w:hAnsi="Times New Roman"/>
          <w:i/>
        </w:rPr>
        <w:t>Krka v Commissio</w:t>
      </w:r>
      <w:r>
        <w:rPr>
          <w:rFonts w:ascii="Times New Roman" w:hAnsi="Times New Roman"/>
        </w:rPr>
        <w:t xml:space="preserve">n, judgment of 12 December 2018,  </w:t>
      </w:r>
      <w:r>
        <w:rPr>
          <w:rFonts w:ascii="Times New Roman" w:hAnsi="Times New Roman"/>
        </w:rPr>
        <w:t xml:space="preserve">ECLI:EU:T:2018:918; Case T-701/14 </w:t>
      </w:r>
      <w:r>
        <w:rPr>
          <w:rFonts w:ascii="Times New Roman" w:hAnsi="Times New Roman"/>
          <w:i/>
        </w:rPr>
        <w:t>Niche Generics v Commission</w:t>
      </w:r>
      <w:r>
        <w:rPr>
          <w:rFonts w:ascii="Times New Roman" w:hAnsi="Times New Roman"/>
        </w:rPr>
        <w:t xml:space="preserve"> judgment of 12 December 2018, ECLI:EU:T:2018:92; Case  T-705/14 </w:t>
      </w:r>
      <w:r>
        <w:rPr>
          <w:rFonts w:ascii="Times New Roman" w:hAnsi="Times New Roman"/>
          <w:i/>
        </w:rPr>
        <w:t>Unichem Laboratories v Commission</w:t>
      </w:r>
      <w:r>
        <w:rPr>
          <w:rFonts w:ascii="Times New Roman" w:hAnsi="Times New Roman"/>
        </w:rPr>
        <w:t xml:space="preserve"> judgment of 12 December 2018; ECLI:EU:T:2018:915; Case T-691/14 </w:t>
      </w:r>
      <w:r>
        <w:rPr>
          <w:rFonts w:ascii="Times New Roman" w:hAnsi="Times New Roman"/>
          <w:i/>
        </w:rPr>
        <w:t>Servier and Others v Commission</w:t>
      </w:r>
      <w:r>
        <w:rPr>
          <w:rFonts w:ascii="Times New Roman" w:hAnsi="Times New Roman"/>
        </w:rPr>
        <w:t>,</w:t>
      </w:r>
      <w:r>
        <w:rPr>
          <w:rFonts w:ascii="Times New Roman" w:hAnsi="Times New Roman"/>
        </w:rPr>
        <w:t xml:space="preserve"> judgment of 12 December 2018 ECLI:EU:T:2018:922.</w:t>
      </w:r>
    </w:p>
  </w:footnote>
  <w:footnote w:id="2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Pay for delay agreements are settlement agreements that may restrict generic market entry in exchange for benefits transferred from an originator firm to a company intending to introduce a generic versio</w:t>
      </w:r>
      <w:r>
        <w:rPr>
          <w:rFonts w:ascii="Times New Roman" w:hAnsi="Times New Roman"/>
        </w:rPr>
        <w:t>n of a medicine. Such agreements result in delayed market entry of cheaper generic medicines, to the detriment of patients and taxpayers financing the health systems.</w:t>
      </w:r>
    </w:p>
  </w:footnote>
  <w:footnote w:id="2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T-472/13 </w:t>
      </w:r>
      <w:r>
        <w:rPr>
          <w:rFonts w:ascii="Times New Roman" w:hAnsi="Times New Roman"/>
          <w:i/>
        </w:rPr>
        <w:t>Lundbeck v Commission</w:t>
      </w:r>
      <w:r>
        <w:rPr>
          <w:rFonts w:ascii="Times New Roman" w:hAnsi="Times New Roman"/>
        </w:rPr>
        <w:t>, judgment of 8 September 2016, ECLI:EU:T:2016:449.</w:t>
      </w:r>
    </w:p>
  </w:footnote>
  <w:footnote w:id="23">
    <w:p w:rsidR="00320198" w:rsidRDefault="005C0948">
      <w:pPr>
        <w:pStyle w:val="FootnoteText"/>
        <w:spacing w:after="0"/>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Case T-691/14 </w:t>
      </w:r>
      <w:r>
        <w:rPr>
          <w:rFonts w:ascii="Times New Roman" w:hAnsi="Times New Roman"/>
          <w:i/>
        </w:rPr>
        <w:t>Servier and Others v Commission</w:t>
      </w:r>
      <w:r>
        <w:rPr>
          <w:rFonts w:ascii="Times New Roman" w:hAnsi="Times New Roman"/>
        </w:rPr>
        <w:t>, judgment of 12 December 2018, ECLI:EU:T:2018:922.</w:t>
      </w:r>
    </w:p>
  </w:footnote>
  <w:footnote w:id="2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T-684/14 </w:t>
      </w:r>
      <w:r>
        <w:rPr>
          <w:rFonts w:ascii="Times New Roman" w:hAnsi="Times New Roman"/>
          <w:i/>
        </w:rPr>
        <w:t>Krka v Commissio</w:t>
      </w:r>
      <w:r>
        <w:rPr>
          <w:rFonts w:ascii="Times New Roman" w:hAnsi="Times New Roman"/>
        </w:rPr>
        <w:t>n, judgment of 12 December 2018,  ECLI:EU:T:2018:918.</w:t>
      </w:r>
    </w:p>
  </w:footnote>
  <w:footnote w:id="2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In the Power Cables judgments, the General Court dismissed all t</w:t>
      </w:r>
      <w:r>
        <w:rPr>
          <w:rFonts w:ascii="Times New Roman" w:hAnsi="Times New Roman"/>
        </w:rPr>
        <w:t xml:space="preserve">he appeals brought against the Commission’s decisions in their entirety. For the sake of clarity, the various aspects covered by the </w:t>
      </w:r>
      <w:r>
        <w:rPr>
          <w:rFonts w:ascii="Times New Roman" w:hAnsi="Times New Roman"/>
          <w:i/>
        </w:rPr>
        <w:t>Power Cables</w:t>
      </w:r>
      <w:r>
        <w:rPr>
          <w:rFonts w:ascii="Times New Roman" w:hAnsi="Times New Roman"/>
        </w:rPr>
        <w:t xml:space="preserve"> judgements are dealt with thematically in the sections that follow below. The 15 cases are the following: </w:t>
      </w:r>
      <w:r>
        <w:rPr>
          <w:rFonts w:ascii="Times New Roman" w:eastAsiaTheme="minorHAnsi" w:hAnsi="Times New Roman"/>
        </w:rPr>
        <w:t>T-41</w:t>
      </w:r>
      <w:r>
        <w:rPr>
          <w:rFonts w:ascii="Times New Roman" w:eastAsiaTheme="minorHAnsi" w:hAnsi="Times New Roman"/>
        </w:rPr>
        <w:t xml:space="preserve">9/14 </w:t>
      </w:r>
      <w:r>
        <w:rPr>
          <w:rFonts w:ascii="Times New Roman" w:eastAsiaTheme="minorHAnsi" w:hAnsi="Times New Roman"/>
          <w:i/>
        </w:rPr>
        <w:t>The Goldman Sachs Group v Commission</w:t>
      </w:r>
      <w:r>
        <w:rPr>
          <w:rFonts w:ascii="Times New Roman" w:eastAsiaTheme="minorHAnsi" w:hAnsi="Times New Roman"/>
        </w:rPr>
        <w:t xml:space="preserve">, judgment of the General Court 12 July 2018, ECLI:EU:T:2018:445; T-422/14 </w:t>
      </w:r>
      <w:r>
        <w:rPr>
          <w:rFonts w:ascii="Times New Roman" w:eastAsiaTheme="minorHAnsi" w:hAnsi="Times New Roman"/>
          <w:i/>
        </w:rPr>
        <w:t>Viscas Corp. v Commission</w:t>
      </w:r>
      <w:r>
        <w:rPr>
          <w:rFonts w:ascii="Times New Roman" w:eastAsiaTheme="minorHAnsi" w:hAnsi="Times New Roman"/>
        </w:rPr>
        <w:t xml:space="preserve">, judgment of the General Court of 12 July 2018, ECLI:EU:T:2018:446; T-438/14 </w:t>
      </w:r>
      <w:r>
        <w:rPr>
          <w:rFonts w:ascii="Times New Roman" w:eastAsiaTheme="minorHAnsi" w:hAnsi="Times New Roman"/>
          <w:i/>
        </w:rPr>
        <w:t xml:space="preserve">Silec Cable SAS and General Cable </w:t>
      </w:r>
      <w:r>
        <w:rPr>
          <w:rFonts w:ascii="Times New Roman" w:eastAsiaTheme="minorHAnsi" w:hAnsi="Times New Roman"/>
          <w:i/>
        </w:rPr>
        <w:t>Corporation v Commission</w:t>
      </w:r>
      <w:r>
        <w:rPr>
          <w:rFonts w:ascii="Times New Roman" w:eastAsiaTheme="minorHAnsi" w:hAnsi="Times New Roman"/>
        </w:rPr>
        <w:t xml:space="preserve">, judgment of the General Court of 12 July 2018, ECLI:EU:T:2018:447; T-439/14 </w:t>
      </w:r>
      <w:r>
        <w:rPr>
          <w:rFonts w:ascii="Times New Roman" w:eastAsiaTheme="minorHAnsi" w:hAnsi="Times New Roman"/>
          <w:i/>
        </w:rPr>
        <w:t>LS Cable &amp; System Ltd v Commission</w:t>
      </w:r>
      <w:r>
        <w:rPr>
          <w:rFonts w:ascii="Times New Roman" w:eastAsiaTheme="minorHAnsi" w:hAnsi="Times New Roman"/>
        </w:rPr>
        <w:t xml:space="preserve">, judgment of the General Court of 12 July 2018, ECLI:EU:T:2018:451; T-441/14 </w:t>
      </w:r>
      <w:r>
        <w:rPr>
          <w:rFonts w:ascii="Times New Roman" w:eastAsiaTheme="minorHAnsi" w:hAnsi="Times New Roman"/>
          <w:i/>
        </w:rPr>
        <w:t>Brugg Kabel AG and Kabelwerke Brugg AG Hol</w:t>
      </w:r>
      <w:r>
        <w:rPr>
          <w:rFonts w:ascii="Times New Roman" w:eastAsiaTheme="minorHAnsi" w:hAnsi="Times New Roman"/>
          <w:i/>
        </w:rPr>
        <w:t>ding v Commission</w:t>
      </w:r>
      <w:r>
        <w:rPr>
          <w:rFonts w:ascii="Times New Roman" w:eastAsiaTheme="minorHAnsi" w:hAnsi="Times New Roman"/>
        </w:rPr>
        <w:t xml:space="preserve">, judgment of the General Court of 12 July 2018, ECLI:EU:T:2018:453; T-444/14 </w:t>
      </w:r>
      <w:r>
        <w:rPr>
          <w:rFonts w:ascii="Times New Roman" w:eastAsiaTheme="minorHAnsi" w:hAnsi="Times New Roman"/>
          <w:i/>
        </w:rPr>
        <w:t>Furukawa Electric Co. Ltd v Commission</w:t>
      </w:r>
      <w:r>
        <w:rPr>
          <w:rFonts w:ascii="Times New Roman" w:eastAsiaTheme="minorHAnsi" w:hAnsi="Times New Roman"/>
        </w:rPr>
        <w:t xml:space="preserve">, judgment of the General Court of 12 July 2018, ECLI:EU:T:2018:454; T-445/14 </w:t>
      </w:r>
      <w:r>
        <w:rPr>
          <w:rFonts w:ascii="Times New Roman" w:eastAsiaTheme="minorHAnsi" w:hAnsi="Times New Roman"/>
          <w:i/>
        </w:rPr>
        <w:t>ABB v Commission</w:t>
      </w:r>
      <w:r>
        <w:rPr>
          <w:rFonts w:ascii="Times New Roman" w:eastAsiaTheme="minorHAnsi" w:hAnsi="Times New Roman"/>
        </w:rPr>
        <w:t>, judgment of the General Cou</w:t>
      </w:r>
      <w:r>
        <w:rPr>
          <w:rFonts w:ascii="Times New Roman" w:eastAsiaTheme="minorHAnsi" w:hAnsi="Times New Roman"/>
        </w:rPr>
        <w:t>rt of 12 July 2018, ECLI:EU:T:2018:449; T-446/</w:t>
      </w:r>
      <w:r>
        <w:rPr>
          <w:rFonts w:ascii="Times New Roman" w:eastAsiaTheme="minorHAnsi" w:hAnsi="Times New Roman"/>
          <w:i/>
        </w:rPr>
        <w:t>14 Taihan Electric Wire Co. Ltd v Commission</w:t>
      </w:r>
      <w:r>
        <w:rPr>
          <w:rFonts w:ascii="Times New Roman" w:eastAsiaTheme="minorHAnsi" w:hAnsi="Times New Roman"/>
        </w:rPr>
        <w:t xml:space="preserve">, judgment of the General Court of 12 July 2018, ECLI:EU:T:2018:444; T-447/14 </w:t>
      </w:r>
      <w:r>
        <w:rPr>
          <w:rFonts w:ascii="Times New Roman" w:eastAsiaTheme="minorHAnsi" w:hAnsi="Times New Roman"/>
          <w:i/>
        </w:rPr>
        <w:t>NKT Verwaltungs and NKT Holding A/S v Commission</w:t>
      </w:r>
      <w:r>
        <w:rPr>
          <w:rFonts w:ascii="Times New Roman" w:eastAsiaTheme="minorHAnsi" w:hAnsi="Times New Roman"/>
        </w:rPr>
        <w:t>, judgment of the General Court of 12 Ju</w:t>
      </w:r>
      <w:r>
        <w:rPr>
          <w:rFonts w:ascii="Times New Roman" w:eastAsiaTheme="minorHAnsi" w:hAnsi="Times New Roman"/>
        </w:rPr>
        <w:t xml:space="preserve">ly 2018, ECLI:EU:T:2018:443; T-448/14 </w:t>
      </w:r>
      <w:r>
        <w:rPr>
          <w:rFonts w:ascii="Times New Roman" w:eastAsiaTheme="minorHAnsi" w:hAnsi="Times New Roman"/>
          <w:i/>
        </w:rPr>
        <w:t>Hitachi Metals, Ltd v Commission</w:t>
      </w:r>
      <w:r>
        <w:rPr>
          <w:rFonts w:ascii="Times New Roman" w:eastAsiaTheme="minorHAnsi" w:hAnsi="Times New Roman"/>
        </w:rPr>
        <w:t xml:space="preserve">, Judgment of the General Court of 12 July 2018, ECLI:EU:T:2018:442; T-449/14 </w:t>
      </w:r>
      <w:r>
        <w:rPr>
          <w:rFonts w:ascii="Times New Roman" w:eastAsiaTheme="minorHAnsi" w:hAnsi="Times New Roman"/>
          <w:i/>
        </w:rPr>
        <w:t>Nexans France SAS and Nexans SA v Commission</w:t>
      </w:r>
      <w:r>
        <w:rPr>
          <w:rFonts w:ascii="Times New Roman" w:eastAsiaTheme="minorHAnsi" w:hAnsi="Times New Roman"/>
        </w:rPr>
        <w:t>, judgment of the General Court of 12 July 2018, ECLI:EU:T:2018:</w:t>
      </w:r>
      <w:r>
        <w:rPr>
          <w:rFonts w:ascii="Times New Roman" w:eastAsiaTheme="minorHAnsi" w:hAnsi="Times New Roman"/>
        </w:rPr>
        <w:t xml:space="preserve">456; T-450/14 </w:t>
      </w:r>
      <w:r>
        <w:rPr>
          <w:rFonts w:ascii="Times New Roman" w:eastAsiaTheme="minorHAnsi" w:hAnsi="Times New Roman"/>
          <w:i/>
        </w:rPr>
        <w:t>Sumitomo Electric Industries Ltd and J-Power Systems Corporation v Commission</w:t>
      </w:r>
      <w:r>
        <w:rPr>
          <w:rFonts w:ascii="Times New Roman" w:eastAsiaTheme="minorHAnsi" w:hAnsi="Times New Roman"/>
        </w:rPr>
        <w:t xml:space="preserve">, judgment of the General Court of 12 July 2018, ECLI:EU:T:2018:455; T-451/14 </w:t>
      </w:r>
      <w:r>
        <w:rPr>
          <w:rFonts w:ascii="Times New Roman" w:eastAsiaTheme="minorHAnsi" w:hAnsi="Times New Roman"/>
          <w:i/>
        </w:rPr>
        <w:t>Fujikura Ltd v Commission</w:t>
      </w:r>
      <w:r>
        <w:rPr>
          <w:rFonts w:ascii="Times New Roman" w:eastAsiaTheme="minorHAnsi" w:hAnsi="Times New Roman"/>
        </w:rPr>
        <w:t>, judgment of the General Court of 12 July 2018, ECLI:EU:T:201</w:t>
      </w:r>
      <w:r>
        <w:rPr>
          <w:rFonts w:ascii="Times New Roman" w:eastAsiaTheme="minorHAnsi" w:hAnsi="Times New Roman"/>
        </w:rPr>
        <w:t xml:space="preserve">8:452; T-455/14 </w:t>
      </w:r>
      <w:r>
        <w:rPr>
          <w:rFonts w:ascii="Times New Roman" w:eastAsiaTheme="minorHAnsi" w:hAnsi="Times New Roman"/>
          <w:i/>
        </w:rPr>
        <w:t>Pirelli &amp; C. SpA v Commission</w:t>
      </w:r>
      <w:r>
        <w:rPr>
          <w:rFonts w:ascii="Times New Roman" w:eastAsiaTheme="minorHAnsi" w:hAnsi="Times New Roman"/>
        </w:rPr>
        <w:t xml:space="preserve">, judgment of the General Court of 12 July 2018, ECLI:EU:T:2018:450; T-475/14 </w:t>
      </w:r>
      <w:r>
        <w:rPr>
          <w:rFonts w:ascii="Times New Roman" w:eastAsiaTheme="minorHAnsi" w:hAnsi="Times New Roman"/>
          <w:i/>
        </w:rPr>
        <w:t>Prysmian SpA and Prysmian Cavi e Sistemi Srl v Commission,</w:t>
      </w:r>
      <w:r>
        <w:rPr>
          <w:rFonts w:ascii="Times New Roman" w:eastAsiaTheme="minorHAnsi" w:hAnsi="Times New Roman"/>
        </w:rPr>
        <w:t xml:space="preserve"> judgment of the General Court of 12 July 2018, ECLI:EU:T:2018:448. See als</w:t>
      </w:r>
      <w:r>
        <w:rPr>
          <w:rFonts w:ascii="Times New Roman" w:eastAsiaTheme="minorHAnsi" w:hAnsi="Times New Roman"/>
        </w:rPr>
        <w:t xml:space="preserve">o: </w:t>
      </w:r>
      <w:hyperlink r:id="rId14" w:history="1">
        <w:r>
          <w:rPr>
            <w:rFonts w:ascii="Times New Roman" w:eastAsiaTheme="minorHAnsi" w:hAnsi="Times New Roman"/>
            <w:color w:val="0000FF" w:themeColor="hyperlink"/>
            <w:u w:val="single"/>
          </w:rPr>
          <w:t>https://curia.europa.eu/jcms/upload/docs/application/pdf/2018-07/cp180107en.pdf</w:t>
        </w:r>
      </w:hyperlink>
      <w:r>
        <w:rPr>
          <w:rFonts w:ascii="Times New Roman" w:eastAsiaTheme="minorHAnsi" w:hAnsi="Times New Roman"/>
        </w:rPr>
        <w:t>.</w:t>
      </w:r>
    </w:p>
  </w:footnote>
  <w:footnote w:id="2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T-448/14 </w:t>
      </w:r>
      <w:r>
        <w:rPr>
          <w:rFonts w:ascii="Times New Roman" w:hAnsi="Times New Roman"/>
          <w:i/>
        </w:rPr>
        <w:t>Hitachi Metals, Ltd v Commission</w:t>
      </w:r>
      <w:r>
        <w:rPr>
          <w:rFonts w:ascii="Times New Roman" w:hAnsi="Times New Roman"/>
        </w:rPr>
        <w:t>, Judgment of the General C</w:t>
      </w:r>
      <w:r>
        <w:rPr>
          <w:rFonts w:ascii="Times New Roman" w:hAnsi="Times New Roman"/>
        </w:rPr>
        <w:t>ourt of 12 July 2018, ECLI:EU:T:2018:442.</w:t>
      </w:r>
    </w:p>
  </w:footnote>
  <w:footnote w:id="27">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T-827/14, </w:t>
      </w:r>
      <w:r>
        <w:rPr>
          <w:rFonts w:ascii="Times New Roman" w:hAnsi="Times New Roman"/>
          <w:i/>
        </w:rPr>
        <w:t xml:space="preserve">Deutsche Telekom AG v European Commission, </w:t>
      </w:r>
      <w:r>
        <w:rPr>
          <w:rFonts w:ascii="Times New Roman" w:hAnsi="Times New Roman"/>
        </w:rPr>
        <w:t>Judgment of the General Court of 13 December 2018, ECLI:EU:T:2018:930.</w:t>
      </w:r>
    </w:p>
  </w:footnote>
  <w:footnote w:id="2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T-851/14,  </w:t>
      </w:r>
      <w:r>
        <w:rPr>
          <w:rFonts w:ascii="Times New Roman" w:hAnsi="Times New Roman"/>
          <w:i/>
        </w:rPr>
        <w:t>Slovak Telekom a.s. v European Commission</w:t>
      </w:r>
      <w:r>
        <w:rPr>
          <w:rFonts w:ascii="Times New Roman" w:hAnsi="Times New Roman"/>
        </w:rPr>
        <w:t>, Judgment of the Gene</w:t>
      </w:r>
      <w:r>
        <w:rPr>
          <w:rFonts w:ascii="Times New Roman" w:hAnsi="Times New Roman"/>
        </w:rPr>
        <w:t>ral Court of 13 December 2018, ECLI:EU:T:2018:929.</w:t>
      </w:r>
    </w:p>
  </w:footnote>
  <w:footnote w:id="29">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T-827/14, </w:t>
      </w:r>
      <w:r>
        <w:rPr>
          <w:rFonts w:ascii="Times New Roman" w:hAnsi="Times New Roman"/>
          <w:i/>
        </w:rPr>
        <w:t xml:space="preserve">Deutsche Telekom AG v European Commission, </w:t>
      </w:r>
      <w:r>
        <w:rPr>
          <w:rFonts w:ascii="Times New Roman" w:hAnsi="Times New Roman"/>
        </w:rPr>
        <w:t>Judgment of the General Court of 13 December 2018, ECLI:EU:T:2018:930.</w:t>
      </w:r>
    </w:p>
  </w:footnote>
  <w:footnote w:id="3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Cases T-441/14 </w:t>
      </w:r>
      <w:r>
        <w:rPr>
          <w:rFonts w:ascii="Times New Roman" w:hAnsi="Times New Roman"/>
          <w:i/>
        </w:rPr>
        <w:t>Brugg Kabel AG and Kabelwerke Brugg AG Holding v Commis</w:t>
      </w:r>
      <w:r>
        <w:rPr>
          <w:rFonts w:ascii="Times New Roman" w:hAnsi="Times New Roman"/>
          <w:i/>
        </w:rPr>
        <w:t>sion</w:t>
      </w:r>
      <w:r>
        <w:rPr>
          <w:rFonts w:ascii="Times New Roman" w:hAnsi="Times New Roman"/>
        </w:rPr>
        <w:t xml:space="preserve">, judgment of the General Court of 12 July 2018, ECLI:EU:T:2018:453; T-447/14 </w:t>
      </w:r>
      <w:r>
        <w:rPr>
          <w:rFonts w:ascii="Times New Roman" w:hAnsi="Times New Roman"/>
          <w:i/>
        </w:rPr>
        <w:t>NKT Verwaltungs and NKT Holding A/S v Commission</w:t>
      </w:r>
      <w:r>
        <w:rPr>
          <w:rFonts w:ascii="Times New Roman" w:hAnsi="Times New Roman"/>
        </w:rPr>
        <w:t>, judgment of the General Court of 12 July 2018, ECLI:EU:T:2018:443.</w:t>
      </w:r>
    </w:p>
  </w:footnote>
  <w:footnote w:id="31">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r>
        <w:rPr>
          <w:rFonts w:ascii="Times New Roman" w:eastAsiaTheme="minorHAnsi" w:hAnsi="Times New Roman"/>
        </w:rPr>
        <w:t>Additional objective circumstances supported the concl</w:t>
      </w:r>
      <w:r>
        <w:rPr>
          <w:rFonts w:ascii="Times New Roman" w:eastAsiaTheme="minorHAnsi" w:hAnsi="Times New Roman"/>
        </w:rPr>
        <w:t>usion that the undertaking in question exercised decisive influence.</w:t>
      </w:r>
    </w:p>
  </w:footnote>
  <w:footnote w:id="3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eastAsiaTheme="minorHAnsi" w:hAnsi="Times New Roman"/>
        </w:rPr>
        <w:t xml:space="preserve">Cases T-419/14 </w:t>
      </w:r>
      <w:r>
        <w:rPr>
          <w:rFonts w:ascii="Times New Roman" w:eastAsiaTheme="minorHAnsi" w:hAnsi="Times New Roman"/>
          <w:i/>
        </w:rPr>
        <w:t>The Goldman Sachs Group v Commission</w:t>
      </w:r>
      <w:r>
        <w:rPr>
          <w:rFonts w:ascii="Times New Roman" w:eastAsiaTheme="minorHAnsi" w:hAnsi="Times New Roman"/>
        </w:rPr>
        <w:t xml:space="preserve">, judgment of the General Court 12 July 2018, ECLI:EU:T:2018:445; T-422/14 </w:t>
      </w:r>
      <w:r>
        <w:rPr>
          <w:rFonts w:ascii="Times New Roman" w:eastAsiaTheme="minorHAnsi" w:hAnsi="Times New Roman"/>
          <w:i/>
        </w:rPr>
        <w:t>Viscas Corp. v Commission</w:t>
      </w:r>
      <w:r>
        <w:rPr>
          <w:rFonts w:ascii="Times New Roman" w:eastAsiaTheme="minorHAnsi" w:hAnsi="Times New Roman"/>
        </w:rPr>
        <w:t xml:space="preserve">, judgment of the General Court of 12 July 2018, ECLI:EU:T:2018:446; T-438/14 </w:t>
      </w:r>
      <w:r>
        <w:rPr>
          <w:rFonts w:ascii="Times New Roman" w:eastAsiaTheme="minorHAnsi" w:hAnsi="Times New Roman"/>
          <w:i/>
        </w:rPr>
        <w:t>Silec Cable SAS and General Cable Corporation v Commission</w:t>
      </w:r>
      <w:r>
        <w:rPr>
          <w:rFonts w:ascii="Times New Roman" w:eastAsiaTheme="minorHAnsi" w:hAnsi="Times New Roman"/>
        </w:rPr>
        <w:t xml:space="preserve">, judgment of the General Court of 12 July 2018, ECLI:EU:T:2018:447; T-439/14 </w:t>
      </w:r>
      <w:r>
        <w:rPr>
          <w:rFonts w:ascii="Times New Roman" w:eastAsiaTheme="minorHAnsi" w:hAnsi="Times New Roman"/>
          <w:i/>
        </w:rPr>
        <w:t>LS Cable &amp; System Ltd v Commission</w:t>
      </w:r>
      <w:r>
        <w:rPr>
          <w:rFonts w:ascii="Times New Roman" w:eastAsiaTheme="minorHAnsi" w:hAnsi="Times New Roman"/>
        </w:rPr>
        <w:t>, judgme</w:t>
      </w:r>
      <w:r>
        <w:rPr>
          <w:rFonts w:ascii="Times New Roman" w:eastAsiaTheme="minorHAnsi" w:hAnsi="Times New Roman"/>
        </w:rPr>
        <w:t xml:space="preserve">nt of the General Court of 12 July 2018, ECLI:EU:T:2018:451; T-441/14 </w:t>
      </w:r>
      <w:r>
        <w:rPr>
          <w:rFonts w:ascii="Times New Roman" w:eastAsiaTheme="minorHAnsi" w:hAnsi="Times New Roman"/>
          <w:i/>
        </w:rPr>
        <w:t>Brugg Kabel AG and Kabelwerke Brugg AG Holding v Commission</w:t>
      </w:r>
      <w:r>
        <w:rPr>
          <w:rFonts w:ascii="Times New Roman" w:eastAsiaTheme="minorHAnsi" w:hAnsi="Times New Roman"/>
        </w:rPr>
        <w:t xml:space="preserve">, judgment of the General Court of 12 July 2018, ECLI:EU:T:2018:453; T-444/14 </w:t>
      </w:r>
      <w:r>
        <w:rPr>
          <w:rFonts w:ascii="Times New Roman" w:eastAsiaTheme="minorHAnsi" w:hAnsi="Times New Roman"/>
          <w:i/>
        </w:rPr>
        <w:t>Furukawa Electric Co. Ltd v Commission</w:t>
      </w:r>
      <w:r>
        <w:rPr>
          <w:rFonts w:ascii="Times New Roman" w:eastAsiaTheme="minorHAnsi" w:hAnsi="Times New Roman"/>
        </w:rPr>
        <w:t xml:space="preserve">, judgment </w:t>
      </w:r>
      <w:r>
        <w:rPr>
          <w:rFonts w:ascii="Times New Roman" w:eastAsiaTheme="minorHAnsi" w:hAnsi="Times New Roman"/>
        </w:rPr>
        <w:t xml:space="preserve">of the General Court of 12 July 2018, ECLI:EU:T:2018:454; T-445/14 </w:t>
      </w:r>
      <w:r>
        <w:rPr>
          <w:rFonts w:ascii="Times New Roman" w:eastAsiaTheme="minorHAnsi" w:hAnsi="Times New Roman"/>
          <w:i/>
        </w:rPr>
        <w:t>ABB v Commission</w:t>
      </w:r>
      <w:r>
        <w:rPr>
          <w:rFonts w:ascii="Times New Roman" w:eastAsiaTheme="minorHAnsi" w:hAnsi="Times New Roman"/>
        </w:rPr>
        <w:t>, judgment of the General Court of 12 July 2018, ECLI:EU:T:2018:449; T-446/</w:t>
      </w:r>
      <w:r>
        <w:rPr>
          <w:rFonts w:ascii="Times New Roman" w:eastAsiaTheme="minorHAnsi" w:hAnsi="Times New Roman"/>
          <w:i/>
        </w:rPr>
        <w:t>14 Taihan Electric Wire Co. Ltd v Commission</w:t>
      </w:r>
      <w:r>
        <w:rPr>
          <w:rFonts w:ascii="Times New Roman" w:eastAsiaTheme="minorHAnsi" w:hAnsi="Times New Roman"/>
        </w:rPr>
        <w:t>, judgment of the General Court of 12 July 2018, ECLI:</w:t>
      </w:r>
      <w:r>
        <w:rPr>
          <w:rFonts w:ascii="Times New Roman" w:eastAsiaTheme="minorHAnsi" w:hAnsi="Times New Roman"/>
        </w:rPr>
        <w:t xml:space="preserve">EU:T:2018:444; T-447/14 </w:t>
      </w:r>
      <w:r>
        <w:rPr>
          <w:rFonts w:ascii="Times New Roman" w:eastAsiaTheme="minorHAnsi" w:hAnsi="Times New Roman"/>
          <w:i/>
        </w:rPr>
        <w:t>NKT Verwaltungs and NKT Holding A/S v Commission</w:t>
      </w:r>
      <w:r>
        <w:rPr>
          <w:rFonts w:ascii="Times New Roman" w:eastAsiaTheme="minorHAnsi" w:hAnsi="Times New Roman"/>
        </w:rPr>
        <w:t xml:space="preserve">, judgment of the General Court of 12 July 2018, ECLI:EU:T:2018:443; T-448/14 </w:t>
      </w:r>
      <w:r>
        <w:rPr>
          <w:rFonts w:ascii="Times New Roman" w:eastAsiaTheme="minorHAnsi" w:hAnsi="Times New Roman"/>
          <w:i/>
        </w:rPr>
        <w:t>Hitachi Metals, Ltd v Commission</w:t>
      </w:r>
      <w:r>
        <w:rPr>
          <w:rFonts w:ascii="Times New Roman" w:eastAsiaTheme="minorHAnsi" w:hAnsi="Times New Roman"/>
        </w:rPr>
        <w:t>, Judgment of the General Court of 12 July 2018, ECLI:EU:T:2018:442; T-449</w:t>
      </w:r>
      <w:r>
        <w:rPr>
          <w:rFonts w:ascii="Times New Roman" w:eastAsiaTheme="minorHAnsi" w:hAnsi="Times New Roman"/>
        </w:rPr>
        <w:t xml:space="preserve">/14 </w:t>
      </w:r>
      <w:r>
        <w:rPr>
          <w:rFonts w:ascii="Times New Roman" w:eastAsiaTheme="minorHAnsi" w:hAnsi="Times New Roman"/>
          <w:i/>
        </w:rPr>
        <w:t>Nexans France SAS and Nexans SA v Commission</w:t>
      </w:r>
      <w:r>
        <w:rPr>
          <w:rFonts w:ascii="Times New Roman" w:eastAsiaTheme="minorHAnsi" w:hAnsi="Times New Roman"/>
        </w:rPr>
        <w:t xml:space="preserve">, judgment of the General Court of 12 July 2018, ECLI:EU:T:2018:456; T-450/14 </w:t>
      </w:r>
      <w:r>
        <w:rPr>
          <w:rFonts w:ascii="Times New Roman" w:eastAsiaTheme="minorHAnsi" w:hAnsi="Times New Roman"/>
          <w:i/>
        </w:rPr>
        <w:t>Sumitomo Electric Industries Ltd and J-Power Systems Corporation v Commission</w:t>
      </w:r>
      <w:r>
        <w:rPr>
          <w:rFonts w:ascii="Times New Roman" w:eastAsiaTheme="minorHAnsi" w:hAnsi="Times New Roman"/>
        </w:rPr>
        <w:t>, judgment of the General Court of 12 July 2018, ECLI</w:t>
      </w:r>
      <w:r>
        <w:rPr>
          <w:rFonts w:ascii="Times New Roman" w:eastAsiaTheme="minorHAnsi" w:hAnsi="Times New Roman"/>
        </w:rPr>
        <w:t xml:space="preserve">:EU:T:2018:455; T-451/14 </w:t>
      </w:r>
      <w:r>
        <w:rPr>
          <w:rFonts w:ascii="Times New Roman" w:eastAsiaTheme="minorHAnsi" w:hAnsi="Times New Roman"/>
          <w:i/>
        </w:rPr>
        <w:t>Fujikura Ltd v Commission</w:t>
      </w:r>
      <w:r>
        <w:rPr>
          <w:rFonts w:ascii="Times New Roman" w:eastAsiaTheme="minorHAnsi" w:hAnsi="Times New Roman"/>
        </w:rPr>
        <w:t xml:space="preserve">, judgment of the General Court of 12 July 2018, ECLI:EU:T:2018:452; T-455/14 </w:t>
      </w:r>
      <w:r>
        <w:rPr>
          <w:rFonts w:ascii="Times New Roman" w:eastAsiaTheme="minorHAnsi" w:hAnsi="Times New Roman"/>
          <w:i/>
        </w:rPr>
        <w:t>Pirelli &amp; C. SpA v Commission</w:t>
      </w:r>
      <w:r>
        <w:rPr>
          <w:rFonts w:ascii="Times New Roman" w:eastAsiaTheme="minorHAnsi" w:hAnsi="Times New Roman"/>
        </w:rPr>
        <w:t xml:space="preserve">, judgment of the General Court of 12 July 2018, ECLI:EU:T:2018:450; T-475/14 </w:t>
      </w:r>
      <w:r>
        <w:rPr>
          <w:rFonts w:ascii="Times New Roman" w:eastAsiaTheme="minorHAnsi" w:hAnsi="Times New Roman"/>
          <w:i/>
        </w:rPr>
        <w:t>Prysmian SpA and Prys</w:t>
      </w:r>
      <w:r>
        <w:rPr>
          <w:rFonts w:ascii="Times New Roman" w:eastAsiaTheme="minorHAnsi" w:hAnsi="Times New Roman"/>
          <w:i/>
        </w:rPr>
        <w:t>mian Cavi e Sistemi Srl v Commission,</w:t>
      </w:r>
      <w:r>
        <w:rPr>
          <w:rFonts w:ascii="Times New Roman" w:eastAsiaTheme="minorHAnsi" w:hAnsi="Times New Roman"/>
        </w:rPr>
        <w:t xml:space="preserve"> judgment of the General Court of 12 July 2018, ECLI:EU:T:2018:448. See also Court press release: </w:t>
      </w:r>
      <w:hyperlink r:id="rId15" w:history="1">
        <w:r>
          <w:rPr>
            <w:rFonts w:ascii="Times New Roman" w:eastAsiaTheme="minorHAnsi" w:hAnsi="Times New Roman"/>
            <w:color w:val="0000FF" w:themeColor="hyperlink"/>
            <w:u w:val="single"/>
          </w:rPr>
          <w:t>https://curia.europa.eu/j</w:t>
        </w:r>
        <w:r>
          <w:rPr>
            <w:rFonts w:ascii="Times New Roman" w:eastAsiaTheme="minorHAnsi" w:hAnsi="Times New Roman"/>
            <w:color w:val="0000FF" w:themeColor="hyperlink"/>
            <w:u w:val="single"/>
          </w:rPr>
          <w:t>cms/upload/docs/application/pdf/2018-07/cp180107en.pdf</w:t>
        </w:r>
      </w:hyperlink>
      <w:r>
        <w:rPr>
          <w:rFonts w:ascii="Times New Roman" w:eastAsiaTheme="minorHAnsi" w:hAnsi="Times New Roman"/>
        </w:rPr>
        <w:t>.</w:t>
      </w:r>
    </w:p>
  </w:footnote>
  <w:footnote w:id="3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Cases T-325/16</w:t>
      </w:r>
      <w:r>
        <w:rPr>
          <w:rFonts w:ascii="Times New Roman" w:hAnsi="Times New Roman"/>
          <w:i/>
        </w:rPr>
        <w:t xml:space="preserve"> České dráhy a.s. v European Commission</w:t>
      </w:r>
      <w:r>
        <w:rPr>
          <w:rFonts w:ascii="Times New Roman" w:hAnsi="Times New Roman"/>
        </w:rPr>
        <w:t xml:space="preserve">, judgement of the General Court of 20 June 2018, ECLI:EU:T:2018:368 and T-621/16 </w:t>
      </w:r>
      <w:r>
        <w:rPr>
          <w:rFonts w:ascii="Times New Roman" w:hAnsi="Times New Roman"/>
          <w:i/>
        </w:rPr>
        <w:t>České dráhy a.s. v European Commission</w:t>
      </w:r>
      <w:r>
        <w:rPr>
          <w:rFonts w:ascii="Times New Roman" w:hAnsi="Times New Roman"/>
        </w:rPr>
        <w:t>, judgement of the Gener</w:t>
      </w:r>
      <w:r>
        <w:rPr>
          <w:rFonts w:ascii="Times New Roman" w:hAnsi="Times New Roman"/>
        </w:rPr>
        <w:t>al Court of 20 June 2018, ECLI:EU:T:2018:367.</w:t>
      </w:r>
    </w:p>
  </w:footnote>
  <w:footnote w:id="3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For the Commission’s powers of inspection, see Articles 20 and 21 of Council Regulation (EC) No 1/2003 of 16 December 2002 on the implementation of the rules on competition laid down in Articles 81 and 82 of</w:t>
      </w:r>
      <w:r>
        <w:rPr>
          <w:rFonts w:ascii="Times New Roman" w:hAnsi="Times New Roman"/>
        </w:rPr>
        <w:t xml:space="preserve"> the Treaty, OJ L 1, 04.01.2003, pp.1-25.</w:t>
      </w:r>
    </w:p>
  </w:footnote>
  <w:footnote w:id="3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T-274/15 </w:t>
      </w:r>
      <w:r>
        <w:rPr>
          <w:rFonts w:ascii="Times New Roman" w:hAnsi="Times New Roman"/>
          <w:i/>
        </w:rPr>
        <w:t xml:space="preserve">Alcogroup and Alcodis v Commission, </w:t>
      </w:r>
      <w:r>
        <w:rPr>
          <w:rFonts w:ascii="Times New Roman" w:hAnsi="Times New Roman"/>
        </w:rPr>
        <w:t xml:space="preserve">judgment of the General Court of 10 April 2018, ECLI:EU:T:2018:179. Judgement currently under appeal with case reference C-386/15 P(R). </w:t>
      </w:r>
    </w:p>
  </w:footnote>
  <w:footnote w:id="3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Cases T-449/14 </w:t>
      </w:r>
      <w:r>
        <w:rPr>
          <w:rFonts w:ascii="Times New Roman" w:hAnsi="Times New Roman"/>
          <w:i/>
        </w:rPr>
        <w:t>Nexans</w:t>
      </w:r>
      <w:r>
        <w:rPr>
          <w:rFonts w:ascii="Times New Roman" w:hAnsi="Times New Roman"/>
          <w:i/>
        </w:rPr>
        <w:t xml:space="preserve"> France SAS and Nexans SA v Commission</w:t>
      </w:r>
      <w:r>
        <w:rPr>
          <w:rFonts w:ascii="Times New Roman" w:hAnsi="Times New Roman"/>
        </w:rPr>
        <w:t xml:space="preserve">, judgment of the General Court of 12 July 2018, ECLI:EU:T:2018:456 and T-475/14 </w:t>
      </w:r>
      <w:r>
        <w:rPr>
          <w:rFonts w:ascii="Times New Roman" w:hAnsi="Times New Roman"/>
          <w:i/>
        </w:rPr>
        <w:t>Prysmian SpA and Prysmian Cavi e Sistemi Srl v Commission,,</w:t>
      </w:r>
      <w:r>
        <w:rPr>
          <w:rFonts w:ascii="Times New Roman" w:hAnsi="Times New Roman"/>
        </w:rPr>
        <w:t xml:space="preserve"> judgment of the General Court of 12 July 2018, ECLI:EU:T:2018:448. </w:t>
      </w:r>
    </w:p>
  </w:footnote>
  <w:footnote w:id="3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Cases </w:t>
      </w:r>
      <w:r>
        <w:rPr>
          <w:rFonts w:ascii="Times New Roman" w:hAnsi="Times New Roman"/>
        </w:rPr>
        <w:t xml:space="preserve">C-271/16 P </w:t>
      </w:r>
      <w:r>
        <w:rPr>
          <w:rFonts w:ascii="Times New Roman" w:hAnsi="Times New Roman"/>
          <w:i/>
        </w:rPr>
        <w:t xml:space="preserve">Panalpina v Commission, </w:t>
      </w:r>
      <w:r>
        <w:rPr>
          <w:rFonts w:ascii="Times New Roman" w:hAnsi="Times New Roman"/>
        </w:rPr>
        <w:t>judgement of the Court of Justice of 1 February 2018, ECLI:EU:C:2018:59;</w:t>
      </w:r>
      <w:r>
        <w:rPr>
          <w:rFonts w:ascii="Times New Roman" w:hAnsi="Times New Roman"/>
          <w:i/>
        </w:rPr>
        <w:t xml:space="preserve"> </w:t>
      </w:r>
      <w:r>
        <w:rPr>
          <w:rFonts w:ascii="Times New Roman" w:hAnsi="Times New Roman"/>
        </w:rPr>
        <w:t>C-264/16 P</w:t>
      </w:r>
      <w:r>
        <w:rPr>
          <w:rFonts w:ascii="Times New Roman" w:hAnsi="Times New Roman"/>
          <w:i/>
        </w:rPr>
        <w:t xml:space="preserve"> Deutsche Bahn / Schenker v Commission</w:t>
      </w:r>
      <w:r>
        <w:rPr>
          <w:rFonts w:ascii="Times New Roman" w:hAnsi="Times New Roman"/>
        </w:rPr>
        <w:t xml:space="preserve">, judgement of the Court of Justice of 1 February 2018, ECLI:EU:C:2018:60; C-263/16 P </w:t>
      </w:r>
      <w:r>
        <w:rPr>
          <w:rFonts w:ascii="Times New Roman" w:hAnsi="Times New Roman"/>
          <w:i/>
        </w:rPr>
        <w:t xml:space="preserve">Schenker Ltd. </w:t>
      </w:r>
      <w:r>
        <w:rPr>
          <w:rFonts w:ascii="Times New Roman" w:hAnsi="Times New Roman"/>
          <w:i/>
        </w:rPr>
        <w:t xml:space="preserve">(successor of BAX Global UK) v Commission, </w:t>
      </w:r>
      <w:r>
        <w:rPr>
          <w:rFonts w:ascii="Times New Roman" w:hAnsi="Times New Roman"/>
        </w:rPr>
        <w:t>judgement of the Court of Justice of 1 February 2018, ECLI:EU:C:2018:58 and C-261/16 P</w:t>
      </w:r>
      <w:r>
        <w:rPr>
          <w:rFonts w:ascii="Times New Roman" w:hAnsi="Times New Roman"/>
          <w:i/>
        </w:rPr>
        <w:t xml:space="preserve"> Kuehne &amp; Nagel v Commission, </w:t>
      </w:r>
      <w:r>
        <w:rPr>
          <w:rFonts w:ascii="Times New Roman" w:hAnsi="Times New Roman"/>
        </w:rPr>
        <w:t>judgement of the Court of Justice of 1 February 2018, ECLI:EU:C:2018:56. See also court press rel</w:t>
      </w:r>
      <w:r>
        <w:rPr>
          <w:rFonts w:ascii="Times New Roman" w:hAnsi="Times New Roman"/>
        </w:rPr>
        <w:t xml:space="preserve">ease: </w:t>
      </w:r>
      <w:hyperlink r:id="rId16" w:history="1">
        <w:r>
          <w:rPr>
            <w:rFonts w:ascii="Times New Roman" w:hAnsi="Times New Roman"/>
            <w:color w:val="0000FF" w:themeColor="hyperlink"/>
            <w:u w:val="single"/>
          </w:rPr>
          <w:t>https://curia.europa.eu/jcms/upload/docs/application/pdf/2018-02/cp180009en.pdf</w:t>
        </w:r>
      </w:hyperlink>
      <w:r>
        <w:rPr>
          <w:rFonts w:ascii="Times New Roman" w:hAnsi="Times New Roman"/>
        </w:rPr>
        <w:t>.</w:t>
      </w:r>
    </w:p>
  </w:footnote>
  <w:footnote w:id="3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T-58/14, </w:t>
      </w:r>
      <w:r>
        <w:rPr>
          <w:rFonts w:ascii="Times New Roman" w:hAnsi="Times New Roman"/>
          <w:i/>
        </w:rPr>
        <w:t>Stuehrk Delikatessen Import v Commission</w:t>
      </w:r>
      <w:r>
        <w:rPr>
          <w:rFonts w:ascii="Times New Roman" w:hAnsi="Times New Roman"/>
        </w:rPr>
        <w:t xml:space="preserve">. Judgment of the General Court of 13 July 2018, ECLI:EU:T:2018:474.    </w:t>
      </w:r>
    </w:p>
  </w:footnote>
  <w:footnote w:id="39">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Guidelines on the method of setting fines imposed pursuant to Article 23(2)(a) of Regulation No 1/2003, OJ 2006/C 210/02) See: </w:t>
      </w:r>
      <w:hyperlink r:id="rId17" w:history="1">
        <w:r>
          <w:rPr>
            <w:rStyle w:val="Hyperlink"/>
            <w:rFonts w:ascii="Times New Roman" w:hAnsi="Times New Roman"/>
          </w:rPr>
          <w:t>https://eur-lex.europa.eu/legal-content/EN/TXT/PDF/?uri=CELEX:52006XC0901(01)&amp;from=EN</w:t>
        </w:r>
      </w:hyperlink>
      <w:r>
        <w:rPr>
          <w:rFonts w:ascii="Times New Roman" w:hAnsi="Times New Roman"/>
        </w:rPr>
        <w:t>.</w:t>
      </w:r>
    </w:p>
  </w:footnote>
  <w:footnote w:id="4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also: case AT.39780 – </w:t>
      </w:r>
      <w:r>
        <w:rPr>
          <w:rFonts w:ascii="Times New Roman" w:hAnsi="Times New Roman"/>
          <w:i/>
        </w:rPr>
        <w:t>Envelopes,</w:t>
      </w:r>
      <w:r>
        <w:rPr>
          <w:rFonts w:ascii="Times New Roman" w:hAnsi="Times New Roman"/>
        </w:rPr>
        <w:t xml:space="preserve"> decision of 10 December 2014.</w:t>
      </w:r>
      <w:r>
        <w:rPr>
          <w:rFonts w:ascii="Times New Roman" w:hAnsi="Times New Roman"/>
        </w:rPr>
        <w:t xml:space="preserve"> Annulled by the General Court, in case T-95-15, </w:t>
      </w:r>
      <w:r>
        <w:rPr>
          <w:rFonts w:ascii="Times New Roman" w:hAnsi="Times New Roman"/>
          <w:i/>
        </w:rPr>
        <w:t>Printeos and Others v Commission</w:t>
      </w:r>
      <w:r>
        <w:rPr>
          <w:rFonts w:ascii="Times New Roman" w:hAnsi="Times New Roman"/>
        </w:rPr>
        <w:t>, ECLI:EU:T:2016:722.</w:t>
      </w:r>
    </w:p>
  </w:footnote>
  <w:footnote w:id="4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Cases T-422/14 </w:t>
      </w:r>
      <w:r>
        <w:rPr>
          <w:rFonts w:ascii="Times New Roman" w:hAnsi="Times New Roman"/>
          <w:i/>
        </w:rPr>
        <w:t>Viscas Corp. v Commission</w:t>
      </w:r>
      <w:r>
        <w:rPr>
          <w:rFonts w:ascii="Times New Roman" w:hAnsi="Times New Roman"/>
        </w:rPr>
        <w:t xml:space="preserve">, judgment of the General Court of 12 July 2018, ECLI:EU:T:2018:446; T-439/14 </w:t>
      </w:r>
      <w:r>
        <w:rPr>
          <w:rFonts w:ascii="Times New Roman" w:hAnsi="Times New Roman"/>
          <w:i/>
        </w:rPr>
        <w:t>LS Cable &amp; System Ltd v Commissi</w:t>
      </w:r>
      <w:r>
        <w:rPr>
          <w:rFonts w:ascii="Times New Roman" w:hAnsi="Times New Roman"/>
          <w:i/>
        </w:rPr>
        <w:t>on</w:t>
      </w:r>
      <w:r>
        <w:rPr>
          <w:rFonts w:ascii="Times New Roman" w:hAnsi="Times New Roman"/>
        </w:rPr>
        <w:t xml:space="preserve">, judgment of the General Court of 12 July 2018, ECLI:EU:T:2018:451; T-444/14 </w:t>
      </w:r>
      <w:r>
        <w:rPr>
          <w:rFonts w:ascii="Times New Roman" w:hAnsi="Times New Roman"/>
          <w:i/>
        </w:rPr>
        <w:t>Furukawa Electric Co. Ltd v Commission</w:t>
      </w:r>
      <w:r>
        <w:rPr>
          <w:rFonts w:ascii="Times New Roman" w:hAnsi="Times New Roman"/>
        </w:rPr>
        <w:t>, judgment of the General Court of 12 July 2018, ECLI:EU:T:2018:454; T-446/</w:t>
      </w:r>
      <w:r>
        <w:rPr>
          <w:rFonts w:ascii="Times New Roman" w:hAnsi="Times New Roman"/>
          <w:i/>
        </w:rPr>
        <w:t>14 Taihan Electric Wire Co. Ltd v Commission</w:t>
      </w:r>
      <w:r>
        <w:rPr>
          <w:rFonts w:ascii="Times New Roman" w:hAnsi="Times New Roman"/>
        </w:rPr>
        <w:t>, judgment of the G</w:t>
      </w:r>
      <w:r>
        <w:rPr>
          <w:rFonts w:ascii="Times New Roman" w:hAnsi="Times New Roman"/>
        </w:rPr>
        <w:t xml:space="preserve">eneral Court of 12 July 2018, ECLI:EU:T:2018:444 and T-451/14 </w:t>
      </w:r>
      <w:r>
        <w:rPr>
          <w:rFonts w:ascii="Times New Roman" w:hAnsi="Times New Roman"/>
          <w:i/>
        </w:rPr>
        <w:t>Fujikura Ltd v Commission</w:t>
      </w:r>
      <w:r>
        <w:rPr>
          <w:rFonts w:ascii="Times New Roman" w:hAnsi="Times New Roman"/>
        </w:rPr>
        <w:t xml:space="preserve">, judgment of the General Court of 12 July 2018, ECLI:EU:T:2018:452. See also Court press release: </w:t>
      </w:r>
      <w:hyperlink r:id="rId18" w:history="1">
        <w:r>
          <w:rPr>
            <w:rStyle w:val="Hyperlink"/>
            <w:rFonts w:ascii="Times New Roman" w:hAnsi="Times New Roman"/>
          </w:rPr>
          <w:t>https://curia.europa.eu/jcms/upload/docs/application/pdf/2018-02/cp180009en.pdf</w:t>
        </w:r>
      </w:hyperlink>
      <w:r>
        <w:rPr>
          <w:rFonts w:ascii="Times New Roman" w:hAnsi="Times New Roman"/>
        </w:rPr>
        <w:t>.</w:t>
      </w:r>
    </w:p>
  </w:footnote>
  <w:footnote w:id="4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In addition, the General Court confirmed the line of the Commission that an ‘</w:t>
      </w:r>
      <w:r>
        <w:rPr>
          <w:rFonts w:ascii="Times New Roman" w:hAnsi="Times New Roman"/>
          <w:i/>
        </w:rPr>
        <w:t>exclusively passive or follow-the-leader</w:t>
      </w:r>
      <w:r>
        <w:rPr>
          <w:rFonts w:ascii="Times New Roman" w:hAnsi="Times New Roman"/>
        </w:rPr>
        <w:t>’ position in the infringemen</w:t>
      </w:r>
      <w:r>
        <w:rPr>
          <w:rFonts w:ascii="Times New Roman" w:hAnsi="Times New Roman"/>
        </w:rPr>
        <w:t xml:space="preserve">t implies, by definition, that the undertaking concerned will keep a ‘low profile’, that is to say not actively participate in the creation of any anticompetitive agreements and that this role can be shown by a significantly more sporadic participation in </w:t>
      </w:r>
      <w:r>
        <w:rPr>
          <w:rFonts w:ascii="Times New Roman" w:hAnsi="Times New Roman"/>
        </w:rPr>
        <w:t xml:space="preserve">cartel meetings than that of the ordinary members of the cartel and also by an express declaration regarding the role played by that undertaking in the cartel made by a representative of another undertaking which has participated in the infringement. </w:t>
      </w:r>
    </w:p>
  </w:footnote>
  <w:footnote w:id="4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w:t>
      </w:r>
      <w:r>
        <w:rPr>
          <w:rFonts w:ascii="Times New Roman" w:hAnsi="Times New Roman"/>
        </w:rPr>
        <w:t xml:space="preserve">ase T-640/16 </w:t>
      </w:r>
      <w:r>
        <w:rPr>
          <w:rFonts w:ascii="Times New Roman" w:hAnsi="Times New Roman"/>
          <w:i/>
        </w:rPr>
        <w:t>GEA Group AG v Commission</w:t>
      </w:r>
      <w:r>
        <w:rPr>
          <w:rFonts w:ascii="Times New Roman" w:hAnsi="Times New Roman"/>
        </w:rPr>
        <w:t>, judgment of the General Court of 18 October 2018, ECLI:EU:T:2018:700.</w:t>
      </w:r>
    </w:p>
  </w:footnote>
  <w:footnote w:id="44">
    <w:p w:rsidR="00320198" w:rsidRDefault="005C0948">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C-123/16 P </w:t>
      </w:r>
      <w:r>
        <w:rPr>
          <w:rFonts w:ascii="Times New Roman" w:hAnsi="Times New Roman"/>
          <w:i/>
        </w:rPr>
        <w:t>Orange Polska v Commission</w:t>
      </w:r>
      <w:r>
        <w:rPr>
          <w:rFonts w:ascii="Times New Roman" w:hAnsi="Times New Roman"/>
        </w:rPr>
        <w:t>, judgment of the Court of Justice of 25 July 2018, ECLI:EU:C:2018:590.</w:t>
      </w:r>
    </w:p>
  </w:footnote>
  <w:footnote w:id="4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T-486/11 </w:t>
      </w:r>
      <w:r>
        <w:rPr>
          <w:rFonts w:ascii="Times New Roman" w:hAnsi="Times New Roman"/>
          <w:i/>
        </w:rPr>
        <w:t>Orange Polsk</w:t>
      </w:r>
      <w:r>
        <w:rPr>
          <w:rFonts w:ascii="Times New Roman" w:hAnsi="Times New Roman"/>
          <w:i/>
        </w:rPr>
        <w:t>a v Commission</w:t>
      </w:r>
      <w:r>
        <w:rPr>
          <w:rFonts w:ascii="Times New Roman" w:hAnsi="Times New Roman"/>
        </w:rPr>
        <w:t>, judgment of the General Court of 17 December 2015, ECLI:EU:T:2015:1002.</w:t>
      </w:r>
    </w:p>
  </w:footnote>
  <w:footnote w:id="4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Commission Decision C(2011) 4378 final of 22 June 2011.</w:t>
      </w:r>
    </w:p>
  </w:footnote>
  <w:footnote w:id="4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Case T-873/16, </w:t>
      </w:r>
      <w:r>
        <w:rPr>
          <w:rFonts w:ascii="Times New Roman" w:hAnsi="Times New Roman"/>
          <w:i/>
        </w:rPr>
        <w:t>Groupe Canal + v European Commission</w:t>
      </w:r>
      <w:r>
        <w:rPr>
          <w:rFonts w:ascii="Times New Roman" w:hAnsi="Times New Roman"/>
        </w:rPr>
        <w:t>, judgment of the General Court of 12 December 2018, EC</w:t>
      </w:r>
      <w:r>
        <w:rPr>
          <w:rFonts w:ascii="Times New Roman" w:hAnsi="Times New Roman"/>
        </w:rPr>
        <w:t>LI:EU:T:2018:904.</w:t>
      </w:r>
    </w:p>
  </w:footnote>
  <w:footnote w:id="4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Case C-373/17 P </w:t>
      </w:r>
      <w:r>
        <w:rPr>
          <w:rFonts w:ascii="Times New Roman" w:hAnsi="Times New Roman"/>
          <w:i/>
        </w:rPr>
        <w:t>Agria Polska and Others v European Commission</w:t>
      </w:r>
      <w:r>
        <w:rPr>
          <w:rFonts w:ascii="Times New Roman" w:hAnsi="Times New Roman"/>
        </w:rPr>
        <w:t>, judgment of the Court of Justice of 20 September 2018, ECLI:EU:C:2018:756.</w:t>
      </w:r>
    </w:p>
  </w:footnote>
  <w:footnote w:id="49">
    <w:p w:rsidR="00320198" w:rsidRDefault="005C0948">
      <w:pPr>
        <w:pStyle w:val="FootnoteText"/>
        <w:spacing w:after="0" w:line="240" w:lineRule="auto"/>
        <w:ind w:left="284" w:hanging="284"/>
        <w:jc w:val="both"/>
        <w:rPr>
          <w:rFonts w:ascii="Times New Roman" w:eastAsia="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T-574/14 </w:t>
      </w:r>
      <w:r>
        <w:rPr>
          <w:rFonts w:ascii="Times New Roman" w:hAnsi="Times New Roman"/>
          <w:i/>
        </w:rPr>
        <w:t>EAEPC v Commission</w:t>
      </w:r>
      <w:r>
        <w:rPr>
          <w:rFonts w:ascii="Times New Roman" w:hAnsi="Times New Roman"/>
        </w:rPr>
        <w:t xml:space="preserve">, judgment of the General Court of 26 September 2018, </w:t>
      </w:r>
      <w:r>
        <w:rPr>
          <w:rFonts w:ascii="Times New Roman" w:hAnsi="Times New Roman"/>
        </w:rPr>
        <w:t>ECLI:EU:T:2018:605.</w:t>
      </w:r>
    </w:p>
  </w:footnote>
  <w:footnote w:id="5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Council Regulation No 17 of 6 February 1962, implementing Articles 85 and 86 of the EC Treaty, OJ English Special Edition 1959-62, p. 87.</w:t>
      </w:r>
    </w:p>
  </w:footnote>
  <w:footnote w:id="5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Case C-65/18 P(R)-R Order of the Vice-President of the Court of 2 February 2018 - Appeal – A</w:t>
      </w:r>
      <w:r>
        <w:rPr>
          <w:rFonts w:ascii="Times New Roman" w:hAnsi="Times New Roman"/>
        </w:rPr>
        <w:t xml:space="preserve">pplication for suspension of operation and other interim measures under Articles 278 and 279 TFEU and Article 160(7) of the Rules of Procedure of the Court, ECLI:EU:C:2018:62 Case T-449/14 </w:t>
      </w:r>
      <w:r>
        <w:rPr>
          <w:rFonts w:ascii="Times New Roman" w:hAnsi="Times New Roman"/>
          <w:i/>
        </w:rPr>
        <w:t>Nexans France SAS and Nexans SA v Commission</w:t>
      </w:r>
      <w:r>
        <w:rPr>
          <w:rFonts w:ascii="Times New Roman" w:hAnsi="Times New Roman"/>
        </w:rPr>
        <w:t>, judgment of the Gener</w:t>
      </w:r>
      <w:r>
        <w:rPr>
          <w:rFonts w:ascii="Times New Roman" w:hAnsi="Times New Roman"/>
        </w:rPr>
        <w:t>al Court of 12 July 2018, ECLI:EU:T:2018:456.</w:t>
      </w:r>
    </w:p>
  </w:footnote>
  <w:footnote w:id="5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Cases T-419/18, </w:t>
      </w:r>
      <w:r>
        <w:rPr>
          <w:rFonts w:ascii="Times New Roman" w:hAnsi="Times New Roman"/>
          <w:i/>
        </w:rPr>
        <w:t>Crédit agricole and Crédit agricole Corporate and Investment Bank v Commission,</w:t>
      </w:r>
      <w:r>
        <w:rPr>
          <w:rFonts w:ascii="Times New Roman" w:hAnsi="Times New Roman"/>
        </w:rPr>
        <w:t xml:space="preserve"> Order by the President of the General Court of 25 October 2018, ECLI:EU:T:2018:726 and T-420/18, </w:t>
      </w:r>
      <w:r>
        <w:rPr>
          <w:rFonts w:ascii="Times New Roman" w:hAnsi="Times New Roman"/>
          <w:i/>
        </w:rPr>
        <w:t>JPMorgan Chase</w:t>
      </w:r>
      <w:r>
        <w:rPr>
          <w:rFonts w:ascii="Times New Roman" w:hAnsi="Times New Roman"/>
          <w:i/>
        </w:rPr>
        <w:t xml:space="preserve"> and others v Commission</w:t>
      </w:r>
      <w:r>
        <w:rPr>
          <w:rFonts w:ascii="Times New Roman" w:hAnsi="Times New Roman"/>
        </w:rPr>
        <w:t xml:space="preserve">, Order by the President of the General Court of 25 October 2018, not yet published.  </w:t>
      </w:r>
    </w:p>
  </w:footnote>
  <w:footnote w:id="5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C-65/18 – </w:t>
      </w:r>
      <w:r>
        <w:rPr>
          <w:rFonts w:ascii="Times New Roman" w:hAnsi="Times New Roman"/>
          <w:i/>
        </w:rPr>
        <w:t>Nexans France and Nexans v European Commission</w:t>
      </w:r>
      <w:r>
        <w:rPr>
          <w:rFonts w:ascii="Times New Roman" w:hAnsi="Times New Roman"/>
        </w:rPr>
        <w:t>, Order of the Vice President of the Court of Justice of 2 February 2018, ECLI:EU</w:t>
      </w:r>
      <w:r>
        <w:rPr>
          <w:rFonts w:ascii="Times New Roman" w:hAnsi="Times New Roman"/>
        </w:rPr>
        <w:t>:C:2018:426.</w:t>
      </w:r>
    </w:p>
  </w:footnote>
  <w:footnote w:id="54">
    <w:p w:rsidR="00320198" w:rsidRDefault="005C0948">
      <w:pPr>
        <w:pStyle w:val="FootnoteText"/>
        <w:spacing w:after="0" w:line="240" w:lineRule="auto"/>
        <w:ind w:left="284" w:hanging="284"/>
        <w:rPr>
          <w:rStyle w:val="Hyperlink"/>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19" w:history="1">
        <w:r>
          <w:rPr>
            <w:rStyle w:val="Hyperlink"/>
            <w:rFonts w:ascii="Times New Roman" w:hAnsi="Times New Roman"/>
          </w:rPr>
          <w:t>http://europa.eu/rapid/press-release_IP-18-2281_en.htm</w:t>
        </w:r>
      </w:hyperlink>
      <w:r>
        <w:rPr>
          <w:rStyle w:val="Hyperlink"/>
          <w:rFonts w:ascii="Times New Roman" w:hAnsi="Times New Roman"/>
        </w:rPr>
        <w:t>, and: https://eur-lex.europa.eu/legal-content/EN/TXT/?uri=CELEX:52018XC1211(01).</w:t>
      </w:r>
    </w:p>
  </w:footnote>
  <w:footnote w:id="55">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20" w:history="1">
        <w:r>
          <w:rPr>
            <w:rStyle w:val="Hyperlink"/>
            <w:rFonts w:ascii="Times New Roman" w:hAnsi="Times New Roman"/>
          </w:rPr>
          <w:t>http://europa.eu/rapid/press-release_IP-18-962_en.htm</w:t>
        </w:r>
      </w:hyperlink>
      <w:hyperlink w:history="1"/>
      <w:r>
        <w:rPr>
          <w:rFonts w:ascii="Times New Roman" w:hAnsi="Times New Roman"/>
          <w:bCs/>
        </w:rPr>
        <w:t xml:space="preserve">., and: https://eur-lex.europa.eu/legal-content/EN/TXT/?uri=CELEX:52018XC0906(01). </w:t>
      </w:r>
    </w:p>
  </w:footnote>
  <w:footnote w:id="56">
    <w:p w:rsidR="00320198" w:rsidRDefault="005C0948">
      <w:pPr>
        <w:pStyle w:val="FootnoteText"/>
        <w:spacing w:after="0" w:line="240" w:lineRule="auto"/>
        <w:ind w:left="284" w:hanging="284"/>
        <w:rPr>
          <w:rStyle w:val="Hyperlink"/>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DG Competition 2018 Annual Activity Report. To be pu</w:t>
      </w:r>
      <w:r>
        <w:rPr>
          <w:rFonts w:ascii="Times New Roman" w:hAnsi="Times New Roman"/>
        </w:rPr>
        <w:t xml:space="preserve">blished here: </w:t>
      </w:r>
      <w:r>
        <w:rPr>
          <w:rStyle w:val="Hyperlink"/>
          <w:rFonts w:ascii="Times New Roman" w:hAnsi="Times New Roman"/>
        </w:rPr>
        <w:t xml:space="preserve">https://ec.europa.eu/info/publications/annual-activity-reports_en. </w:t>
      </w:r>
    </w:p>
  </w:footnote>
  <w:footnote w:id="5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Communication from the Commission of 9 July 2014, </w:t>
      </w:r>
      <w:r>
        <w:rPr>
          <w:rFonts w:ascii="Times New Roman" w:hAnsi="Times New Roman"/>
          <w:i/>
        </w:rPr>
        <w:t>Ten Years of Antitrust Enforcement under Regulation 1/2003: Achievements and Future Perspectives</w:t>
      </w:r>
      <w:r>
        <w:rPr>
          <w:rFonts w:ascii="Times New Roman" w:hAnsi="Times New Roman"/>
        </w:rPr>
        <w:t xml:space="preserve">, COM/2014/0453 See: </w:t>
      </w:r>
      <w:hyperlink r:id="rId21" w:history="1">
        <w:r>
          <w:rPr>
            <w:rStyle w:val="Hyperlink"/>
            <w:rFonts w:ascii="Times New Roman" w:hAnsi="Times New Roman"/>
          </w:rPr>
          <w:t>http://ec.europa.eu/competition/antitrust/legislation/antitrust_enforcement_10_years_en.pdf</w:t>
        </w:r>
      </w:hyperlink>
      <w:r>
        <w:rPr>
          <w:rStyle w:val="Hyperlink"/>
          <w:rFonts w:ascii="Times New Roman" w:hAnsi="Times New Roman"/>
        </w:rPr>
        <w:t>.</w:t>
      </w:r>
    </w:p>
  </w:footnote>
  <w:footnote w:id="5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22" w:history="1">
        <w:r>
          <w:rPr>
            <w:rStyle w:val="Hyperlink"/>
            <w:rFonts w:ascii="Times New Roman" w:hAnsi="Times New Roman"/>
          </w:rPr>
          <w:t>http://ec.europa.eu/competition/consultations/2015_effective_enforcers/index_en.html</w:t>
        </w:r>
      </w:hyperlink>
      <w:r>
        <w:rPr>
          <w:rFonts w:ascii="Times New Roman" w:hAnsi="Times New Roman"/>
        </w:rPr>
        <w:t>.</w:t>
      </w:r>
    </w:p>
  </w:footnote>
  <w:footnote w:id="59">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23" w:history="1">
        <w:r>
          <w:rPr>
            <w:rStyle w:val="Hyperlink"/>
            <w:rFonts w:ascii="Times New Roman" w:hAnsi="Times New Roman"/>
          </w:rPr>
          <w:t>http://europa.eu/rapid/press-release_IP-15-5998_en.htm</w:t>
        </w:r>
      </w:hyperlink>
      <w:r>
        <w:rPr>
          <w:rFonts w:ascii="Times New Roman" w:hAnsi="Times New Roman"/>
        </w:rPr>
        <w:t xml:space="preserve"> and </w:t>
      </w:r>
      <w:hyperlink r:id="rId24" w:history="1">
        <w:r>
          <w:rPr>
            <w:rStyle w:val="Hyperlink"/>
            <w:rFonts w:ascii="Times New Roman" w:hAnsi="Times New Roman"/>
          </w:rPr>
          <w:t>http://ec.europa.eu/competition/consultations/2015_effective_enforcers/index_en.html</w:t>
        </w:r>
      </w:hyperlink>
      <w:r>
        <w:rPr>
          <w:rFonts w:ascii="Times New Roman" w:hAnsi="Times New Roman"/>
        </w:rPr>
        <w:t xml:space="preserve">. </w:t>
      </w:r>
    </w:p>
  </w:footnote>
  <w:footnote w:id="6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25" w:history="1">
        <w:r>
          <w:rPr>
            <w:rStyle w:val="Hyperlink"/>
            <w:rFonts w:ascii="Times New Roman" w:hAnsi="Times New Roman"/>
          </w:rPr>
          <w:t>http://ec.europa.eu/competition/antitrust/nca.html</w:t>
        </w:r>
      </w:hyperlink>
      <w:r>
        <w:rPr>
          <w:rFonts w:ascii="Times New Roman" w:hAnsi="Times New Roman"/>
        </w:rPr>
        <w:t xml:space="preserve">. </w:t>
      </w:r>
    </w:p>
  </w:footnote>
  <w:footnote w:id="61">
    <w:p w:rsidR="00320198" w:rsidRDefault="005C0948">
      <w:pPr>
        <w:pStyle w:val="NormalWeb"/>
        <w:spacing w:before="0" w:beforeAutospacing="0" w:after="0" w:afterAutospacing="0"/>
        <w:ind w:left="284" w:hanging="284"/>
        <w:jc w:val="both"/>
        <w:rPr>
          <w:sz w:val="20"/>
          <w:szCs w:val="20"/>
        </w:rPr>
      </w:pPr>
      <w:r>
        <w:rPr>
          <w:rFonts w:eastAsia="Calibri"/>
          <w:sz w:val="20"/>
          <w:szCs w:val="20"/>
          <w:vertAlign w:val="superscript"/>
          <w:lang w:eastAsia="en-US"/>
        </w:rPr>
        <w:footnoteRef/>
      </w:r>
      <w:r>
        <w:rPr>
          <w:rFonts w:eastAsia="Calibri"/>
          <w:sz w:val="20"/>
          <w:szCs w:val="20"/>
          <w:vertAlign w:val="superscript"/>
          <w:lang w:eastAsia="en-US"/>
        </w:rPr>
        <w:t xml:space="preserve"> </w:t>
      </w:r>
      <w:r>
        <w:rPr>
          <w:sz w:val="20"/>
          <w:szCs w:val="20"/>
        </w:rPr>
        <w:tab/>
        <w:t xml:space="preserve">Directive (EU) 2019/1 of the European Parliament and of the Council of 11 December 2018 to empower the competition authorities of the </w:t>
      </w:r>
      <w:r>
        <w:rPr>
          <w:sz w:val="20"/>
          <w:szCs w:val="20"/>
        </w:rPr>
        <w:t xml:space="preserve">Member States to be more effective enforcers and to ensure the proper functioning of the internal market (Text with EEA relevance.) </w:t>
      </w:r>
      <w:r>
        <w:rPr>
          <w:rStyle w:val="Emphasis"/>
          <w:sz w:val="20"/>
          <w:szCs w:val="20"/>
        </w:rPr>
        <w:t>OJ L 11, 14.1.2019, p. 3–33.</w:t>
      </w:r>
    </w:p>
  </w:footnote>
  <w:footnote w:id="6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Directive 2014/104/EU of the European Parliament and of the Council of 26 November 2014 on </w:t>
      </w:r>
      <w:r>
        <w:rPr>
          <w:rFonts w:ascii="Times New Roman" w:hAnsi="Times New Roman"/>
        </w:rPr>
        <w:t>certain rules governing actions for damages under national law for infringements of the competition law provisions of the Member States and of the European Union, OJ L 349, 5.12.2014, pp. 1-19.</w:t>
      </w:r>
    </w:p>
  </w:footnote>
  <w:footnote w:id="63">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European Commission Study on the Passing-On of Overcharges.</w:t>
      </w:r>
      <w:r>
        <w:rPr>
          <w:rFonts w:ascii="Times New Roman" w:hAnsi="Times New Roman"/>
        </w:rPr>
        <w:t xml:space="preserve"> See:  </w:t>
      </w:r>
      <w:hyperlink r:id="rId26" w:history="1">
        <w:r>
          <w:rPr>
            <w:rStyle w:val="Hyperlink"/>
            <w:rFonts w:ascii="Times New Roman" w:hAnsi="Times New Roman"/>
          </w:rPr>
          <w:t>www.ec.europa.eu/competition/publications/reports/KD0216916ENN.pdf</w:t>
        </w:r>
      </w:hyperlink>
      <w:r>
        <w:rPr>
          <w:rFonts w:ascii="Times New Roman" w:hAnsi="Times New Roman"/>
        </w:rPr>
        <w:t xml:space="preserve">.   </w:t>
      </w:r>
    </w:p>
  </w:footnote>
  <w:footnote w:id="6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As foreseen in Article 16 of the Antitrust Damages Directive.</w:t>
      </w:r>
    </w:p>
  </w:footnote>
  <w:footnote w:id="6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M.8084 </w:t>
      </w:r>
      <w:r>
        <w:rPr>
          <w:rFonts w:ascii="Times New Roman" w:hAnsi="Times New Roman"/>
          <w:i/>
        </w:rPr>
        <w:t>Bayer/Mo</w:t>
      </w:r>
      <w:r>
        <w:rPr>
          <w:rFonts w:ascii="Times New Roman" w:hAnsi="Times New Roman"/>
          <w:i/>
        </w:rPr>
        <w:t xml:space="preserve">nsanto, </w:t>
      </w:r>
      <w:r>
        <w:rPr>
          <w:rFonts w:ascii="Times New Roman" w:hAnsi="Times New Roman"/>
        </w:rPr>
        <w:t xml:space="preserve">Commission decision of 21 March 2018. See: </w:t>
      </w:r>
      <w:hyperlink r:id="rId27" w:history="1">
        <w:r>
          <w:rPr>
            <w:rStyle w:val="Hyperlink"/>
            <w:rFonts w:ascii="Times New Roman" w:hAnsi="Times New Roman"/>
          </w:rPr>
          <w:t>http://europa.eu/rapid/press-release_IP-17-772_en.htm. See also Case M.8851</w:t>
        </w:r>
      </w:hyperlink>
      <w:r>
        <w:rPr>
          <w:rFonts w:ascii="Times New Roman" w:hAnsi="Times New Roman"/>
        </w:rPr>
        <w:t xml:space="preserve"> - </w:t>
      </w:r>
      <w:r>
        <w:rPr>
          <w:rFonts w:ascii="Times New Roman" w:hAnsi="Times New Roman"/>
          <w:i/>
        </w:rPr>
        <w:t>BASF / Bayer divestment bus</w:t>
      </w:r>
      <w:r>
        <w:rPr>
          <w:rFonts w:ascii="Times New Roman" w:hAnsi="Times New Roman"/>
          <w:i/>
        </w:rPr>
        <w:t>iness</w:t>
      </w:r>
      <w:r>
        <w:rPr>
          <w:rFonts w:ascii="Times New Roman" w:hAnsi="Times New Roman"/>
        </w:rPr>
        <w:t xml:space="preserve">, Commission decision of 30 April 2018. See: </w:t>
      </w:r>
      <w:hyperlink r:id="rId28" w:history="1">
        <w:r>
          <w:rPr>
            <w:rStyle w:val="Hyperlink"/>
            <w:rFonts w:ascii="Times New Roman" w:hAnsi="Times New Roman"/>
          </w:rPr>
          <w:t>http://europa.eu/rapid/press-release_IP-18-3622_en.htm</w:t>
        </w:r>
      </w:hyperlink>
      <w:r>
        <w:rPr>
          <w:rFonts w:ascii="Times New Roman" w:hAnsi="Times New Roman"/>
        </w:rPr>
        <w:t xml:space="preserve">. </w:t>
      </w:r>
    </w:p>
  </w:footnote>
  <w:footnote w:id="6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M.8955 - </w:t>
      </w:r>
      <w:r>
        <w:rPr>
          <w:rFonts w:ascii="Times New Roman" w:hAnsi="Times New Roman"/>
          <w:i/>
        </w:rPr>
        <w:t xml:space="preserve">Takeda/Shire. See: </w:t>
      </w:r>
      <w:hyperlink r:id="rId29" w:history="1">
        <w:r>
          <w:rPr>
            <w:rStyle w:val="Hyperlink"/>
            <w:rFonts w:ascii="Times New Roman" w:hAnsi="Times New Roman"/>
          </w:rPr>
          <w:t>http://europa.eu/rapid/press-release_IP-18-6497_en.htm</w:t>
        </w:r>
      </w:hyperlink>
      <w:r>
        <w:rPr>
          <w:rFonts w:ascii="Times New Roman" w:hAnsi="Times New Roman"/>
        </w:rPr>
        <w:t>.</w:t>
      </w:r>
    </w:p>
  </w:footnote>
  <w:footnote w:id="6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M.8658 - </w:t>
      </w:r>
      <w:r>
        <w:rPr>
          <w:rFonts w:ascii="Times New Roman" w:hAnsi="Times New Roman"/>
          <w:i/>
        </w:rPr>
        <w:t>UTC/Rockwell</w:t>
      </w:r>
      <w:r>
        <w:rPr>
          <w:rFonts w:ascii="Times New Roman" w:hAnsi="Times New Roman"/>
        </w:rPr>
        <w:t xml:space="preserve">. See: </w:t>
      </w:r>
      <w:hyperlink r:id="rId30" w:history="1">
        <w:r>
          <w:rPr>
            <w:rStyle w:val="Hyperlink"/>
            <w:rFonts w:ascii="Times New Roman" w:hAnsi="Times New Roman"/>
          </w:rPr>
          <w:t>http://europa.eu/rapid/p</w:t>
        </w:r>
        <w:r>
          <w:rPr>
            <w:rStyle w:val="Hyperlink"/>
            <w:rFonts w:ascii="Times New Roman" w:hAnsi="Times New Roman"/>
          </w:rPr>
          <w:t>ress-release_IP-18-3682_en.htm</w:t>
        </w:r>
      </w:hyperlink>
      <w:r>
        <w:rPr>
          <w:rFonts w:ascii="Times New Roman" w:hAnsi="Times New Roman"/>
        </w:rPr>
        <w:t xml:space="preserve">. </w:t>
      </w:r>
    </w:p>
  </w:footnote>
  <w:footnote w:id="6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For the purposes of this report, decisions based on Articles 6(1)(a), 6(1)b, 6(1)b in combination with 6(2), 8(1), 8(2) and 8(3) of the Merger Regulation are considered as final decisions.</w:t>
      </w:r>
    </w:p>
  </w:footnote>
  <w:footnote w:id="69">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DG Competition 2018 Annual A</w:t>
      </w:r>
      <w:r>
        <w:rPr>
          <w:rFonts w:ascii="Times New Roman" w:hAnsi="Times New Roman"/>
        </w:rPr>
        <w:t>ctivity Report. To be published here: https://ec.europa.eu/info/publications/annual-activity-reports_en.</w:t>
      </w:r>
    </w:p>
  </w:footnote>
  <w:footnote w:id="7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Commission interventions in merger cases include prohibition decisions and mergers cleared subject to commitments, as well as withdrawals during sec</w:t>
      </w:r>
      <w:r>
        <w:rPr>
          <w:rFonts w:ascii="Times New Roman" w:hAnsi="Times New Roman"/>
        </w:rPr>
        <w:t>ond phase in-depth investigation.</w:t>
      </w:r>
    </w:p>
  </w:footnote>
  <w:footnote w:id="7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M.8547 - </w:t>
      </w:r>
      <w:r>
        <w:rPr>
          <w:rFonts w:ascii="Times New Roman" w:hAnsi="Times New Roman"/>
          <w:i/>
        </w:rPr>
        <w:t>CELANESE / BLACKSTONE</w:t>
      </w:r>
      <w:r>
        <w:rPr>
          <w:rFonts w:ascii="Times New Roman" w:hAnsi="Times New Roman"/>
        </w:rPr>
        <w:t xml:space="preserve">  / JV, notified to the Commission on 12 September 2017 and the notification withdrawn on 19 march 2018 and case M.8907 - </w:t>
      </w:r>
      <w:r>
        <w:rPr>
          <w:rFonts w:ascii="Times New Roman" w:hAnsi="Times New Roman"/>
          <w:i/>
        </w:rPr>
        <w:t>APERAM / VDM</w:t>
      </w:r>
      <w:r>
        <w:rPr>
          <w:rFonts w:ascii="Times New Roman" w:hAnsi="Times New Roman"/>
        </w:rPr>
        <w:t>, notified to the Commission on 23 October 2018 an</w:t>
      </w:r>
      <w:r>
        <w:rPr>
          <w:rFonts w:ascii="Times New Roman" w:hAnsi="Times New Roman"/>
        </w:rPr>
        <w:t>d the notification withdrawn on 21 December 2018.</w:t>
      </w:r>
    </w:p>
  </w:footnote>
  <w:footnote w:id="72">
    <w:p w:rsidR="00320198" w:rsidRDefault="005C0948">
      <w:pPr>
        <w:pStyle w:val="FootnoteText"/>
        <w:spacing w:after="0" w:line="240" w:lineRule="auto"/>
        <w:ind w:left="284" w:hanging="284"/>
        <w:jc w:val="both"/>
        <w:rPr>
          <w:rStyle w:val="Hyperlink"/>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M.8084 - </w:t>
      </w:r>
      <w:r>
        <w:rPr>
          <w:rFonts w:ascii="Times New Roman" w:hAnsi="Times New Roman"/>
          <w:i/>
        </w:rPr>
        <w:t xml:space="preserve">Bayer/Monsanto. </w:t>
      </w:r>
      <w:r>
        <w:rPr>
          <w:rFonts w:ascii="Times New Roman" w:hAnsi="Times New Roman"/>
        </w:rPr>
        <w:t>See:</w:t>
      </w:r>
      <w:r>
        <w:rPr>
          <w:rStyle w:val="Hyperlink"/>
          <w:rFonts w:ascii="Times New Roman" w:hAnsi="Times New Roman"/>
          <w:u w:val="none"/>
        </w:rPr>
        <w:t xml:space="preserve"> </w:t>
      </w:r>
      <w:hyperlink r:id="rId31" w:history="1">
        <w:r>
          <w:rPr>
            <w:rStyle w:val="Hyperlink"/>
            <w:rFonts w:ascii="Times New Roman" w:hAnsi="Times New Roman"/>
          </w:rPr>
          <w:t>http://europa.eu/rapid/press-release_IP-17-772_en.htm</w:t>
        </w:r>
      </w:hyperlink>
      <w:r>
        <w:rPr>
          <w:rStyle w:val="Hyperlink"/>
          <w:rFonts w:ascii="Times New Roman" w:hAnsi="Times New Roman"/>
        </w:rPr>
        <w:t>.</w:t>
      </w:r>
    </w:p>
  </w:footnote>
  <w:footnote w:id="7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M.8851 - </w:t>
      </w:r>
      <w:r>
        <w:rPr>
          <w:rFonts w:ascii="Times New Roman" w:hAnsi="Times New Roman"/>
          <w:i/>
        </w:rPr>
        <w:t>BASF / Bayer</w:t>
      </w:r>
      <w:r>
        <w:rPr>
          <w:rFonts w:ascii="Times New Roman" w:hAnsi="Times New Roman"/>
        </w:rPr>
        <w:t xml:space="preserve"> divestment b</w:t>
      </w:r>
      <w:r>
        <w:rPr>
          <w:rFonts w:ascii="Times New Roman" w:hAnsi="Times New Roman"/>
        </w:rPr>
        <w:t xml:space="preserve">usiness. See: </w:t>
      </w:r>
      <w:hyperlink r:id="rId32" w:history="1">
        <w:r>
          <w:rPr>
            <w:rStyle w:val="Hyperlink"/>
            <w:rFonts w:ascii="Times New Roman" w:hAnsi="Times New Roman"/>
          </w:rPr>
          <w:t>http://europa.eu/rapid/press-release_IP-18-3622_en.htm</w:t>
        </w:r>
      </w:hyperlink>
      <w:r>
        <w:rPr>
          <w:rFonts w:ascii="Times New Roman" w:hAnsi="Times New Roman"/>
        </w:rPr>
        <w:t>.</w:t>
      </w:r>
    </w:p>
  </w:footnote>
  <w:footnote w:id="74">
    <w:p w:rsidR="00320198" w:rsidRDefault="005C0948">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M.8084 - </w:t>
      </w:r>
      <w:r>
        <w:rPr>
          <w:rFonts w:ascii="Times New Roman" w:hAnsi="Times New Roman"/>
          <w:i/>
        </w:rPr>
        <w:t xml:space="preserve">Bayer/Monsanto, </w:t>
      </w:r>
      <w:r>
        <w:rPr>
          <w:rFonts w:ascii="Times New Roman" w:hAnsi="Times New Roman"/>
        </w:rPr>
        <w:t>Commission decision of 21 March 2018</w:t>
      </w:r>
      <w:r>
        <w:rPr>
          <w:rFonts w:ascii="Times New Roman" w:hAnsi="Times New Roman"/>
          <w:lang w:val="en-US"/>
        </w:rPr>
        <w:t xml:space="preserve">; Case M.8444 -  </w:t>
      </w:r>
      <w:r>
        <w:rPr>
          <w:rFonts w:ascii="Times New Roman" w:hAnsi="Times New Roman"/>
          <w:i/>
          <w:lang w:val="en-US"/>
        </w:rPr>
        <w:t>Arcelormittal/Ilva</w:t>
      </w:r>
      <w:r>
        <w:rPr>
          <w:rFonts w:ascii="Times New Roman" w:hAnsi="Times New Roman"/>
          <w:lang w:val="en-US"/>
        </w:rPr>
        <w:t xml:space="preserve">, Commission decision of 7 May 2018; Case M.8480 - </w:t>
      </w:r>
      <w:r>
        <w:rPr>
          <w:rFonts w:ascii="Times New Roman" w:hAnsi="Times New Roman"/>
          <w:i/>
          <w:lang w:val="en-US"/>
        </w:rPr>
        <w:t>Praxair/Linde</w:t>
      </w:r>
      <w:r>
        <w:rPr>
          <w:rFonts w:ascii="Times New Roman" w:hAnsi="Times New Roman"/>
          <w:lang w:val="en-US"/>
        </w:rPr>
        <w:t>, Commission decision of 20 August 201.</w:t>
      </w:r>
    </w:p>
  </w:footnote>
  <w:footnote w:id="75">
    <w:p w:rsidR="00320198" w:rsidRDefault="005C0948">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r>
        <w:rPr>
          <w:rFonts w:ascii="Times New Roman" w:hAnsi="Times New Roman"/>
          <w:lang w:val="en-US"/>
        </w:rPr>
        <w:t>Case</w:t>
      </w:r>
      <w:r>
        <w:rPr>
          <w:rFonts w:ascii="Times New Roman" w:hAnsi="Times New Roman"/>
          <w:lang w:val="en-US"/>
        </w:rPr>
        <w:tab/>
        <w:t xml:space="preserve">M.8306 - </w:t>
      </w:r>
      <w:r>
        <w:rPr>
          <w:rFonts w:ascii="Times New Roman" w:hAnsi="Times New Roman"/>
          <w:i/>
          <w:lang w:val="en-US"/>
        </w:rPr>
        <w:t>Qualcomm/NXP semiconductors</w:t>
      </w:r>
      <w:r>
        <w:rPr>
          <w:rFonts w:ascii="Times New Roman" w:hAnsi="Times New Roman"/>
          <w:lang w:val="en-US"/>
        </w:rPr>
        <w:t xml:space="preserve">, Commission decision of 18 January 2018; Case M.7000 - </w:t>
      </w:r>
      <w:r>
        <w:rPr>
          <w:rFonts w:ascii="Times New Roman" w:hAnsi="Times New Roman"/>
          <w:i/>
          <w:lang w:val="en-US"/>
        </w:rPr>
        <w:t>Libery Global/Ziggo</w:t>
      </w:r>
      <w:r>
        <w:rPr>
          <w:rFonts w:ascii="Times New Roman" w:hAnsi="Times New Roman"/>
          <w:lang w:val="en-US"/>
        </w:rPr>
        <w:t>, Commission decision of 30 May 2</w:t>
      </w:r>
      <w:r>
        <w:rPr>
          <w:rFonts w:ascii="Times New Roman" w:hAnsi="Times New Roman"/>
          <w:lang w:val="en-US"/>
        </w:rPr>
        <w:t>018.</w:t>
      </w:r>
    </w:p>
  </w:footnote>
  <w:footnote w:id="7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Council Regulation (EC) No 139/2004 of 20 January 2004 on the control of concentrations between undertakings (the EC Merger Regulation), OJ L 24, 29.1.2004, pp. 1-22.</w:t>
      </w:r>
    </w:p>
  </w:footnote>
  <w:footnote w:id="7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M.8228 - </w:t>
      </w:r>
      <w:r>
        <w:rPr>
          <w:rFonts w:ascii="Times New Roman" w:hAnsi="Times New Roman"/>
          <w:i/>
        </w:rPr>
        <w:t>Facebook/ WhatsApp</w:t>
      </w:r>
      <w:r>
        <w:rPr>
          <w:rFonts w:ascii="Times New Roman" w:hAnsi="Times New Roman"/>
        </w:rPr>
        <w:t xml:space="preserve">. See: </w:t>
      </w:r>
      <w:hyperlink r:id="rId33" w:history="1">
        <w:r>
          <w:rPr>
            <w:rStyle w:val="Hyperlink"/>
            <w:rFonts w:ascii="Times New Roman" w:hAnsi="Times New Roman"/>
          </w:rPr>
          <w:t>http://europa.eu/rapid/press-release_IP-17-1369_en.htm</w:t>
        </w:r>
      </w:hyperlink>
      <w:r>
        <w:rPr>
          <w:rStyle w:val="Hyperlink"/>
          <w:rFonts w:ascii="Times New Roman" w:hAnsi="Times New Roman"/>
        </w:rPr>
        <w:t>.</w:t>
      </w:r>
      <w:r>
        <w:rPr>
          <w:rFonts w:ascii="Times New Roman" w:hAnsi="Times New Roman"/>
        </w:rPr>
        <w:t xml:space="preserve"> </w:t>
      </w:r>
    </w:p>
  </w:footnote>
  <w:footnote w:id="7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34" w:history="1">
        <w:r>
          <w:rPr>
            <w:rStyle w:val="Hyperlink"/>
            <w:rFonts w:ascii="Times New Roman" w:hAnsi="Times New Roman"/>
          </w:rPr>
          <w:t>http://europa.eu/rapid/press-release_IP-18-3522_en.htm</w:t>
        </w:r>
      </w:hyperlink>
      <w:r>
        <w:rPr>
          <w:rFonts w:ascii="Times New Roman" w:hAnsi="Times New Roman"/>
        </w:rPr>
        <w:t>.</w:t>
      </w:r>
    </w:p>
  </w:footnote>
  <w:footnote w:id="79">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r>
        <w:rPr>
          <w:rFonts w:ascii="Times New Roman" w:hAnsi="Times New Roman"/>
          <w:noProof/>
        </w:rPr>
        <w:t xml:space="preserve">See: </w:t>
      </w:r>
      <w:hyperlink r:id="rId35" w:history="1">
        <w:r>
          <w:rPr>
            <w:rStyle w:val="Hyperlink"/>
            <w:rFonts w:ascii="Times New Roman" w:hAnsi="Times New Roman"/>
          </w:rPr>
          <w:t>http://ec.europa.eu/competition/consultations/2014_merger_control/index_en.html</w:t>
        </w:r>
      </w:hyperlink>
      <w:r>
        <w:rPr>
          <w:rFonts w:ascii="Times New Roman" w:hAnsi="Times New Roman"/>
        </w:rPr>
        <w:t xml:space="preserve">. </w:t>
      </w:r>
    </w:p>
  </w:footnote>
  <w:footnote w:id="80">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For the summary of the submissions and their non-confidential versions, see: </w:t>
      </w:r>
      <w:hyperlink r:id="rId36" w:history="1">
        <w:r>
          <w:rPr>
            <w:rStyle w:val="Hyperlink"/>
            <w:rFonts w:ascii="Times New Roman" w:hAnsi="Times New Roman"/>
          </w:rPr>
          <w:t>http://ec.europa.eu/competition/consultations/2016_merger_control/index_en.html</w:t>
        </w:r>
      </w:hyperlink>
      <w:r>
        <w:rPr>
          <w:rFonts w:ascii="Times New Roman" w:hAnsi="Times New Roman"/>
        </w:rPr>
        <w:t xml:space="preserve">. </w:t>
      </w:r>
    </w:p>
  </w:footnote>
  <w:footnote w:id="8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iCs/>
          <w:color w:val="000000" w:themeColor="text1"/>
        </w:rPr>
        <w:t xml:space="preserve">Case T-712/16 - </w:t>
      </w:r>
      <w:r>
        <w:rPr>
          <w:rFonts w:ascii="Times New Roman" w:hAnsi="Times New Roman"/>
          <w:i/>
          <w:iCs/>
          <w:color w:val="000000" w:themeColor="text1"/>
        </w:rPr>
        <w:t>Deutsche Lufthansa AG v Commission</w:t>
      </w:r>
      <w:r>
        <w:rPr>
          <w:rFonts w:ascii="Times New Roman" w:hAnsi="Times New Roman"/>
          <w:iCs/>
          <w:color w:val="000000" w:themeColor="text1"/>
        </w:rPr>
        <w:t>, judgment of the General Court of 18 May 2018.</w:t>
      </w:r>
    </w:p>
  </w:footnote>
  <w:footnote w:id="82">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Commission Decision C(2016) 4964 final of 25 July 2016, see: </w:t>
      </w:r>
      <w:hyperlink r:id="rId37" w:history="1">
        <w:r>
          <w:rPr>
            <w:rStyle w:val="Hyperlink"/>
            <w:rFonts w:ascii="Times New Roman" w:hAnsi="Times New Roman"/>
          </w:rPr>
          <w:t>http://</w:t>
        </w:r>
        <w:r>
          <w:rPr>
            <w:rStyle w:val="Hyperlink"/>
            <w:rFonts w:ascii="Times New Roman" w:hAnsi="Times New Roman"/>
            <w:bCs/>
          </w:rPr>
          <w:t>ec.europa.eu</w:t>
        </w:r>
        <w:r>
          <w:rPr>
            <w:rStyle w:val="Hyperlink"/>
            <w:rFonts w:ascii="Times New Roman" w:hAnsi="Times New Roman"/>
          </w:rPr>
          <w:t>/competition/mergers/</w:t>
        </w:r>
        <w:r>
          <w:rPr>
            <w:rStyle w:val="Hyperlink"/>
            <w:rFonts w:ascii="Times New Roman" w:hAnsi="Times New Roman"/>
            <w:bCs/>
          </w:rPr>
          <w:t>cases</w:t>
        </w:r>
        <w:r>
          <w:rPr>
            <w:rStyle w:val="Hyperlink"/>
            <w:rFonts w:ascii="Times New Roman" w:hAnsi="Times New Roman"/>
          </w:rPr>
          <w:t>/</w:t>
        </w:r>
        <w:r>
          <w:rPr>
            <w:rStyle w:val="Hyperlink"/>
            <w:rFonts w:ascii="Times New Roman" w:hAnsi="Times New Roman"/>
            <w:bCs/>
          </w:rPr>
          <w:t>decisions</w:t>
        </w:r>
        <w:r>
          <w:rPr>
            <w:rStyle w:val="Hyperlink"/>
            <w:rFonts w:ascii="Times New Roman" w:hAnsi="Times New Roman"/>
          </w:rPr>
          <w:t>/</w:t>
        </w:r>
        <w:r>
          <w:rPr>
            <w:rStyle w:val="Hyperlink"/>
            <w:rFonts w:ascii="Times New Roman" w:hAnsi="Times New Roman"/>
            <w:bCs/>
          </w:rPr>
          <w:t>m3770</w:t>
        </w:r>
        <w:r>
          <w:rPr>
            <w:rStyle w:val="Hyperlink"/>
            <w:rFonts w:ascii="Times New Roman" w:hAnsi="Times New Roman"/>
          </w:rPr>
          <w:t>_373_3.pdf</w:t>
        </w:r>
      </w:hyperlink>
      <w:r>
        <w:rPr>
          <w:rFonts w:ascii="Times New Roman" w:hAnsi="Times New Roman"/>
        </w:rPr>
        <w:t xml:space="preserve">.  </w:t>
      </w:r>
    </w:p>
  </w:footnote>
  <w:footnote w:id="83">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M.3770 – </w:t>
      </w:r>
      <w:r>
        <w:rPr>
          <w:rFonts w:ascii="Times New Roman" w:hAnsi="Times New Roman"/>
          <w:i/>
        </w:rPr>
        <w:t>Lufthansa/Swiss</w:t>
      </w:r>
      <w:r>
        <w:rPr>
          <w:rFonts w:ascii="Times New Roman" w:hAnsi="Times New Roman"/>
        </w:rPr>
        <w:t>, decision of 4 July 2005, see:</w:t>
      </w:r>
      <w:r>
        <w:rPr>
          <w:rFonts w:ascii="Times New Roman" w:hAnsi="Times New Roman"/>
          <w:b/>
          <w:bCs/>
          <w:color w:val="006D21"/>
        </w:rPr>
        <w:t xml:space="preserve"> </w:t>
      </w:r>
      <w:hyperlink r:id="rId38" w:history="1">
        <w:r>
          <w:rPr>
            <w:rStyle w:val="Hyperlink"/>
            <w:rFonts w:ascii="Times New Roman" w:hAnsi="Times New Roman"/>
            <w:bCs/>
          </w:rPr>
          <w:t>http://ec.europa.eu</w:t>
        </w:r>
        <w:r>
          <w:rPr>
            <w:rStyle w:val="Hyperlink"/>
            <w:rFonts w:ascii="Times New Roman" w:hAnsi="Times New Roman"/>
          </w:rPr>
          <w:t>/competition/mergers/</w:t>
        </w:r>
        <w:r>
          <w:rPr>
            <w:rStyle w:val="Hyperlink"/>
            <w:rFonts w:ascii="Times New Roman" w:hAnsi="Times New Roman"/>
            <w:bCs/>
          </w:rPr>
          <w:t>cases</w:t>
        </w:r>
        <w:r>
          <w:rPr>
            <w:rStyle w:val="Hyperlink"/>
            <w:rFonts w:ascii="Times New Roman" w:hAnsi="Times New Roman"/>
          </w:rPr>
          <w:t>/</w:t>
        </w:r>
        <w:r>
          <w:rPr>
            <w:rStyle w:val="Hyperlink"/>
            <w:rFonts w:ascii="Times New Roman" w:hAnsi="Times New Roman"/>
            <w:bCs/>
          </w:rPr>
          <w:t>decisions</w:t>
        </w:r>
        <w:r>
          <w:rPr>
            <w:rStyle w:val="Hyperlink"/>
            <w:rFonts w:ascii="Times New Roman" w:hAnsi="Times New Roman"/>
          </w:rPr>
          <w:t>/</w:t>
        </w:r>
        <w:r>
          <w:rPr>
            <w:rStyle w:val="Hyperlink"/>
            <w:rFonts w:ascii="Times New Roman" w:hAnsi="Times New Roman"/>
            <w:bCs/>
          </w:rPr>
          <w:t>m3770</w:t>
        </w:r>
        <w:r>
          <w:rPr>
            <w:rStyle w:val="Hyperlink"/>
            <w:rFonts w:ascii="Times New Roman" w:hAnsi="Times New Roman"/>
          </w:rPr>
          <w:t>_373_3.pdf</w:t>
        </w:r>
      </w:hyperlink>
      <w:r>
        <w:rPr>
          <w:rFonts w:ascii="Times New Roman" w:hAnsi="Times New Roman"/>
          <w:bCs/>
          <w:color w:val="006D21"/>
        </w:rPr>
        <w:t>.</w:t>
      </w:r>
      <w:r>
        <w:rPr>
          <w:rFonts w:ascii="Times New Roman" w:hAnsi="Times New Roman"/>
        </w:rPr>
        <w:t xml:space="preserve">   </w:t>
      </w:r>
    </w:p>
  </w:footnote>
  <w:footnote w:id="8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color w:val="000000" w:themeColor="text1"/>
        </w:rPr>
        <w:t>Case C-633/16 Ernst &amp; Young vs C-633/16 Er</w:t>
      </w:r>
      <w:r>
        <w:rPr>
          <w:rFonts w:ascii="Times New Roman" w:hAnsi="Times New Roman"/>
          <w:color w:val="000000" w:themeColor="text1"/>
        </w:rPr>
        <w:t>nst &amp; Young vs Konkurrencerådet,</w:t>
      </w:r>
      <w:r>
        <w:rPr>
          <w:rFonts w:ascii="Times New Roman" w:hAnsi="Times New Roman"/>
          <w:iCs/>
          <w:color w:val="000000" w:themeColor="text1"/>
        </w:rPr>
        <w:t xml:space="preserve"> judgment of 31 May 2018.</w:t>
      </w:r>
      <w:r>
        <w:rPr>
          <w:rFonts w:ascii="Times New Roman" w:hAnsi="Times New Roman"/>
          <w:color w:val="000000" w:themeColor="text1"/>
        </w:rPr>
        <w:t xml:space="preserve"> </w:t>
      </w:r>
    </w:p>
  </w:footnote>
  <w:footnote w:id="8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General Court judgements in cases T-43/16, T-884/16 and T-885/16. </w:t>
      </w:r>
    </w:p>
  </w:footnote>
  <w:footnote w:id="86">
    <w:p w:rsidR="00320198" w:rsidRDefault="005C0948">
      <w:pPr>
        <w:pStyle w:val="FootnoteText"/>
        <w:spacing w:after="0" w:line="240" w:lineRule="auto"/>
        <w:ind w:left="284" w:hanging="284"/>
        <w:rPr>
          <w:rFonts w:ascii="Times New Roman" w:hAnsi="Times New Roman"/>
          <w:lang w:val="de-DE"/>
        </w:rPr>
      </w:pPr>
      <w:r>
        <w:rPr>
          <w:rFonts w:ascii="Times New Roman" w:hAnsi="Times New Roman"/>
          <w:vertAlign w:val="superscript"/>
        </w:rPr>
        <w:footnoteRef/>
      </w:r>
      <w:r>
        <w:rPr>
          <w:rFonts w:ascii="Times New Roman" w:hAnsi="Times New Roman"/>
          <w:vertAlign w:val="superscript"/>
        </w:rPr>
        <w:tab/>
      </w:r>
      <w:r>
        <w:rPr>
          <w:rFonts w:ascii="Times New Roman" w:hAnsi="Times New Roman"/>
          <w:lang w:val="de-DE"/>
        </w:rPr>
        <w:t xml:space="preserve">Case M.7018  -  </w:t>
      </w:r>
      <w:r>
        <w:rPr>
          <w:rFonts w:ascii="Times New Roman" w:hAnsi="Times New Roman"/>
          <w:i/>
          <w:lang w:val="de-DE"/>
        </w:rPr>
        <w:t>Telefonica Deutschland/E-Plus</w:t>
      </w:r>
      <w:r>
        <w:rPr>
          <w:rFonts w:ascii="Times New Roman" w:hAnsi="Times New Roman"/>
          <w:lang w:val="de-DE"/>
        </w:rPr>
        <w:t xml:space="preserve">. See:  </w:t>
      </w:r>
      <w:hyperlink r:id="rId39" w:history="1">
        <w:r>
          <w:rPr>
            <w:rStyle w:val="Hyperlink"/>
            <w:rFonts w:ascii="Times New Roman" w:hAnsi="Times New Roman"/>
            <w:lang w:val="de-DE"/>
          </w:rPr>
          <w:t>http://ec.europa.eu/competition/mergers/cases/decisions/m7018_6053_3.pdf</w:t>
        </w:r>
      </w:hyperlink>
      <w:r>
        <w:rPr>
          <w:rStyle w:val="Hyperlink"/>
          <w:rFonts w:ascii="Times New Roman" w:hAnsi="Times New Roman"/>
          <w:lang w:val="de-DE"/>
        </w:rPr>
        <w:t>.</w:t>
      </w:r>
    </w:p>
  </w:footnote>
  <w:footnote w:id="8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The 2018 State Aid Scoreboard comprises aid expenditure made by Member States before 31 December 2017 and which falls under the scope of Article 107(1) TFEU. The data is based on the annual reporting by Member States pursuant to Article 6(1) of Commission </w:t>
      </w:r>
      <w:r>
        <w:rPr>
          <w:rFonts w:ascii="Times New Roman" w:hAnsi="Times New Roman"/>
        </w:rPr>
        <w:t xml:space="preserve">Regulation (EC) 794/2004. See: </w:t>
      </w:r>
      <w:hyperlink r:id="rId40" w:history="1">
        <w:r>
          <w:rPr>
            <w:rStyle w:val="Hyperlink"/>
            <w:rFonts w:ascii="Times New Roman" w:hAnsi="Times New Roman"/>
          </w:rPr>
          <w:t>http://ec.europa.eu/competition/state_aid/scoreboard/index_en.html</w:t>
        </w:r>
      </w:hyperlink>
      <w:r>
        <w:rPr>
          <w:rStyle w:val="Hyperlink"/>
          <w:rFonts w:ascii="Times New Roman" w:hAnsi="Times New Roman"/>
        </w:rPr>
        <w:t>.</w:t>
      </w:r>
      <w:r>
        <w:rPr>
          <w:rFonts w:ascii="Times New Roman" w:hAnsi="Times New Roman"/>
        </w:rPr>
        <w:t xml:space="preserve"> </w:t>
      </w:r>
    </w:p>
  </w:footnote>
  <w:footnote w:id="88">
    <w:p w:rsidR="00320198" w:rsidRDefault="005C0948">
      <w:pPr>
        <w:pStyle w:val="FootnoteText"/>
        <w:tabs>
          <w:tab w:val="left" w:pos="284"/>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Commission Regulation (EU) No 651/2014 of 17 June 2014 declaring certa</w:t>
      </w:r>
      <w:r>
        <w:rPr>
          <w:rFonts w:ascii="Times New Roman" w:hAnsi="Times New Roman"/>
        </w:rPr>
        <w:t>in categories of aid compatible with the internal market in application of Articles 107 and 108 of TFEU, OJ L 187, 26.6.2014, p.1.</w:t>
      </w:r>
    </w:p>
  </w:footnote>
  <w:footnote w:id="89">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The 2018 State Aid Scoreboard figures: </w:t>
      </w:r>
      <w:hyperlink r:id="rId41" w:history="1">
        <w:r>
          <w:rPr>
            <w:rStyle w:val="Hyperlink"/>
            <w:rFonts w:ascii="Times New Roman" w:hAnsi="Times New Roman"/>
          </w:rPr>
          <w:t>http://ec.europa.eu/competition/state_aid/scoreboard/index_en.html</w:t>
        </w:r>
      </w:hyperlink>
      <w:r>
        <w:rPr>
          <w:rStyle w:val="Hyperlink"/>
          <w:rFonts w:ascii="Times New Roman" w:hAnsi="Times New Roman"/>
        </w:rPr>
        <w:t xml:space="preserve">. </w:t>
      </w:r>
    </w:p>
  </w:footnote>
  <w:footnote w:id="9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Aid to innovation clusters and aid to process and organisational innovation, aid schemes to make good the damage caused by natural disasters, social aid for transport residents of remo</w:t>
      </w:r>
      <w:r>
        <w:rPr>
          <w:rFonts w:ascii="Times New Roman" w:hAnsi="Times New Roman"/>
        </w:rPr>
        <w:t>te regions, aid for broadband infrastructure, aid for culture and heritage conservation, including aid schemes for audio-visual works, aid for sport multifunctional recreational infrastructures, as well as investment aid for local infrastructure; the new G</w:t>
      </w:r>
      <w:r>
        <w:rPr>
          <w:rFonts w:ascii="Times New Roman" w:hAnsi="Times New Roman"/>
        </w:rPr>
        <w:t>BER also broadened categories of aid already covered by the previous (2008) GBER.</w:t>
      </w:r>
    </w:p>
  </w:footnote>
  <w:footnote w:id="9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In 2017, Member States reported more than 50 million EUR of State aid spending under Articles 56a and 56b of the GBER, of which 7 million EUR for inland ports, 39 million </w:t>
      </w:r>
      <w:r>
        <w:rPr>
          <w:rFonts w:ascii="Times New Roman" w:hAnsi="Times New Roman"/>
        </w:rPr>
        <w:t>EUR for maritime ports and 6 million EUR for regional airports, respectively.</w:t>
      </w:r>
    </w:p>
  </w:footnote>
  <w:footnote w:id="92">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Speech by European Commission President-elect on 10 September 2014, available at </w:t>
      </w:r>
      <w:hyperlink r:id="rId42" w:history="1">
        <w:r>
          <w:rPr>
            <w:rStyle w:val="Hyperlink"/>
            <w:rFonts w:ascii="Times New Roman" w:hAnsi="Times New Roman"/>
          </w:rPr>
          <w:t>http://europa.eu/rap</w:t>
        </w:r>
        <w:r>
          <w:rPr>
            <w:rStyle w:val="Hyperlink"/>
            <w:rFonts w:ascii="Times New Roman" w:hAnsi="Times New Roman"/>
          </w:rPr>
          <w:t>id/press-release_SPEECH-14-585_en.htm</w:t>
        </w:r>
      </w:hyperlink>
      <w:r>
        <w:rPr>
          <w:rStyle w:val="Hyperlink"/>
          <w:rFonts w:ascii="Times New Roman" w:hAnsi="Times New Roman"/>
        </w:rPr>
        <w:t>.</w:t>
      </w:r>
    </w:p>
  </w:footnote>
  <w:footnote w:id="9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Competition Policy Brief 4/2016: </w:t>
      </w:r>
      <w:hyperlink r:id="rId43" w:history="1">
        <w:r>
          <w:rPr>
            <w:rStyle w:val="Hyperlink"/>
            <w:rFonts w:ascii="Times New Roman" w:hAnsi="Times New Roman"/>
          </w:rPr>
          <w:t>http://ec.europa.eu/competition/publications/cpb/2016/2016_004_en.pdf</w:t>
        </w:r>
      </w:hyperlink>
      <w:r>
        <w:rPr>
          <w:rStyle w:val="Hyperlink"/>
          <w:rFonts w:ascii="Times New Roman" w:hAnsi="Times New Roman"/>
        </w:rPr>
        <w:t>.</w:t>
      </w:r>
      <w:r>
        <w:rPr>
          <w:rFonts w:ascii="Times New Roman" w:hAnsi="Times New Roman"/>
        </w:rPr>
        <w:t xml:space="preserve"> </w:t>
      </w:r>
    </w:p>
  </w:footnote>
  <w:footnote w:id="94">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See the Transparency</w:t>
      </w:r>
      <w:r>
        <w:rPr>
          <w:rFonts w:ascii="Times New Roman" w:hAnsi="Times New Roman"/>
        </w:rPr>
        <w:t xml:space="preserve"> Award Module (TAM): </w:t>
      </w:r>
      <w:hyperlink r:id="rId44" w:history="1">
        <w:r>
          <w:rPr>
            <w:rStyle w:val="Hyperlink"/>
            <w:rFonts w:ascii="Times New Roman" w:hAnsi="Times New Roman"/>
          </w:rPr>
          <w:t>https://webgate.ec.europa.eu/competition/transparency/public/search</w:t>
        </w:r>
      </w:hyperlink>
      <w:r>
        <w:rPr>
          <w:rFonts w:ascii="Times New Roman" w:hAnsi="Times New Roman"/>
        </w:rPr>
        <w:t xml:space="preserve">.  </w:t>
      </w:r>
    </w:p>
  </w:footnote>
  <w:footnote w:id="9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Schemes with an average annual State aid budget above EUR 150 million in the </w:t>
      </w:r>
      <w:r>
        <w:rPr>
          <w:rFonts w:ascii="Times New Roman" w:hAnsi="Times New Roman"/>
        </w:rPr>
        <w:t>fields of regional aid, aid for SMEs and access to finance, aid for research and development and innovation, energy and environmental aid and aid for broadband infrastructures.</w:t>
      </w:r>
    </w:p>
  </w:footnote>
  <w:footnote w:id="9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Evaluation can apply to notified aid schemes with large budgets, containing </w:t>
      </w:r>
      <w:r>
        <w:rPr>
          <w:rFonts w:ascii="Times New Roman" w:hAnsi="Times New Roman"/>
        </w:rPr>
        <w:t xml:space="preserve">novel characteristics or when significant market, technology or regulatory changes are foreseen. </w:t>
      </w:r>
    </w:p>
  </w:footnote>
  <w:footnote w:id="9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Czechia, Germany, Greece, Spain, France, Hungary, Ireland, Italy, Lithuania, Austria, Poland, Portugal, Finland, Sweden and the United Kingdom. </w:t>
      </w:r>
    </w:p>
  </w:footnote>
  <w:footnote w:id="9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Competit</w:t>
      </w:r>
      <w:r>
        <w:rPr>
          <w:rFonts w:ascii="Times New Roman" w:hAnsi="Times New Roman"/>
        </w:rPr>
        <w:t xml:space="preserve">ion Policy Briefs 7/2014: </w:t>
      </w:r>
      <w:hyperlink r:id="rId45" w:history="1">
        <w:r>
          <w:rPr>
            <w:rStyle w:val="Hyperlink"/>
            <w:rFonts w:ascii="Times New Roman" w:hAnsi="Times New Roman"/>
          </w:rPr>
          <w:t>http://ec.europa.eu/competition/publications/cpb/2014/007_en.pdf</w:t>
        </w:r>
      </w:hyperlink>
      <w:r>
        <w:rPr>
          <w:rFonts w:ascii="Times New Roman" w:hAnsi="Times New Roman"/>
        </w:rPr>
        <w:t xml:space="preserve">; and 3/2016: </w:t>
      </w:r>
      <w:hyperlink r:id="rId46" w:history="1">
        <w:r>
          <w:rPr>
            <w:rStyle w:val="Hyperlink"/>
            <w:rFonts w:ascii="Times New Roman" w:hAnsi="Times New Roman"/>
          </w:rPr>
          <w:t>http://ec.europa.eu/competition/publications/cpb/2016/2016_003_en.pdf</w:t>
        </w:r>
      </w:hyperlink>
      <w:r>
        <w:rPr>
          <w:rStyle w:val="Hyperlink"/>
          <w:rFonts w:ascii="Times New Roman" w:hAnsi="Times New Roman"/>
        </w:rPr>
        <w:t>.</w:t>
      </w:r>
    </w:p>
  </w:footnote>
  <w:footnote w:id="99">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Communication of 3 March 2010 from the Commission, </w:t>
      </w:r>
      <w:r>
        <w:rPr>
          <w:rFonts w:ascii="Times New Roman" w:hAnsi="Times New Roman"/>
          <w:i/>
        </w:rPr>
        <w:t>Europe 2020 A Strategy For Smart, Sustainable And Inclusive Growth</w:t>
      </w:r>
      <w:r>
        <w:rPr>
          <w:rFonts w:ascii="Times New Roman" w:hAnsi="Times New Roman"/>
        </w:rPr>
        <w:t>, COM(2010) 2020 final. See:</w:t>
      </w:r>
      <w:hyperlink r:id="rId47" w:history="1">
        <w:r>
          <w:rPr>
            <w:rStyle w:val="Hyperlink"/>
            <w:rFonts w:ascii="Times New Roman" w:hAnsi="Times New Roman"/>
          </w:rPr>
          <w:t>http://eur-lex.europa.eu/legal-content/EN/TXT/?qid=</w:t>
        </w:r>
        <w:r>
          <w:rPr>
            <w:rStyle w:val="Hyperlink"/>
            <w:rFonts w:ascii="Times New Roman" w:hAnsi="Times New Roman"/>
          </w:rPr>
          <w:br/>
          <w:t>1427303331326&amp;uri=CELEX:52010DC2020</w:t>
        </w:r>
      </w:hyperlink>
      <w:r>
        <w:rPr>
          <w:rStyle w:val="Hyperlink"/>
          <w:rFonts w:ascii="Times New Roman" w:hAnsi="Times New Roman"/>
        </w:rPr>
        <w:t>.</w:t>
      </w:r>
      <w:r>
        <w:rPr>
          <w:rFonts w:ascii="Times New Roman" w:hAnsi="Times New Roman"/>
        </w:rPr>
        <w:t xml:space="preserve"> </w:t>
      </w:r>
    </w:p>
  </w:footnote>
  <w:footnote w:id="10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Communication from the Commission - Criteria for the analysis </w:t>
      </w:r>
      <w:r>
        <w:rPr>
          <w:rFonts w:ascii="Times New Roman" w:hAnsi="Times New Roman"/>
        </w:rPr>
        <w:t>of the compatibility with the internal market of State aid to promote the execution of important projects of common European interest, OJ C 188, 20.6.2014, pp. 4–12.</w:t>
      </w:r>
    </w:p>
  </w:footnote>
  <w:footnote w:id="10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48" w:anchor="gber" w:history="1">
        <w:r>
          <w:rPr>
            <w:rStyle w:val="Hyperlink"/>
            <w:rFonts w:ascii="Times New Roman" w:hAnsi="Times New Roman"/>
          </w:rPr>
          <w:t>http://ec.europa.eu/competition/state_aid/legislation/block.html#gber</w:t>
        </w:r>
      </w:hyperlink>
      <w:r>
        <w:rPr>
          <w:rFonts w:ascii="Times New Roman" w:hAnsi="Times New Roman"/>
        </w:rPr>
        <w:t xml:space="preserve">. </w:t>
      </w:r>
    </w:p>
  </w:footnote>
  <w:footnote w:id="10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Communication from the Commission - Framework for State aid for research and development and innovation, OJ C 198, 27.6.2014, pp. 1–29.</w:t>
      </w:r>
    </w:p>
  </w:footnote>
  <w:footnote w:id="103">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SA.46705 </w:t>
      </w:r>
      <w:r>
        <w:rPr>
          <w:rFonts w:ascii="Times New Roman" w:hAnsi="Times New Roman"/>
          <w:i/>
        </w:rPr>
        <w:t>IPCEI on Microelectr</w:t>
      </w:r>
      <w:r>
        <w:rPr>
          <w:rFonts w:ascii="Times New Roman" w:hAnsi="Times New Roman"/>
          <w:i/>
        </w:rPr>
        <w:t>onics – France</w:t>
      </w:r>
      <w:r>
        <w:rPr>
          <w:rFonts w:ascii="Times New Roman" w:hAnsi="Times New Roman"/>
        </w:rPr>
        <w:t xml:space="preserve">, see: </w:t>
      </w:r>
      <w:hyperlink r:id="rId49" w:history="1">
        <w:r>
          <w:rPr>
            <w:rStyle w:val="Hyperlink"/>
            <w:rFonts w:ascii="Times New Roman" w:hAnsi="Times New Roman"/>
          </w:rPr>
          <w:t>http://ec.europa.eu/competition/elojade/isef/case_details.cfm?proc_code=3_SA_46705</w:t>
        </w:r>
      </w:hyperlink>
      <w:r>
        <w:rPr>
          <w:rFonts w:ascii="Times New Roman" w:hAnsi="Times New Roman"/>
        </w:rPr>
        <w:t>.</w:t>
      </w:r>
    </w:p>
  </w:footnote>
  <w:footnote w:id="104">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SA.46578 </w:t>
      </w:r>
      <w:r>
        <w:rPr>
          <w:rFonts w:ascii="Times New Roman" w:hAnsi="Times New Roman"/>
          <w:i/>
        </w:rPr>
        <w:t>IPCEI on Microelectronics - Germany</w:t>
      </w:r>
      <w:r>
        <w:rPr>
          <w:rFonts w:ascii="Times New Roman" w:hAnsi="Times New Roman"/>
        </w:rPr>
        <w:t xml:space="preserve">, see:  </w:t>
      </w:r>
      <w:hyperlink r:id="rId50" w:history="1">
        <w:r>
          <w:rPr>
            <w:rStyle w:val="Hyperlink"/>
            <w:rFonts w:ascii="Times New Roman" w:hAnsi="Times New Roman"/>
          </w:rPr>
          <w:t>http://ec.europa.eu/competition/elojade/isef/case_details.cfm?proc_code=3_SA_46578</w:t>
        </w:r>
      </w:hyperlink>
      <w:r>
        <w:rPr>
          <w:rFonts w:ascii="Times New Roman" w:hAnsi="Times New Roman"/>
        </w:rPr>
        <w:t>.</w:t>
      </w:r>
    </w:p>
  </w:footnote>
  <w:footnote w:id="105">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SA.46595 </w:t>
      </w:r>
      <w:r>
        <w:rPr>
          <w:rFonts w:ascii="Times New Roman" w:hAnsi="Times New Roman"/>
          <w:i/>
        </w:rPr>
        <w:t>IPCEI on Microelectronics - Italy</w:t>
      </w:r>
      <w:r>
        <w:rPr>
          <w:rFonts w:ascii="Times New Roman" w:hAnsi="Times New Roman"/>
        </w:rPr>
        <w:t xml:space="preserve">, see: </w:t>
      </w:r>
      <w:hyperlink r:id="rId51" w:history="1">
        <w:r>
          <w:rPr>
            <w:rStyle w:val="Hyperlink"/>
            <w:rFonts w:ascii="Times New Roman" w:hAnsi="Times New Roman"/>
          </w:rPr>
          <w:t>http://ec.europa.eu/competition/elojade/isef/case_details.cfm?proc_code=3_SA_46595</w:t>
        </w:r>
      </w:hyperlink>
      <w:r>
        <w:rPr>
          <w:rFonts w:ascii="Times New Roman" w:hAnsi="Times New Roman"/>
        </w:rPr>
        <w:t>.</w:t>
      </w:r>
    </w:p>
  </w:footnote>
  <w:footnote w:id="106">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SA.46590 </w:t>
      </w:r>
      <w:r>
        <w:rPr>
          <w:rFonts w:ascii="Times New Roman" w:hAnsi="Times New Roman"/>
          <w:i/>
        </w:rPr>
        <w:t>IPCEI on Microelectronics - UK, see:</w:t>
      </w:r>
      <w:r>
        <w:rPr>
          <w:rFonts w:ascii="Times New Roman" w:hAnsi="Times New Roman"/>
        </w:rPr>
        <w:t xml:space="preserve"> </w:t>
      </w:r>
      <w:hyperlink r:id="rId52" w:history="1">
        <w:r>
          <w:rPr>
            <w:rStyle w:val="Hyperlink"/>
            <w:rFonts w:ascii="Times New Roman" w:hAnsi="Times New Roman"/>
          </w:rPr>
          <w:t>http://ec.europa.eu/competition/elojade/isef/case_details.cfm?proc_code=3_SA_46590</w:t>
        </w:r>
      </w:hyperlink>
      <w:r>
        <w:rPr>
          <w:rFonts w:ascii="Times New Roman" w:hAnsi="Times New Roman"/>
        </w:rPr>
        <w:t>.</w:t>
      </w:r>
    </w:p>
  </w:footnote>
  <w:footnote w:id="107">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See</w:t>
      </w:r>
      <w:r>
        <w:rPr>
          <w:rStyle w:val="Hyperlink"/>
          <w:rFonts w:ascii="Times New Roman" w:hAnsi="Times New Roman"/>
        </w:rPr>
        <w:t>: https://ec.europa.eu/growth/industry/policy/key-enabling-technologies/description_en</w:t>
      </w:r>
      <w:r>
        <w:rPr>
          <w:rFonts w:ascii="Times New Roman" w:hAnsi="Times New Roman"/>
        </w:rPr>
        <w:t>.</w:t>
      </w:r>
    </w:p>
  </w:footnote>
  <w:footnote w:id="10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Cas</w:t>
      </w:r>
      <w:r>
        <w:rPr>
          <w:rFonts w:ascii="Times New Roman" w:hAnsi="Times New Roman"/>
        </w:rPr>
        <w:t xml:space="preserve">e SA.49580 (2017/N), Large Investment Project (LIP) – Regional aid investment aid to BorsodChem, Commission decision of 28 of September 2018. The public version will become available at: </w:t>
      </w:r>
      <w:hyperlink r:id="rId53" w:history="1">
        <w:r>
          <w:rPr>
            <w:rStyle w:val="Hyperlink"/>
            <w:rFonts w:ascii="Times New Roman" w:hAnsi="Times New Roman"/>
          </w:rPr>
          <w:t>http://ec.europa.eu/competition/elojade/isef/case_details.cfm?proc_code=3_SA_49580</w:t>
        </w:r>
      </w:hyperlink>
      <w:r>
        <w:rPr>
          <w:rStyle w:val="Hyperlink"/>
          <w:rFonts w:ascii="Times New Roman" w:hAnsi="Times New Roman"/>
        </w:rPr>
        <w:t>.</w:t>
      </w:r>
      <w:r>
        <w:rPr>
          <w:rFonts w:ascii="Times New Roman" w:hAnsi="Times New Roman"/>
        </w:rPr>
        <w:t xml:space="preserve"> </w:t>
      </w:r>
    </w:p>
  </w:footnote>
  <w:footnote w:id="109">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Case SA.45359 (2017/C), Regional aid investment to Jaguar Land Rover – Large Investment Project – Slovakia, Commission decision of 4 Octob</w:t>
      </w:r>
      <w:r>
        <w:rPr>
          <w:rFonts w:ascii="Times New Roman" w:hAnsi="Times New Roman"/>
        </w:rPr>
        <w:t xml:space="preserve">er 2018. See: </w:t>
      </w:r>
      <w:hyperlink r:id="rId54" w:history="1">
        <w:r>
          <w:rPr>
            <w:rStyle w:val="Hyperlink"/>
            <w:rFonts w:ascii="Times New Roman" w:hAnsi="Times New Roman"/>
          </w:rPr>
          <w:t>http://ec.europa.eu/competition/elojade/isef/case_details.cfm?proc_code=3_SA_45359</w:t>
        </w:r>
      </w:hyperlink>
      <w:r>
        <w:rPr>
          <w:rStyle w:val="Hyperlink"/>
          <w:rFonts w:ascii="Times New Roman" w:hAnsi="Times New Roman"/>
        </w:rPr>
        <w:t>.</w:t>
      </w:r>
      <w:r>
        <w:rPr>
          <w:rFonts w:ascii="Times New Roman" w:hAnsi="Times New Roman"/>
        </w:rPr>
        <w:t xml:space="preserve"> </w:t>
      </w:r>
    </w:p>
  </w:footnote>
  <w:footnote w:id="11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SA.48680 (2017/EV), Evaluation plan regarding the </w:t>
      </w:r>
      <w:r>
        <w:rPr>
          <w:rFonts w:ascii="Times New Roman" w:hAnsi="Times New Roman"/>
        </w:rPr>
        <w:t>Government decree 210/2014 (VIII.27.) concerning the use of investment incentives</w:t>
      </w:r>
      <w:r>
        <w:rPr>
          <w:rFonts w:ascii="Times New Roman" w:hAnsi="Times New Roman"/>
          <w:i/>
        </w:rPr>
        <w:t>,</w:t>
      </w:r>
      <w:r>
        <w:rPr>
          <w:rFonts w:ascii="Times New Roman" w:hAnsi="Times New Roman"/>
        </w:rPr>
        <w:t xml:space="preserve"> Commission decision of 1 June 2018. See: </w:t>
      </w:r>
      <w:hyperlink r:id="rId55" w:history="1">
        <w:r>
          <w:rPr>
            <w:rStyle w:val="Hyperlink"/>
            <w:rFonts w:ascii="Times New Roman" w:hAnsi="Times New Roman"/>
          </w:rPr>
          <w:t>http://ec.europa.eu/competition/e</w:t>
        </w:r>
        <w:r>
          <w:rPr>
            <w:rStyle w:val="Hyperlink"/>
            <w:rFonts w:ascii="Times New Roman" w:hAnsi="Times New Roman"/>
          </w:rPr>
          <w:t>lojade/isef/case_details.cfm?proc_code=3_SA_48680</w:t>
        </w:r>
      </w:hyperlink>
      <w:r>
        <w:rPr>
          <w:rFonts w:ascii="Times New Roman" w:hAnsi="Times New Roman"/>
        </w:rPr>
        <w:t>.</w:t>
      </w:r>
    </w:p>
  </w:footnote>
  <w:footnote w:id="11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SA.47412 (2017/EV), </w:t>
      </w:r>
      <w:r>
        <w:rPr>
          <w:rFonts w:ascii="Times New Roman" w:hAnsi="Times New Roman"/>
          <w:i/>
        </w:rPr>
        <w:t>Evaluation plan of the aid scheme 'General Entrepreneurship' of Development Law 4399/2016</w:t>
      </w:r>
      <w:r>
        <w:rPr>
          <w:rFonts w:ascii="Times New Roman" w:hAnsi="Times New Roman"/>
        </w:rPr>
        <w:t xml:space="preserve">, Commission decision of 6 July 2018. See: </w:t>
      </w:r>
      <w:hyperlink r:id="rId56" w:history="1">
        <w:r>
          <w:rPr>
            <w:rStyle w:val="Hyperlink"/>
            <w:rFonts w:ascii="Times New Roman" w:hAnsi="Times New Roman"/>
            <w:noProof/>
          </w:rPr>
          <w:t>http://ec.europa.eu/competition/elojade/isef/case_details.cfm?proc_code=3_SA_47412</w:t>
        </w:r>
      </w:hyperlink>
      <w:r>
        <w:rPr>
          <w:rFonts w:ascii="Times New Roman" w:hAnsi="Times New Roman"/>
          <w:noProof/>
        </w:rPr>
        <w:t>.</w:t>
      </w:r>
    </w:p>
  </w:footnote>
  <w:footnote w:id="11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Case SA.48571 (2018/N), Italy - Tax credit for productive investments in the regions of Lazio, Umbria, Marche and A</w:t>
      </w:r>
      <w:r>
        <w:rPr>
          <w:rFonts w:ascii="Times New Roman" w:hAnsi="Times New Roman"/>
        </w:rPr>
        <w:t xml:space="preserve">bruzzo affected by the 2016-2017 earthquakes, Commission decision of 6 April 2018. See: </w:t>
      </w:r>
      <w:hyperlink r:id="rId57" w:history="1">
        <w:r>
          <w:rPr>
            <w:rStyle w:val="Hyperlink"/>
            <w:rFonts w:ascii="Times New Roman" w:hAnsi="Times New Roman"/>
          </w:rPr>
          <w:t>http://ec.europa.eu/competition/elojade/isef/case_details.cfm?proc_co</w:t>
        </w:r>
        <w:r>
          <w:rPr>
            <w:rStyle w:val="Hyperlink"/>
            <w:rFonts w:ascii="Times New Roman" w:hAnsi="Times New Roman"/>
          </w:rPr>
          <w:t>de=3_SA_48571</w:t>
        </w:r>
      </w:hyperlink>
      <w:r>
        <w:rPr>
          <w:rStyle w:val="Hyperlink"/>
          <w:rFonts w:ascii="Times New Roman" w:hAnsi="Times New Roman"/>
        </w:rPr>
        <w:t>.</w:t>
      </w:r>
      <w:r>
        <w:rPr>
          <w:rFonts w:ascii="Times New Roman" w:hAnsi="Times New Roman"/>
        </w:rPr>
        <w:t xml:space="preserve"> </w:t>
      </w:r>
    </w:p>
  </w:footnote>
  <w:footnote w:id="11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lang w:eastAsia="en-GB"/>
        </w:rPr>
        <w:t xml:space="preserve"> </w:t>
      </w:r>
      <w:r>
        <w:rPr>
          <w:rFonts w:ascii="Times New Roman" w:hAnsi="Times New Roman"/>
          <w:lang w:eastAsia="en-GB"/>
        </w:rPr>
        <w:tab/>
        <w:t xml:space="preserve">An overview on the EU programme for the Competitiveness of Enterprises and Small and Medium-sized Enterprises. </w:t>
      </w:r>
      <w:r>
        <w:rPr>
          <w:rFonts w:ascii="Times New Roman" w:hAnsi="Times New Roman"/>
        </w:rPr>
        <w:t>See:</w:t>
      </w:r>
      <w:r>
        <w:rPr>
          <w:rFonts w:ascii="Times New Roman" w:hAnsi="Times New Roman"/>
          <w:lang w:eastAsia="en-GB"/>
        </w:rPr>
        <w:t xml:space="preserve"> </w:t>
      </w:r>
      <w:hyperlink r:id="rId58" w:history="1">
        <w:r>
          <w:rPr>
            <w:rStyle w:val="Hyperlink"/>
            <w:rFonts w:ascii="Times New Roman" w:hAnsi="Times New Roman"/>
          </w:rPr>
          <w:t>http://ec.europa.eu/growth/smes/cosme_en</w:t>
        </w:r>
      </w:hyperlink>
      <w:r>
        <w:rPr>
          <w:rStyle w:val="Hyperlink"/>
          <w:rFonts w:ascii="Times New Roman" w:hAnsi="Times New Roman"/>
        </w:rPr>
        <w:t>.</w:t>
      </w:r>
      <w:r>
        <w:rPr>
          <w:rStyle w:val="Hyperlink"/>
          <w:rFonts w:ascii="Times New Roman" w:hAnsi="Times New Roman"/>
          <w:lang w:eastAsia="en-GB"/>
        </w:rPr>
        <w:t xml:space="preserve"> </w:t>
      </w:r>
    </w:p>
  </w:footnote>
  <w:footnote w:id="11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Communication from</w:t>
      </w:r>
      <w:r>
        <w:rPr>
          <w:rFonts w:ascii="Times New Roman" w:hAnsi="Times New Roman"/>
        </w:rPr>
        <w:t xml:space="preserve"> the Commission, </w:t>
      </w:r>
      <w:r>
        <w:rPr>
          <w:rFonts w:ascii="Times New Roman" w:hAnsi="Times New Roman"/>
          <w:i/>
        </w:rPr>
        <w:t>Guidelines on State aid to promote risk finance investments</w:t>
      </w:r>
      <w:r>
        <w:rPr>
          <w:rFonts w:ascii="Times New Roman" w:hAnsi="Times New Roman"/>
        </w:rPr>
        <w:t xml:space="preserve">, OJ C 19, 22.01.2014, p. 4. See: </w:t>
      </w:r>
      <w:hyperlink r:id="rId59" w:history="1">
        <w:r>
          <w:rPr>
            <w:rStyle w:val="Hyperlink"/>
            <w:rFonts w:ascii="Times New Roman" w:hAnsi="Times New Roman"/>
          </w:rPr>
          <w:t>http://eur-lex.europa.eu/legal-ontent/EN/TXT/?uri=CELEX:52</w:t>
        </w:r>
        <w:r>
          <w:rPr>
            <w:rStyle w:val="Hyperlink"/>
            <w:rFonts w:ascii="Times New Roman" w:hAnsi="Times New Roman"/>
          </w:rPr>
          <w:t>014XC0122(04)</w:t>
        </w:r>
      </w:hyperlink>
      <w:r>
        <w:rPr>
          <w:rStyle w:val="Hyperlink"/>
          <w:rFonts w:ascii="Times New Roman" w:hAnsi="Times New Roman"/>
        </w:rPr>
        <w:t>.</w:t>
      </w:r>
      <w:r>
        <w:rPr>
          <w:rFonts w:ascii="Times New Roman" w:hAnsi="Times New Roman"/>
        </w:rPr>
        <w:t xml:space="preserve"> </w:t>
      </w:r>
    </w:p>
  </w:footnote>
  <w:footnote w:id="11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OJ C 262, 19.7.2016 p. 1.</w:t>
      </w:r>
    </w:p>
  </w:footnote>
  <w:footnote w:id="11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OJ L 156, 20.6.2017, p. 1.</w:t>
      </w:r>
    </w:p>
  </w:footnote>
  <w:footnote w:id="11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Case SA.49335 (2017/N), Motorways investment plan for Società Asti Cuneo and Satap A4 and case SA. 49336 (2017/N), Motorways investment plan for Autostrade per l'Italia Spa, Comm</w:t>
      </w:r>
      <w:r>
        <w:rPr>
          <w:rFonts w:ascii="Times New Roman" w:hAnsi="Times New Roman"/>
        </w:rPr>
        <w:t xml:space="preserve">ission decision of </w:t>
      </w:r>
      <w:r>
        <w:rPr>
          <w:rFonts w:ascii="Times New Roman" w:hAnsi="Times New Roman"/>
        </w:rPr>
        <w:br/>
        <w:t xml:space="preserve">27 April 2018. See: </w:t>
      </w:r>
      <w:hyperlink r:id="rId60" w:history="1">
        <w:r>
          <w:rPr>
            <w:rStyle w:val="Hyperlink"/>
            <w:rFonts w:ascii="Times New Roman" w:hAnsi="Times New Roman"/>
          </w:rPr>
          <w:t>http://ec.europa.eu/competition/elojade/isef/case_details.cfm?proc_code=3_SA_49335</w:t>
        </w:r>
      </w:hyperlink>
      <w:r>
        <w:rPr>
          <w:rFonts w:ascii="Times New Roman" w:hAnsi="Times New Roman"/>
        </w:rPr>
        <w:t xml:space="preserve"> and </w:t>
      </w:r>
      <w:hyperlink r:id="rId61" w:history="1">
        <w:r>
          <w:rPr>
            <w:rStyle w:val="Hyperlink"/>
            <w:rFonts w:ascii="Times New Roman" w:hAnsi="Times New Roman"/>
          </w:rPr>
          <w:t>http://ec.europa.eu/competition/elojade/isef/case_details.cfm?proc_code=3_SA_49336</w:t>
        </w:r>
      </w:hyperlink>
      <w:r>
        <w:rPr>
          <w:rFonts w:ascii="Times New Roman" w:hAnsi="Times New Roman"/>
        </w:rPr>
        <w:t>.</w:t>
      </w:r>
    </w:p>
  </w:footnote>
  <w:footnote w:id="118">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Case SA.48472 (2018/N), Amended Concession Agreement relating to the Ist</w:t>
      </w:r>
      <w:r>
        <w:rPr>
          <w:rFonts w:ascii="Times New Roman" w:hAnsi="Times New Roman"/>
        </w:rPr>
        <w:t xml:space="preserve">rian Y motorway, Commission decision of 14 June 2018. See: </w:t>
      </w:r>
      <w:hyperlink r:id="rId62" w:history="1">
        <w:r>
          <w:rPr>
            <w:rStyle w:val="Hyperlink"/>
            <w:rFonts w:ascii="Times New Roman" w:hAnsi="Times New Roman"/>
          </w:rPr>
          <w:t>http://ec.europa.eu/competition/elojade/isef/case_details.cfm?proc_code=3_SA_48472</w:t>
        </w:r>
      </w:hyperlink>
      <w:r>
        <w:rPr>
          <w:rFonts w:ascii="Times New Roman" w:hAnsi="Times New Roman"/>
        </w:rPr>
        <w:t>.</w:t>
      </w:r>
    </w:p>
  </w:footnote>
  <w:footnote w:id="119">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Case SA. 50</w:t>
      </w:r>
      <w:r>
        <w:rPr>
          <w:rFonts w:ascii="Times New Roman" w:hAnsi="Times New Roman"/>
        </w:rPr>
        <w:t xml:space="preserve">233 (2018/N), State aid for the construction of Lamia-Xiniada section of the E65 Motorway, Commission decision of 19 October 2018. The public version will become available at: </w:t>
      </w:r>
      <w:hyperlink r:id="rId63" w:history="1">
        <w:r>
          <w:rPr>
            <w:rStyle w:val="Hyperlink"/>
            <w:rFonts w:ascii="Times New Roman" w:hAnsi="Times New Roman"/>
          </w:rPr>
          <w:t>http://ec.europa.eu/competition/elojade/isef/case_details.cfm?proc_code=3_SA_50233</w:t>
        </w:r>
      </w:hyperlink>
      <w:r>
        <w:rPr>
          <w:rFonts w:ascii="Times New Roman" w:hAnsi="Times New Roman"/>
        </w:rPr>
        <w:t>.</w:t>
      </w:r>
    </w:p>
  </w:footnote>
  <w:footnote w:id="12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Case N565/2007 – Greece – Road infrastructure – Public financing of the Central Greece Motorway (E65) project, Commission decision of 30 January 2008.</w:t>
      </w:r>
      <w:r>
        <w:rPr>
          <w:rFonts w:ascii="Times New Roman" w:hAnsi="Times New Roman"/>
        </w:rPr>
        <w:t xml:space="preserve"> See: </w:t>
      </w:r>
      <w:hyperlink r:id="rId64" w:history="1">
        <w:r>
          <w:rPr>
            <w:rStyle w:val="Hyperlink"/>
            <w:rFonts w:ascii="Times New Roman" w:hAnsi="Times New Roman"/>
          </w:rPr>
          <w:t>http://ec.europa.eu/competition/elojade/isef/case_details.cfm?proc_code=3_N565_2007</w:t>
        </w:r>
      </w:hyperlink>
      <w:r>
        <w:rPr>
          <w:rStyle w:val="Hyperlink"/>
          <w:rFonts w:ascii="Times New Roman" w:hAnsi="Times New Roman"/>
        </w:rPr>
        <w:t>.</w:t>
      </w:r>
    </w:p>
  </w:footnote>
  <w:footnote w:id="121">
    <w:p w:rsidR="00320198" w:rsidRDefault="005C0948">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 fitness check is an evaluation of a group of EU intervention</w:t>
      </w:r>
      <w:r>
        <w:rPr>
          <w:rFonts w:ascii="Times New Roman" w:hAnsi="Times New Roman"/>
        </w:rPr>
        <w:t>s which have a relationship with each other - normally a joint set of objectives – which justify a joint analysis. A fitness check assesses the performance of the relevant framework with respect to its policy objectives. A fitness check should pay particul</w:t>
      </w:r>
      <w:r>
        <w:rPr>
          <w:rFonts w:ascii="Times New Roman" w:hAnsi="Times New Roman"/>
        </w:rPr>
        <w:t>ar attention to identifying and trying to quantify any synergies (e.g. improved performance, simplification, lower costs, reduced burdens) or inefficiencies (e.g. excessive burdens, overlaps, gaps, inconsistencies, implementation problems and/or obsolete m</w:t>
      </w:r>
      <w:r>
        <w:rPr>
          <w:rFonts w:ascii="Times New Roman" w:hAnsi="Times New Roman"/>
        </w:rPr>
        <w:t>easures) within the group of interventions which may have appeared over time, and help to identify the cumulative impact of the interventions, covering both costs and benefits. See: https://ec.europa.eu/info/sites/info/files/better-regulation-guidelines-ev</w:t>
      </w:r>
      <w:r>
        <w:rPr>
          <w:rFonts w:ascii="Times New Roman" w:hAnsi="Times New Roman"/>
        </w:rPr>
        <w:t>aluation-fitness-checks.pdf.</w:t>
      </w:r>
    </w:p>
  </w:footnote>
  <w:footnote w:id="12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The current fitness check will cover the General Block Exemption Regulation (GBER), De minimis Regulation, Regional aid Guidelines, Research, Development and Innovation (RDI) Framework, Communication on State aid for importa</w:t>
      </w:r>
      <w:r>
        <w:rPr>
          <w:rFonts w:ascii="Times New Roman" w:hAnsi="Times New Roman"/>
        </w:rPr>
        <w:t>nt projects of common European interest (IPCEI Communication), Risk finance, Airport and aviation Guidelines, Energy and Environmental Aid Guidelines (EEAG), Rescue and restructuring Guidelines but also the Railways Guidelines as well as the Short term exp</w:t>
      </w:r>
      <w:r>
        <w:rPr>
          <w:rFonts w:ascii="Times New Roman" w:hAnsi="Times New Roman"/>
        </w:rPr>
        <w:t>ort credit Communication (the two latter that have not been included in the 2012 SAM package).</w:t>
      </w:r>
    </w:p>
  </w:footnote>
  <w:footnote w:id="12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Communication from the Commission concerning the prolongation of the Communication from the Commission to the Member States on the application of Articles 107</w:t>
      </w:r>
      <w:r>
        <w:rPr>
          <w:rFonts w:ascii="Times New Roman" w:hAnsi="Times New Roman"/>
        </w:rPr>
        <w:t xml:space="preserve"> and 108 of the Treaty on the Functioning of the European Union to short-term export-credit insurance, Official Journal C457, 19.12.2018, p.9. See: </w:t>
      </w:r>
      <w:hyperlink r:id="rId65" w:history="1">
        <w:r>
          <w:rPr>
            <w:rStyle w:val="Hyperlink"/>
            <w:rFonts w:ascii="Times New Roman" w:hAnsi="Times New Roman"/>
          </w:rPr>
          <w:t>https:</w:t>
        </w:r>
        <w:r>
          <w:rPr>
            <w:rStyle w:val="Hyperlink"/>
            <w:rFonts w:ascii="Times New Roman" w:hAnsi="Times New Roman"/>
          </w:rPr>
          <w:t>//eur-lex.europa.eu/legal-content/EN/TXT/PDF/?uri=CELEX:52018XC1219(01)&amp;from=EN</w:t>
        </w:r>
      </w:hyperlink>
      <w:r>
        <w:rPr>
          <w:rFonts w:ascii="Times New Roman" w:hAnsi="Times New Roman"/>
        </w:rPr>
        <w:t xml:space="preserve">. </w:t>
      </w:r>
    </w:p>
  </w:footnote>
  <w:footnote w:id="12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Commission Regulation (EU) 2018/1923 of 7 December 2018 amending Regulation (EU) No 360/2012 as regards its period of application, Official Journal L 313 of 10.12.2018, p.</w:t>
      </w:r>
      <w:r>
        <w:rPr>
          <w:rFonts w:ascii="Times New Roman" w:hAnsi="Times New Roman"/>
        </w:rPr>
        <w:t xml:space="preserve"> 2–3. See: </w:t>
      </w:r>
      <w:hyperlink r:id="rId66" w:history="1">
        <w:r>
          <w:rPr>
            <w:rStyle w:val="Hyperlink"/>
            <w:rFonts w:ascii="Times New Roman" w:hAnsi="Times New Roman"/>
          </w:rPr>
          <w:t>https://eur-lex.europa.eu/legal-content/EN/TXT/PDF/?uri=CELEX:32018R1923&amp;from=EN</w:t>
        </w:r>
      </w:hyperlink>
      <w:r>
        <w:rPr>
          <w:rStyle w:val="Hyperlink"/>
          <w:rFonts w:ascii="Times New Roman" w:hAnsi="Times New Roman"/>
        </w:rPr>
        <w:t>.</w:t>
      </w:r>
      <w:r>
        <w:rPr>
          <w:rFonts w:ascii="Times New Roman" w:hAnsi="Times New Roman"/>
        </w:rPr>
        <w:t xml:space="preserve"> </w:t>
      </w:r>
    </w:p>
  </w:footnote>
  <w:footnote w:id="125">
    <w:p w:rsidR="00320198" w:rsidRDefault="005C0948">
      <w:pPr>
        <w:pStyle w:val="FootnoteText"/>
        <w:spacing w:after="0" w:line="240" w:lineRule="auto"/>
        <w:ind w:left="284" w:hanging="284"/>
        <w:rPr>
          <w:rStyle w:val="Hyperlink"/>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See</w:t>
      </w:r>
      <w:r>
        <w:rPr>
          <w:rStyle w:val="Hyperlink"/>
          <w:rFonts w:ascii="Times New Roman" w:hAnsi="Times New Roman"/>
        </w:rPr>
        <w:t>: http://ec.europa.eu/competition/state_aid/reform/best_pra</w:t>
      </w:r>
      <w:r>
        <w:rPr>
          <w:rStyle w:val="Hyperlink"/>
          <w:rFonts w:ascii="Times New Roman" w:hAnsi="Times New Roman"/>
        </w:rPr>
        <w:t>ctise/en.pdf.</w:t>
      </w:r>
    </w:p>
  </w:footnote>
  <w:footnote w:id="12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State Aid Scoreboard 2017:  </w:t>
      </w:r>
      <w:hyperlink r:id="rId67" w:history="1">
        <w:r>
          <w:rPr>
            <w:rStyle w:val="Hyperlink"/>
            <w:rFonts w:ascii="Times New Roman" w:hAnsi="Times New Roman"/>
          </w:rPr>
          <w:t>http://ec.europa.eu/competition/state_aid/scoreboard/index_en.html</w:t>
        </w:r>
      </w:hyperlink>
      <w:r>
        <w:rPr>
          <w:rFonts w:ascii="Times New Roman" w:hAnsi="Times New Roman"/>
        </w:rPr>
        <w:t xml:space="preserve">.  </w:t>
      </w:r>
    </w:p>
  </w:footnote>
  <w:footnote w:id="12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In its 2011 report on the efficiency of State aid proce</w:t>
      </w:r>
      <w:r>
        <w:rPr>
          <w:rFonts w:ascii="Times New Roman" w:hAnsi="Times New Roman"/>
        </w:rPr>
        <w:t xml:space="preserve">dures, the Court of Auditors considered that, in view of the importance of aids granted under existing aid schemes, the Commission's monitoring activity should be reinforced. See recommendation n° 1 of the Court of Auditors Report recital 96, p. 41. See: </w:t>
      </w:r>
      <w:hyperlink r:id="rId68" w:history="1">
        <w:r>
          <w:rPr>
            <w:rStyle w:val="Hyperlink"/>
            <w:rFonts w:ascii="Times New Roman" w:hAnsi="Times New Roman"/>
          </w:rPr>
          <w:t>http://eca.europa.eu/portal/pls/portal/docs/1/10952771.PDF</w:t>
        </w:r>
      </w:hyperlink>
      <w:r>
        <w:rPr>
          <w:rStyle w:val="Hyperlink"/>
          <w:rFonts w:ascii="Times New Roman" w:hAnsi="Times New Roman"/>
        </w:rPr>
        <w:t>.</w:t>
      </w:r>
    </w:p>
  </w:footnote>
  <w:footnote w:id="12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OJ L 7, 11.1.2012, p. 3.</w:t>
      </w:r>
    </w:p>
  </w:footnote>
  <w:footnote w:id="129">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Except Bulgaria, Cyprus, Denmark, Estonia and Slovakia.</w:t>
      </w:r>
    </w:p>
  </w:footnote>
  <w:footnote w:id="13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69" w:history="1">
        <w:r>
          <w:rPr>
            <w:rStyle w:val="Hyperlink"/>
            <w:rFonts w:ascii="Times New Roman" w:hAnsi="Times New Roman"/>
          </w:rPr>
          <w:t>https://webgate.ec.europa.eu/competition/transparency/public/search/home/</w:t>
        </w:r>
      </w:hyperlink>
      <w:r>
        <w:rPr>
          <w:rFonts w:ascii="Times New Roman" w:hAnsi="Times New Roman"/>
        </w:rPr>
        <w:t>.</w:t>
      </w:r>
    </w:p>
  </w:footnote>
  <w:footnote w:id="131">
    <w:p w:rsidR="00320198" w:rsidRDefault="005C0948">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The reference period is 1 January 1999 to 31 December 2018.</w:t>
      </w:r>
    </w:p>
  </w:footnote>
  <w:footnote w:id="132">
    <w:p w:rsidR="00320198" w:rsidRDefault="005C0948">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Consolidated version of the </w:t>
      </w:r>
      <w:r>
        <w:rPr>
          <w:rFonts w:ascii="Times New Roman" w:hAnsi="Times New Roman"/>
        </w:rPr>
        <w:t>TFEU, OJ C 115, 9.5.2008, p.47.</w:t>
      </w:r>
    </w:p>
  </w:footnote>
  <w:footnote w:id="13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Notice from the Commission: Towards an effective implementation of Commission decisions ordering Member States to recover unlawful and incompatible State aid; C 272, 15.11.2007, p. 4.</w:t>
      </w:r>
    </w:p>
  </w:footnote>
  <w:footnote w:id="13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Council Regulation (EU) 2015/1589 </w:t>
      </w:r>
      <w:r>
        <w:rPr>
          <w:rFonts w:ascii="Times New Roman" w:hAnsi="Times New Roman"/>
        </w:rPr>
        <w:t>of 13 July 2015 laying down detailed rules for the application of Article 108 TFEU, OJ L 248 of 24.9.2015, pp. 9-29.</w:t>
      </w:r>
    </w:p>
  </w:footnote>
  <w:footnote w:id="13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The Commission submitted written submissions in two cases before the Italian courts, one case before a Polish court and submitted writte</w:t>
      </w:r>
      <w:r>
        <w:rPr>
          <w:rFonts w:ascii="Times New Roman" w:hAnsi="Times New Roman"/>
        </w:rPr>
        <w:t xml:space="preserve">n and/or oral submissions in four cases concerning the impact of Commission decision of 30 March 2015 in </w:t>
      </w:r>
      <w:r>
        <w:rPr>
          <w:rFonts w:ascii="Times New Roman" w:hAnsi="Times New Roman"/>
          <w:noProof/>
        </w:rPr>
        <w:t xml:space="preserve">Case SA.38517 (2014/NN; 2014/C) </w:t>
      </w:r>
      <w:r>
        <w:rPr>
          <w:rFonts w:ascii="Times New Roman" w:hAnsi="Times New Roman"/>
          <w:i/>
          <w:noProof/>
        </w:rPr>
        <w:t>Micula v Romania</w:t>
      </w:r>
      <w:r>
        <w:rPr>
          <w:rFonts w:ascii="Times New Roman" w:hAnsi="Times New Roman"/>
          <w:noProof/>
        </w:rPr>
        <w:t xml:space="preserve"> (ICSID arbitration award)</w:t>
      </w:r>
      <w:r>
        <w:rPr>
          <w:rFonts w:ascii="Times New Roman" w:hAnsi="Times New Roman"/>
        </w:rPr>
        <w:t xml:space="preserve"> on the recognition and enforcement of an arbitral award before the Courts of</w:t>
      </w:r>
      <w:r>
        <w:rPr>
          <w:rFonts w:ascii="Times New Roman" w:hAnsi="Times New Roman"/>
        </w:rPr>
        <w:t xml:space="preserve"> the Belgium, Luxembourg, Sweden and the United Kingdom. In addition, </w:t>
      </w:r>
      <w:r>
        <w:rPr>
          <w:rFonts w:ascii="Times New Roman" w:hAnsi="Times New Roman"/>
          <w:noProof/>
        </w:rPr>
        <w:t xml:space="preserve">the Commission participated as a non-disputing party before the ICSID Arbitral Tribunal and submitted its written observations in case ARB/16/20 Iskandar and Akram Safa against Hellenic </w:t>
      </w:r>
      <w:r>
        <w:rPr>
          <w:rFonts w:ascii="Times New Roman" w:hAnsi="Times New Roman"/>
          <w:noProof/>
        </w:rPr>
        <w:t>Republic on 5 October 2018. The Commission also submitted an amicus curiae brief in recognition and enforcement proceedings before the U.S. District Court of the District of Columbia in the Micula case.</w:t>
      </w:r>
    </w:p>
  </w:footnote>
  <w:footnote w:id="13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70" w:history="1">
        <w:r>
          <w:rPr>
            <w:rStyle w:val="Hyperlink"/>
            <w:rFonts w:ascii="Times New Roman" w:hAnsi="Times New Roman"/>
          </w:rPr>
          <w:t>http://ec.europa.eu/competition/court/overview_en.html</w:t>
        </w:r>
      </w:hyperlink>
      <w:r>
        <w:rPr>
          <w:rFonts w:ascii="Times New Roman" w:hAnsi="Times New Roman"/>
        </w:rPr>
        <w:t>.</w:t>
      </w:r>
    </w:p>
  </w:footnote>
  <w:footnote w:id="13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also the dedicated section </w:t>
      </w:r>
      <w:r>
        <w:rPr>
          <w:rFonts w:ascii="Times New Roman" w:hAnsi="Times New Roman"/>
          <w:i/>
        </w:rPr>
        <w:t>Cooperation with national courts</w:t>
      </w:r>
      <w:r>
        <w:rPr>
          <w:rFonts w:ascii="Times New Roman" w:hAnsi="Times New Roman"/>
        </w:rPr>
        <w:t>, Antitrust and Cartels Section, see I. Antitrust, chapter 4.</w:t>
      </w:r>
    </w:p>
  </w:footnote>
  <w:footnote w:id="13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C-579/16P </w:t>
      </w:r>
      <w:r>
        <w:rPr>
          <w:rFonts w:ascii="Times New Roman" w:hAnsi="Times New Roman"/>
          <w:i/>
        </w:rPr>
        <w:t>European Commission v FIH Ho</w:t>
      </w:r>
      <w:r>
        <w:rPr>
          <w:rFonts w:ascii="Times New Roman" w:hAnsi="Times New Roman"/>
          <w:i/>
        </w:rPr>
        <w:t xml:space="preserve">lding A/S and FIH Erhvervsbank A/S </w:t>
      </w:r>
      <w:r>
        <w:rPr>
          <w:rFonts w:ascii="Times New Roman" w:hAnsi="Times New Roman"/>
        </w:rPr>
        <w:t>- EU:C:2018:159.</w:t>
      </w:r>
    </w:p>
  </w:footnote>
  <w:footnote w:id="139">
    <w:p w:rsidR="00320198" w:rsidRDefault="005C0948">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ab/>
        <w:t xml:space="preserve">Case T-747/15 </w:t>
      </w:r>
      <w:r>
        <w:rPr>
          <w:rFonts w:ascii="Times New Roman" w:hAnsi="Times New Roman"/>
          <w:i/>
          <w:lang w:val="fr-BE"/>
        </w:rPr>
        <w:t>Électricité de France (EDF) v European Commission</w:t>
      </w:r>
      <w:r>
        <w:rPr>
          <w:rFonts w:ascii="Times New Roman" w:hAnsi="Times New Roman"/>
          <w:lang w:val="fr-BE"/>
        </w:rPr>
        <w:t xml:space="preserve"> - EU:T:2018:6.</w:t>
      </w:r>
    </w:p>
  </w:footnote>
  <w:footnote w:id="14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Joined Cases C214/12 P, C215/12 P and C223/12 P  </w:t>
      </w:r>
      <w:r>
        <w:rPr>
          <w:rFonts w:ascii="Times New Roman" w:hAnsi="Times New Roman"/>
          <w:i/>
        </w:rPr>
        <w:t>Land Burgenland v European Commission</w:t>
      </w:r>
      <w:r>
        <w:rPr>
          <w:rFonts w:ascii="Times New Roman" w:hAnsi="Times New Roman"/>
        </w:rPr>
        <w:t xml:space="preserve"> - EU:C:2013:682. </w:t>
      </w:r>
    </w:p>
  </w:footnote>
  <w:footnote w:id="141">
    <w:p w:rsidR="00320198" w:rsidRDefault="005C0948">
      <w:pPr>
        <w:pStyle w:val="FootnoteText"/>
        <w:spacing w:after="0" w:line="240" w:lineRule="auto"/>
        <w:ind w:left="284" w:hanging="284"/>
        <w:jc w:val="both"/>
        <w:rPr>
          <w:rFonts w:ascii="Times New Roman" w:hAnsi="Times New Roman"/>
          <w:lang w:val="de-DE"/>
        </w:rPr>
      </w:pPr>
      <w:r>
        <w:rPr>
          <w:rFonts w:ascii="Times New Roman" w:hAnsi="Times New Roman"/>
          <w:vertAlign w:val="superscript"/>
        </w:rPr>
        <w:footnoteRef/>
      </w:r>
      <w:r>
        <w:rPr>
          <w:rFonts w:ascii="Times New Roman" w:hAnsi="Times New Roman"/>
          <w:vertAlign w:val="superscript"/>
          <w:lang w:val="de-DE"/>
        </w:rPr>
        <w:t xml:space="preserve"> </w:t>
      </w:r>
      <w:r>
        <w:rPr>
          <w:rFonts w:ascii="Times New Roman" w:hAnsi="Times New Roman"/>
          <w:lang w:val="de-DE"/>
        </w:rPr>
        <w:tab/>
      </w:r>
      <w:r>
        <w:rPr>
          <w:rFonts w:ascii="Times New Roman" w:hAnsi="Times New Roman"/>
          <w:lang w:val="de-DE"/>
        </w:rPr>
        <w:t xml:space="preserve">Case C-374/17 </w:t>
      </w:r>
      <w:r>
        <w:rPr>
          <w:rFonts w:ascii="Times New Roman" w:hAnsi="Times New Roman"/>
          <w:i/>
          <w:lang w:val="de-DE"/>
        </w:rPr>
        <w:t>Finanzamt B v A-Brauerei</w:t>
      </w:r>
      <w:r>
        <w:rPr>
          <w:rFonts w:ascii="Times New Roman" w:hAnsi="Times New Roman"/>
          <w:lang w:val="de-DE"/>
        </w:rPr>
        <w:t xml:space="preserve"> - EU:C:2018:1024.</w:t>
      </w:r>
    </w:p>
  </w:footnote>
  <w:footnote w:id="14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According to that test, the Commission first has to identify the “system of reference” (normal rules of taxation), then (second step) it assesses whether a given measure constitutes a derogation f</w:t>
      </w:r>
      <w:r>
        <w:rPr>
          <w:rFonts w:ascii="Times New Roman" w:hAnsi="Times New Roman"/>
        </w:rPr>
        <w:t>rom that system insofar as it differentiates between economic operators who, in light of the objectives intrinsic to the system, are in a comparable factual and legal situation. In the third step, a prima facie selective measure can be regarded as justifie</w:t>
      </w:r>
      <w:r>
        <w:rPr>
          <w:rFonts w:ascii="Times New Roman" w:hAnsi="Times New Roman"/>
        </w:rPr>
        <w:t>d by the nature or the general scheme of the tax system, and can thus fall outside the scope of State aid rules.</w:t>
      </w:r>
    </w:p>
  </w:footnote>
  <w:footnote w:id="14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C-203/16P </w:t>
      </w:r>
      <w:r>
        <w:rPr>
          <w:rFonts w:ascii="Times New Roman" w:hAnsi="Times New Roman"/>
          <w:i/>
        </w:rPr>
        <w:t xml:space="preserve">Dirk Andres v European Commission </w:t>
      </w:r>
      <w:r>
        <w:rPr>
          <w:rFonts w:ascii="Times New Roman" w:hAnsi="Times New Roman"/>
        </w:rPr>
        <w:t>- EU:C:2018:505.</w:t>
      </w:r>
    </w:p>
  </w:footnote>
  <w:footnote w:id="14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C</w:t>
      </w:r>
      <w:r>
        <w:rPr>
          <w:rFonts w:ascii="Times New Roman" w:hAnsi="Times New Roman"/>
          <w:noProof/>
        </w:rPr>
        <w:t xml:space="preserve">ases T-287/11 and T-620/11. </w:t>
      </w:r>
    </w:p>
  </w:footnote>
  <w:footnote w:id="14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2011/527/EU: Commission Decision of 26 </w:t>
      </w:r>
      <w:r>
        <w:rPr>
          <w:rFonts w:ascii="Times New Roman" w:hAnsi="Times New Roman"/>
        </w:rPr>
        <w:t xml:space="preserve">January 2011 on State aid C 7/10 (ex CP 250/09 and NN 5/10) implemented by Germany — Scheme for the carry-forward of tax losses in the case of restructuring of companies in difficulty (Sanierungsklausel). </w:t>
      </w:r>
    </w:p>
  </w:footnote>
  <w:footnote w:id="146">
    <w:p w:rsidR="00320198" w:rsidRDefault="005C0948">
      <w:pPr>
        <w:pStyle w:val="FootnoteText"/>
        <w:spacing w:after="0" w:line="240" w:lineRule="auto"/>
        <w:ind w:left="284" w:hanging="284"/>
        <w:jc w:val="both"/>
        <w:rPr>
          <w:rFonts w:ascii="Times New Roman" w:hAnsi="Times New Roman"/>
          <w:lang w:val="es-ES"/>
        </w:rPr>
      </w:pPr>
      <w:r>
        <w:rPr>
          <w:rFonts w:ascii="Times New Roman" w:hAnsi="Times New Roman"/>
          <w:vertAlign w:val="superscript"/>
        </w:rPr>
        <w:footnoteRef/>
      </w:r>
      <w:r>
        <w:rPr>
          <w:rFonts w:ascii="Times New Roman" w:hAnsi="Times New Roman"/>
          <w:lang w:val="es-ES"/>
        </w:rPr>
        <w:t xml:space="preserve"> </w:t>
      </w:r>
      <w:r>
        <w:rPr>
          <w:rFonts w:ascii="Times New Roman" w:hAnsi="Times New Roman"/>
          <w:lang w:val="es-ES"/>
        </w:rPr>
        <w:tab/>
        <w:t xml:space="preserve">Cases C-233/16 to C-237/16 </w:t>
      </w:r>
      <w:r>
        <w:rPr>
          <w:rFonts w:ascii="Times New Roman" w:hAnsi="Times New Roman"/>
          <w:i/>
          <w:lang w:val="es-ES"/>
        </w:rPr>
        <w:t xml:space="preserve">Asociación Nacional </w:t>
      </w:r>
      <w:r>
        <w:rPr>
          <w:rFonts w:ascii="Times New Roman" w:hAnsi="Times New Roman"/>
          <w:i/>
          <w:lang w:val="es-ES"/>
        </w:rPr>
        <w:t>de Grandes Empresas de Distribución (ANGED) v Generalitat de Catalunya</w:t>
      </w:r>
      <w:r>
        <w:rPr>
          <w:rFonts w:ascii="Times New Roman" w:hAnsi="Times New Roman"/>
          <w:lang w:val="es-ES"/>
        </w:rPr>
        <w:t xml:space="preserve"> - EU:C:2018:280.</w:t>
      </w:r>
    </w:p>
  </w:footnote>
  <w:footnote w:id="14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T-356/15 </w:t>
      </w:r>
      <w:r>
        <w:rPr>
          <w:rFonts w:ascii="Times New Roman" w:hAnsi="Times New Roman"/>
          <w:i/>
        </w:rPr>
        <w:t>Republic of Austria v European Commission</w:t>
      </w:r>
      <w:r>
        <w:rPr>
          <w:rFonts w:ascii="Times New Roman" w:hAnsi="Times New Roman"/>
        </w:rPr>
        <w:t xml:space="preserve"> - EU:T:2018:439.</w:t>
      </w:r>
    </w:p>
  </w:footnote>
  <w:footnote w:id="14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A public interest objective of a Member State contrasts with the private interest of the </w:t>
      </w:r>
      <w:r>
        <w:rPr>
          <w:rFonts w:ascii="Times New Roman" w:hAnsi="Times New Roman"/>
        </w:rPr>
        <w:t>beneficiary of the aid and it does not need to be in the interest of all Member States or even of a majority of Member States. This is different from the common interest that the Commission needs to take into account when it carries out the balancing test.</w:t>
      </w:r>
    </w:p>
  </w:footnote>
  <w:footnote w:id="149">
    <w:p w:rsidR="00320198" w:rsidRDefault="005C0948">
      <w:pPr>
        <w:shd w:val="clear" w:color="auto" w:fill="FFFFFF"/>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rPr>
        <w:tab/>
      </w:r>
      <w:hyperlink r:id="rId71" w:tgtFrame="_blank" w:history="1">
        <w:r>
          <w:rPr>
            <w:rFonts w:ascii="Times New Roman" w:hAnsi="Times New Roman"/>
            <w:sz w:val="20"/>
            <w:szCs w:val="20"/>
          </w:rPr>
          <w:t>Judgment of the Court of Justice in Case C-492/17</w:t>
        </w:r>
      </w:hyperlink>
      <w:r>
        <w:rPr>
          <w:rFonts w:ascii="Times New Roman" w:hAnsi="Times New Roman"/>
          <w:sz w:val="20"/>
          <w:szCs w:val="20"/>
        </w:rPr>
        <w:t xml:space="preserve">, </w:t>
      </w:r>
      <w:hyperlink r:id="rId72" w:tgtFrame="_blank" w:history="1">
        <w:r>
          <w:rPr>
            <w:rFonts w:ascii="Times New Roman" w:hAnsi="Times New Roman"/>
            <w:sz w:val="20"/>
            <w:szCs w:val="20"/>
          </w:rPr>
          <w:t>Rittinger and Others</w:t>
        </w:r>
      </w:hyperlink>
      <w:r>
        <w:rPr>
          <w:rFonts w:ascii="Times New Roman" w:hAnsi="Times New Roman"/>
          <w:sz w:val="20"/>
          <w:szCs w:val="20"/>
        </w:rPr>
        <w:t>. See</w:t>
      </w:r>
      <w:r>
        <w:rPr>
          <w:rFonts w:ascii="Times New Roman" w:eastAsia="Times New Roman" w:hAnsi="Times New Roman"/>
          <w:color w:val="475055"/>
          <w:sz w:val="20"/>
          <w:szCs w:val="20"/>
          <w:lang w:eastAsia="en-GB"/>
        </w:rPr>
        <w:t xml:space="preserve">: </w:t>
      </w:r>
      <w:hyperlink r:id="rId73" w:history="1">
        <w:r>
          <w:rPr>
            <w:rStyle w:val="Hyperlink"/>
            <w:rFonts w:ascii="Times New Roman" w:eastAsia="Times New Roman" w:hAnsi="Times New Roman"/>
            <w:sz w:val="20"/>
            <w:szCs w:val="20"/>
            <w:lang w:eastAsia="en-GB"/>
          </w:rPr>
          <w:t>http://curia.europa.eu/juris/document/document.jsf?text=&amp;docid=208961&amp;pageIndex=0&amp;doclang=EN&amp;mode=lst&amp;dir</w:t>
        </w:r>
        <w:r>
          <w:rPr>
            <w:rStyle w:val="Hyperlink"/>
            <w:rFonts w:ascii="Times New Roman" w:eastAsia="Times New Roman" w:hAnsi="Times New Roman"/>
            <w:sz w:val="20"/>
            <w:szCs w:val="20"/>
            <w:lang w:eastAsia="en-GB"/>
          </w:rPr>
          <w:t>=&amp;occ=first&amp;part=1&amp;cid=12230735</w:t>
        </w:r>
      </w:hyperlink>
      <w:r>
        <w:rPr>
          <w:rStyle w:val="Hyperlink"/>
          <w:rFonts w:ascii="Times New Roman" w:eastAsia="Times New Roman" w:hAnsi="Times New Roman"/>
          <w:sz w:val="20"/>
          <w:szCs w:val="20"/>
          <w:lang w:eastAsia="en-GB"/>
        </w:rPr>
        <w:t>.</w:t>
      </w:r>
    </w:p>
  </w:footnote>
  <w:footnote w:id="15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Commission Decision of 24 April 2007 (C(2007) 1761 final – State aid E 3/2005 (ex CP 2/2003, CP 232/2002, CP 43/2003, CP 243/2004 and CP 195/2004) – Financing of public service broadcasters in Germany (ARD/ZDF).</w:t>
      </w:r>
    </w:p>
  </w:footnote>
  <w:footnote w:id="15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lang w:val="en-US"/>
        </w:rPr>
        <w:t xml:space="preserve">Case </w:t>
      </w:r>
      <w:r>
        <w:rPr>
          <w:rFonts w:ascii="Times New Roman" w:hAnsi="Times New Roman"/>
          <w:lang w:val="en-US"/>
        </w:rPr>
        <w:t xml:space="preserve">T-160/16 </w:t>
      </w:r>
      <w:r>
        <w:rPr>
          <w:rFonts w:ascii="Times New Roman" w:hAnsi="Times New Roman"/>
          <w:i/>
          <w:lang w:val="en-US"/>
        </w:rPr>
        <w:t>Groningen Seaports NV and Others v European Commission</w:t>
      </w:r>
      <w:r>
        <w:rPr>
          <w:rFonts w:ascii="Times New Roman" w:hAnsi="Times New Roman"/>
          <w:lang w:val="en-US"/>
        </w:rPr>
        <w:t xml:space="preserve"> - EU:T:2018:317.</w:t>
      </w:r>
    </w:p>
  </w:footnote>
  <w:footnote w:id="152">
    <w:p w:rsidR="00320198" w:rsidRDefault="005C0948">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lang w:val="en-US"/>
        </w:rPr>
        <w:t xml:space="preserve">Case T-793/14 </w:t>
      </w:r>
      <w:r>
        <w:rPr>
          <w:rFonts w:ascii="Times New Roman" w:hAnsi="Times New Roman"/>
          <w:i/>
          <w:lang w:val="en-US"/>
        </w:rPr>
        <w:t>Tempus Energy Ltd and Tempus Energy Technology Ltd v European Commission</w:t>
      </w:r>
      <w:r>
        <w:rPr>
          <w:rFonts w:ascii="Times New Roman" w:hAnsi="Times New Roman"/>
          <w:lang w:val="en-US"/>
        </w:rPr>
        <w:t xml:space="preserve"> - EU:T:2018:790. </w:t>
      </w:r>
    </w:p>
  </w:footnote>
  <w:footnote w:id="153">
    <w:p w:rsidR="00320198" w:rsidRDefault="005C0948">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lang w:val="en-US"/>
        </w:rPr>
        <w:t>OJ C200/1 of 28.6.2014.</w:t>
      </w:r>
    </w:p>
  </w:footnote>
  <w:footnote w:id="154">
    <w:p w:rsidR="00320198" w:rsidRDefault="005C0948">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lang w:val="en-US"/>
        </w:rPr>
        <w:t xml:space="preserve">Case T-68/15 </w:t>
      </w:r>
      <w:r>
        <w:rPr>
          <w:rFonts w:ascii="Times New Roman" w:hAnsi="Times New Roman"/>
          <w:i/>
          <w:lang w:val="en-US"/>
        </w:rPr>
        <w:t>HH Ferries I/S, formerly</w:t>
      </w:r>
      <w:r>
        <w:rPr>
          <w:rFonts w:ascii="Times New Roman" w:hAnsi="Times New Roman"/>
          <w:i/>
          <w:lang w:val="en-US"/>
        </w:rPr>
        <w:t xml:space="preserve"> Scandlines Øresund I/S and Others v European Commission</w:t>
      </w:r>
      <w:r>
        <w:rPr>
          <w:rFonts w:ascii="Times New Roman" w:hAnsi="Times New Roman"/>
          <w:lang w:val="en-US"/>
        </w:rPr>
        <w:t xml:space="preserve"> - EU:T:2018:563.</w:t>
      </w:r>
    </w:p>
  </w:footnote>
  <w:footnote w:id="155">
    <w:p w:rsidR="00320198" w:rsidRDefault="005C0948">
      <w:pPr>
        <w:pStyle w:val="FootnoteText"/>
        <w:spacing w:after="0" w:line="240" w:lineRule="auto"/>
        <w:ind w:left="284" w:hanging="284"/>
        <w:jc w:val="both"/>
        <w:rPr>
          <w:rFonts w:ascii="Times New Roman" w:hAnsi="Times New Roman"/>
          <w:lang w:val="it-IT"/>
        </w:rPr>
      </w:pPr>
      <w:r>
        <w:rPr>
          <w:rFonts w:ascii="Times New Roman" w:hAnsi="Times New Roman"/>
          <w:vertAlign w:val="superscript"/>
        </w:rPr>
        <w:footnoteRef/>
      </w:r>
      <w:r>
        <w:rPr>
          <w:rFonts w:ascii="Times New Roman" w:hAnsi="Times New Roman"/>
          <w:vertAlign w:val="superscript"/>
          <w:lang w:val="it-IT"/>
        </w:rPr>
        <w:t xml:space="preserve"> </w:t>
      </w:r>
      <w:r>
        <w:rPr>
          <w:rFonts w:ascii="Times New Roman" w:hAnsi="Times New Roman"/>
          <w:vertAlign w:val="superscript"/>
          <w:lang w:val="it-IT"/>
        </w:rPr>
        <w:tab/>
      </w:r>
      <w:r>
        <w:rPr>
          <w:rFonts w:ascii="Times New Roman" w:hAnsi="Times New Roman"/>
          <w:lang w:val="it-IT"/>
        </w:rPr>
        <w:t xml:space="preserve">Joined cases C-622/16 P </w:t>
      </w:r>
      <w:r>
        <w:rPr>
          <w:rFonts w:ascii="Times New Roman" w:hAnsi="Times New Roman"/>
          <w:i/>
          <w:lang w:val="it-IT"/>
        </w:rPr>
        <w:t>Scuola Elementare Maria Montessori Srl v European Commission</w:t>
      </w:r>
      <w:r>
        <w:rPr>
          <w:rFonts w:ascii="Times New Roman" w:hAnsi="Times New Roman"/>
          <w:lang w:val="it-IT"/>
        </w:rPr>
        <w:t xml:space="preserve"> - EU:C:2018:873.</w:t>
      </w:r>
    </w:p>
  </w:footnote>
  <w:footnote w:id="15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74" w:history="1">
        <w:r>
          <w:rPr>
            <w:rStyle w:val="Hyperlink"/>
            <w:rFonts w:ascii="Times New Roman" w:hAnsi="Times New Roman"/>
          </w:rPr>
          <w:t>http://europa.eu/rapid/press-release_IP-18-5865_en.htm</w:t>
        </w:r>
      </w:hyperlink>
      <w:r>
        <w:rPr>
          <w:rStyle w:val="Hyperlink"/>
          <w:rFonts w:ascii="Times New Roman" w:hAnsi="Times New Roman"/>
        </w:rPr>
        <w:t>.</w:t>
      </w:r>
    </w:p>
  </w:footnote>
  <w:footnote w:id="15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lang w:val="it-IT"/>
        </w:rPr>
        <w:t>The members of GAMS are China, Chinese Taipei, the European Union, Japan, Korea and the United States.</w:t>
      </w:r>
      <w:r>
        <w:rPr>
          <w:rFonts w:ascii="Times New Roman" w:hAnsi="Times New Roman"/>
        </w:rPr>
        <w:t xml:space="preserve"> </w:t>
      </w:r>
    </w:p>
  </w:footnote>
  <w:footnote w:id="15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75" w:history="1">
        <w:r>
          <w:rPr>
            <w:rStyle w:val="Hyperlink"/>
            <w:rFonts w:ascii="Times New Roman" w:hAnsi="Times New Roman"/>
          </w:rPr>
          <w:t>https://ec.europa.eu/commission/commissioners/2014-2019/vestager/announcements/state-aid-rules-fair-competition_en</w:t>
        </w:r>
      </w:hyperlink>
      <w:r>
        <w:rPr>
          <w:rStyle w:val="Hyperlink"/>
          <w:rFonts w:ascii="Times New Roman" w:hAnsi="Times New Roman"/>
        </w:rPr>
        <w:t>.</w:t>
      </w:r>
    </w:p>
  </w:footnote>
  <w:footnote w:id="159">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76" w:history="1">
        <w:r>
          <w:rPr>
            <w:rStyle w:val="Hyperlink"/>
            <w:rFonts w:ascii="Times New Roman" w:hAnsi="Times New Roman"/>
          </w:rPr>
          <w:t>http://www.oecd.org/daf/competition/rethinking-antitrust-enforcement-tools-in-multi-sided-markets.htm</w:t>
        </w:r>
      </w:hyperlink>
      <w:r>
        <w:rPr>
          <w:rStyle w:val="Hyperlink"/>
          <w:rFonts w:ascii="Times New Roman" w:hAnsi="Times New Roman"/>
        </w:rPr>
        <w:t>.</w:t>
      </w:r>
    </w:p>
  </w:footnote>
  <w:footnote w:id="16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77" w:history="1">
        <w:r>
          <w:rPr>
            <w:rStyle w:val="Hyperlink"/>
            <w:rFonts w:ascii="Times New Roman" w:hAnsi="Times New Roman"/>
          </w:rPr>
          <w:t>http://www.oecd.org/daf/competition/non-price-effects-of-mergers.htm</w:t>
        </w:r>
      </w:hyperlink>
      <w:r>
        <w:rPr>
          <w:rStyle w:val="Hyperlink"/>
          <w:rFonts w:ascii="Times New Roman" w:hAnsi="Times New Roman"/>
        </w:rPr>
        <w:t>.</w:t>
      </w:r>
    </w:p>
  </w:footnote>
  <w:footnote w:id="16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78" w:history="1">
        <w:r>
          <w:rPr>
            <w:rStyle w:val="Hyperlink"/>
            <w:rFonts w:ascii="Times New Roman" w:hAnsi="Times New Roman"/>
          </w:rPr>
          <w:t>http://www.oecd.or</w:t>
        </w:r>
        <w:r>
          <w:rPr>
            <w:rStyle w:val="Hyperlink"/>
            <w:rFonts w:ascii="Times New Roman" w:hAnsi="Times New Roman"/>
          </w:rPr>
          <w:t>g/daf/competition/e-commerce-implications-for-competition-policy.htm</w:t>
        </w:r>
      </w:hyperlink>
      <w:r>
        <w:rPr>
          <w:rStyle w:val="Hyperlink"/>
          <w:rFonts w:ascii="Times New Roman" w:hAnsi="Times New Roman"/>
        </w:rPr>
        <w:t>.</w:t>
      </w:r>
    </w:p>
  </w:footnote>
  <w:footnote w:id="16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79" w:history="1">
        <w:r>
          <w:rPr>
            <w:rStyle w:val="Hyperlink"/>
            <w:rFonts w:ascii="Times New Roman" w:hAnsi="Times New Roman"/>
          </w:rPr>
          <w:t>http://www.oecd.org/daf/competition/market-concentration.htm</w:t>
        </w:r>
      </w:hyperlink>
      <w:r>
        <w:rPr>
          <w:rStyle w:val="Hyperlink"/>
          <w:rFonts w:ascii="Times New Roman" w:hAnsi="Times New Roman"/>
        </w:rPr>
        <w:t>.</w:t>
      </w:r>
    </w:p>
  </w:footnote>
  <w:footnote w:id="163">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See: </w:t>
      </w:r>
      <w:hyperlink r:id="rId80" w:history="1">
        <w:r>
          <w:rPr>
            <w:rStyle w:val="Hyperlink"/>
            <w:rFonts w:ascii="Times New Roman" w:hAnsi="Times New Roman"/>
          </w:rPr>
          <w:t>http://www.oecd.org/daf/competition/treatment-of-legally-privileged-information-in-competition-proceedings.htm</w:t>
        </w:r>
      </w:hyperlink>
      <w:r>
        <w:rPr>
          <w:rStyle w:val="Hyperlink"/>
          <w:rFonts w:ascii="Times New Roman" w:hAnsi="Times New Roman"/>
        </w:rPr>
        <w:t>.</w:t>
      </w:r>
    </w:p>
  </w:footnote>
  <w:footnote w:id="164">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81" w:history="1">
        <w:r>
          <w:rPr>
            <w:rStyle w:val="Hyperlink"/>
            <w:rFonts w:ascii="Times New Roman" w:hAnsi="Times New Roman"/>
          </w:rPr>
          <w:t>http://www.oecd.org/daf/competition/gun-jumping-and-suspensory-effects-of-merger-notifications.htm</w:t>
        </w:r>
      </w:hyperlink>
      <w:r>
        <w:rPr>
          <w:rStyle w:val="Hyperlink"/>
          <w:rFonts w:ascii="Times New Roman" w:hAnsi="Times New Roman"/>
        </w:rPr>
        <w:t>.</w:t>
      </w:r>
    </w:p>
  </w:footnote>
  <w:footnote w:id="16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82" w:history="1">
        <w:r>
          <w:rPr>
            <w:rStyle w:val="Hyperlink"/>
            <w:rFonts w:ascii="Times New Roman" w:hAnsi="Times New Roman"/>
          </w:rPr>
          <w:t>http://www.oecd.org/daf/competition/excessive-pricing-in-pharmaceuticals.htm</w:t>
        </w:r>
      </w:hyperlink>
      <w:r>
        <w:rPr>
          <w:rStyle w:val="Hyperlink"/>
          <w:rFonts w:ascii="Times New Roman" w:hAnsi="Times New Roman"/>
        </w:rPr>
        <w:t>.</w:t>
      </w:r>
    </w:p>
  </w:footnote>
  <w:footnote w:id="16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83" w:history="1">
        <w:r>
          <w:rPr>
            <w:rStyle w:val="Hyperlink"/>
            <w:rFonts w:ascii="Times New Roman" w:hAnsi="Times New Roman"/>
          </w:rPr>
          <w:t>http://www.oecd.org/daf/competition/personalised-pricin</w:t>
        </w:r>
        <w:r>
          <w:rPr>
            <w:rStyle w:val="Hyperlink"/>
            <w:rFonts w:ascii="Times New Roman" w:hAnsi="Times New Roman"/>
          </w:rPr>
          <w:t>g-in-the-digital-era.htm</w:t>
        </w:r>
      </w:hyperlink>
      <w:r>
        <w:rPr>
          <w:rStyle w:val="Hyperlink"/>
          <w:rFonts w:ascii="Times New Roman" w:hAnsi="Times New Roman"/>
        </w:rPr>
        <w:t>.</w:t>
      </w:r>
    </w:p>
  </w:footnote>
  <w:footnote w:id="16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84" w:history="1">
        <w:r>
          <w:rPr>
            <w:rStyle w:val="Hyperlink"/>
            <w:rFonts w:ascii="Times New Roman" w:hAnsi="Times New Roman"/>
          </w:rPr>
          <w:t>http://www.oecd.org/daf/competition/quality-considerations-in-the-zero-price-economy.htm</w:t>
        </w:r>
      </w:hyperlink>
      <w:r>
        <w:rPr>
          <w:rStyle w:val="Hyperlink"/>
          <w:rFonts w:ascii="Times New Roman" w:hAnsi="Times New Roman"/>
        </w:rPr>
        <w:t>.</w:t>
      </w:r>
    </w:p>
  </w:footnote>
  <w:footnote w:id="16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85" w:history="1">
        <w:r>
          <w:rPr>
            <w:rStyle w:val="Hyperlink"/>
            <w:rFonts w:ascii="Times New Roman" w:hAnsi="Times New Roman"/>
          </w:rPr>
          <w:t>http://www.oecd.org/daf/competition/benefits-and-challenges-of-regional-competition-agreements.htm</w:t>
        </w:r>
      </w:hyperlink>
      <w:r>
        <w:rPr>
          <w:rStyle w:val="Hyperlink"/>
          <w:rFonts w:ascii="Times New Roman" w:hAnsi="Times New Roman"/>
        </w:rPr>
        <w:t>.</w:t>
      </w:r>
    </w:p>
  </w:footnote>
  <w:footnote w:id="169">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86" w:history="1">
        <w:r>
          <w:rPr>
            <w:rStyle w:val="Hyperlink"/>
            <w:rFonts w:ascii="Times New Roman" w:hAnsi="Times New Roman"/>
          </w:rPr>
          <w:t>http://www.oecd.org/competition/globalforum/investigative-powers-in-practice.htm</w:t>
        </w:r>
      </w:hyperlink>
      <w:r>
        <w:rPr>
          <w:rStyle w:val="Hyperlink"/>
          <w:rFonts w:ascii="Times New Roman" w:hAnsi="Times New Roman"/>
        </w:rPr>
        <w:t>.</w:t>
      </w:r>
    </w:p>
  </w:footnote>
  <w:footnote w:id="17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87" w:history="1">
        <w:r>
          <w:rPr>
            <w:rStyle w:val="Hyperlink"/>
            <w:rFonts w:ascii="Times New Roman" w:hAnsi="Times New Roman"/>
          </w:rPr>
          <w:t>https://unctad.org/en/Pag</w:t>
        </w:r>
        <w:r>
          <w:rPr>
            <w:rStyle w:val="Hyperlink"/>
            <w:rFonts w:ascii="Times New Roman" w:hAnsi="Times New Roman"/>
          </w:rPr>
          <w:t>es/MeetingDetails.aspx?meetingid=1675</w:t>
        </w:r>
      </w:hyperlink>
      <w:r>
        <w:rPr>
          <w:rStyle w:val="Hyperlink"/>
          <w:rFonts w:ascii="Times New Roman" w:hAnsi="Times New Roman"/>
        </w:rPr>
        <w:t>.</w:t>
      </w:r>
    </w:p>
  </w:footnote>
  <w:footnote w:id="171">
    <w:p w:rsidR="00320198" w:rsidRDefault="005C0948">
      <w:pPr>
        <w:pStyle w:val="FootnoteText"/>
        <w:spacing w:after="0" w:line="240" w:lineRule="auto"/>
        <w:ind w:left="284" w:hanging="284"/>
        <w:jc w:val="both"/>
        <w:rPr>
          <w:rStyle w:val="Hyperlink"/>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88" w:history="1">
        <w:r>
          <w:rPr>
            <w:rStyle w:val="Hyperlink"/>
            <w:rFonts w:ascii="Times New Roman" w:hAnsi="Times New Roman"/>
          </w:rPr>
          <w:t>https://unctad.org/en/Pages/MeetingDetails.aspx?meetingid=1675</w:t>
        </w:r>
      </w:hyperlink>
      <w:r>
        <w:rPr>
          <w:rStyle w:val="Hyperlink"/>
          <w:rFonts w:ascii="Times New Roman" w:hAnsi="Times New Roman"/>
        </w:rPr>
        <w:t>.</w:t>
      </w:r>
    </w:p>
  </w:footnote>
  <w:footnote w:id="17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89" w:history="1">
        <w:r>
          <w:rPr>
            <w:rStyle w:val="Hyperlink"/>
            <w:rFonts w:ascii="Times New Roman" w:hAnsi="Times New Roman"/>
          </w:rPr>
          <w:t>http://curia.europa.eu/juris/liste.jsf?pro=AVIS&amp;num=C-1/15</w:t>
        </w:r>
      </w:hyperlink>
      <w:r>
        <w:rPr>
          <w:rStyle w:val="Hyperlink"/>
          <w:rFonts w:ascii="Times New Roman" w:hAnsi="Times New Roman"/>
        </w:rPr>
        <w:t>.</w:t>
      </w:r>
    </w:p>
  </w:footnote>
  <w:footnote w:id="17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90" w:history="1">
        <w:r>
          <w:rPr>
            <w:rStyle w:val="Hyperlink"/>
            <w:rFonts w:ascii="Times New Roman" w:hAnsi="Times New Roman"/>
          </w:rPr>
          <w:t>https://eur-lex.europa.eu/legal-content/EN/ALL/?uri=CELEX:22003A0722(01)</w:t>
        </w:r>
      </w:hyperlink>
      <w:r>
        <w:rPr>
          <w:rStyle w:val="Hyperlink"/>
          <w:rFonts w:ascii="Times New Roman" w:hAnsi="Times New Roman"/>
        </w:rPr>
        <w:t>.</w:t>
      </w:r>
    </w:p>
  </w:footnote>
  <w:footnote w:id="17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BRICS</w:t>
      </w:r>
      <w:r>
        <w:rPr>
          <w:rFonts w:ascii="Times New Roman" w:hAnsi="Times New Roman"/>
        </w:rPr>
        <w:t xml:space="preserve"> is an acronym commonly used to denote the countries Brazil, Russia, India, China and South Africa.</w:t>
      </w:r>
    </w:p>
  </w:footnote>
  <w:footnote w:id="17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91" w:history="1">
        <w:r>
          <w:rPr>
            <w:rStyle w:val="Hyperlink"/>
            <w:rFonts w:ascii="Times New Roman" w:hAnsi="Times New Roman"/>
          </w:rPr>
          <w:t>http://ec.europa.eu/competition/international/bilater</w:t>
        </w:r>
        <w:r>
          <w:rPr>
            <w:rStyle w:val="Hyperlink"/>
            <w:rFonts w:ascii="Times New Roman" w:hAnsi="Times New Roman"/>
          </w:rPr>
          <w:t>al/mexico_mou_2018_en.pdf</w:t>
        </w:r>
      </w:hyperlink>
      <w:r>
        <w:rPr>
          <w:rStyle w:val="Hyperlink"/>
          <w:rFonts w:ascii="Times New Roman" w:hAnsi="Times New Roman"/>
        </w:rPr>
        <w:t>.</w:t>
      </w:r>
    </w:p>
  </w:footnote>
  <w:footnote w:id="176">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Speeches published on the DG Competition web-site: </w:t>
      </w:r>
      <w:r>
        <w:rPr>
          <w:rStyle w:val="Hyperlink"/>
          <w:rFonts w:ascii="Times New Roman" w:hAnsi="Times New Roman"/>
        </w:rPr>
        <w:t>ec.europa.eu/competition/speeches/index_2018.html.</w:t>
      </w:r>
    </w:p>
  </w:footnote>
  <w:footnote w:id="17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The number of impressions means the number of times a tweet appears in users’ feed.</w:t>
      </w:r>
    </w:p>
  </w:footnote>
  <w:footnote w:id="178">
    <w:p w:rsidR="00320198" w:rsidRDefault="005C0948">
      <w:pPr>
        <w:pStyle w:val="FootnoteText"/>
        <w:spacing w:after="0" w:line="240" w:lineRule="auto"/>
        <w:ind w:left="284" w:hanging="284"/>
        <w:jc w:val="both"/>
        <w:rPr>
          <w:rStyle w:val="FootnoteTextCha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Style w:val="FootnoteTextChar"/>
          <w:rFonts w:ascii="Times New Roman" w:hAnsi="Times New Roman"/>
        </w:rPr>
        <w:t>Proposal for a Regulation of the E</w:t>
      </w:r>
      <w:r>
        <w:rPr>
          <w:rStyle w:val="FootnoteTextChar"/>
          <w:rFonts w:ascii="Times New Roman" w:hAnsi="Times New Roman"/>
        </w:rPr>
        <w:t xml:space="preserve">uropean Parliament and of the Council establishing the Programme for single market, competitiveness of enterprises, including small and medium-sized enterprises, and European statistics and repealing Regulations (EU) No 99/2013, (EU) No 1287/2013, (EU) No </w:t>
      </w:r>
      <w:r>
        <w:rPr>
          <w:rStyle w:val="FootnoteTextChar"/>
          <w:rFonts w:ascii="Times New Roman" w:hAnsi="Times New Roman"/>
        </w:rPr>
        <w:t xml:space="preserve">254/2014, (EU) No 258/2014, (EU) No 652/2014 and (EU) 2017/826. See: </w:t>
      </w:r>
      <w:hyperlink r:id="rId92" w:history="1">
        <w:r>
          <w:rPr>
            <w:rStyle w:val="Hyperlink"/>
            <w:rFonts w:ascii="Times New Roman" w:hAnsi="Times New Roman"/>
          </w:rPr>
          <w:t>https://eur-lex.europa.eu/legal-content/EN/TXT/?qid=1540389031742&amp;uri=CELEX%3A520</w:t>
        </w:r>
        <w:r>
          <w:rPr>
            <w:rStyle w:val="Hyperlink"/>
            <w:rFonts w:ascii="Times New Roman" w:hAnsi="Times New Roman"/>
          </w:rPr>
          <w:t>18PC0441</w:t>
        </w:r>
      </w:hyperlink>
      <w:r>
        <w:rPr>
          <w:rStyle w:val="Hyperlink"/>
          <w:rFonts w:ascii="Times New Roman" w:hAnsi="Times New Roman"/>
        </w:rPr>
        <w:t>.</w:t>
      </w:r>
    </w:p>
    <w:p w:rsidR="00320198" w:rsidRDefault="005C0948">
      <w:pPr>
        <w:pStyle w:val="FootnoteText"/>
        <w:spacing w:after="0" w:line="240" w:lineRule="auto"/>
        <w:ind w:left="284"/>
        <w:jc w:val="both"/>
        <w:rPr>
          <w:rFonts w:ascii="Times New Roman" w:hAnsi="Times New Roman"/>
        </w:rPr>
      </w:pPr>
      <w:r>
        <w:rPr>
          <w:rStyle w:val="FootnoteTextChar"/>
          <w:rFonts w:ascii="Times New Roman" w:hAnsi="Times New Roman"/>
        </w:rPr>
        <w:t>Commission Staff Working Document Impact Assessment accompanying the document Proposal for a Regulation of the European Parliament and of the Council establishing the Programme for single market, competitiveness of enterprises, including small and medium-s</w:t>
      </w:r>
      <w:r>
        <w:rPr>
          <w:rStyle w:val="FootnoteTextChar"/>
          <w:rFonts w:ascii="Times New Roman" w:hAnsi="Times New Roman"/>
        </w:rPr>
        <w:t xml:space="preserve">ized enterprises, and European statistics and repealing Regulations (EU) No 99/2013, (EU) No 1287/2013, (EU) No 254/2014, (EU) No 258/2014, (EU) No 652/2014 and (EU) No 2017/826. See: </w:t>
      </w:r>
      <w:hyperlink r:id="rId93" w:history="1">
        <w:r>
          <w:rPr>
            <w:rStyle w:val="Hyperlink"/>
            <w:rFonts w:ascii="Times New Roman" w:hAnsi="Times New Roman"/>
          </w:rPr>
          <w:t>https://eur-lex.europa.eu/legal-content/EN/TXT/?qid=1540389285918&amp;uri=CELEX%3A52018SC0320</w:t>
        </w:r>
      </w:hyperlink>
      <w:r>
        <w:rPr>
          <w:rStyle w:val="Hyperlink"/>
          <w:rFonts w:ascii="Times New Roman" w:hAnsi="Times New Roman"/>
        </w:rPr>
        <w:t>.</w:t>
      </w:r>
    </w:p>
  </w:footnote>
  <w:footnote w:id="179">
    <w:p w:rsidR="00320198" w:rsidRDefault="005C0948">
      <w:pPr>
        <w:pStyle w:val="FootnoteText"/>
        <w:spacing w:after="0" w:line="240" w:lineRule="auto"/>
        <w:ind w:left="284" w:hanging="284"/>
        <w:jc w:val="both"/>
        <w:rPr>
          <w:rFonts w:ascii="Times New Roman" w:hAnsi="Times New Roman"/>
          <w:bC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“E</w:t>
      </w:r>
      <w:r>
        <w:rPr>
          <w:rFonts w:ascii="Times New Roman" w:hAnsi="Times New Roman"/>
          <w:bCs/>
        </w:rPr>
        <w:t>-mobility” means using energy from renewable sources, use of hydrogen and natural gas for low emission vehicles, as well as th</w:t>
      </w:r>
      <w:r>
        <w:rPr>
          <w:rFonts w:ascii="Times New Roman" w:hAnsi="Times New Roman"/>
          <w:bCs/>
        </w:rPr>
        <w:t xml:space="preserve">e introduction of the necessary infrastructure to enable this shift. See: </w:t>
      </w:r>
      <w:hyperlink r:id="rId94" w:history="1">
        <w:r>
          <w:rPr>
            <w:rStyle w:val="Hyperlink"/>
            <w:rFonts w:ascii="Times New Roman" w:hAnsi="Times New Roman"/>
            <w:bCs/>
          </w:rPr>
          <w:t>https://</w:t>
        </w:r>
        <w:r>
          <w:rPr>
            <w:rStyle w:val="Hyperlink"/>
            <w:rFonts w:ascii="Times New Roman" w:hAnsi="Times New Roman"/>
            <w:b/>
            <w:bCs/>
          </w:rPr>
          <w:t>ec.europa.eu</w:t>
        </w:r>
        <w:r>
          <w:rPr>
            <w:rStyle w:val="Hyperlink"/>
            <w:rFonts w:ascii="Times New Roman" w:hAnsi="Times New Roman"/>
            <w:bCs/>
          </w:rPr>
          <w:t>/transport</w:t>
        </w:r>
      </w:hyperlink>
      <w:r>
        <w:rPr>
          <w:rStyle w:val="Hyperlink"/>
          <w:rFonts w:ascii="Times New Roman" w:hAnsi="Times New Roman"/>
          <w:bCs/>
        </w:rPr>
        <w:t>.</w:t>
      </w:r>
    </w:p>
    <w:p w:rsidR="00320198" w:rsidRDefault="00320198">
      <w:pPr>
        <w:pStyle w:val="FootnoteText"/>
        <w:spacing w:after="0" w:line="240" w:lineRule="auto"/>
        <w:jc w:val="both"/>
        <w:rPr>
          <w:rFonts w:ascii="Times New Roman" w:hAnsi="Times New Roman"/>
        </w:rPr>
      </w:pPr>
    </w:p>
  </w:footnote>
  <w:footnote w:id="180">
    <w:p w:rsidR="00320198" w:rsidRDefault="005C0948">
      <w:pPr>
        <w:pStyle w:val="FootnoteText"/>
        <w:spacing w:after="0" w:line="240" w:lineRule="auto"/>
        <w:ind w:left="284" w:hanging="284"/>
        <w:rPr>
          <w:rStyle w:val="Hyperlink"/>
          <w:rFonts w:ascii="Times New Roman" w:hAnsi="Times New Roman"/>
          <w:u w:val="none"/>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r>
        <w:rPr>
          <w:rStyle w:val="Hyperlink"/>
          <w:rFonts w:ascii="Times New Roman" w:hAnsi="Times New Roman"/>
        </w:rPr>
        <w:t>https://ec.europa.eu/energy/en/topics/energy-strategy-and-energy-union/clean-energy-all-europeans</w:t>
      </w:r>
      <w:r>
        <w:rPr>
          <w:rStyle w:val="Hyperlink"/>
          <w:rFonts w:ascii="Times New Roman" w:hAnsi="Times New Roman"/>
          <w:u w:val="none"/>
        </w:rPr>
        <w:t>.</w:t>
      </w:r>
    </w:p>
  </w:footnote>
  <w:footnote w:id="18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95" w:history="1">
        <w:r>
          <w:rPr>
            <w:rStyle w:val="Hyperlink"/>
            <w:rFonts w:ascii="Times New Roman" w:hAnsi="Times New Roman"/>
          </w:rPr>
          <w:t>http://ec.europa.eu/competition/state_aid/cases/269473</w:t>
        </w:r>
        <w:r>
          <w:rPr>
            <w:rStyle w:val="Hyperlink"/>
            <w:rFonts w:ascii="Times New Roman" w:hAnsi="Times New Roman"/>
          </w:rPr>
          <w:t>/269473_1980325_81_2.pdf</w:t>
        </w:r>
      </w:hyperlink>
      <w:r>
        <w:rPr>
          <w:rStyle w:val="Hyperlink"/>
          <w:rFonts w:ascii="Times New Roman" w:hAnsi="Times New Roman"/>
          <w:u w:val="none"/>
        </w:rPr>
        <w:t>.</w:t>
      </w:r>
    </w:p>
  </w:footnote>
  <w:footnote w:id="18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96" w:history="1">
        <w:r>
          <w:rPr>
            <w:rStyle w:val="Hyperlink"/>
            <w:rFonts w:ascii="Times New Roman" w:hAnsi="Times New Roman"/>
          </w:rPr>
          <w:t>http://europa.eu/rapid/press-release_IP-16-3521_en.htm</w:t>
        </w:r>
      </w:hyperlink>
      <w:r>
        <w:rPr>
          <w:rStyle w:val="Hyperlink"/>
          <w:rFonts w:ascii="Times New Roman" w:hAnsi="Times New Roman"/>
          <w:u w:val="none"/>
        </w:rPr>
        <w:t>.</w:t>
      </w:r>
    </w:p>
  </w:footnote>
  <w:footnote w:id="18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See:</w:t>
      </w:r>
      <w:r>
        <w:rPr>
          <w:rFonts w:ascii="Times New Roman" w:hAnsi="Times New Roman"/>
        </w:rPr>
        <w:tab/>
      </w:r>
      <w:hyperlink r:id="rId97" w:history="1">
        <w:r>
          <w:rPr>
            <w:rStyle w:val="Hyperlink"/>
            <w:rFonts w:ascii="Times New Roman" w:hAnsi="Times New Roman"/>
          </w:rPr>
          <w:t>http://europa.eu</w:t>
        </w:r>
        <w:r>
          <w:rPr>
            <w:rStyle w:val="Hyperlink"/>
            <w:rFonts w:ascii="Times New Roman" w:hAnsi="Times New Roman"/>
          </w:rPr>
          <w:t>/rapid/press-release_IP-18-6414_en.htm</w:t>
        </w:r>
      </w:hyperlink>
      <w:r>
        <w:rPr>
          <w:rStyle w:val="Hyperlink"/>
          <w:rFonts w:ascii="Times New Roman" w:hAnsi="Times New Roman"/>
          <w:u w:val="none"/>
        </w:rPr>
        <w:t>.</w:t>
      </w:r>
    </w:p>
  </w:footnote>
  <w:footnote w:id="18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AT.40461 – </w:t>
      </w:r>
      <w:r>
        <w:rPr>
          <w:rFonts w:ascii="Times New Roman" w:hAnsi="Times New Roman"/>
          <w:i/>
        </w:rPr>
        <w:t>TenneT</w:t>
      </w:r>
      <w:r>
        <w:rPr>
          <w:rFonts w:ascii="Times New Roman" w:hAnsi="Times New Roman"/>
        </w:rPr>
        <w:t xml:space="preserve">. See: </w:t>
      </w:r>
      <w:hyperlink r:id="rId98" w:history="1">
        <w:r>
          <w:rPr>
            <w:rStyle w:val="Hyperlink"/>
            <w:rFonts w:ascii="Times New Roman" w:hAnsi="Times New Roman"/>
          </w:rPr>
          <w:t>http://europa.eu/rapid/press-release_IP-18-6722_en.htm</w:t>
        </w:r>
      </w:hyperlink>
      <w:r>
        <w:rPr>
          <w:rStyle w:val="Hyperlink"/>
          <w:rFonts w:ascii="Times New Roman" w:hAnsi="Times New Roman"/>
        </w:rPr>
        <w:t>.</w:t>
      </w:r>
    </w:p>
    <w:p w:rsidR="00320198" w:rsidRDefault="00320198">
      <w:pPr>
        <w:pStyle w:val="FootnoteText"/>
        <w:spacing w:after="0" w:line="240" w:lineRule="auto"/>
        <w:jc w:val="both"/>
        <w:rPr>
          <w:rFonts w:ascii="Times New Roman" w:hAnsi="Times New Roman"/>
        </w:rPr>
      </w:pPr>
    </w:p>
  </w:footnote>
  <w:footnote w:id="18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99" w:history="1">
        <w:r>
          <w:rPr>
            <w:rStyle w:val="Hyperlink"/>
            <w:rFonts w:ascii="Times New Roman" w:hAnsi="Times New Roman"/>
          </w:rPr>
          <w:t>http://europa.eu/rapid/press-release_IP-18-6722_en.htm</w:t>
        </w:r>
      </w:hyperlink>
      <w:r>
        <w:rPr>
          <w:rFonts w:ascii="Times New Roman" w:hAnsi="Times New Roman"/>
        </w:rPr>
        <w:t xml:space="preserve">. </w:t>
      </w:r>
    </w:p>
  </w:footnote>
  <w:footnote w:id="18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100" w:history="1">
        <w:r>
          <w:rPr>
            <w:rStyle w:val="Hyperlink"/>
            <w:rFonts w:ascii="Times New Roman" w:hAnsi="Times New Roman"/>
          </w:rPr>
          <w:t>http://europa.eu/rapid/press-release_IP-18-3401_en.</w:t>
        </w:r>
        <w:r>
          <w:rPr>
            <w:rStyle w:val="Hyperlink"/>
            <w:rFonts w:ascii="Times New Roman" w:hAnsi="Times New Roman"/>
          </w:rPr>
          <w:t>htm</w:t>
        </w:r>
      </w:hyperlink>
      <w:r>
        <w:rPr>
          <w:rStyle w:val="Hyperlink"/>
          <w:rFonts w:ascii="Times New Roman" w:hAnsi="Times New Roman"/>
        </w:rPr>
        <w:t>.</w:t>
      </w:r>
    </w:p>
  </w:footnote>
  <w:footnote w:id="18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101" w:history="1">
        <w:r>
          <w:rPr>
            <w:rStyle w:val="Hyperlink"/>
            <w:rFonts w:ascii="Times New Roman" w:hAnsi="Times New Roman"/>
          </w:rPr>
          <w:t>http://ec.europa.eu/competition/mergers/cases/decisions/m8660_525_3.pdf</w:t>
        </w:r>
      </w:hyperlink>
      <w:r>
        <w:rPr>
          <w:rStyle w:val="Hyperlink"/>
          <w:rFonts w:ascii="Times New Roman" w:hAnsi="Times New Roman"/>
        </w:rPr>
        <w:t>.</w:t>
      </w:r>
    </w:p>
  </w:footnote>
  <w:footnote w:id="188">
    <w:p w:rsidR="00320198" w:rsidRDefault="005C0948">
      <w:pPr>
        <w:pStyle w:val="FootnoteText"/>
        <w:spacing w:after="0" w:line="240" w:lineRule="auto"/>
        <w:ind w:left="284" w:hanging="284"/>
        <w:rPr>
          <w:rFonts w:ascii="Times New Roman" w:eastAsiaTheme="minorHAnsi"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102" w:history="1">
        <w:r>
          <w:rPr>
            <w:rStyle w:val="Hyperlink"/>
            <w:rFonts w:ascii="Times New Roman" w:hAnsi="Times New Roman"/>
          </w:rPr>
          <w:t>http://ec.europa.eu/competition/sectors/energy/capacity_mechanisms_final_report_en.pdf</w:t>
        </w:r>
      </w:hyperlink>
    </w:p>
  </w:footnote>
  <w:footnote w:id="189">
    <w:p w:rsidR="00320198" w:rsidRDefault="005C0948">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w:t>
      </w:r>
      <w:hyperlink r:id="rId103" w:history="1">
        <w:r>
          <w:rPr>
            <w:rStyle w:val="Hyperlink"/>
            <w:rFonts w:ascii="Times New Roman" w:hAnsi="Times New Roman"/>
          </w:rPr>
          <w:t>http://europa.eu/rapid/press-release_IP-18-682_en.htm</w:t>
        </w:r>
      </w:hyperlink>
      <w:r>
        <w:rPr>
          <w:rFonts w:ascii="Times New Roman" w:hAnsi="Times New Roman"/>
        </w:rPr>
        <w:t xml:space="preserve">., and </w:t>
      </w:r>
      <w:hyperlink r:id="rId104" w:history="1">
        <w:r>
          <w:rPr>
            <w:rStyle w:val="Hyperlink"/>
            <w:rFonts w:ascii="Times New Roman" w:hAnsi="Times New Roman"/>
          </w:rPr>
          <w:t>http://ec.europa.eu/competition/sectors/energy/state_aid_to_secure_electricity_supply_en.html</w:t>
        </w:r>
      </w:hyperlink>
      <w:r>
        <w:rPr>
          <w:rFonts w:ascii="Times New Roman" w:hAnsi="Times New Roman"/>
        </w:rPr>
        <w:t>.</w:t>
      </w:r>
    </w:p>
  </w:footnote>
  <w:footnote w:id="190">
    <w:p w:rsidR="00320198" w:rsidRDefault="005C0948">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See: https://eur-lex.europa.eu/legal-content/EN/TXT</w:t>
      </w:r>
      <w:r>
        <w:rPr>
          <w:rFonts w:ascii="Times New Roman" w:hAnsi="Times New Roman"/>
        </w:rPr>
        <w:t>/?uri=CELEX:52014XC0628(01).</w:t>
      </w:r>
    </w:p>
  </w:footnote>
  <w:footnote w:id="19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105" w:history="1">
        <w:r>
          <w:rPr>
            <w:rStyle w:val="Hyperlink"/>
            <w:rFonts w:ascii="Times New Roman" w:hAnsi="Times New Roman"/>
          </w:rPr>
          <w:t>http://europa.eu/rapid/press-release_IP-18-3921_en.htm</w:t>
        </w:r>
      </w:hyperlink>
      <w:r>
        <w:rPr>
          <w:rStyle w:val="Hyperlink"/>
          <w:rFonts w:ascii="Times New Roman" w:hAnsi="Times New Roman"/>
        </w:rPr>
        <w:t>.</w:t>
      </w:r>
    </w:p>
  </w:footnote>
  <w:footnote w:id="19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106" w:history="1">
        <w:r>
          <w:rPr>
            <w:rStyle w:val="Hyperlink"/>
            <w:rFonts w:ascii="Times New Roman" w:hAnsi="Times New Roman"/>
          </w:rPr>
          <w:t>http://europa</w:t>
        </w:r>
        <w:r>
          <w:rPr>
            <w:rStyle w:val="Hyperlink"/>
            <w:rFonts w:ascii="Times New Roman" w:hAnsi="Times New Roman"/>
          </w:rPr>
          <w:t>.eu/rapid/press-release_IP-18-6846_en.htm</w:t>
        </w:r>
      </w:hyperlink>
      <w:r>
        <w:rPr>
          <w:rStyle w:val="Hyperlink"/>
          <w:rFonts w:ascii="Times New Roman" w:hAnsi="Times New Roman"/>
        </w:rPr>
        <w:t>.</w:t>
      </w:r>
      <w:r>
        <w:rPr>
          <w:rFonts w:ascii="Times New Roman" w:hAnsi="Times New Roman"/>
        </w:rPr>
        <w:t xml:space="preserve"> </w:t>
      </w:r>
    </w:p>
  </w:footnote>
  <w:footnote w:id="193">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AT.40335 - </w:t>
      </w:r>
      <w:r>
        <w:rPr>
          <w:rFonts w:ascii="Times New Roman" w:hAnsi="Times New Roman"/>
          <w:i/>
        </w:rPr>
        <w:t>Romanian gas interconnectors.</w:t>
      </w:r>
      <w:r>
        <w:rPr>
          <w:rFonts w:ascii="Times New Roman" w:hAnsi="Times New Roman"/>
        </w:rPr>
        <w:t xml:space="preserve"> See: </w:t>
      </w:r>
      <w:hyperlink r:id="rId107" w:history="1">
        <w:r>
          <w:rPr>
            <w:rStyle w:val="Hyperlink"/>
            <w:rFonts w:ascii="Times New Roman" w:hAnsi="Times New Roman"/>
          </w:rPr>
          <w:t>http://europa.eu/rapid/press-release_IP-18-5861_en.htm</w:t>
        </w:r>
      </w:hyperlink>
      <w:r>
        <w:rPr>
          <w:rStyle w:val="Hyperlink"/>
          <w:rFonts w:ascii="Times New Roman" w:hAnsi="Times New Roman"/>
        </w:rPr>
        <w:t>.</w:t>
      </w:r>
    </w:p>
  </w:footnote>
  <w:footnote w:id="194">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M.7095 – </w:t>
      </w:r>
      <w:r>
        <w:rPr>
          <w:rFonts w:ascii="Times New Roman" w:hAnsi="Times New Roman"/>
          <w:i/>
        </w:rPr>
        <w:t>Soca /Desfa</w:t>
      </w:r>
      <w:r>
        <w:rPr>
          <w:rFonts w:ascii="Times New Roman" w:hAnsi="Times New Roman"/>
        </w:rPr>
        <w:t xml:space="preserve"> (notification withdrawn). See: </w:t>
      </w:r>
      <w:hyperlink r:id="rId108" w:history="1">
        <w:r>
          <w:rPr>
            <w:rStyle w:val="Hyperlink"/>
            <w:rFonts w:ascii="Times New Roman" w:hAnsi="Times New Roman"/>
          </w:rPr>
          <w:t>http://ec.europa.eu/competition/mergers/cases/decisions/m8953_141_3.pdf</w:t>
        </w:r>
      </w:hyperlink>
      <w:r>
        <w:rPr>
          <w:rStyle w:val="Hyperlink"/>
          <w:rFonts w:ascii="Times New Roman" w:hAnsi="Times New Roman"/>
        </w:rPr>
        <w:t>.</w:t>
      </w:r>
    </w:p>
  </w:footnote>
  <w:footnote w:id="195">
    <w:p w:rsidR="00320198" w:rsidRDefault="005C0948">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Communication of 6 May 2015 from the Commission to the Europ</w:t>
      </w:r>
      <w:r>
        <w:rPr>
          <w:rFonts w:ascii="Times New Roman" w:hAnsi="Times New Roman"/>
        </w:rPr>
        <w:t xml:space="preserve">ean Parliament, the Council, the European Economic and Social Committee and the Committee of the Regions, A Digital Single Market Strategy for Europe, COM(2015)192 final. See: </w:t>
      </w:r>
      <w:hyperlink r:id="rId109" w:history="1">
        <w:r>
          <w:rPr>
            <w:rStyle w:val="Hyperlink"/>
            <w:rFonts w:ascii="Times New Roman" w:eastAsiaTheme="minorEastAsia" w:hAnsi="Times New Roman"/>
            <w:noProof/>
            <w:lang w:eastAsia="en-GB"/>
          </w:rPr>
          <w:t>http://eur-lex.europa.eu/legal-ontent/EN/TXT/?qid=1447773803386&amp;uri=CELEX%3A52015DC0192</w:t>
        </w:r>
      </w:hyperlink>
      <w:r>
        <w:rPr>
          <w:rFonts w:ascii="Times New Roman" w:eastAsiaTheme="minorEastAsia" w:hAnsi="Times New Roman"/>
          <w:noProof/>
          <w:lang w:eastAsia="en-GB"/>
        </w:rPr>
        <w:t>.</w:t>
      </w:r>
      <w:r>
        <w:rPr>
          <w:rStyle w:val="Hyperlink"/>
          <w:rFonts w:ascii="Times New Roman" w:eastAsiaTheme="minorEastAsia" w:hAnsi="Times New Roman"/>
          <w:noProof/>
          <w:lang w:eastAsia="en-GB"/>
        </w:rPr>
        <w:t xml:space="preserve"> </w:t>
      </w:r>
    </w:p>
  </w:footnote>
  <w:footnote w:id="196">
    <w:p w:rsidR="00320198" w:rsidRDefault="005C0948">
      <w:pPr>
        <w:pStyle w:val="FootnoteText"/>
        <w:spacing w:after="0" w:line="240" w:lineRule="auto"/>
        <w:ind w:left="284" w:hanging="284"/>
        <w:jc w:val="both"/>
        <w:rPr>
          <w:rFonts w:ascii="Times New Roman" w:eastAsiaTheme="minorEastAsia" w:hAnsi="Times New Roman"/>
          <w:noProof/>
          <w:lang w:eastAsia="en-GB"/>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Report of 10 May 2017 from the Commission to the Council and the European Parliament on the Final report on the E-commerce Sector Inquiry (</w:t>
      </w:r>
      <w:r>
        <w:rPr>
          <w:rFonts w:ascii="Times New Roman" w:hAnsi="Times New Roman"/>
        </w:rPr>
        <w:t>SWD (2017) 154 final)</w:t>
      </w:r>
      <w:r>
        <w:rPr>
          <w:rFonts w:ascii="Times New Roman" w:eastAsiaTheme="minorEastAsia" w:hAnsi="Times New Roman"/>
          <w:noProof/>
          <w:lang w:eastAsia="en-GB"/>
        </w:rPr>
        <w:t xml:space="preserve">, COM (2017) 229 final. </w:t>
      </w:r>
      <w:r>
        <w:rPr>
          <w:rFonts w:ascii="Times New Roman" w:hAnsi="Times New Roman"/>
        </w:rPr>
        <w:t xml:space="preserve">See: </w:t>
      </w:r>
      <w:hyperlink r:id="rId110" w:history="1">
        <w:r>
          <w:rPr>
            <w:rStyle w:val="Hyperlink"/>
            <w:rFonts w:ascii="Times New Roman" w:eastAsiaTheme="minorEastAsia" w:hAnsi="Times New Roman"/>
            <w:noProof/>
            <w:lang w:eastAsia="en-GB"/>
          </w:rPr>
          <w:t>http://ec.europa.eu/competition/antitrust/sector_inquiry_final_report_en.pdf</w:t>
        </w:r>
      </w:hyperlink>
      <w:r>
        <w:rPr>
          <w:rStyle w:val="Hyperlink"/>
          <w:rFonts w:ascii="Times New Roman" w:eastAsiaTheme="minorEastAsia" w:hAnsi="Times New Roman"/>
          <w:noProof/>
          <w:lang w:eastAsia="en-GB"/>
        </w:rPr>
        <w:t>.</w:t>
      </w:r>
    </w:p>
  </w:footnote>
  <w:footnote w:id="197">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Cases AT.40465 - </w:t>
      </w:r>
      <w:r>
        <w:rPr>
          <w:rFonts w:ascii="Times New Roman" w:hAnsi="Times New Roman"/>
          <w:i/>
        </w:rPr>
        <w:t>Asus</w:t>
      </w:r>
      <w:r>
        <w:rPr>
          <w:rFonts w:ascii="Times New Roman" w:hAnsi="Times New Roman"/>
        </w:rPr>
        <w:t xml:space="preserve">, AT.40469 - </w:t>
      </w:r>
      <w:r>
        <w:rPr>
          <w:rFonts w:ascii="Times New Roman" w:hAnsi="Times New Roman"/>
          <w:i/>
        </w:rPr>
        <w:t>Denon &amp; Marantz</w:t>
      </w:r>
      <w:r>
        <w:rPr>
          <w:rFonts w:ascii="Times New Roman" w:hAnsi="Times New Roman"/>
        </w:rPr>
        <w:t xml:space="preserve">, AT.40181 - </w:t>
      </w:r>
      <w:r>
        <w:rPr>
          <w:rFonts w:ascii="Times New Roman" w:hAnsi="Times New Roman"/>
          <w:i/>
        </w:rPr>
        <w:t>Philips</w:t>
      </w:r>
      <w:r>
        <w:rPr>
          <w:rFonts w:ascii="Times New Roman" w:hAnsi="Times New Roman"/>
        </w:rPr>
        <w:t xml:space="preserve"> and AT.40182 - </w:t>
      </w:r>
      <w:r>
        <w:rPr>
          <w:rFonts w:ascii="Times New Roman" w:hAnsi="Times New Roman"/>
          <w:i/>
        </w:rPr>
        <w:t>Pioneer</w:t>
      </w:r>
      <w:r>
        <w:rPr>
          <w:rFonts w:ascii="Times New Roman" w:hAnsi="Times New Roman"/>
        </w:rPr>
        <w:t xml:space="preserve">. See: </w:t>
      </w:r>
      <w:hyperlink r:id="rId111" w:history="1">
        <w:r>
          <w:rPr>
            <w:rStyle w:val="Hyperlink"/>
            <w:rFonts w:ascii="Times New Roman" w:hAnsi="Times New Roman"/>
          </w:rPr>
          <w:t>http://europa.eu/rapid/press-release_IP-18-4601_en.htm</w:t>
        </w:r>
      </w:hyperlink>
      <w:r>
        <w:rPr>
          <w:rFonts w:ascii="Times New Roman" w:hAnsi="Times New Roman"/>
        </w:rPr>
        <w:t>.</w:t>
      </w:r>
    </w:p>
  </w:footnote>
  <w:footnote w:id="198">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AT.40428 - </w:t>
      </w:r>
      <w:r>
        <w:rPr>
          <w:rFonts w:ascii="Times New Roman" w:hAnsi="Times New Roman"/>
          <w:i/>
        </w:rPr>
        <w:t>Guess</w:t>
      </w:r>
      <w:r>
        <w:rPr>
          <w:rFonts w:ascii="Times New Roman" w:hAnsi="Times New Roman"/>
        </w:rPr>
        <w:t xml:space="preserve">. See </w:t>
      </w:r>
      <w:hyperlink r:id="rId112" w:history="1">
        <w:r>
          <w:rPr>
            <w:rStyle w:val="Hyperlink"/>
            <w:rFonts w:ascii="Times New Roman" w:hAnsi="Times New Roman"/>
          </w:rPr>
          <w:t>http://europa.eu/rapid/press-release_IP-18-6844_en.htm</w:t>
        </w:r>
      </w:hyperlink>
      <w:r>
        <w:rPr>
          <w:rFonts w:ascii="Times New Roman" w:hAnsi="Times New Roman"/>
        </w:rPr>
        <w:t>.</w:t>
      </w:r>
    </w:p>
  </w:footnote>
  <w:footnote w:id="199">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Cases AT.40413 - </w:t>
      </w:r>
      <w:r>
        <w:rPr>
          <w:rFonts w:ascii="Times New Roman" w:hAnsi="Times New Roman"/>
          <w:i/>
        </w:rPr>
        <w:t>Focus Home</w:t>
      </w:r>
      <w:r>
        <w:rPr>
          <w:rFonts w:ascii="Times New Roman" w:hAnsi="Times New Roman"/>
        </w:rPr>
        <w:t xml:space="preserve">, AT.40414 - </w:t>
      </w:r>
      <w:r>
        <w:rPr>
          <w:rFonts w:ascii="Times New Roman" w:hAnsi="Times New Roman"/>
          <w:i/>
        </w:rPr>
        <w:t>Koch Media</w:t>
      </w:r>
      <w:r>
        <w:rPr>
          <w:rFonts w:ascii="Times New Roman" w:hAnsi="Times New Roman"/>
        </w:rPr>
        <w:t xml:space="preserve">, AT.40420 - </w:t>
      </w:r>
      <w:r>
        <w:rPr>
          <w:rFonts w:ascii="Times New Roman" w:hAnsi="Times New Roman"/>
          <w:i/>
        </w:rPr>
        <w:t>ZeniMax</w:t>
      </w:r>
      <w:r>
        <w:rPr>
          <w:rFonts w:ascii="Times New Roman" w:hAnsi="Times New Roman"/>
        </w:rPr>
        <w:t xml:space="preserve">, AT.40422 - </w:t>
      </w:r>
      <w:r>
        <w:rPr>
          <w:rFonts w:ascii="Times New Roman" w:hAnsi="Times New Roman"/>
          <w:i/>
        </w:rPr>
        <w:t>Bandai Namco</w:t>
      </w:r>
      <w:r>
        <w:rPr>
          <w:rFonts w:ascii="Times New Roman" w:hAnsi="Times New Roman"/>
        </w:rPr>
        <w:t xml:space="preserve"> and AT.40424 - </w:t>
      </w:r>
      <w:r>
        <w:rPr>
          <w:rFonts w:ascii="Times New Roman" w:hAnsi="Times New Roman"/>
          <w:i/>
        </w:rPr>
        <w:t>Capcom</w:t>
      </w:r>
      <w:r>
        <w:rPr>
          <w:rFonts w:ascii="Times New Roman" w:hAnsi="Times New Roman"/>
        </w:rPr>
        <w:t xml:space="preserve">. See: </w:t>
      </w:r>
      <w:hyperlink r:id="rId113" w:history="1">
        <w:r>
          <w:rPr>
            <w:rStyle w:val="Hyperlink"/>
            <w:rFonts w:ascii="Times New Roman" w:hAnsi="Times New Roman"/>
          </w:rPr>
          <w:t>http://europa.eu/rapid/press-release_IP-17-201_en.htm</w:t>
        </w:r>
      </w:hyperlink>
      <w:r>
        <w:rPr>
          <w:rFonts w:ascii="Times New Roman" w:hAnsi="Times New Roman"/>
        </w:rPr>
        <w:t>.</w:t>
      </w:r>
    </w:p>
  </w:footnote>
  <w:footnote w:id="20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AT.40432 - </w:t>
      </w:r>
      <w:r>
        <w:rPr>
          <w:rFonts w:ascii="Times New Roman" w:hAnsi="Times New Roman"/>
          <w:i/>
        </w:rPr>
        <w:t>Licensed merchandise – Sanrio</w:t>
      </w:r>
      <w:r>
        <w:rPr>
          <w:rFonts w:ascii="Times New Roman" w:hAnsi="Times New Roman"/>
        </w:rPr>
        <w:t xml:space="preserve">, Case AT.40433 - </w:t>
      </w:r>
      <w:r>
        <w:rPr>
          <w:rFonts w:ascii="Times New Roman" w:hAnsi="Times New Roman"/>
          <w:i/>
        </w:rPr>
        <w:t>Licensed merchandise Universal Studios</w:t>
      </w:r>
      <w:r>
        <w:rPr>
          <w:rFonts w:ascii="Times New Roman" w:hAnsi="Times New Roman"/>
        </w:rPr>
        <w:t xml:space="preserve">, and Case AT.40436 - </w:t>
      </w:r>
      <w:r>
        <w:rPr>
          <w:rFonts w:ascii="Times New Roman" w:hAnsi="Times New Roman"/>
          <w:i/>
        </w:rPr>
        <w:t>Licensed merchandise – Nike</w:t>
      </w:r>
      <w:r>
        <w:rPr>
          <w:rFonts w:ascii="Times New Roman" w:hAnsi="Times New Roman"/>
        </w:rPr>
        <w:t xml:space="preserve">. See: IP/17/1646 of 14 June 2017. See: </w:t>
      </w:r>
      <w:hyperlink r:id="rId114" w:history="1">
        <w:r>
          <w:rPr>
            <w:rStyle w:val="Hyperlink"/>
            <w:rFonts w:ascii="Times New Roman" w:hAnsi="Times New Roman"/>
          </w:rPr>
          <w:t>http://europa.eu/rapid/press-release_IP-17-1646_en.htm</w:t>
        </w:r>
      </w:hyperlink>
      <w:r>
        <w:rPr>
          <w:rStyle w:val="Hyperlink"/>
          <w:rFonts w:ascii="Times New Roman" w:hAnsi="Times New Roman"/>
        </w:rPr>
        <w:t>.</w:t>
      </w:r>
    </w:p>
  </w:footnote>
  <w:footnote w:id="201">
    <w:p w:rsidR="00320198" w:rsidRDefault="005C0948">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lang w:val="en-US"/>
        </w:rPr>
        <w:t xml:space="preserve"> </w:t>
      </w:r>
      <w:r>
        <w:rPr>
          <w:rFonts w:ascii="Times New Roman" w:hAnsi="Times New Roman"/>
          <w:lang w:val="en-US"/>
        </w:rPr>
        <w:tab/>
        <w:t xml:space="preserve">Case T-873/16 </w:t>
      </w:r>
      <w:r>
        <w:rPr>
          <w:rFonts w:ascii="Times New Roman" w:hAnsi="Times New Roman"/>
          <w:i/>
          <w:lang w:val="en-US"/>
        </w:rPr>
        <w:t>Groupe Canal+ v Commission</w:t>
      </w:r>
      <w:r>
        <w:rPr>
          <w:rFonts w:ascii="Times New Roman" w:hAnsi="Times New Roman"/>
          <w:lang w:val="en-US"/>
        </w:rPr>
        <w:t xml:space="preserve">. </w:t>
      </w:r>
    </w:p>
  </w:footnote>
  <w:footnote w:id="20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Notably, Disney's commitments cover its </w:t>
      </w:r>
      <w:r>
        <w:rPr>
          <w:rFonts w:ascii="Times New Roman" w:hAnsi="Times New Roman"/>
        </w:rPr>
        <w:t xml:space="preserve">future subsidiary Fox. The Commission approved Disney's acquisition of Fox on 6 November 2018. See: </w:t>
      </w:r>
      <w:hyperlink r:id="rId115" w:history="1">
        <w:r>
          <w:rPr>
            <w:rStyle w:val="Hyperlink"/>
            <w:rFonts w:ascii="Times New Roman" w:hAnsi="Times New Roman"/>
          </w:rPr>
          <w:t>http://europa.eu/rapid/press-release_IP-18-6312_en.htm</w:t>
        </w:r>
      </w:hyperlink>
      <w:r>
        <w:rPr>
          <w:rStyle w:val="Hyperlink"/>
          <w:rFonts w:ascii="Times New Roman" w:hAnsi="Times New Roman"/>
        </w:rPr>
        <w:t>.</w:t>
      </w:r>
    </w:p>
  </w:footnote>
  <w:footnote w:id="203">
    <w:p w:rsidR="00320198" w:rsidRDefault="005C0948">
      <w:pPr>
        <w:pStyle w:val="FootnoteText"/>
        <w:spacing w:after="0" w:line="240" w:lineRule="auto"/>
        <w:ind w:left="284" w:hanging="284"/>
        <w:rPr>
          <w:rFonts w:ascii="Times New Roman" w:hAnsi="Times New Roman"/>
          <w:lang w:val="hu-HU"/>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IP/18/6346 </w:t>
      </w:r>
      <w:r>
        <w:rPr>
          <w:rStyle w:val="Hyperlink"/>
          <w:rFonts w:ascii="Times New Roman" w:hAnsi="Times New Roman"/>
        </w:rPr>
        <w:t>http://euro</w:t>
      </w:r>
      <w:r>
        <w:rPr>
          <w:rStyle w:val="Hyperlink"/>
          <w:rFonts w:ascii="Times New Roman" w:hAnsi="Times New Roman"/>
        </w:rPr>
        <w:t>pa.eu/rapid/press-release_IP-18-6346_en.htm</w:t>
      </w:r>
      <w:r>
        <w:rPr>
          <w:rFonts w:ascii="Times New Roman" w:hAnsi="Times New Roman"/>
        </w:rPr>
        <w:t xml:space="preserve"> and IP/18/6894 </w:t>
      </w:r>
      <w:hyperlink r:id="rId116" w:history="1">
        <w:r>
          <w:rPr>
            <w:rStyle w:val="Hyperlink"/>
            <w:rFonts w:ascii="Times New Roman" w:hAnsi="Times New Roman"/>
          </w:rPr>
          <w:t>http://europa.eu/rapid/press-release_IP-18-6894_en.htm</w:t>
        </w:r>
      </w:hyperlink>
      <w:r>
        <w:rPr>
          <w:rFonts w:ascii="Times New Roman" w:hAnsi="Times New Roman"/>
        </w:rPr>
        <w:t>.</w:t>
      </w:r>
      <w:r>
        <w:rPr>
          <w:rStyle w:val="Hyperlink"/>
          <w:rFonts w:ascii="Times New Roman" w:hAnsi="Times New Roman"/>
          <w:lang w:eastAsia="en-GB"/>
        </w:rPr>
        <w:t xml:space="preserve"> </w:t>
      </w:r>
    </w:p>
  </w:footnote>
  <w:footnote w:id="20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Style w:val="Hyperlink"/>
          <w:rFonts w:ascii="Times New Roman" w:hAnsi="Times New Roman"/>
          <w:color w:val="auto"/>
          <w:u w:val="none"/>
          <w:lang w:eastAsia="en-GB"/>
        </w:rPr>
        <w:tab/>
        <w:t>On 7 March 2019, the Commission adopted a decision making the comm</w:t>
      </w:r>
      <w:r>
        <w:rPr>
          <w:rStyle w:val="Hyperlink"/>
          <w:rFonts w:ascii="Times New Roman" w:hAnsi="Times New Roman"/>
          <w:color w:val="auto"/>
          <w:u w:val="none"/>
          <w:lang w:eastAsia="en-GB"/>
        </w:rPr>
        <w:t xml:space="preserve">itments offered by Sky, Disney, NBC Universal, Sony, and Warner Bros., legally binding under EU antitrust rules. See: </w:t>
      </w:r>
      <w:hyperlink r:id="rId117" w:history="1">
        <w:r>
          <w:rPr>
            <w:rStyle w:val="Hyperlink"/>
            <w:rFonts w:ascii="Times New Roman" w:hAnsi="Times New Roman"/>
            <w:lang w:eastAsia="en-GB"/>
          </w:rPr>
          <w:t>http://europa.eu/rapid/press-release_IP-19-1590_en.htm</w:t>
        </w:r>
      </w:hyperlink>
      <w:r>
        <w:rPr>
          <w:rStyle w:val="Hyperlink"/>
          <w:rFonts w:ascii="Times New Roman" w:hAnsi="Times New Roman"/>
          <w:color w:val="auto"/>
          <w:u w:val="none"/>
          <w:lang w:eastAsia="en-GB"/>
        </w:rPr>
        <w:t>. Following t</w:t>
      </w:r>
      <w:r>
        <w:rPr>
          <w:rStyle w:val="Hyperlink"/>
          <w:rFonts w:ascii="Times New Roman" w:hAnsi="Times New Roman"/>
          <w:color w:val="auto"/>
          <w:u w:val="none"/>
          <w:lang w:eastAsia="en-GB"/>
        </w:rPr>
        <w:t>he completion of Fox’s acquisition by Disney, on 20 March 2019, the commitments are binding on Fox as well.</w:t>
      </w:r>
    </w:p>
  </w:footnote>
  <w:footnote w:id="205">
    <w:p w:rsidR="00320198" w:rsidRDefault="005C0948">
      <w:pPr>
        <w:pStyle w:val="FootnoteText"/>
        <w:tabs>
          <w:tab w:val="left" w:pos="360"/>
        </w:tabs>
        <w:spacing w:after="0" w:line="240" w:lineRule="auto"/>
        <w:ind w:left="284" w:hanging="284"/>
        <w:rPr>
          <w:rFonts w:ascii="Times New Roman" w:hAnsi="Times New Roman"/>
          <w:lang w:eastAsia="en-GB"/>
        </w:rPr>
      </w:pPr>
      <w:r>
        <w:rPr>
          <w:rFonts w:ascii="Times New Roman" w:hAnsi="Times New Roman"/>
          <w:vertAlign w:val="superscript"/>
        </w:rPr>
        <w:footnoteRef/>
      </w:r>
      <w:r>
        <w:rPr>
          <w:rFonts w:ascii="Times New Roman" w:hAnsi="Times New Roman"/>
          <w:lang w:eastAsia="en-GB"/>
        </w:rPr>
        <w:t xml:space="preserve"> </w:t>
      </w:r>
      <w:r>
        <w:rPr>
          <w:rFonts w:ascii="Times New Roman" w:hAnsi="Times New Roman"/>
          <w:lang w:eastAsia="en-GB"/>
        </w:rPr>
        <w:tab/>
        <w:t xml:space="preserve">Case AT.40220 - </w:t>
      </w:r>
      <w:r>
        <w:rPr>
          <w:rFonts w:ascii="Times New Roman" w:hAnsi="Times New Roman"/>
          <w:i/>
          <w:lang w:eastAsia="en-GB"/>
        </w:rPr>
        <w:t xml:space="preserve">Qualcomm </w:t>
      </w:r>
      <w:r>
        <w:rPr>
          <w:rFonts w:ascii="Times New Roman" w:hAnsi="Times New Roman"/>
          <w:lang w:eastAsia="en-GB"/>
        </w:rPr>
        <w:t xml:space="preserve">(exclusivity payments). See: </w:t>
      </w:r>
      <w:hyperlink r:id="rId118" w:history="1">
        <w:r>
          <w:rPr>
            <w:rStyle w:val="Hyperlink"/>
            <w:rFonts w:ascii="Times New Roman" w:hAnsi="Times New Roman"/>
            <w:lang w:eastAsia="en-GB"/>
          </w:rPr>
          <w:t>http://europa.eu/rapid/press-release_IP-18-421_en.htm</w:t>
        </w:r>
      </w:hyperlink>
      <w:r>
        <w:rPr>
          <w:rFonts w:ascii="Times New Roman" w:hAnsi="Times New Roman"/>
          <w:lang w:eastAsia="en-GB"/>
        </w:rPr>
        <w:t>.</w:t>
      </w:r>
    </w:p>
  </w:footnote>
  <w:footnote w:id="206">
    <w:p w:rsidR="00320198" w:rsidRDefault="005C0948">
      <w:pPr>
        <w:pStyle w:val="FootnoteText"/>
        <w:spacing w:after="0" w:line="240" w:lineRule="auto"/>
        <w:ind w:left="284" w:hanging="284"/>
        <w:rPr>
          <w:rFonts w:ascii="Times New Roman" w:hAnsi="Times New Roman"/>
          <w:lang w:eastAsia="en-GB"/>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Case</w:t>
      </w:r>
      <w:r>
        <w:rPr>
          <w:rFonts w:ascii="Times New Roman" w:hAnsi="Times New Roman"/>
        </w:rPr>
        <w:tab/>
      </w:r>
      <w:r>
        <w:rPr>
          <w:rFonts w:ascii="Times New Roman" w:hAnsi="Times New Roman"/>
          <w:lang w:eastAsia="en-GB"/>
        </w:rPr>
        <w:t>AT.</w:t>
      </w:r>
      <w:r>
        <w:rPr>
          <w:rFonts w:ascii="Times New Roman" w:hAnsi="Times New Roman"/>
        </w:rPr>
        <w:t xml:space="preserve"> </w:t>
      </w:r>
      <w:r>
        <w:rPr>
          <w:rFonts w:ascii="Times New Roman" w:hAnsi="Times New Roman"/>
          <w:lang w:eastAsia="en-GB"/>
        </w:rPr>
        <w:t xml:space="preserve">39711 - </w:t>
      </w:r>
      <w:r>
        <w:rPr>
          <w:rFonts w:ascii="Times New Roman" w:hAnsi="Times New Roman"/>
          <w:i/>
          <w:lang w:eastAsia="en-GB"/>
        </w:rPr>
        <w:t>Qualcomm</w:t>
      </w:r>
      <w:r>
        <w:rPr>
          <w:rFonts w:ascii="Times New Roman" w:hAnsi="Times New Roman"/>
          <w:lang w:eastAsia="en-GB"/>
        </w:rPr>
        <w:t xml:space="preserve"> (predation). See: </w:t>
      </w:r>
      <w:hyperlink r:id="rId119" w:history="1">
        <w:r>
          <w:rPr>
            <w:rStyle w:val="Hyperlink"/>
            <w:rFonts w:ascii="Times New Roman" w:hAnsi="Times New Roman"/>
            <w:lang w:eastAsia="en-GB"/>
          </w:rPr>
          <w:t>http://ec.europa.eu/competition/elojade/isef/case_details.</w:t>
        </w:r>
        <w:r>
          <w:rPr>
            <w:rStyle w:val="Hyperlink"/>
            <w:rFonts w:ascii="Times New Roman" w:hAnsi="Times New Roman"/>
            <w:lang w:eastAsia="en-GB"/>
          </w:rPr>
          <w:t>cfm?proc_code=1_39711</w:t>
        </w:r>
      </w:hyperlink>
      <w:r>
        <w:rPr>
          <w:rFonts w:ascii="Times New Roman" w:hAnsi="Times New Roman"/>
          <w:lang w:eastAsia="en-GB"/>
        </w:rPr>
        <w:t xml:space="preserve">. </w:t>
      </w:r>
    </w:p>
  </w:footnote>
  <w:footnote w:id="207">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AT.40099 - </w:t>
      </w:r>
      <w:r>
        <w:rPr>
          <w:rFonts w:ascii="Times New Roman" w:hAnsi="Times New Roman"/>
          <w:i/>
        </w:rPr>
        <w:t>Google Android</w:t>
      </w:r>
      <w:r>
        <w:rPr>
          <w:rFonts w:ascii="Times New Roman" w:hAnsi="Times New Roman"/>
        </w:rPr>
        <w:t xml:space="preserve">. See: </w:t>
      </w:r>
      <w:hyperlink r:id="rId120" w:history="1">
        <w:r>
          <w:rPr>
            <w:rStyle w:val="Hyperlink"/>
            <w:rFonts w:ascii="Times New Roman" w:hAnsi="Times New Roman"/>
          </w:rPr>
          <w:t>http://europa.eu/rapid/press-release_IP-18-4581_en.htm</w:t>
        </w:r>
      </w:hyperlink>
      <w:r>
        <w:rPr>
          <w:rFonts w:ascii="Times New Roman" w:hAnsi="Times New Roman"/>
          <w:lang w:val="hu-HU" w:eastAsia="en-GB"/>
        </w:rPr>
        <w:t>.</w:t>
      </w:r>
    </w:p>
  </w:footnote>
  <w:footnote w:id="208">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Proposal for a Directive of the European Parliament and of the</w:t>
      </w:r>
      <w:r>
        <w:rPr>
          <w:rFonts w:ascii="Times New Roman" w:hAnsi="Times New Roman"/>
        </w:rPr>
        <w:t xml:space="preserve"> Council establishing the European Electronic Communications Code, COM (2016) 590 final. See:  </w:t>
      </w:r>
      <w:hyperlink r:id="rId121" w:history="1">
        <w:r>
          <w:rPr>
            <w:rStyle w:val="Hyperlink"/>
            <w:rFonts w:ascii="Times New Roman" w:hAnsi="Times New Roman"/>
          </w:rPr>
          <w:t>https://ec.europa.eu/transparency/regdoc/rep/1/2016/EN/1-2016-590-E</w:t>
        </w:r>
        <w:r>
          <w:rPr>
            <w:rStyle w:val="Hyperlink"/>
            <w:rFonts w:ascii="Times New Roman" w:hAnsi="Times New Roman"/>
          </w:rPr>
          <w:t>N-F1-1.PDF</w:t>
        </w:r>
      </w:hyperlink>
      <w:r>
        <w:rPr>
          <w:rStyle w:val="Hyperlink"/>
          <w:rFonts w:ascii="Times New Roman" w:hAnsi="Times New Roman"/>
        </w:rPr>
        <w:t>.</w:t>
      </w:r>
    </w:p>
  </w:footnote>
  <w:footnote w:id="209">
    <w:p w:rsidR="00320198" w:rsidRDefault="005C0948">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Proposal for a Regulation of the European Parliament and of the Council establishing the Body of European Regulators for Electronic Communications. See: </w:t>
      </w:r>
      <w:hyperlink r:id="rId122" w:history="1">
        <w:r>
          <w:rPr>
            <w:rStyle w:val="Hyperlink"/>
            <w:rFonts w:ascii="Times New Roman" w:hAnsi="Times New Roman"/>
          </w:rPr>
          <w:t>http://eur-lex.europa.eu/legal-content/EN/TXT/PDF/?uri=CELEX:52016PC0591&amp;from=EN</w:t>
        </w:r>
      </w:hyperlink>
      <w:r>
        <w:rPr>
          <w:rStyle w:val="Hyperlink"/>
          <w:rFonts w:ascii="Times New Roman" w:hAnsi="Times New Roman"/>
        </w:rPr>
        <w:t>.</w:t>
      </w:r>
    </w:p>
  </w:footnote>
  <w:footnote w:id="210">
    <w:p w:rsidR="00320198" w:rsidRDefault="005C0948">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Proposal for a Regulation amending Regulations No 1316/2013 and No 283/2014 as regards the promotion of Internet connectivity in local communities. See: </w:t>
      </w:r>
      <w:hyperlink r:id="rId123" w:history="1">
        <w:r>
          <w:rPr>
            <w:rStyle w:val="Hyperlink"/>
            <w:rFonts w:ascii="Times New Roman" w:hAnsi="Times New Roman"/>
          </w:rPr>
          <w:t>http://eur-lex.europa.eu/legal-content/EN/TXT/PDF/?uri=CELEX:52016PC0589&amp;from=EN</w:t>
        </w:r>
      </w:hyperlink>
      <w:r>
        <w:rPr>
          <w:rFonts w:ascii="Times New Roman" w:hAnsi="Times New Roman"/>
        </w:rPr>
        <w:t xml:space="preserve">. </w:t>
      </w:r>
    </w:p>
  </w:footnote>
  <w:footnote w:id="211">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Communication from the Commission to the European Parliament, the Council, the Eur</w:t>
      </w:r>
      <w:r>
        <w:rPr>
          <w:rFonts w:ascii="Times New Roman" w:hAnsi="Times New Roman"/>
        </w:rPr>
        <w:t xml:space="preserve">opean Economic and Social Committee and the Committee of the Regions, </w:t>
      </w:r>
      <w:r>
        <w:rPr>
          <w:rFonts w:ascii="Times New Roman" w:hAnsi="Times New Roman"/>
          <w:i/>
        </w:rPr>
        <w:t>Connectivity for a Competitive Digital Single Market - Towards a European Gigabit Society</w:t>
      </w:r>
      <w:r>
        <w:rPr>
          <w:rFonts w:ascii="Times New Roman" w:hAnsi="Times New Roman"/>
        </w:rPr>
        <w:t xml:space="preserve">, COM(2016)587 and Staff Working Document SWD(2016)300. See:  </w:t>
      </w:r>
      <w:hyperlink r:id="rId124" w:history="1">
        <w:r>
          <w:rPr>
            <w:rStyle w:val="Hyperlink"/>
            <w:rFonts w:ascii="Times New Roman" w:hAnsi="Times New Roman"/>
          </w:rPr>
          <w:t>https://ec.europa.eu/digital-single-market/en/news/communication-connectivity-competitive-digital-single-market-towards-european-g</w:t>
        </w:r>
        <w:r>
          <w:rPr>
            <w:rStyle w:val="Hyperlink"/>
            <w:rFonts w:ascii="Times New Roman" w:hAnsi="Times New Roman"/>
          </w:rPr>
          <w:t>igabit-society</w:t>
        </w:r>
      </w:hyperlink>
      <w:r>
        <w:rPr>
          <w:rStyle w:val="Hyperlink"/>
          <w:rFonts w:ascii="Times New Roman" w:hAnsi="Times New Roman"/>
        </w:rPr>
        <w:t>.</w:t>
      </w:r>
    </w:p>
  </w:footnote>
  <w:footnote w:id="212">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ab/>
        <w:t xml:space="preserve">Communication from the Commission to the European Parliament, the Council, the European Economic and Social Committee and the Committee of the Regions, </w:t>
      </w:r>
      <w:r>
        <w:rPr>
          <w:rFonts w:ascii="Times New Roman" w:hAnsi="Times New Roman"/>
          <w:i/>
        </w:rPr>
        <w:t>5G for Europe: An Action Plan</w:t>
      </w:r>
      <w:r>
        <w:rPr>
          <w:rFonts w:ascii="Times New Roman" w:hAnsi="Times New Roman"/>
        </w:rPr>
        <w:t xml:space="preserve">, COM (2016)588 and Staff Working Document SWD (2016) 306. See: </w:t>
      </w:r>
      <w:hyperlink r:id="rId125" w:history="1">
        <w:r>
          <w:rPr>
            <w:rStyle w:val="Hyperlink"/>
            <w:rFonts w:ascii="Times New Roman" w:hAnsi="Times New Roman"/>
          </w:rPr>
          <w:t>https://ec.europa.eu/digital-single-market/en/new</w:t>
        </w:r>
        <w:r>
          <w:rPr>
            <w:rStyle w:val="Hyperlink"/>
            <w:rFonts w:ascii="Times New Roman" w:hAnsi="Times New Roman"/>
          </w:rPr>
          <w:t>s/communication-5g-europe-action-plan-and-accompanying-staff-working-document</w:t>
        </w:r>
      </w:hyperlink>
      <w:r>
        <w:rPr>
          <w:rFonts w:ascii="Times New Roman" w:hAnsi="Times New Roman"/>
        </w:rPr>
        <w:t>.</w:t>
      </w:r>
    </w:p>
  </w:footnote>
  <w:footnote w:id="213">
    <w:p w:rsidR="00320198" w:rsidRDefault="005C0948">
      <w:pPr>
        <w:pStyle w:val="FootnoteText"/>
        <w:tabs>
          <w:tab w:val="left" w:pos="360"/>
        </w:tabs>
        <w:spacing w:after="0" w:line="240" w:lineRule="auto"/>
        <w:ind w:left="284" w:hanging="284"/>
        <w:jc w:val="both"/>
        <w:rPr>
          <w:rFonts w:ascii="Times New Roman" w:hAnsi="Times New Roman"/>
          <w:lang w:eastAsia="en-GB"/>
        </w:rPr>
      </w:pPr>
      <w:r>
        <w:rPr>
          <w:rFonts w:ascii="Times New Roman" w:hAnsi="Times New Roman"/>
          <w:vertAlign w:val="superscript"/>
        </w:rPr>
        <w:footnoteRef/>
      </w:r>
      <w:r>
        <w:rPr>
          <w:rFonts w:ascii="Times New Roman" w:hAnsi="Times New Roman"/>
          <w:lang w:eastAsia="en-GB"/>
        </w:rPr>
        <w:t xml:space="preserve"> </w:t>
      </w:r>
      <w:r>
        <w:rPr>
          <w:rFonts w:ascii="Times New Roman" w:hAnsi="Times New Roman"/>
          <w:lang w:eastAsia="en-GB"/>
        </w:rPr>
        <w:tab/>
        <w:t xml:space="preserve">Directive (EU) 2018/1972 of the European Parliament and of the Council of 11 December 2018 establishing the European Electronic Communications Code, OJ L 321, 17.12.2018, p. </w:t>
      </w:r>
      <w:r>
        <w:rPr>
          <w:rFonts w:ascii="Times New Roman" w:hAnsi="Times New Roman"/>
          <w:lang w:eastAsia="en-GB"/>
        </w:rPr>
        <w:t xml:space="preserve">36–214; Regulation (EU) 2018/1971 of the European Parliament and of the Council of 11 December 2018 establishing the Body of European Regulators for Electronic Communications (BEREC) and the Agency for Support for BEREC (BEREC Office), amending Regulation </w:t>
      </w:r>
      <w:r>
        <w:rPr>
          <w:rFonts w:ascii="Times New Roman" w:hAnsi="Times New Roman"/>
          <w:lang w:eastAsia="en-GB"/>
        </w:rPr>
        <w:t>(EU) 2015/2120 and repealing Regulation (EC) No 1211/2009, OJ L 321, 17.12.2018, pp. 1–35.</w:t>
      </w:r>
    </w:p>
  </w:footnote>
  <w:footnote w:id="214">
    <w:p w:rsidR="00320198" w:rsidRDefault="005C0948">
      <w:pPr>
        <w:pStyle w:val="FootnoteText"/>
        <w:tabs>
          <w:tab w:val="left" w:pos="360"/>
        </w:tabs>
        <w:spacing w:after="0" w:line="240" w:lineRule="auto"/>
        <w:ind w:left="284" w:hanging="284"/>
        <w:jc w:val="both"/>
        <w:rPr>
          <w:rFonts w:ascii="Times New Roman" w:hAnsi="Times New Roman"/>
          <w:lang w:eastAsia="en-GB"/>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lang w:eastAsia="en-GB"/>
        </w:rPr>
        <w:tab/>
        <w:t xml:space="preserve">Guidelines on market analysis and the assessment of significant market power under the EU regulatory framework for electronic communications network and services </w:t>
      </w:r>
      <w:r>
        <w:rPr>
          <w:rFonts w:ascii="Times New Roman" w:hAnsi="Times New Roman"/>
          <w:lang w:eastAsia="en-GB"/>
        </w:rPr>
        <w:t>(2018 SMP Guidelines), OJ C 159, 7.5.2018, p. 1.</w:t>
      </w:r>
    </w:p>
  </w:footnote>
  <w:footnote w:id="215">
    <w:p w:rsidR="00320198" w:rsidRDefault="005C0948">
      <w:pPr>
        <w:pStyle w:val="FootnoteText"/>
        <w:tabs>
          <w:tab w:val="left" w:pos="360"/>
        </w:tabs>
        <w:spacing w:after="0" w:line="240" w:lineRule="auto"/>
        <w:ind w:left="284" w:hanging="284"/>
        <w:jc w:val="both"/>
        <w:rPr>
          <w:rFonts w:ascii="Times New Roman" w:hAnsi="Times New Roman"/>
          <w:lang w:eastAsia="en-GB"/>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European </w:t>
      </w:r>
      <w:r>
        <w:rPr>
          <w:rFonts w:ascii="Times New Roman" w:hAnsi="Times New Roman"/>
          <w:lang w:eastAsia="en-GB"/>
        </w:rPr>
        <w:t>Commission guidelines on market analysis and the assessment of significant market power under the Community regulatory framework for electronic communications networks and services, OJ C 165, 11.</w:t>
      </w:r>
      <w:r>
        <w:rPr>
          <w:rFonts w:ascii="Times New Roman" w:hAnsi="Times New Roman"/>
          <w:lang w:eastAsia="en-GB"/>
        </w:rPr>
        <w:t>7.2002, p.6.</w:t>
      </w:r>
    </w:p>
  </w:footnote>
  <w:footnote w:id="216">
    <w:p w:rsidR="00320198" w:rsidRDefault="005C0948">
      <w:pPr>
        <w:pStyle w:val="FootnoteText"/>
        <w:tabs>
          <w:tab w:val="left" w:pos="360"/>
        </w:tabs>
        <w:spacing w:after="0" w:line="240" w:lineRule="auto"/>
        <w:ind w:left="284" w:hanging="284"/>
        <w:jc w:val="both"/>
        <w:rPr>
          <w:rFonts w:ascii="Times New Roman" w:hAnsi="Times New Roman"/>
          <w:lang w:val="hu-HU" w:eastAsia="en-GB"/>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w:t>
      </w:r>
      <w:r>
        <w:rPr>
          <w:rFonts w:ascii="Times New Roman" w:hAnsi="Times New Roman"/>
          <w:lang w:val="hu-HU" w:eastAsia="en-GB"/>
        </w:rPr>
        <w:t>AT.</w:t>
      </w:r>
      <w:r>
        <w:rPr>
          <w:rFonts w:ascii="Times New Roman" w:hAnsi="Times New Roman"/>
        </w:rPr>
        <w:t xml:space="preserve"> </w:t>
      </w:r>
      <w:r>
        <w:rPr>
          <w:rFonts w:ascii="Times New Roman" w:hAnsi="Times New Roman"/>
          <w:lang w:val="hu-HU" w:eastAsia="en-GB"/>
        </w:rPr>
        <w:t xml:space="preserve">40305 - </w:t>
      </w:r>
      <w:r>
        <w:rPr>
          <w:rFonts w:ascii="Times New Roman" w:hAnsi="Times New Roman"/>
          <w:i/>
          <w:lang w:val="hu-HU" w:eastAsia="en-GB"/>
        </w:rPr>
        <w:t>Network sharing - Czech Republic</w:t>
      </w:r>
      <w:r>
        <w:rPr>
          <w:rFonts w:ascii="Times New Roman" w:hAnsi="Times New Roman"/>
          <w:lang w:val="hu-HU" w:eastAsia="en-GB"/>
        </w:rPr>
        <w:t xml:space="preserve">. </w:t>
      </w:r>
      <w:r>
        <w:rPr>
          <w:rFonts w:ascii="Times New Roman" w:hAnsi="Times New Roman"/>
          <w:lang w:eastAsia="en-GB"/>
        </w:rPr>
        <w:t>See:</w:t>
      </w:r>
      <w:r>
        <w:rPr>
          <w:rFonts w:ascii="Times New Roman" w:hAnsi="Times New Roman"/>
          <w:lang w:val="hu-HU" w:eastAsia="en-GB"/>
        </w:rPr>
        <w:t xml:space="preserve"> </w:t>
      </w:r>
      <w:hyperlink r:id="rId126" w:history="1">
        <w:r>
          <w:rPr>
            <w:rStyle w:val="Hyperlink"/>
            <w:rFonts w:ascii="Times New Roman" w:hAnsi="Times New Roman"/>
            <w:lang w:val="hu-HU" w:eastAsia="en-GB"/>
          </w:rPr>
          <w:t>http://europa.eu/rapid/press-release_IP-16-3539_en.htm</w:t>
        </w:r>
      </w:hyperlink>
      <w:r>
        <w:rPr>
          <w:rStyle w:val="Hyperlink"/>
          <w:rFonts w:ascii="Times New Roman" w:hAnsi="Times New Roman"/>
          <w:lang w:val="hu-HU" w:eastAsia="en-GB"/>
        </w:rPr>
        <w:t>.</w:t>
      </w:r>
    </w:p>
  </w:footnote>
  <w:footnote w:id="217">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M.7000 - </w:t>
      </w:r>
      <w:r>
        <w:rPr>
          <w:rFonts w:ascii="Times New Roman" w:hAnsi="Times New Roman"/>
          <w:i/>
        </w:rPr>
        <w:t>Liberty Global / Ziggo</w:t>
      </w:r>
      <w:r>
        <w:rPr>
          <w:rFonts w:ascii="Times New Roman" w:hAnsi="Times New Roman"/>
        </w:rPr>
        <w:t>, Commission decis</w:t>
      </w:r>
      <w:r>
        <w:rPr>
          <w:rFonts w:ascii="Times New Roman" w:hAnsi="Times New Roman"/>
        </w:rPr>
        <w:t xml:space="preserve">ion of 30 May 2018. See: </w:t>
      </w:r>
      <w:hyperlink r:id="rId127" w:history="1">
        <w:r>
          <w:rPr>
            <w:rStyle w:val="Hyperlink"/>
            <w:rFonts w:ascii="Times New Roman" w:hAnsi="Times New Roman"/>
          </w:rPr>
          <w:t>http://ec.europa.eu/competition/elojade/isef/case_details.cfm?proc_code=2_M_7000</w:t>
        </w:r>
      </w:hyperlink>
      <w:r>
        <w:rPr>
          <w:rStyle w:val="Hyperlink"/>
          <w:rFonts w:ascii="Times New Roman" w:hAnsi="Times New Roman"/>
        </w:rPr>
        <w:t>.</w:t>
      </w:r>
    </w:p>
  </w:footnote>
  <w:footnote w:id="218">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8808 - </w:t>
      </w:r>
      <w:r>
        <w:rPr>
          <w:rFonts w:ascii="Times New Roman" w:hAnsi="Times New Roman"/>
          <w:i/>
        </w:rPr>
        <w:t>T-Mobile Austria / UPC Austria</w:t>
      </w:r>
      <w:r>
        <w:rPr>
          <w:rFonts w:ascii="Times New Roman" w:hAnsi="Times New Roman"/>
        </w:rPr>
        <w:t xml:space="preserve">, Commission decision of 9 July 2018 See: </w:t>
      </w:r>
      <w:hyperlink r:id="rId128" w:history="1">
        <w:r>
          <w:rPr>
            <w:rStyle w:val="Hyperlink"/>
            <w:rFonts w:ascii="Times New Roman" w:hAnsi="Times New Roman"/>
          </w:rPr>
          <w:t>http://ec.europa.eu/competition/elojade/isef/case_details.cfm?proc_code=2_M_8808</w:t>
        </w:r>
      </w:hyperlink>
      <w:r>
        <w:rPr>
          <w:rStyle w:val="Hyperlink"/>
          <w:rFonts w:ascii="Times New Roman" w:hAnsi="Times New Roman"/>
        </w:rPr>
        <w:t>.</w:t>
      </w:r>
    </w:p>
  </w:footnote>
  <w:footnote w:id="219">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8842 - </w:t>
      </w:r>
      <w:r>
        <w:rPr>
          <w:rFonts w:ascii="Times New Roman" w:hAnsi="Times New Roman"/>
          <w:i/>
        </w:rPr>
        <w:t>Tele2 / Com Hem</w:t>
      </w:r>
      <w:r>
        <w:rPr>
          <w:rFonts w:ascii="Times New Roman" w:hAnsi="Times New Roman"/>
        </w:rPr>
        <w:t xml:space="preserve">, </w:t>
      </w:r>
      <w:r>
        <w:rPr>
          <w:rFonts w:ascii="Times New Roman" w:hAnsi="Times New Roman"/>
        </w:rPr>
        <w:t xml:space="preserve">Commission decision of 8 October 2018. See: </w:t>
      </w:r>
      <w:hyperlink r:id="rId129" w:history="1">
        <w:r>
          <w:rPr>
            <w:rStyle w:val="Hyperlink"/>
            <w:rFonts w:ascii="Times New Roman" w:hAnsi="Times New Roman"/>
          </w:rPr>
          <w:t>http://ec.europa.eu/competition/elojade/isef/case_details.cfm?proc_code=2_M_8842</w:t>
        </w:r>
      </w:hyperlink>
      <w:r>
        <w:rPr>
          <w:rStyle w:val="Hyperlink"/>
          <w:rFonts w:ascii="Times New Roman" w:hAnsi="Times New Roman"/>
        </w:rPr>
        <w:t>.</w:t>
      </w:r>
    </w:p>
  </w:footnote>
  <w:footnote w:id="22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See:</w:t>
      </w:r>
      <w:r>
        <w:rPr>
          <w:rFonts w:ascii="Times New Roman" w:hAnsi="Times New Roman"/>
        </w:rPr>
        <w:tab/>
      </w:r>
      <w:hyperlink r:id="rId130" w:history="1">
        <w:r>
          <w:rPr>
            <w:rStyle w:val="Hyperlink"/>
            <w:rFonts w:ascii="Times New Roman" w:hAnsi="Times New Roman"/>
          </w:rPr>
          <w:t>http://europa.eu/rapid/press-release_IP-18-4141_en.htm</w:t>
        </w:r>
      </w:hyperlink>
      <w:r>
        <w:rPr>
          <w:rStyle w:val="Hyperlink"/>
          <w:rFonts w:ascii="Times New Roman" w:hAnsi="Times New Roman"/>
        </w:rPr>
        <w:t>.</w:t>
      </w:r>
    </w:p>
  </w:footnote>
  <w:footnote w:id="22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See:</w:t>
      </w:r>
      <w:r>
        <w:rPr>
          <w:rFonts w:ascii="Times New Roman" w:hAnsi="Times New Roman"/>
        </w:rPr>
        <w:tab/>
      </w:r>
      <w:hyperlink r:id="rId131" w:history="1">
        <w:r>
          <w:rPr>
            <w:rStyle w:val="Hyperlink"/>
            <w:rFonts w:ascii="Times New Roman" w:hAnsi="Times New Roman"/>
          </w:rPr>
          <w:t>http://europa.eu/rapid/press-release_IP-18-6588_en.h</w:t>
        </w:r>
        <w:r>
          <w:rPr>
            <w:rStyle w:val="Hyperlink"/>
            <w:rFonts w:ascii="Times New Roman" w:hAnsi="Times New Roman"/>
          </w:rPr>
          <w:t>tm</w:t>
        </w:r>
      </w:hyperlink>
      <w:r>
        <w:rPr>
          <w:rFonts w:ascii="Times New Roman" w:hAnsi="Times New Roman"/>
        </w:rPr>
        <w:t>.</w:t>
      </w:r>
    </w:p>
  </w:footnote>
  <w:footnote w:id="22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See:</w:t>
      </w:r>
      <w:r>
        <w:rPr>
          <w:rFonts w:ascii="Times New Roman" w:hAnsi="Times New Roman"/>
        </w:rPr>
        <w:tab/>
      </w:r>
      <w:hyperlink r:id="rId132" w:history="1">
        <w:r>
          <w:rPr>
            <w:rStyle w:val="Hyperlink"/>
            <w:rFonts w:ascii="Times New Roman" w:hAnsi="Times New Roman"/>
          </w:rPr>
          <w:t>http://europa.eu/rapid/press-release_IP-18-6772_en.htm</w:t>
        </w:r>
      </w:hyperlink>
      <w:r>
        <w:rPr>
          <w:rStyle w:val="Hyperlink"/>
          <w:rFonts w:ascii="Times New Roman" w:hAnsi="Times New Roman"/>
        </w:rPr>
        <w:t>.</w:t>
      </w:r>
    </w:p>
  </w:footnote>
  <w:footnote w:id="223">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8788 - </w:t>
      </w:r>
      <w:r>
        <w:rPr>
          <w:rFonts w:ascii="Times New Roman" w:hAnsi="Times New Roman"/>
          <w:i/>
        </w:rPr>
        <w:t>Apple / Shazam</w:t>
      </w:r>
      <w:r>
        <w:rPr>
          <w:rFonts w:ascii="Times New Roman" w:hAnsi="Times New Roman"/>
        </w:rPr>
        <w:t xml:space="preserve">, Commission decision of 6 September 2018. See: </w:t>
      </w:r>
      <w:hyperlink r:id="rId133" w:history="1">
        <w:r>
          <w:rPr>
            <w:rStyle w:val="Hyperlink"/>
            <w:rFonts w:ascii="Times New Roman" w:hAnsi="Times New Roman"/>
          </w:rPr>
          <w:t>http://ec.europa.eu/competition/elojade/isef/case_details.cfm?proc_code=2_M_8788</w:t>
        </w:r>
      </w:hyperlink>
      <w:r>
        <w:rPr>
          <w:rStyle w:val="Hyperlink"/>
          <w:rFonts w:ascii="Times New Roman" w:hAnsi="Times New Roman"/>
        </w:rPr>
        <w:t>.</w:t>
      </w:r>
    </w:p>
  </w:footnote>
  <w:footnote w:id="224">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8797 - </w:t>
      </w:r>
      <w:r>
        <w:rPr>
          <w:rFonts w:ascii="Times New Roman" w:hAnsi="Times New Roman"/>
          <w:i/>
        </w:rPr>
        <w:t>Thales / Gemalto</w:t>
      </w:r>
      <w:r>
        <w:rPr>
          <w:rFonts w:ascii="Times New Roman" w:hAnsi="Times New Roman"/>
        </w:rPr>
        <w:t xml:space="preserve">, Commission decision of 11 December 2018. See: </w:t>
      </w:r>
      <w:hyperlink r:id="rId134" w:history="1">
        <w:r>
          <w:rPr>
            <w:rStyle w:val="Hyperlink"/>
            <w:rFonts w:ascii="Times New Roman" w:hAnsi="Times New Roman"/>
          </w:rPr>
          <w:t>http://ec.europa.eu/competition/elojade/isef/case_details.cfm?proc_code=2_M_8797</w:t>
        </w:r>
      </w:hyperlink>
      <w:r>
        <w:rPr>
          <w:rStyle w:val="Hyperlink"/>
          <w:rFonts w:ascii="Times New Roman" w:hAnsi="Times New Roman"/>
        </w:rPr>
        <w:t>.</w:t>
      </w:r>
      <w:r>
        <w:rPr>
          <w:rFonts w:ascii="Times New Roman" w:hAnsi="Times New Roman"/>
        </w:rPr>
        <w:t xml:space="preserve"> </w:t>
      </w:r>
    </w:p>
  </w:footnote>
  <w:footnote w:id="225">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M. 8994 - </w:t>
      </w:r>
      <w:r>
        <w:rPr>
          <w:rFonts w:ascii="Times New Roman" w:hAnsi="Times New Roman"/>
          <w:i/>
        </w:rPr>
        <w:t>Microsoft / Github</w:t>
      </w:r>
      <w:r>
        <w:rPr>
          <w:rFonts w:ascii="Times New Roman" w:hAnsi="Times New Roman"/>
        </w:rPr>
        <w:t xml:space="preserve">, Commission decision of 19 October 2018. See: </w:t>
      </w:r>
      <w:hyperlink r:id="rId135" w:history="1">
        <w:r>
          <w:rPr>
            <w:rStyle w:val="Hyperlink"/>
            <w:rFonts w:ascii="Times New Roman" w:hAnsi="Times New Roman"/>
          </w:rPr>
          <w:t>http://ec.europa.eu/competition/elojade/isef/case_details.cfm?proc_code=2_M_8994</w:t>
        </w:r>
      </w:hyperlink>
      <w:r>
        <w:rPr>
          <w:rStyle w:val="Hyperlink"/>
          <w:rFonts w:ascii="Times New Roman" w:hAnsi="Times New Roman"/>
        </w:rPr>
        <w:t>.</w:t>
      </w:r>
    </w:p>
  </w:footnote>
  <w:footnote w:id="226">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8665 - </w:t>
      </w:r>
      <w:r>
        <w:rPr>
          <w:rFonts w:ascii="Times New Roman" w:hAnsi="Times New Roman"/>
          <w:i/>
        </w:rPr>
        <w:t>Discovery / Scripps</w:t>
      </w:r>
      <w:r>
        <w:rPr>
          <w:rFonts w:ascii="Times New Roman" w:hAnsi="Times New Roman"/>
        </w:rPr>
        <w:t xml:space="preserve">, Commission decision of 6 February 2018. See: </w:t>
      </w:r>
      <w:hyperlink r:id="rId136" w:history="1">
        <w:r>
          <w:rPr>
            <w:rStyle w:val="Hyperlink"/>
            <w:rFonts w:ascii="Times New Roman" w:hAnsi="Times New Roman"/>
          </w:rPr>
          <w:t>http://ec.europa.eu/competition/elojade/isef/case_details.cfm?proc_code=2_M_8665</w:t>
        </w:r>
      </w:hyperlink>
      <w:r>
        <w:rPr>
          <w:rStyle w:val="Hyperlink"/>
          <w:rFonts w:ascii="Times New Roman" w:hAnsi="Times New Roman"/>
        </w:rPr>
        <w:t>.</w:t>
      </w:r>
      <w:r>
        <w:rPr>
          <w:rFonts w:ascii="Times New Roman" w:hAnsi="Times New Roman"/>
        </w:rPr>
        <w:t xml:space="preserve"> </w:t>
      </w:r>
    </w:p>
  </w:footnote>
  <w:footnote w:id="227">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8989 - </w:t>
      </w:r>
      <w:r>
        <w:rPr>
          <w:rFonts w:ascii="Times New Roman" w:hAnsi="Times New Roman"/>
          <w:i/>
        </w:rPr>
        <w:t>Sony / EMI Music Publishing</w:t>
      </w:r>
      <w:r>
        <w:rPr>
          <w:rFonts w:ascii="Times New Roman" w:hAnsi="Times New Roman"/>
        </w:rPr>
        <w:t xml:space="preserve">, Commission decision of 26 October 2018. See: </w:t>
      </w:r>
      <w:hyperlink r:id="rId137" w:history="1">
        <w:r>
          <w:rPr>
            <w:rStyle w:val="Hyperlink"/>
            <w:rFonts w:ascii="Times New Roman" w:hAnsi="Times New Roman"/>
          </w:rPr>
          <w:t>http://ec.europa.eu/competition/elojade/isef/case_details.cfm?proc_code=2_M_8989</w:t>
        </w:r>
      </w:hyperlink>
      <w:r>
        <w:rPr>
          <w:rStyle w:val="Hyperlink"/>
          <w:rFonts w:ascii="Times New Roman" w:hAnsi="Times New Roman"/>
        </w:rPr>
        <w:t>.</w:t>
      </w:r>
      <w:r>
        <w:rPr>
          <w:rFonts w:ascii="Times New Roman" w:hAnsi="Times New Roman"/>
        </w:rPr>
        <w:t xml:space="preserve"> </w:t>
      </w:r>
    </w:p>
  </w:footnote>
  <w:footnote w:id="228">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8785 - </w:t>
      </w:r>
      <w:r>
        <w:rPr>
          <w:rFonts w:ascii="Times New Roman" w:hAnsi="Times New Roman"/>
          <w:i/>
        </w:rPr>
        <w:t>The Walt Disney Company / Twenty-First Century Fox</w:t>
      </w:r>
      <w:r>
        <w:rPr>
          <w:rFonts w:ascii="Times New Roman" w:hAnsi="Times New Roman"/>
        </w:rPr>
        <w:t>, Commissi</w:t>
      </w:r>
      <w:r>
        <w:rPr>
          <w:rFonts w:ascii="Times New Roman" w:hAnsi="Times New Roman"/>
        </w:rPr>
        <w:t xml:space="preserve">on decision of 6 November 2018. See: </w:t>
      </w:r>
      <w:hyperlink r:id="rId138" w:history="1">
        <w:r>
          <w:rPr>
            <w:rStyle w:val="Hyperlink"/>
            <w:rFonts w:ascii="Times New Roman" w:hAnsi="Times New Roman"/>
          </w:rPr>
          <w:t>http://ec.europa.eu/competition/elojade/isef/case_details.cfm?proc_code=2_M_8785</w:t>
        </w:r>
      </w:hyperlink>
      <w:r>
        <w:rPr>
          <w:rStyle w:val="Hyperlink"/>
          <w:rFonts w:ascii="Times New Roman" w:hAnsi="Times New Roman"/>
        </w:rPr>
        <w:t>.</w:t>
      </w:r>
      <w:r>
        <w:rPr>
          <w:rFonts w:ascii="Times New Roman" w:hAnsi="Times New Roman"/>
        </w:rPr>
        <w:t xml:space="preserve"> </w:t>
      </w:r>
    </w:p>
  </w:footnote>
  <w:footnote w:id="229">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 8861 - </w:t>
      </w:r>
      <w:r>
        <w:rPr>
          <w:rFonts w:ascii="Times New Roman" w:hAnsi="Times New Roman"/>
          <w:i/>
        </w:rPr>
        <w:t>Comcast / Sky</w:t>
      </w:r>
      <w:r>
        <w:rPr>
          <w:rFonts w:ascii="Times New Roman" w:hAnsi="Times New Roman"/>
        </w:rPr>
        <w:t xml:space="preserve">, Commission decision of 15 June 2018. See: </w:t>
      </w:r>
      <w:hyperlink r:id="rId139" w:history="1">
        <w:r>
          <w:rPr>
            <w:rStyle w:val="Hyperlink"/>
            <w:rFonts w:ascii="Times New Roman" w:hAnsi="Times New Roman"/>
          </w:rPr>
          <w:t>http://ec.europa.eu/competition/elojade/isef/case_details.cfm?proc_code=2_M_8861</w:t>
        </w:r>
      </w:hyperlink>
      <w:r>
        <w:rPr>
          <w:rStyle w:val="Hyperlink"/>
          <w:rFonts w:ascii="Times New Roman" w:hAnsi="Times New Roman"/>
        </w:rPr>
        <w:t>.</w:t>
      </w:r>
      <w:r>
        <w:rPr>
          <w:rFonts w:ascii="Times New Roman" w:hAnsi="Times New Roman"/>
        </w:rPr>
        <w:t xml:space="preserve"> </w:t>
      </w:r>
    </w:p>
  </w:footnote>
  <w:footnote w:id="230">
    <w:p w:rsidR="00320198" w:rsidRDefault="005C0948">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In its Communication </w:t>
      </w:r>
      <w:r>
        <w:rPr>
          <w:rFonts w:ascii="Times New Roman" w:hAnsi="Times New Roman"/>
          <w:i/>
        </w:rPr>
        <w:t>"Connect</w:t>
      </w:r>
      <w:r>
        <w:rPr>
          <w:rFonts w:ascii="Times New Roman" w:hAnsi="Times New Roman"/>
          <w:i/>
        </w:rPr>
        <w:t>ivity for a Competitive Digital Single Market - Towards a European Gigabit Society"</w:t>
      </w:r>
      <w:r>
        <w:rPr>
          <w:rFonts w:ascii="Times New Roman" w:hAnsi="Times New Roman"/>
        </w:rPr>
        <w:t xml:space="preserve"> of 14 September 2016 (COM/2016/587 See: </w:t>
      </w:r>
      <w:hyperlink r:id="rId140" w:history="1">
        <w:r>
          <w:rPr>
            <w:rStyle w:val="Hyperlink"/>
            <w:rFonts w:ascii="Times New Roman" w:hAnsi="Times New Roman"/>
            <w:lang w:eastAsia="en-GB"/>
          </w:rPr>
          <w:t>https://ec.europa.eu/digital-single-market/en/news/communication-connectivity-competitive-digital-single-market-towards-european-gigabit-society</w:t>
        </w:r>
      </w:hyperlink>
      <w:r>
        <w:rPr>
          <w:rFonts w:ascii="Times New Roman" w:hAnsi="Times New Roman"/>
        </w:rPr>
        <w:t>), the Commission confirmed the importance of Internet connectivity for the Digital</w:t>
      </w:r>
      <w:r>
        <w:rPr>
          <w:rFonts w:ascii="Times New Roman" w:hAnsi="Times New Roman"/>
        </w:rPr>
        <w:t xml:space="preserve"> Single Market and, building on the Digital Agenda for Europe goals for 2020, set out a strategy for a European Gigabit society operationalised through three strategic objectives for 2025:</w:t>
      </w:r>
    </w:p>
    <w:p w:rsidR="00320198" w:rsidRDefault="005C0948">
      <w:pPr>
        <w:pStyle w:val="FootnoteText"/>
        <w:tabs>
          <w:tab w:val="left" w:pos="360"/>
          <w:tab w:val="left" w:pos="720"/>
        </w:tabs>
        <w:spacing w:after="0" w:line="240" w:lineRule="auto"/>
        <w:ind w:left="284"/>
        <w:jc w:val="both"/>
        <w:rPr>
          <w:rFonts w:ascii="Times New Roman" w:hAnsi="Times New Roman"/>
        </w:rPr>
      </w:pPr>
      <w:r>
        <w:rPr>
          <w:rFonts w:ascii="Times New Roman" w:hAnsi="Times New Roman"/>
          <w:iCs/>
          <w:noProof/>
          <w:color w:val="000000"/>
          <w:lang w:eastAsia="en-GB"/>
        </w:rPr>
        <w:t xml:space="preserve">- Gigabit connectivity for all main socio-economic drivers such as </w:t>
      </w:r>
      <w:r>
        <w:rPr>
          <w:rFonts w:ascii="Times New Roman" w:hAnsi="Times New Roman"/>
          <w:iCs/>
          <w:noProof/>
          <w:color w:val="000000"/>
          <w:lang w:eastAsia="en-GB"/>
        </w:rPr>
        <w:t xml:space="preserve">schools, transport hubs and main providers of public services as well as digitally intensive enterprises. </w:t>
      </w:r>
    </w:p>
    <w:p w:rsidR="00320198" w:rsidRDefault="005C0948">
      <w:pPr>
        <w:pStyle w:val="FootnoteText"/>
        <w:tabs>
          <w:tab w:val="left" w:pos="360"/>
        </w:tabs>
        <w:spacing w:after="0" w:line="240" w:lineRule="auto"/>
        <w:ind w:left="284"/>
        <w:jc w:val="both"/>
        <w:rPr>
          <w:rFonts w:ascii="Times New Roman" w:hAnsi="Times New Roman"/>
        </w:rPr>
      </w:pPr>
      <w:r>
        <w:rPr>
          <w:rFonts w:ascii="Times New Roman" w:hAnsi="Times New Roman"/>
          <w:iCs/>
          <w:noProof/>
          <w:color w:val="000000"/>
          <w:lang w:eastAsia="en-GB"/>
        </w:rPr>
        <w:t xml:space="preserve">- All urban areas and all major terrestrial transport paths to have uninterrupted 5G coverage. </w:t>
      </w:r>
    </w:p>
    <w:p w:rsidR="00320198" w:rsidRDefault="005C0948">
      <w:pPr>
        <w:pStyle w:val="FootnoteText"/>
        <w:tabs>
          <w:tab w:val="left" w:pos="360"/>
        </w:tabs>
        <w:spacing w:after="0" w:line="240" w:lineRule="auto"/>
        <w:ind w:left="284"/>
        <w:jc w:val="both"/>
        <w:rPr>
          <w:rFonts w:ascii="Times New Roman" w:hAnsi="Times New Roman"/>
        </w:rPr>
      </w:pPr>
      <w:r>
        <w:rPr>
          <w:rFonts w:ascii="Times New Roman" w:hAnsi="Times New Roman"/>
          <w:iCs/>
          <w:noProof/>
          <w:color w:val="000000"/>
          <w:lang w:eastAsia="en-GB"/>
        </w:rPr>
        <w:t xml:space="preserve">- All European households, rural or urban, will have </w:t>
      </w:r>
      <w:r>
        <w:rPr>
          <w:rFonts w:ascii="Times New Roman" w:hAnsi="Times New Roman"/>
          <w:iCs/>
          <w:noProof/>
          <w:color w:val="000000"/>
          <w:lang w:eastAsia="en-GB"/>
        </w:rPr>
        <w:t xml:space="preserve">access to Internet connectivity offering a downlink of at least 100 Mbps, upgradable to Gigabit speed.  </w:t>
      </w:r>
    </w:p>
    <w:p w:rsidR="00320198" w:rsidRDefault="005C0948">
      <w:pPr>
        <w:pStyle w:val="FootnoteText"/>
        <w:tabs>
          <w:tab w:val="left" w:pos="360"/>
        </w:tabs>
        <w:spacing w:after="0" w:line="240" w:lineRule="auto"/>
        <w:ind w:left="284"/>
        <w:jc w:val="both"/>
        <w:rPr>
          <w:rFonts w:ascii="Times New Roman" w:hAnsi="Times New Roman"/>
        </w:rPr>
      </w:pPr>
      <w:r>
        <w:rPr>
          <w:rFonts w:ascii="Times New Roman" w:hAnsi="Times New Roman"/>
        </w:rPr>
        <w:t>As indicated in the Communication, the Commission will reflect the foreseeable evolution of long-term demand when applying the "step change" approach o</w:t>
      </w:r>
      <w:r>
        <w:rPr>
          <w:rFonts w:ascii="Times New Roman" w:hAnsi="Times New Roman"/>
        </w:rPr>
        <w:t>f the Broadband State Aid Guidelines in conjunction with the strategic objectives set in this Communication, and will consider favourably efficient blended financing that contributes to lower the aid intensity and to reduce risks of distorting competition,</w:t>
      </w:r>
      <w:r>
        <w:rPr>
          <w:rFonts w:ascii="Times New Roman" w:hAnsi="Times New Roman"/>
        </w:rPr>
        <w:t xml:space="preserve"> as part of its assessment of State aid interventions.</w:t>
      </w:r>
    </w:p>
  </w:footnote>
  <w:footnote w:id="231">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According to Europe’s digital progress report 2017. See: </w:t>
      </w:r>
      <w:hyperlink r:id="rId141" w:history="1">
        <w:r>
          <w:rPr>
            <w:rStyle w:val="Hyperlink"/>
            <w:rFonts w:ascii="Times New Roman" w:hAnsi="Times New Roman"/>
          </w:rPr>
          <w:t>https://ec.europa.eu/digital-single-market/en/news/europes-digital-progress-report-2017</w:t>
        </w:r>
      </w:hyperlink>
      <w:r>
        <w:rPr>
          <w:rFonts w:ascii="Times New Roman" w:hAnsi="Times New Roman"/>
        </w:rPr>
        <w:t xml:space="preserve"> Next Generation Access (NGA) networks coverage continues to improve. At the end of 2016, NGA networks were available to 76 % of EU homes. Despite a persistent gap with </w:t>
      </w:r>
      <w:r>
        <w:rPr>
          <w:rFonts w:ascii="Times New Roman" w:hAnsi="Times New Roman"/>
        </w:rPr>
        <w:t xml:space="preserve">urban areas, NGA networks rollout is catching up in rural areas, covering 40% of homes in 2016 compared with just 30% a year before. </w:t>
      </w:r>
    </w:p>
  </w:footnote>
  <w:footnote w:id="232">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r>
        <w:rPr>
          <w:rFonts w:ascii="Times New Roman" w:hAnsi="Times New Roman"/>
          <w:color w:val="000000"/>
        </w:rPr>
        <w:t xml:space="preserve">Based on the study by Analysys Mason </w:t>
      </w:r>
      <w:r>
        <w:rPr>
          <w:rStyle w:val="corpsdutexte0"/>
          <w:rFonts w:ascii="Times New Roman" w:hAnsi="Times New Roman"/>
        </w:rPr>
        <w:t>"Costing the new potential connectivity needs"</w:t>
      </w:r>
      <w:r>
        <w:rPr>
          <w:rFonts w:ascii="Times New Roman" w:hAnsi="Times New Roman"/>
          <w:color w:val="000000"/>
        </w:rPr>
        <w:t xml:space="preserve"> (SMART 2015/0068). See: </w:t>
      </w:r>
      <w:hyperlink r:id="rId142" w:history="1">
        <w:r>
          <w:rPr>
            <w:rStyle w:val="Hyperlink"/>
            <w:rFonts w:ascii="Times New Roman" w:hAnsi="Times New Roman"/>
          </w:rPr>
          <w:t>https://publications.europa.eu/en/publication-detail/-/publication/e81ae17f-9d27-4b68-8560-7cd45dbe21d8</w:t>
        </w:r>
      </w:hyperlink>
      <w:r>
        <w:rPr>
          <w:rFonts w:ascii="Times New Roman" w:hAnsi="Times New Roman"/>
          <w:color w:val="000000"/>
        </w:rPr>
        <w:t xml:space="preserve"> and the Commission's estimates.</w:t>
      </w:r>
      <w:r>
        <w:rPr>
          <w:rFonts w:ascii="Times New Roman" w:hAnsi="Times New Roman"/>
        </w:rPr>
        <w:t xml:space="preserve"> </w:t>
      </w:r>
    </w:p>
  </w:footnote>
  <w:footnote w:id="233">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The Gen</w:t>
      </w:r>
      <w:r>
        <w:rPr>
          <w:rFonts w:ascii="Times New Roman" w:hAnsi="Times New Roman"/>
        </w:rPr>
        <w:t xml:space="preserve">eral Block Exemption Regulation (GBER) frees categories of State aid, deemed to bring benefits to society, that outweigh the possible distortions of competition in the Single Market triggered by public funding from the requirement of prior notification to </w:t>
      </w:r>
      <w:r>
        <w:rPr>
          <w:rFonts w:ascii="Times New Roman" w:hAnsi="Times New Roman"/>
        </w:rPr>
        <w:t>the Commission. Consequently, Member States may implement measures which fulfil the condition of the GBER without prior scrutiny by the Commission.</w:t>
      </w:r>
    </w:p>
  </w:footnote>
  <w:footnote w:id="234">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Communication from the Commission, </w:t>
      </w:r>
      <w:r>
        <w:rPr>
          <w:rFonts w:ascii="Times New Roman" w:hAnsi="Times New Roman"/>
          <w:iCs/>
        </w:rPr>
        <w:t>EU Guidelines for the application of State aid rules in relation to th</w:t>
      </w:r>
      <w:r>
        <w:rPr>
          <w:rFonts w:ascii="Times New Roman" w:hAnsi="Times New Roman"/>
          <w:iCs/>
        </w:rPr>
        <w:t>e rapid deployment of broadband networks</w:t>
      </w:r>
      <w:r>
        <w:rPr>
          <w:rFonts w:ascii="Times New Roman" w:hAnsi="Times New Roman"/>
        </w:rPr>
        <w:t xml:space="preserve">, OJ C 25, 26.1.2013, p.1. See: </w:t>
      </w:r>
      <w:hyperlink r:id="rId143" w:history="1">
        <w:r>
          <w:rPr>
            <w:rStyle w:val="Hyperlink"/>
            <w:rFonts w:ascii="Times New Roman" w:hAnsi="Times New Roman"/>
          </w:rPr>
          <w:t>http://eur-lex.europa.eu/LexUriServ/LexUriServ.do?uri=OJ:C:2013:025:0001:0026:EN:PD</w:t>
        </w:r>
        <w:r>
          <w:rPr>
            <w:rStyle w:val="Hyperlink"/>
            <w:rFonts w:ascii="Times New Roman" w:hAnsi="Times New Roman"/>
          </w:rPr>
          <w:t>F</w:t>
        </w:r>
      </w:hyperlink>
      <w:r>
        <w:rPr>
          <w:rFonts w:ascii="Times New Roman" w:hAnsi="Times New Roman"/>
        </w:rPr>
        <w:t>.</w:t>
      </w:r>
    </w:p>
  </w:footnote>
  <w:footnote w:id="235">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Despite the fact that a few Member States do not yet have a single document that can be regarded as a national broadband plan, all of them have at least an overall strategic approach for the deployment of next generation access networks that is </w:t>
      </w:r>
      <w:r>
        <w:rPr>
          <w:rFonts w:ascii="Times New Roman" w:hAnsi="Times New Roman"/>
        </w:rPr>
        <w:t>implemented in practice.</w:t>
      </w:r>
      <w:r>
        <w:rPr>
          <w:rFonts w:ascii="Times New Roman" w:eastAsiaTheme="minorHAnsi" w:hAnsi="Times New Roman"/>
          <w:noProof/>
          <w:color w:val="000000"/>
          <w:lang w:eastAsia="en-GB"/>
        </w:rPr>
        <w:t xml:space="preserve"> </w:t>
      </w:r>
    </w:p>
  </w:footnote>
  <w:footnote w:id="23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Commission Communication COM/2016/587 "Connectivity for a Competitive Digital Single Market - Towards a European Gigabit Society" of 14 September 2016. See: </w:t>
      </w:r>
      <w:hyperlink r:id="rId144" w:history="1">
        <w:r>
          <w:rPr>
            <w:rStyle w:val="Hyperlink"/>
            <w:rFonts w:ascii="Times New Roman" w:hAnsi="Times New Roman"/>
          </w:rPr>
          <w:t>https://ec.europa.eu/digital-single-market/en/news/communication-connectivity-competitive-digital-single-market-towards-european-gigabit-society</w:t>
        </w:r>
      </w:hyperlink>
      <w:r>
        <w:rPr>
          <w:rFonts w:ascii="Times New Roman" w:hAnsi="Times New Roman"/>
        </w:rPr>
        <w:t>.</w:t>
      </w:r>
    </w:p>
  </w:footnote>
  <w:footnote w:id="237">
    <w:p w:rsidR="00320198" w:rsidRDefault="005C0948">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vertAlign w:val="superscript"/>
        </w:rPr>
        <w:tab/>
      </w:r>
      <w:r>
        <w:rPr>
          <w:rFonts w:ascii="Times New Roman" w:hAnsi="Times New Roman"/>
          <w:sz w:val="20"/>
          <w:szCs w:val="20"/>
        </w:rPr>
        <w:t>State aid case S</w:t>
      </w:r>
      <w:r>
        <w:rPr>
          <w:rFonts w:ascii="Times New Roman" w:hAnsi="Times New Roman"/>
          <w:sz w:val="20"/>
          <w:szCs w:val="20"/>
        </w:rPr>
        <w:t xml:space="preserve">A.49614 - Lithuania - </w:t>
      </w:r>
      <w:r>
        <w:rPr>
          <w:rFonts w:ascii="Times New Roman" w:hAnsi="Times New Roman"/>
          <w:i/>
          <w:sz w:val="20"/>
          <w:szCs w:val="20"/>
        </w:rPr>
        <w:t>Development of Next Generation Access Infrastructure – RAIN 3</w:t>
      </w:r>
      <w:r>
        <w:rPr>
          <w:rFonts w:ascii="Times New Roman" w:hAnsi="Times New Roman"/>
          <w:sz w:val="20"/>
          <w:szCs w:val="20"/>
        </w:rPr>
        <w:t xml:space="preserve">, Commission decision of 12 October 2018. See: </w:t>
      </w:r>
      <w:hyperlink r:id="rId145" w:history="1">
        <w:r>
          <w:rPr>
            <w:rStyle w:val="Hyperlink"/>
            <w:rFonts w:ascii="Times New Roman" w:hAnsi="Times New Roman"/>
            <w:sz w:val="20"/>
            <w:szCs w:val="20"/>
          </w:rPr>
          <w:t>http://ec.europa</w:t>
        </w:r>
        <w:r>
          <w:rPr>
            <w:rStyle w:val="Hyperlink"/>
            <w:rFonts w:ascii="Times New Roman" w:hAnsi="Times New Roman"/>
            <w:sz w:val="20"/>
            <w:szCs w:val="20"/>
          </w:rPr>
          <w:t>.eu/competition/elojade/isef/index.cfm?fuseaction=dsp_result&amp;policy_area_id=3</w:t>
        </w:r>
      </w:hyperlink>
      <w:r>
        <w:rPr>
          <w:rStyle w:val="Hyperlink"/>
          <w:rFonts w:ascii="Times New Roman" w:hAnsi="Times New Roman"/>
          <w:sz w:val="20"/>
          <w:szCs w:val="20"/>
        </w:rPr>
        <w:t>.</w:t>
      </w:r>
    </w:p>
  </w:footnote>
  <w:footnote w:id="238">
    <w:p w:rsidR="00320198" w:rsidRDefault="005C0948">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vertAlign w:val="superscript"/>
        </w:rPr>
        <w:tab/>
      </w:r>
      <w:r>
        <w:rPr>
          <w:rFonts w:ascii="Times New Roman" w:hAnsi="Times New Roman"/>
          <w:sz w:val="20"/>
          <w:szCs w:val="20"/>
        </w:rPr>
        <w:t xml:space="preserve">State aid case SA.46613 – The Netherlands - </w:t>
      </w:r>
      <w:r>
        <w:rPr>
          <w:rFonts w:ascii="Times New Roman" w:hAnsi="Times New Roman"/>
          <w:i/>
          <w:sz w:val="20"/>
          <w:szCs w:val="20"/>
        </w:rPr>
        <w:t>Broadband Rivierenland Region</w:t>
      </w:r>
      <w:r>
        <w:rPr>
          <w:rFonts w:ascii="Times New Roman" w:hAnsi="Times New Roman"/>
          <w:sz w:val="20"/>
          <w:szCs w:val="20"/>
        </w:rPr>
        <w:t xml:space="preserve">, Commission decision of 10 April 2018. See: </w:t>
      </w:r>
      <w:hyperlink r:id="rId146" w:history="1">
        <w:r>
          <w:rPr>
            <w:rStyle w:val="Hyperlink"/>
            <w:rFonts w:ascii="Times New Roman" w:hAnsi="Times New Roman"/>
            <w:sz w:val="20"/>
            <w:szCs w:val="20"/>
          </w:rPr>
          <w:t>http://ec.europa.eu/competition/elojade/isef/index.cfm?fuseaction=dsp_result&amp;policy_area_id=3</w:t>
        </w:r>
      </w:hyperlink>
      <w:r>
        <w:rPr>
          <w:rStyle w:val="Hyperlink"/>
          <w:rFonts w:ascii="Times New Roman" w:hAnsi="Times New Roman"/>
          <w:sz w:val="20"/>
          <w:szCs w:val="20"/>
        </w:rPr>
        <w:t>.</w:t>
      </w:r>
    </w:p>
  </w:footnote>
  <w:footnote w:id="239">
    <w:p w:rsidR="00320198" w:rsidRDefault="005C0948">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State aid case SA.50844 - Austria - </w:t>
      </w:r>
      <w:r>
        <w:rPr>
          <w:rFonts w:ascii="Times New Roman" w:hAnsi="Times New Roman"/>
          <w:i/>
        </w:rPr>
        <w:t>Broadband Styria</w:t>
      </w:r>
      <w:r>
        <w:rPr>
          <w:rFonts w:ascii="Times New Roman" w:hAnsi="Times New Roman"/>
        </w:rPr>
        <w:t>, Commission decision of 8 November 2018, not publis</w:t>
      </w:r>
      <w:r>
        <w:rPr>
          <w:rFonts w:ascii="Times New Roman" w:hAnsi="Times New Roman"/>
        </w:rPr>
        <w:t xml:space="preserve">hed yet and State aid case SA.48325 – Austria - </w:t>
      </w:r>
      <w:r>
        <w:rPr>
          <w:rFonts w:ascii="Times New Roman" w:hAnsi="Times New Roman"/>
          <w:i/>
        </w:rPr>
        <w:t>NGA-Broadband project in Upper Austria</w:t>
      </w:r>
      <w:r>
        <w:rPr>
          <w:rFonts w:ascii="Times New Roman" w:hAnsi="Times New Roman"/>
        </w:rPr>
        <w:t xml:space="preserve">, Commission decision of 26 July 2018. See: </w:t>
      </w:r>
      <w:hyperlink r:id="rId147" w:history="1">
        <w:r>
          <w:rPr>
            <w:rStyle w:val="Hyperlink"/>
            <w:rFonts w:ascii="Times New Roman" w:hAnsi="Times New Roman"/>
          </w:rPr>
          <w:t>http://ec.europa</w:t>
        </w:r>
        <w:r>
          <w:rPr>
            <w:rStyle w:val="Hyperlink"/>
            <w:rFonts w:ascii="Times New Roman" w:hAnsi="Times New Roman"/>
          </w:rPr>
          <w:t>.eu/competition/elojade/isef/index.cfm?fuseaction=dsp_result&amp;policy_area_id=3</w:t>
        </w:r>
      </w:hyperlink>
      <w:r>
        <w:rPr>
          <w:rStyle w:val="Hyperlink"/>
          <w:rFonts w:ascii="Times New Roman" w:hAnsi="Times New Roman"/>
        </w:rPr>
        <w:t>.</w:t>
      </w:r>
    </w:p>
  </w:footnote>
  <w:footnote w:id="240">
    <w:p w:rsidR="00320198" w:rsidRDefault="005C0948">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vertAlign w:val="superscript"/>
        </w:rPr>
        <w:tab/>
      </w:r>
      <w:r>
        <w:rPr>
          <w:rFonts w:ascii="Times New Roman" w:hAnsi="Times New Roman"/>
          <w:sz w:val="20"/>
          <w:szCs w:val="20"/>
        </w:rPr>
        <w:t xml:space="preserve">State aid case SA.50847 – Germany - </w:t>
      </w:r>
      <w:r>
        <w:rPr>
          <w:rFonts w:ascii="Times New Roman" w:hAnsi="Times New Roman"/>
          <w:i/>
          <w:sz w:val="20"/>
          <w:szCs w:val="20"/>
        </w:rPr>
        <w:t>Prolongation of NGA Bayern Abänderung (SA.38690),</w:t>
      </w:r>
      <w:r>
        <w:rPr>
          <w:rFonts w:ascii="Times New Roman" w:hAnsi="Times New Roman"/>
          <w:sz w:val="20"/>
          <w:szCs w:val="20"/>
        </w:rPr>
        <w:t xml:space="preserve"> Commission decision of 4 June 2018. See: </w:t>
      </w:r>
      <w:hyperlink r:id="rId148" w:history="1">
        <w:r>
          <w:rPr>
            <w:rStyle w:val="Hyperlink"/>
            <w:rFonts w:ascii="Times New Roman" w:hAnsi="Times New Roman"/>
            <w:sz w:val="20"/>
            <w:szCs w:val="20"/>
          </w:rPr>
          <w:t>http://ec.europa.eu/competition/elojade/isef/index.cfm?fuseaction=dsp_result&amp;policy_area_id=3</w:t>
        </w:r>
      </w:hyperlink>
      <w:r>
        <w:rPr>
          <w:rStyle w:val="Hyperlink"/>
          <w:rFonts w:ascii="Times New Roman" w:hAnsi="Times New Roman"/>
          <w:sz w:val="20"/>
          <w:szCs w:val="20"/>
        </w:rPr>
        <w:t>.</w:t>
      </w:r>
    </w:p>
  </w:footnote>
  <w:footnote w:id="241">
    <w:p w:rsidR="00320198" w:rsidRDefault="005C0948">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vertAlign w:val="superscript"/>
        </w:rPr>
        <w:tab/>
      </w:r>
      <w:r>
        <w:rPr>
          <w:rFonts w:ascii="Times New Roman" w:hAnsi="Times New Roman"/>
          <w:sz w:val="20"/>
          <w:szCs w:val="20"/>
        </w:rPr>
        <w:t xml:space="preserve">State aid case SA.49445 – UK - </w:t>
      </w:r>
      <w:r>
        <w:rPr>
          <w:rFonts w:ascii="Times New Roman" w:hAnsi="Times New Roman"/>
          <w:i/>
          <w:sz w:val="20"/>
          <w:szCs w:val="20"/>
        </w:rPr>
        <w:t xml:space="preserve">Modification of the National Broadband Scheme for the UK for </w:t>
      </w:r>
      <w:r>
        <w:rPr>
          <w:rFonts w:ascii="Times New Roman" w:hAnsi="Times New Roman"/>
          <w:i/>
          <w:sz w:val="20"/>
          <w:szCs w:val="20"/>
        </w:rPr>
        <w:t>2016-2020 (BDUK - SA 40720)</w:t>
      </w:r>
      <w:r>
        <w:rPr>
          <w:rFonts w:ascii="Times New Roman" w:hAnsi="Times New Roman"/>
          <w:sz w:val="20"/>
          <w:szCs w:val="20"/>
        </w:rPr>
        <w:t xml:space="preserve">, Commission decision of 15 January 2018. See: </w:t>
      </w:r>
      <w:hyperlink r:id="rId149" w:history="1">
        <w:r>
          <w:rPr>
            <w:rStyle w:val="Hyperlink"/>
            <w:rFonts w:ascii="Times New Roman" w:hAnsi="Times New Roman"/>
            <w:sz w:val="20"/>
            <w:szCs w:val="20"/>
          </w:rPr>
          <w:t>http://ec.europa.eu/competition/elojade/isef/index.cfm?fuseaction=dsp_re</w:t>
        </w:r>
        <w:r>
          <w:rPr>
            <w:rStyle w:val="Hyperlink"/>
            <w:rFonts w:ascii="Times New Roman" w:hAnsi="Times New Roman"/>
            <w:sz w:val="20"/>
            <w:szCs w:val="20"/>
          </w:rPr>
          <w:t>sult&amp;policy_area_id=3</w:t>
        </w:r>
      </w:hyperlink>
      <w:r>
        <w:rPr>
          <w:rStyle w:val="Hyperlink"/>
          <w:rFonts w:ascii="Times New Roman" w:hAnsi="Times New Roman"/>
          <w:sz w:val="20"/>
          <w:szCs w:val="20"/>
        </w:rPr>
        <w:t>.</w:t>
      </w:r>
    </w:p>
  </w:footnote>
  <w:footnote w:id="242">
    <w:p w:rsidR="00320198" w:rsidRDefault="005C0948">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State aid case SA.48418 - Germany- </w:t>
      </w:r>
      <w:r>
        <w:rPr>
          <w:rFonts w:ascii="Times New Roman" w:hAnsi="Times New Roman"/>
          <w:i/>
          <w:sz w:val="20"/>
          <w:szCs w:val="20"/>
        </w:rPr>
        <w:t>Bayerisches Gigabit Pilotprojekt (Bavarian gigabit pilot project)</w:t>
      </w:r>
      <w:r>
        <w:rPr>
          <w:rFonts w:ascii="Times New Roman" w:hAnsi="Times New Roman"/>
          <w:sz w:val="20"/>
          <w:szCs w:val="20"/>
        </w:rPr>
        <w:t xml:space="preserve">, Commission decision of 18 December 2018. See: </w:t>
      </w:r>
      <w:hyperlink r:id="rId150" w:history="1">
        <w:r>
          <w:rPr>
            <w:rStyle w:val="Hyperlink"/>
            <w:rFonts w:ascii="Times New Roman" w:hAnsi="Times New Roman"/>
            <w:sz w:val="20"/>
            <w:szCs w:val="20"/>
          </w:rPr>
          <w:t>http://ec.europa.eu/competition/elojade/isef/case_details.cfm?proc_code=3_SA_48418</w:t>
        </w:r>
      </w:hyperlink>
      <w:r>
        <w:rPr>
          <w:rStyle w:val="Hyperlink"/>
          <w:rFonts w:ascii="Times New Roman" w:hAnsi="Times New Roman"/>
          <w:sz w:val="20"/>
          <w:szCs w:val="20"/>
        </w:rPr>
        <w:t>.</w:t>
      </w:r>
    </w:p>
  </w:footnote>
  <w:footnote w:id="243">
    <w:p w:rsidR="00320198" w:rsidRDefault="005C0948">
      <w:pPr>
        <w:pStyle w:val="FootnoteText"/>
        <w:tabs>
          <w:tab w:val="left" w:pos="360"/>
        </w:tabs>
        <w:spacing w:after="0" w:line="240" w:lineRule="auto"/>
        <w:ind w:left="284" w:hanging="284"/>
        <w:rPr>
          <w:rFonts w:ascii="Times New Roman" w:hAnsi="Times New Roman"/>
          <w:bC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State aid case SA.46805 – Germany – </w:t>
      </w:r>
      <w:r>
        <w:rPr>
          <w:rFonts w:ascii="Times New Roman" w:hAnsi="Times New Roman"/>
          <w:bCs/>
          <w:i/>
        </w:rPr>
        <w:t>Follow up German NGA/Vula product</w:t>
      </w:r>
      <w:r>
        <w:rPr>
          <w:rFonts w:ascii="Times New Roman" w:hAnsi="Times New Roman"/>
          <w:bCs/>
        </w:rPr>
        <w:t xml:space="preserve">. See: </w:t>
      </w:r>
      <w:hyperlink r:id="rId151" w:history="1">
        <w:r>
          <w:rPr>
            <w:rStyle w:val="Hyperlink"/>
            <w:rFonts w:ascii="Times New Roman" w:hAnsi="Times New Roman"/>
          </w:rPr>
          <w:t>http://ec.europa.eu/competition/elojade/isef/case_details.cfm?proc_code=3_SA_46805</w:t>
        </w:r>
      </w:hyperlink>
      <w:r>
        <w:rPr>
          <w:rStyle w:val="Hyperlink"/>
          <w:rFonts w:ascii="Times New Roman" w:hAnsi="Times New Roman"/>
        </w:rPr>
        <w:t>.</w:t>
      </w:r>
    </w:p>
  </w:footnote>
  <w:footnote w:id="244">
    <w:p w:rsidR="00320198" w:rsidRDefault="005C0948">
      <w:pPr>
        <w:pStyle w:val="Default"/>
        <w:tabs>
          <w:tab w:val="left" w:pos="360"/>
        </w:tabs>
        <w:ind w:left="284" w:hanging="284"/>
        <w:rPr>
          <w:rFonts w:ascii="Times New Roman" w:hAnsi="Times New Roman" w:cs="Times New Roman"/>
          <w:sz w:val="20"/>
          <w:szCs w:val="20"/>
        </w:rPr>
      </w:pPr>
      <w:r>
        <w:rPr>
          <w:rFonts w:ascii="Times New Roman" w:hAnsi="Times New Roman" w:cs="Times New Roman"/>
          <w:color w:val="auto"/>
          <w:sz w:val="20"/>
          <w:szCs w:val="20"/>
          <w:vertAlign w:val="superscript"/>
          <w:lang w:eastAsia="en-US"/>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 xml:space="preserve">Communication from the Commission on State aid for films and other audio-visual works </w:t>
      </w:r>
      <w:r>
        <w:rPr>
          <w:rFonts w:ascii="Times New Roman" w:hAnsi="Times New Roman" w:cs="Times New Roman"/>
          <w:sz w:val="20"/>
          <w:szCs w:val="20"/>
        </w:rPr>
        <w:t xml:space="preserve">(2013/C 332/01). </w:t>
      </w:r>
      <w:r>
        <w:rPr>
          <w:rFonts w:ascii="Times New Roman" w:hAnsi="Times New Roman" w:cs="Times New Roman"/>
          <w:color w:val="auto"/>
          <w:sz w:val="20"/>
          <w:szCs w:val="20"/>
          <w:lang w:eastAsia="en-US"/>
        </w:rPr>
        <w:t>See:</w:t>
      </w:r>
      <w:r>
        <w:rPr>
          <w:rFonts w:ascii="Times New Roman" w:hAnsi="Times New Roman" w:cs="Times New Roman"/>
          <w:sz w:val="20"/>
          <w:szCs w:val="20"/>
        </w:rPr>
        <w:t xml:space="preserve"> </w:t>
      </w:r>
      <w:hyperlink r:id="rId152" w:history="1">
        <w:r>
          <w:rPr>
            <w:rStyle w:val="Hyperlink"/>
            <w:rFonts w:ascii="Times New Roman" w:hAnsi="Times New Roman" w:cs="Times New Roman"/>
            <w:sz w:val="20"/>
            <w:szCs w:val="20"/>
          </w:rPr>
          <w:t>http://eur-lex.europa.eu/LexUriServ/LexUriServ.do?uri=OJ:C:2013:332:0001:0011:EN:PDF</w:t>
        </w:r>
      </w:hyperlink>
      <w:r>
        <w:rPr>
          <w:rFonts w:ascii="Times New Roman" w:hAnsi="Times New Roman" w:cs="Times New Roman"/>
          <w:sz w:val="20"/>
          <w:szCs w:val="20"/>
        </w:rPr>
        <w:t>.</w:t>
      </w:r>
    </w:p>
  </w:footnote>
  <w:footnote w:id="245">
    <w:p w:rsidR="00320198" w:rsidRDefault="005C0948">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eastAsiaTheme="minorHAnsi" w:hAnsi="Times New Roman"/>
          <w:bCs/>
          <w:color w:val="000000"/>
        </w:rPr>
        <w:t>Communication from the Commission on the application of State aid ru</w:t>
      </w:r>
      <w:r>
        <w:rPr>
          <w:rFonts w:ascii="Times New Roman" w:eastAsiaTheme="minorHAnsi" w:hAnsi="Times New Roman"/>
          <w:bCs/>
          <w:color w:val="000000"/>
        </w:rPr>
        <w:t xml:space="preserve">les to public service broadcasting, </w:t>
      </w:r>
      <w:r>
        <w:rPr>
          <w:rFonts w:ascii="Times New Roman" w:eastAsiaTheme="minorHAnsi" w:hAnsi="Times New Roman"/>
          <w:bCs/>
        </w:rPr>
        <w:t>OJ C 257 of 27.10.2009</w:t>
      </w:r>
      <w:r>
        <w:rPr>
          <w:rFonts w:ascii="Times New Roman" w:hAnsi="Times New Roman"/>
        </w:rPr>
        <w:t xml:space="preserve">, p.1 to 14. See: </w:t>
      </w:r>
      <w:hyperlink r:id="rId153" w:history="1">
        <w:r>
          <w:rPr>
            <w:rStyle w:val="Hyperlink"/>
            <w:rFonts w:ascii="Times New Roman" w:hAnsi="Times New Roman"/>
          </w:rPr>
          <w:t>http://eur-lex.europa.eu/legal-content/EN/TXT/PDF/?uri=CELEX:52009XC1027(01)&amp;fr</w:t>
        </w:r>
        <w:r>
          <w:rPr>
            <w:rStyle w:val="Hyperlink"/>
            <w:rFonts w:ascii="Times New Roman" w:hAnsi="Times New Roman"/>
          </w:rPr>
          <w:t>om=EN</w:t>
        </w:r>
      </w:hyperlink>
      <w:r>
        <w:rPr>
          <w:rFonts w:ascii="Times New Roman" w:hAnsi="Times New Roman"/>
        </w:rPr>
        <w:t xml:space="preserve">. </w:t>
      </w:r>
    </w:p>
  </w:footnote>
  <w:footnote w:id="246">
    <w:p w:rsidR="00320198" w:rsidRDefault="005C0948">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vertAlign w:val="superscript"/>
        </w:rPr>
        <w:tab/>
      </w:r>
      <w:r>
        <w:rPr>
          <w:rFonts w:ascii="Times New Roman" w:hAnsi="Times New Roman"/>
          <w:sz w:val="20"/>
          <w:szCs w:val="20"/>
        </w:rPr>
        <w:t xml:space="preserve">State aid case SA.49405 – Sweden - </w:t>
      </w:r>
      <w:r>
        <w:rPr>
          <w:rFonts w:ascii="Times New Roman" w:hAnsi="Times New Roman"/>
          <w:i/>
          <w:sz w:val="20"/>
          <w:szCs w:val="20"/>
        </w:rPr>
        <w:t>Media Aid</w:t>
      </w:r>
      <w:r>
        <w:rPr>
          <w:rFonts w:ascii="Times New Roman" w:hAnsi="Times New Roman"/>
          <w:sz w:val="20"/>
          <w:szCs w:val="20"/>
        </w:rPr>
        <w:t xml:space="preserve">, Commission decision of 22 October 2018. See: http://ec.europa.eu/competition/elojade/isef/case_details.cfm?proc_code=3_SA_49405. </w:t>
      </w:r>
    </w:p>
  </w:footnote>
  <w:footnote w:id="247">
    <w:p w:rsidR="00320198" w:rsidRDefault="005C0948">
      <w:pPr>
        <w:spacing w:after="0" w:line="240" w:lineRule="auto"/>
        <w:ind w:left="284" w:hanging="284"/>
        <w:jc w:val="both"/>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State aid case SA.49947 – Belgium - </w:t>
      </w:r>
      <w:r>
        <w:rPr>
          <w:rFonts w:ascii="Times New Roman" w:hAnsi="Times New Roman"/>
          <w:i/>
          <w:sz w:val="20"/>
          <w:szCs w:val="20"/>
        </w:rPr>
        <w:t>Funds for videogames – Flander</w:t>
      </w:r>
      <w:r>
        <w:rPr>
          <w:rFonts w:ascii="Times New Roman" w:hAnsi="Times New Roman"/>
          <w:i/>
          <w:sz w:val="20"/>
          <w:szCs w:val="20"/>
        </w:rPr>
        <w:t>s</w:t>
      </w:r>
      <w:r>
        <w:rPr>
          <w:rFonts w:ascii="Times New Roman" w:hAnsi="Times New Roman"/>
          <w:sz w:val="20"/>
          <w:szCs w:val="20"/>
        </w:rPr>
        <w:t xml:space="preserve">, Commission decision of 28 May 2018. See: </w:t>
      </w:r>
      <w:hyperlink r:id="rId154" w:history="1">
        <w:r>
          <w:rPr>
            <w:rStyle w:val="Hyperlink"/>
            <w:rFonts w:ascii="Times New Roman" w:hAnsi="Times New Roman"/>
            <w:sz w:val="20"/>
            <w:szCs w:val="20"/>
          </w:rPr>
          <w:t>http://ec.europa.eu/competition/elojade/isef/index.cfm?fuseaction=dsp_result&amp;policy_area_id=3</w:t>
        </w:r>
      </w:hyperlink>
      <w:r>
        <w:rPr>
          <w:rFonts w:ascii="Times New Roman" w:hAnsi="Times New Roman"/>
          <w:color w:val="1F497D"/>
          <w:sz w:val="20"/>
          <w:szCs w:val="20"/>
        </w:rPr>
        <w:t>.</w:t>
      </w:r>
    </w:p>
  </w:footnote>
  <w:footnote w:id="24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State aid case SA.50512 – France - </w:t>
      </w:r>
      <w:r>
        <w:rPr>
          <w:rFonts w:ascii="Times New Roman" w:hAnsi="Times New Roman"/>
          <w:i/>
        </w:rPr>
        <w:t>Fonds d'aide aux jeux video</w:t>
      </w:r>
      <w:r>
        <w:rPr>
          <w:rFonts w:ascii="Times New Roman" w:hAnsi="Times New Roman"/>
        </w:rPr>
        <w:t xml:space="preserve">, Commission decision of 21 August 2018. See: </w:t>
      </w:r>
      <w:hyperlink r:id="rId155" w:history="1">
        <w:r>
          <w:rPr>
            <w:rStyle w:val="Hyperlink"/>
            <w:rFonts w:ascii="Times New Roman" w:hAnsi="Times New Roman"/>
          </w:rPr>
          <w:t>http://ec.europa.eu/competition/elojad</w:t>
        </w:r>
        <w:r>
          <w:rPr>
            <w:rStyle w:val="Hyperlink"/>
            <w:rFonts w:ascii="Times New Roman" w:hAnsi="Times New Roman"/>
          </w:rPr>
          <w:t>e/isef/index.cfm?fuseaction=dsp_result&amp;policy_area_id=3</w:t>
        </w:r>
      </w:hyperlink>
      <w:r>
        <w:rPr>
          <w:rStyle w:val="Hyperlink"/>
          <w:rFonts w:ascii="Times New Roman" w:hAnsi="Times New Roman"/>
        </w:rPr>
        <w:t>.</w:t>
      </w:r>
    </w:p>
  </w:footnote>
  <w:footnote w:id="249">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State Aid case A.51820 – Germany - </w:t>
      </w:r>
      <w:r>
        <w:rPr>
          <w:rFonts w:ascii="Times New Roman" w:hAnsi="Times New Roman"/>
          <w:i/>
        </w:rPr>
        <w:t>Video games support – North Rhine Westphalia</w:t>
      </w:r>
      <w:r>
        <w:rPr>
          <w:rFonts w:ascii="Times New Roman" w:hAnsi="Times New Roman"/>
        </w:rPr>
        <w:t xml:space="preserve">, Commission decision of 10 December 2018.See: </w:t>
      </w:r>
      <w:hyperlink r:id="rId156" w:history="1">
        <w:r>
          <w:rPr>
            <w:rStyle w:val="Hyperlink"/>
            <w:rFonts w:ascii="Times New Roman" w:hAnsi="Times New Roman"/>
          </w:rPr>
          <w:t>http://ec.europa.eu/competition/elojade/isef/case_details.cfm?proc_code=3_SA_51820</w:t>
        </w:r>
      </w:hyperlink>
      <w:r>
        <w:rPr>
          <w:rStyle w:val="Hyperlink"/>
          <w:rFonts w:ascii="Times New Roman" w:hAnsi="Times New Roman"/>
        </w:rPr>
        <w:t>.</w:t>
      </w:r>
    </w:p>
  </w:footnote>
  <w:footnote w:id="250">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There might be some overlap between the figures as schemes could be informed both under article 53 and article 54 (and potentially other art</w:t>
      </w:r>
      <w:r>
        <w:rPr>
          <w:rFonts w:ascii="Times New Roman" w:hAnsi="Times New Roman"/>
        </w:rPr>
        <w:t xml:space="preserve">icles of the GBER as well). </w:t>
      </w:r>
    </w:p>
  </w:footnote>
  <w:footnote w:id="251">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color w:val="444444"/>
          <w:vertAlign w:val="superscript"/>
        </w:rPr>
        <w:t xml:space="preserve"> </w:t>
      </w:r>
      <w:r>
        <w:rPr>
          <w:rFonts w:ascii="Times New Roman" w:hAnsi="Times New Roman"/>
          <w:color w:val="444444"/>
          <w:vertAlign w:val="superscript"/>
        </w:rPr>
        <w:tab/>
      </w:r>
      <w:r>
        <w:rPr>
          <w:rFonts w:ascii="Times New Roman" w:hAnsi="Times New Roman"/>
          <w:color w:val="000000"/>
        </w:rPr>
        <w:t xml:space="preserve">Decision (EU) 2017/899 of the European Parliament and of the Council of 17 May 2017 on the use of the 470-790 MHz frequency band in the Union. See: </w:t>
      </w:r>
      <w:hyperlink r:id="rId157" w:history="1">
        <w:r>
          <w:rPr>
            <w:rStyle w:val="Hyperlink"/>
            <w:rFonts w:ascii="Times New Roman" w:hAnsi="Times New Roman"/>
          </w:rPr>
          <w:t>https://eur-lex.europa.eu/legal-content/en/TXT/?uri=CELEX%3A32017D0899</w:t>
        </w:r>
      </w:hyperlink>
      <w:r>
        <w:rPr>
          <w:rStyle w:val="Hyperlink"/>
          <w:rFonts w:ascii="Times New Roman" w:hAnsi="Times New Roman"/>
        </w:rPr>
        <w:t>.</w:t>
      </w:r>
    </w:p>
  </w:footnote>
  <w:footnote w:id="25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color w:val="000000"/>
        </w:rPr>
        <w:t>European Parliament and Council Directive 2014/59/EU of 15 May 2014 establishing a framework for the recovery and resolution of credit institutions and investment firms</w:t>
      </w:r>
      <w:r>
        <w:rPr>
          <w:rFonts w:ascii="Times New Roman" w:hAnsi="Times New Roman"/>
        </w:rPr>
        <w:t xml:space="preserve"> </w:t>
      </w:r>
      <w:r>
        <w:rPr>
          <w:rFonts w:ascii="Times New Roman" w:hAnsi="Times New Roman"/>
          <w:color w:val="000000"/>
        </w:rPr>
        <w:t>a</w:t>
      </w:r>
      <w:r>
        <w:rPr>
          <w:rFonts w:ascii="Times New Roman" w:hAnsi="Times New Roman"/>
          <w:color w:val="000000"/>
        </w:rPr>
        <w:t>nd amending Council Directive 82/891/EEC, and Directives 2001/24/EC, 2002/47/EC, 2004/25/EC, 2005/56/EC, 2007/36/EC, 2011/35/EU, 2012/30/EU and 2013/36/EU, and Regulations (EU) No 1093/2010 and (EU) No 648/2012, of the European Parliament and of the Counci</w:t>
      </w:r>
      <w:r>
        <w:rPr>
          <w:rFonts w:ascii="Times New Roman" w:hAnsi="Times New Roman"/>
          <w:color w:val="000000"/>
        </w:rPr>
        <w:t>l Text with EEA relevance, OJ L 173, 12.6.2014 p. 190–348.</w:t>
      </w:r>
    </w:p>
  </w:footnote>
  <w:footnote w:id="253">
    <w:p w:rsidR="00320198" w:rsidRDefault="005C0948">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European Parliament and Council Regulation (EU) No 2015/751 of 29 April 2015 on interchange fees for card-based payment transactions, OJ L 123, 19.5.2015, p.1. See: </w:t>
      </w:r>
      <w:hyperlink r:id="rId158" w:history="1">
        <w:r>
          <w:rPr>
            <w:rStyle w:val="Hyperlink"/>
            <w:rFonts w:ascii="Times New Roman" w:hAnsi="Times New Roman"/>
          </w:rPr>
          <w:t>http://eur-lex.europa.eu/legal-content/EN/TXT/?uri=celex:32015R0751</w:t>
        </w:r>
      </w:hyperlink>
      <w:r>
        <w:rPr>
          <w:rStyle w:val="Hyperlink"/>
          <w:rFonts w:ascii="Times New Roman" w:hAnsi="Times New Roman"/>
          <w:color w:val="auto"/>
          <w:u w:val="none"/>
        </w:rPr>
        <w:t xml:space="preserve">. </w:t>
      </w:r>
    </w:p>
  </w:footnote>
  <w:footnote w:id="25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Commission Delegated Regulation (EU) 2018/72 of 4 October 2017 supplementing Regulation (EU) 2015/751 of the European Parliament</w:t>
      </w:r>
      <w:r>
        <w:rPr>
          <w:rFonts w:ascii="Times New Roman" w:hAnsi="Times New Roman"/>
        </w:rPr>
        <w:t xml:space="preserve"> and of the Council on interchange fees for card-based payment transactions with regard to regulatory technical standards establishing the requirements to be complied with by payment card schemes and processing entities to ensure the application of indepen</w:t>
      </w:r>
      <w:r>
        <w:rPr>
          <w:rFonts w:ascii="Times New Roman" w:hAnsi="Times New Roman"/>
        </w:rPr>
        <w:t>dence requirements in terms of accounting, organisation and decision-making process, OJ L 13, 18.1.2018, p. 1–7.</w:t>
      </w:r>
    </w:p>
  </w:footnote>
  <w:footnote w:id="25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159" w:history="1">
        <w:r>
          <w:rPr>
            <w:rStyle w:val="Hyperlink"/>
            <w:rFonts w:ascii="Times New Roman" w:hAnsi="Times New Roman"/>
          </w:rPr>
          <w:t>http://curia.europa.eu/juris/liste.jsf?language=</w:t>
        </w:r>
        <w:r>
          <w:rPr>
            <w:rStyle w:val="Hyperlink"/>
            <w:rFonts w:ascii="Times New Roman" w:hAnsi="Times New Roman"/>
          </w:rPr>
          <w:t>en&amp;td=ALL&amp;num=C-304/16</w:t>
        </w:r>
      </w:hyperlink>
      <w:r>
        <w:rPr>
          <w:rStyle w:val="Hyperlink"/>
          <w:rFonts w:ascii="Times New Roman" w:hAnsi="Times New Roman"/>
        </w:rPr>
        <w:t>.</w:t>
      </w:r>
      <w:r>
        <w:rPr>
          <w:rFonts w:ascii="Times New Roman" w:hAnsi="Times New Roman"/>
        </w:rPr>
        <w:t xml:space="preserve"> </w:t>
      </w:r>
    </w:p>
  </w:footnote>
  <w:footnote w:id="256">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ab/>
      </w:r>
      <w:r>
        <w:rPr>
          <w:rFonts w:ascii="Times New Roman" w:hAnsi="Times New Roman"/>
        </w:rPr>
        <w:t>Estimated by the European Central Bank (ECB) to represent about two-thirds of total card fraud in the EU worth EUR 800 million in 2014.</w:t>
      </w:r>
    </w:p>
  </w:footnote>
  <w:footnote w:id="257">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European Parliament and Council Directive (EU) 2015/2366 of 25 November 2015 on payment services in the internal market, amending Directives 2002/65/EC, 2009/110/EC and 2013/36/EU and Regulation (EU) No 1093/2010, and repealing Directive 2007/64/EC, OJ L 3</w:t>
      </w:r>
      <w:r>
        <w:rPr>
          <w:rFonts w:ascii="Times New Roman" w:hAnsi="Times New Roman"/>
        </w:rPr>
        <w:t xml:space="preserve">37, 23.12.2015, p. 35. See: </w:t>
      </w:r>
      <w:hyperlink r:id="rId160" w:anchor="151008" w:history="1">
        <w:r>
          <w:rPr>
            <w:rStyle w:val="Hyperlink"/>
            <w:rFonts w:ascii="Times New Roman" w:hAnsi="Times New Roman"/>
          </w:rPr>
          <w:t>http</w:t>
        </w:r>
        <w:r>
          <w:rPr>
            <w:rStyle w:val="Hyperlink"/>
            <w:rFonts w:ascii="Times New Roman" w:hAnsi="Times New Roman"/>
            <w:lang w:val="en-US"/>
          </w:rPr>
          <w:t>://ec.europa.eu/finance/payments/framework/index_en.htm#151008</w:t>
        </w:r>
      </w:hyperlink>
      <w:r>
        <w:rPr>
          <w:rStyle w:val="Hyperlink"/>
          <w:rFonts w:ascii="Times New Roman" w:hAnsi="Times New Roman"/>
          <w:color w:val="auto"/>
          <w:u w:val="none"/>
          <w:lang w:val="en-US"/>
        </w:rPr>
        <w:t>.</w:t>
      </w:r>
    </w:p>
  </w:footnote>
  <w:footnote w:id="258">
    <w:p w:rsidR="00320198" w:rsidRDefault="005C0948">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These proceedings were closed as regards Visa Europe </w:t>
      </w:r>
      <w:r>
        <w:rPr>
          <w:rFonts w:ascii="Times New Roman" w:hAnsi="Times New Roman"/>
          <w:spacing w:val="-2"/>
        </w:rPr>
        <w:t>following its co</w:t>
      </w:r>
      <w:r>
        <w:rPr>
          <w:rFonts w:ascii="Times New Roman" w:hAnsi="Times New Roman"/>
          <w:spacing w:val="-2"/>
        </w:rPr>
        <w:t>mmitments,</w:t>
      </w:r>
      <w:r>
        <w:rPr>
          <w:rFonts w:ascii="Times New Roman" w:hAnsi="Times New Roman"/>
        </w:rPr>
        <w:t xml:space="preserve"> Case AT.39398 - </w:t>
      </w:r>
      <w:r>
        <w:rPr>
          <w:rFonts w:ascii="Times New Roman" w:hAnsi="Times New Roman"/>
          <w:i/>
        </w:rPr>
        <w:t>VISA MIF</w:t>
      </w:r>
      <w:r>
        <w:rPr>
          <w:rFonts w:ascii="Times New Roman" w:hAnsi="Times New Roman"/>
        </w:rPr>
        <w:t xml:space="preserve">, Commission decision of 26 February 2014. See: </w:t>
      </w:r>
      <w:hyperlink r:id="rId161" w:history="1">
        <w:r>
          <w:rPr>
            <w:rStyle w:val="Hyperlink"/>
            <w:rFonts w:ascii="Times New Roman" w:hAnsi="Times New Roman"/>
          </w:rPr>
          <w:t>http://ec.europa.eu/competition/antitrust/cases/dec_docs/39398/39398_9728_3.p</w:t>
        </w:r>
        <w:r>
          <w:rPr>
            <w:rStyle w:val="Hyperlink"/>
            <w:rFonts w:ascii="Times New Roman" w:hAnsi="Times New Roman"/>
          </w:rPr>
          <w:t>df</w:t>
        </w:r>
      </w:hyperlink>
      <w:r>
        <w:rPr>
          <w:rFonts w:ascii="Times New Roman" w:hAnsi="Times New Roman"/>
        </w:rPr>
        <w:t>.</w:t>
      </w:r>
    </w:p>
  </w:footnote>
  <w:footnote w:id="259">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AT.39398 - </w:t>
      </w:r>
      <w:r>
        <w:rPr>
          <w:rFonts w:ascii="Times New Roman" w:hAnsi="Times New Roman"/>
          <w:i/>
        </w:rPr>
        <w:t>Visa MIF</w:t>
      </w:r>
      <w:r>
        <w:rPr>
          <w:rFonts w:ascii="Times New Roman" w:hAnsi="Times New Roman"/>
        </w:rPr>
        <w:t xml:space="preserve">. See: </w:t>
      </w:r>
      <w:hyperlink r:id="rId162" w:history="1">
        <w:r>
          <w:rPr>
            <w:rStyle w:val="Hyperlink"/>
            <w:rFonts w:ascii="Times New Roman" w:hAnsi="Times New Roman"/>
          </w:rPr>
          <w:t>http://europa.eu/rapid/press-release_MEX-17-2341_en.htm</w:t>
        </w:r>
      </w:hyperlink>
      <w:r>
        <w:rPr>
          <w:rFonts w:ascii="Times New Roman" w:hAnsi="Times New Roman"/>
        </w:rPr>
        <w:t>.</w:t>
      </w:r>
    </w:p>
  </w:footnote>
  <w:footnote w:id="260">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163" w:history="1">
        <w:r>
          <w:rPr>
            <w:rStyle w:val="Hyperlink"/>
            <w:rFonts w:ascii="Times New Roman" w:hAnsi="Times New Roman"/>
          </w:rPr>
          <w:t>http://eur</w:t>
        </w:r>
        <w:r>
          <w:rPr>
            <w:rStyle w:val="Hyperlink"/>
            <w:rFonts w:ascii="Times New Roman" w:hAnsi="Times New Roman"/>
          </w:rPr>
          <w:t>opa.eu/rapid/press-release_IP-18-6655_en.htm</w:t>
        </w:r>
      </w:hyperlink>
      <w:r>
        <w:rPr>
          <w:rFonts w:ascii="Times New Roman" w:hAnsi="Times New Roman"/>
        </w:rPr>
        <w:t>.</w:t>
      </w:r>
    </w:p>
  </w:footnote>
  <w:footnote w:id="261">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MEMO/17/3761 </w:t>
      </w:r>
      <w:hyperlink r:id="rId164" w:history="1">
        <w:r>
          <w:rPr>
            <w:rStyle w:val="Hyperlink"/>
            <w:rFonts w:ascii="Times New Roman" w:hAnsi="Times New Roman"/>
          </w:rPr>
          <w:t>http://europa.eu/rapid/press-release_MEMO-17-3761_en.htm</w:t>
        </w:r>
      </w:hyperlink>
      <w:r>
        <w:rPr>
          <w:rStyle w:val="Hyperlink"/>
          <w:rFonts w:ascii="Times New Roman" w:hAnsi="Times New Roman"/>
        </w:rPr>
        <w:t>.</w:t>
      </w:r>
      <w:r>
        <w:rPr>
          <w:rFonts w:ascii="Times New Roman" w:hAnsi="Times New Roman"/>
        </w:rPr>
        <w:t xml:space="preserve"> </w:t>
      </w:r>
    </w:p>
  </w:footnote>
  <w:footnote w:id="26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for example M.8764 - </w:t>
      </w:r>
      <w:r>
        <w:rPr>
          <w:rFonts w:ascii="Times New Roman" w:hAnsi="Times New Roman"/>
          <w:i/>
        </w:rPr>
        <w:t>Sedgwick /Cunningham Lindsey</w:t>
      </w:r>
      <w:r>
        <w:rPr>
          <w:rFonts w:ascii="Times New Roman" w:hAnsi="Times New Roman"/>
        </w:rPr>
        <w:t xml:space="preserve"> </w:t>
      </w:r>
      <w:r>
        <w:rPr>
          <w:rFonts w:ascii="Times New Roman" w:hAnsi="Times New Roman"/>
        </w:rPr>
        <w:t xml:space="preserve">and M.9056 - </w:t>
      </w:r>
      <w:r>
        <w:rPr>
          <w:rFonts w:ascii="Times New Roman" w:hAnsi="Times New Roman"/>
          <w:i/>
        </w:rPr>
        <w:t>Generali CEE /AS</w:t>
      </w:r>
      <w:r>
        <w:rPr>
          <w:rFonts w:ascii="Times New Roman" w:hAnsi="Times New Roman"/>
        </w:rPr>
        <w:t>.</w:t>
      </w:r>
    </w:p>
  </w:footnote>
  <w:footnote w:id="263">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ab/>
      </w:r>
      <w:r>
        <w:rPr>
          <w:rFonts w:ascii="Times New Roman" w:hAnsi="Times New Roman"/>
        </w:rPr>
        <w:t xml:space="preserve">Communication from the Commission on the </w:t>
      </w:r>
      <w:r>
        <w:rPr>
          <w:rFonts w:ascii="Times New Roman" w:hAnsi="Times New Roman"/>
          <w:i/>
        </w:rPr>
        <w:t xml:space="preserve">Application of State aid rules to support measures in favour of banks in the context of the financial crisis (Banking Communication), </w:t>
      </w:r>
      <w:r>
        <w:rPr>
          <w:rFonts w:ascii="Times New Roman" w:hAnsi="Times New Roman"/>
        </w:rPr>
        <w:t xml:space="preserve">OJ C 216, 30.7.2013, p.1. See: </w:t>
      </w:r>
      <w:hyperlink r:id="rId165" w:history="1">
        <w:r>
          <w:rPr>
            <w:rStyle w:val="Hyperlink"/>
            <w:rFonts w:ascii="Times New Roman" w:hAnsi="Times New Roman"/>
          </w:rPr>
          <w:t>http://eur-lex.europa.eu/legal-content/EN/TXT/PDF/?uri=CELEX:52013XC0730%2801%29&amp;from=EN</w:t>
        </w:r>
      </w:hyperlink>
      <w:r>
        <w:rPr>
          <w:rFonts w:ascii="Times New Roman" w:hAnsi="Times New Roman"/>
        </w:rPr>
        <w:t xml:space="preserve">. </w:t>
      </w:r>
    </w:p>
  </w:footnote>
  <w:footnote w:id="26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In particular, the Single Resolution Board (SRB) under the Single </w:t>
      </w:r>
      <w:r>
        <w:rPr>
          <w:rFonts w:ascii="Times New Roman" w:hAnsi="Times New Roman"/>
        </w:rPr>
        <w:t>Resolution Mechanism (SRM) and the European Central Bank (ECB) under the Single Supervisory Mechanism (SSM).</w:t>
      </w:r>
    </w:p>
  </w:footnote>
  <w:footnote w:id="26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SA.35334 </w:t>
      </w:r>
      <w:r>
        <w:rPr>
          <w:rFonts w:ascii="Times New Roman" w:hAnsi="Times New Roman"/>
          <w:i/>
        </w:rPr>
        <w:t>– Cyprus</w:t>
      </w:r>
      <w:r>
        <w:rPr>
          <w:rFonts w:ascii="Times New Roman" w:hAnsi="Times New Roman"/>
        </w:rPr>
        <w:t xml:space="preserve">, Commission decisions of 19 June 2018 and 28 August 2018. See: </w:t>
      </w:r>
      <w:hyperlink r:id="rId166" w:history="1">
        <w:r>
          <w:rPr>
            <w:rStyle w:val="Hyperlink"/>
            <w:rFonts w:ascii="Times New Roman" w:hAnsi="Times New Roman"/>
          </w:rPr>
          <w:t>http://ec.europa.eu/competition/elojade/isef/case_details.cfm?proc_code=3_SA_35334</w:t>
        </w:r>
      </w:hyperlink>
      <w:r>
        <w:rPr>
          <w:rFonts w:ascii="Times New Roman" w:hAnsi="Times New Roman"/>
        </w:rPr>
        <w:t>.</w:t>
      </w:r>
    </w:p>
  </w:footnote>
  <w:footnote w:id="26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SA.51026(2018/N) – </w:t>
      </w:r>
      <w:r>
        <w:rPr>
          <w:rFonts w:ascii="Times New Roman" w:hAnsi="Times New Roman"/>
          <w:i/>
        </w:rPr>
        <w:t>Italy</w:t>
      </w:r>
      <w:r>
        <w:rPr>
          <w:rFonts w:ascii="Times New Roman" w:hAnsi="Times New Roman"/>
        </w:rPr>
        <w:t xml:space="preserve">, Commission decision of 31 August 2018. See: </w:t>
      </w:r>
      <w:hyperlink r:id="rId167" w:history="1">
        <w:r>
          <w:rPr>
            <w:rStyle w:val="Hyperlink"/>
            <w:rFonts w:ascii="Times New Roman" w:hAnsi="Times New Roman"/>
          </w:rPr>
          <w:t>http://ec.europa.eu/competition/elojade/isef/case_details.cfm?proc_code=3_SA_51026</w:t>
        </w:r>
      </w:hyperlink>
      <w:r>
        <w:rPr>
          <w:rStyle w:val="Hyperlink"/>
          <w:rFonts w:ascii="Times New Roman" w:hAnsi="Times New Roman"/>
        </w:rPr>
        <w:t>.</w:t>
      </w:r>
      <w:r>
        <w:rPr>
          <w:rFonts w:ascii="Times New Roman" w:hAnsi="Times New Roman"/>
        </w:rPr>
        <w:t xml:space="preserve"> </w:t>
      </w:r>
    </w:p>
  </w:footnote>
  <w:footnote w:id="267">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SA.52288 – Germany, Commission decision of 23 November 2018, See: </w:t>
      </w:r>
      <w:hyperlink r:id="rId168" w:history="1">
        <w:r>
          <w:rPr>
            <w:rStyle w:val="Hyperlink"/>
            <w:rFonts w:ascii="Times New Roman" w:hAnsi="Times New Roman"/>
          </w:rPr>
          <w:t>http://ec.europa.eu/competition/elojade/isef/case_details.cfm?proc_code=3_SA_52288</w:t>
        </w:r>
      </w:hyperlink>
      <w:r>
        <w:rPr>
          <w:rStyle w:val="Hyperlink"/>
          <w:rFonts w:ascii="Times New Roman" w:hAnsi="Times New Roman"/>
        </w:rPr>
        <w:t>.</w:t>
      </w:r>
      <w:r>
        <w:rPr>
          <w:rFonts w:ascii="Times New Roman" w:hAnsi="Times New Roman"/>
        </w:rPr>
        <w:t xml:space="preserve">  </w:t>
      </w:r>
    </w:p>
  </w:footnote>
  <w:footnote w:id="268">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OECD (2013) </w:t>
      </w:r>
      <w:r>
        <w:rPr>
          <w:rFonts w:ascii="Times New Roman" w:hAnsi="Times New Roman"/>
          <w:i/>
        </w:rPr>
        <w:t>Action Plan on Base Erosion and Profit Shifting</w:t>
      </w:r>
      <w:r>
        <w:rPr>
          <w:rFonts w:ascii="Times New Roman" w:hAnsi="Times New Roman"/>
        </w:rPr>
        <w:t>, OECD Publishing, Paris.</w:t>
      </w:r>
    </w:p>
  </w:footnote>
  <w:footnote w:id="269">
    <w:p w:rsidR="00320198" w:rsidRDefault="005C0948">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The Commission work in the area</w:t>
      </w:r>
      <w:r>
        <w:rPr>
          <w:rFonts w:ascii="Times New Roman" w:hAnsi="Times New Roman"/>
        </w:rPr>
        <w:t xml:space="preserve"> of tax rulings was closely followed by the European Parliament's Special Committee on Tax Rulings and Measures Similar in Nature or Effect (TAXE). On 25 November 2016, European Parliament adopted a Report on tax rulings and other measures similar in natur</w:t>
      </w:r>
      <w:r>
        <w:rPr>
          <w:rFonts w:ascii="Times New Roman" w:hAnsi="Times New Roman"/>
        </w:rPr>
        <w:t>e or effect prepared by the TAXE Committee, which viewed positively the contribution of State aid control to tax fairness in Europe. In fact, it "</w:t>
      </w:r>
      <w:r>
        <w:rPr>
          <w:rFonts w:ascii="Times New Roman" w:hAnsi="Times New Roman"/>
          <w:i/>
        </w:rPr>
        <w:t>strongly welcomes and supports the key role of the Commission as the competent competition authority in the on</w:t>
      </w:r>
      <w:r>
        <w:rPr>
          <w:rFonts w:ascii="Times New Roman" w:hAnsi="Times New Roman"/>
          <w:i/>
        </w:rPr>
        <w:t>going State aid inquiries dealing with tax rulings</w:t>
      </w:r>
      <w:r>
        <w:rPr>
          <w:rFonts w:ascii="Times New Roman" w:hAnsi="Times New Roman"/>
        </w:rPr>
        <w:t xml:space="preserve">" (para. 130). On 25 November 2016, the Committee issued a report which broadly endorsed the Commissions approach on State aid. See: </w:t>
      </w:r>
      <w:hyperlink r:id="rId169" w:history="1">
        <w:r>
          <w:rPr>
            <w:rStyle w:val="Hyperlink"/>
            <w:rFonts w:ascii="Times New Roman" w:hAnsi="Times New Roman"/>
          </w:rPr>
          <w:t>http://www.europarl.europa.eu/sides/getDoc.do?pubRef=-//EP//TEXT+TA+P8-TA-2015-0408+0+DOC+XML+V0//EN</w:t>
        </w:r>
      </w:hyperlink>
      <w:r>
        <w:rPr>
          <w:rFonts w:ascii="Times New Roman" w:hAnsi="Times New Roman"/>
        </w:rPr>
        <w:t>.</w:t>
      </w:r>
      <w:r>
        <w:rPr>
          <w:rFonts w:ascii="Times New Roman" w:hAnsi="Times New Roman"/>
          <w:i/>
        </w:rPr>
        <w:t xml:space="preserve"> </w:t>
      </w:r>
      <w:r>
        <w:rPr>
          <w:rFonts w:ascii="Times New Roman" w:hAnsi="Times New Roman"/>
        </w:rPr>
        <w:t xml:space="preserve"> </w:t>
      </w:r>
    </w:p>
  </w:footnote>
  <w:footnote w:id="270">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Directorate-General for Competition working paper on state aid and tax rulings, Internal Working Paper – </w:t>
      </w:r>
      <w:r>
        <w:rPr>
          <w:rFonts w:ascii="Times New Roman" w:hAnsi="Times New Roman"/>
        </w:rPr>
        <w:t xml:space="preserve">Background to the High Level Forum on State Aid of 3 June 2016. See:  </w:t>
      </w:r>
      <w:hyperlink r:id="rId170" w:history="1">
        <w:r>
          <w:rPr>
            <w:rStyle w:val="Hyperlink"/>
            <w:rFonts w:ascii="Times New Roman" w:hAnsi="Times New Roman"/>
          </w:rPr>
          <w:t>http://ec.europa.eu/competition/state_aid/legislation/working_paper_tax_rulings.pdf</w:t>
        </w:r>
      </w:hyperlink>
      <w:r>
        <w:rPr>
          <w:rFonts w:ascii="Times New Roman" w:hAnsi="Times New Roman"/>
        </w:rPr>
        <w:t xml:space="preserve">. </w:t>
      </w:r>
    </w:p>
  </w:footnote>
  <w:footnote w:id="271">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Circular of the Director of Contributions, L.I.R. n° 56/1 – 56bis/1 of 27 December 2016. See:  </w:t>
      </w:r>
      <w:hyperlink r:id="rId171" w:history="1">
        <w:r>
          <w:rPr>
            <w:rStyle w:val="Hyperlink"/>
            <w:rFonts w:ascii="Times New Roman" w:hAnsi="Times New Roman"/>
          </w:rPr>
          <w:t>http://www.impotsdirects.public.</w:t>
        </w:r>
        <w:r>
          <w:rPr>
            <w:rStyle w:val="Hyperlink"/>
            <w:rFonts w:ascii="Times New Roman" w:hAnsi="Times New Roman"/>
          </w:rPr>
          <w:t>lu/content/dam/acd/fr/legislation/legi16/circulairelir561-56bis1-27122016.pdf</w:t>
        </w:r>
      </w:hyperlink>
      <w:r>
        <w:rPr>
          <w:rFonts w:ascii="Times New Roman" w:hAnsi="Times New Roman"/>
        </w:rPr>
        <w:t xml:space="preserve"> </w:t>
      </w:r>
    </w:p>
  </w:footnote>
  <w:footnote w:id="272">
    <w:p w:rsidR="00320198" w:rsidRDefault="005C0948">
      <w:pPr>
        <w:pStyle w:val="FootnoteText"/>
        <w:spacing w:after="0" w:line="240" w:lineRule="auto"/>
        <w:ind w:left="284" w:hanging="284"/>
        <w:jc w:val="both"/>
        <w:rPr>
          <w:rStyle w:val="Hyperlink"/>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Luxembourg now </w:t>
      </w:r>
      <w:r>
        <w:rPr>
          <w:rStyle w:val="Hyperlink"/>
          <w:rFonts w:ascii="Times New Roman" w:hAnsi="Times New Roman"/>
        </w:rPr>
        <w:t>forbids the tax-free exchange or conversion of a convertible loan for participations or equity. A similar issue was the subject of the Commission investigation</w:t>
      </w:r>
      <w:r>
        <w:rPr>
          <w:rStyle w:val="Hyperlink"/>
          <w:rFonts w:ascii="Times New Roman" w:hAnsi="Times New Roman"/>
        </w:rPr>
        <w:t xml:space="preserve"> in the case SA.44888 – </w:t>
      </w:r>
      <w:r>
        <w:rPr>
          <w:rStyle w:val="Hyperlink"/>
          <w:rFonts w:ascii="Times New Roman" w:hAnsi="Times New Roman"/>
          <w:i/>
        </w:rPr>
        <w:t>Engie.</w:t>
      </w:r>
    </w:p>
  </w:footnote>
  <w:footnote w:id="27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Luxembourg now requires a taxpayer to prove that the other state is also recognizing a permanent establishment before granting an exemption based on the applicable double tax treaty. A similar issue was the subject of the </w:t>
      </w:r>
      <w:r>
        <w:rPr>
          <w:rFonts w:ascii="Times New Roman" w:hAnsi="Times New Roman"/>
        </w:rPr>
        <w:t xml:space="preserve">Commission investigation in the case SA.38945 – </w:t>
      </w:r>
      <w:r>
        <w:rPr>
          <w:rFonts w:ascii="Times New Roman" w:hAnsi="Times New Roman"/>
          <w:i/>
        </w:rPr>
        <w:t>McDonald</w:t>
      </w:r>
      <w:r>
        <w:rPr>
          <w:rFonts w:ascii="Times New Roman" w:hAnsi="Times New Roman"/>
        </w:rPr>
        <w:t>s.</w:t>
      </w:r>
    </w:p>
  </w:footnote>
  <w:footnote w:id="274">
    <w:p w:rsidR="00320198" w:rsidRDefault="005C0948">
      <w:pPr>
        <w:pStyle w:val="FootnoteText"/>
        <w:tabs>
          <w:tab w:val="left" w:pos="360"/>
        </w:tabs>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Case SA.</w:t>
      </w:r>
      <w:r>
        <w:rPr>
          <w:rFonts w:ascii="Times New Roman" w:hAnsi="Times New Roman"/>
          <w:spacing w:val="-4"/>
        </w:rPr>
        <w:t xml:space="preserve">44888 – Luxembourg – </w:t>
      </w:r>
      <w:r>
        <w:rPr>
          <w:rFonts w:ascii="Times New Roman" w:hAnsi="Times New Roman"/>
          <w:i/>
          <w:spacing w:val="-4"/>
        </w:rPr>
        <w:t>Aid implemented by Luxembourg in favour of ENGIE</w:t>
      </w:r>
      <w:r>
        <w:rPr>
          <w:rFonts w:ascii="Times New Roman" w:hAnsi="Times New Roman"/>
          <w:spacing w:val="-4"/>
        </w:rPr>
        <w:t xml:space="preserve">, Commission decision of 20 June 2018. See: </w:t>
      </w:r>
      <w:hyperlink r:id="rId172" w:history="1">
        <w:r>
          <w:rPr>
            <w:rStyle w:val="Hyperlink"/>
            <w:rFonts w:ascii="Times New Roman" w:hAnsi="Times New Roman"/>
          </w:rPr>
          <w:t>http://ec.europa.eu/competition/elojade/isef/case_details.cfm?proc_code=3_SA_44888</w:t>
        </w:r>
      </w:hyperlink>
      <w:r>
        <w:rPr>
          <w:rFonts w:ascii="Times New Roman" w:hAnsi="Times New Roman"/>
        </w:rPr>
        <w:t>.</w:t>
      </w:r>
    </w:p>
  </w:footnote>
  <w:footnote w:id="27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SA.38945 - </w:t>
      </w:r>
      <w:r>
        <w:rPr>
          <w:rFonts w:ascii="Times New Roman" w:hAnsi="Times New Roman"/>
          <w:i/>
        </w:rPr>
        <w:t>Alleged aid to McDonald’s</w:t>
      </w:r>
      <w:r>
        <w:rPr>
          <w:rFonts w:ascii="Times New Roman" w:hAnsi="Times New Roman"/>
        </w:rPr>
        <w:t>, Commission Decision of 19 Sep</w:t>
      </w:r>
      <w:r>
        <w:rPr>
          <w:rFonts w:ascii="Times New Roman" w:hAnsi="Times New Roman"/>
        </w:rPr>
        <w:t xml:space="preserve">tember 2018. See: </w:t>
      </w:r>
      <w:hyperlink r:id="rId173" w:history="1">
        <w:r>
          <w:rPr>
            <w:rStyle w:val="Hyperlink"/>
            <w:rFonts w:ascii="Times New Roman" w:hAnsi="Times New Roman"/>
          </w:rPr>
          <w:t>http://europa.eu/rapid/press-release_IP-18-5831_en.htm</w:t>
        </w:r>
      </w:hyperlink>
      <w:r>
        <w:rPr>
          <w:rStyle w:val="Hyperlink"/>
          <w:rFonts w:ascii="Times New Roman" w:hAnsi="Times New Roman"/>
        </w:rPr>
        <w:t>.</w:t>
      </w:r>
      <w:r>
        <w:rPr>
          <w:rFonts w:ascii="Times New Roman" w:hAnsi="Times New Roman"/>
        </w:rPr>
        <w:t xml:space="preserve">  </w:t>
      </w:r>
    </w:p>
  </w:footnote>
  <w:footnote w:id="27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SA.34914 - </w:t>
      </w:r>
      <w:r>
        <w:rPr>
          <w:rFonts w:ascii="Times New Roman" w:hAnsi="Times New Roman"/>
          <w:i/>
        </w:rPr>
        <w:t>Gibraltar Corporate Tax regime (ITA 2010)</w:t>
      </w:r>
      <w:r>
        <w:rPr>
          <w:rFonts w:ascii="Times New Roman" w:hAnsi="Times New Roman"/>
        </w:rPr>
        <w:t xml:space="preserve">, Commission Decision of 19 December 2018. See: </w:t>
      </w:r>
      <w:hyperlink r:id="rId174" w:history="1">
        <w:r>
          <w:rPr>
            <w:rStyle w:val="Hyperlink"/>
            <w:rFonts w:ascii="Times New Roman" w:hAnsi="Times New Roman"/>
          </w:rPr>
          <w:t>http://europa.eu/rapid/press-release_IP-18-6889_en.htm</w:t>
        </w:r>
      </w:hyperlink>
      <w:r>
        <w:rPr>
          <w:rStyle w:val="Hyperlink"/>
          <w:rFonts w:ascii="Times New Roman" w:hAnsi="Times New Roman"/>
        </w:rPr>
        <w:t>.</w:t>
      </w:r>
      <w:r>
        <w:rPr>
          <w:rFonts w:ascii="Times New Roman" w:hAnsi="Times New Roman"/>
        </w:rPr>
        <w:t xml:space="preserve"> </w:t>
      </w:r>
    </w:p>
  </w:footnote>
  <w:footnote w:id="277">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The Income Tax (Tax Rulings) Rules 2018, of 25 October 2018, see: </w:t>
      </w:r>
      <w:hyperlink r:id="rId175" w:history="1">
        <w:r>
          <w:rPr>
            <w:rStyle w:val="Hyperlink"/>
            <w:rFonts w:ascii="Times New Roman" w:hAnsi="Times New Roman"/>
          </w:rPr>
          <w:t>http://www.gibraltarlaws.gov.gi/articles/2018s227.pdf</w:t>
        </w:r>
      </w:hyperlink>
      <w:r>
        <w:rPr>
          <w:rFonts w:ascii="Times New Roman" w:hAnsi="Times New Roman"/>
        </w:rPr>
        <w:t xml:space="preserve">; and The Income Tax (Amendment) Regulations 2018, of 25 October 2018, see: </w:t>
      </w:r>
      <w:hyperlink r:id="rId176" w:history="1">
        <w:r>
          <w:rPr>
            <w:rStyle w:val="Hyperlink"/>
            <w:rFonts w:ascii="Times New Roman" w:hAnsi="Times New Roman"/>
          </w:rPr>
          <w:t>http://www.gibraltarlaws.gov.gi/articles/2018=2</w:t>
        </w:r>
        <w:r>
          <w:rPr>
            <w:rStyle w:val="Hyperlink"/>
            <w:rFonts w:ascii="Times New Roman" w:hAnsi="Times New Roman"/>
          </w:rPr>
          <w:t>28.pdf</w:t>
        </w:r>
      </w:hyperlink>
      <w:r>
        <w:rPr>
          <w:rStyle w:val="Hyperlink"/>
          <w:rFonts w:ascii="Times New Roman" w:hAnsi="Times New Roman"/>
        </w:rPr>
        <w:t>.</w:t>
      </w:r>
    </w:p>
  </w:footnote>
  <w:footnote w:id="278">
    <w:p w:rsidR="00320198" w:rsidRDefault="005C0948">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The Guidance Notes on Accrued and Derived, of 25 October 2018. See: </w:t>
      </w:r>
      <w:hyperlink r:id="rId177" w:history="1">
        <w:r>
          <w:rPr>
            <w:rStyle w:val="Hyperlink"/>
            <w:rFonts w:ascii="Times New Roman" w:hAnsi="Times New Roman"/>
            <w:sz w:val="20"/>
            <w:szCs w:val="20"/>
          </w:rPr>
          <w:t>https://www.gibraltar.gov.gi/new/downloads-ito</w:t>
        </w:r>
      </w:hyperlink>
      <w:r>
        <w:rPr>
          <w:rFonts w:ascii="Times New Roman" w:hAnsi="Times New Roman"/>
          <w:sz w:val="20"/>
          <w:szCs w:val="20"/>
        </w:rPr>
        <w:t>.</w:t>
      </w:r>
    </w:p>
  </w:footnote>
  <w:footnote w:id="279">
    <w:p w:rsidR="00320198" w:rsidRDefault="005C0948">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 xml:space="preserve">The Guidance Notes on the Tax Rulings Procedure, of 25 October 2018. See: </w:t>
      </w:r>
      <w:hyperlink r:id="rId178" w:history="1">
        <w:r>
          <w:rPr>
            <w:rStyle w:val="Hyperlink"/>
            <w:rFonts w:ascii="Times New Roman" w:hAnsi="Times New Roman"/>
            <w:sz w:val="20"/>
            <w:szCs w:val="20"/>
          </w:rPr>
          <w:t>https://www.gibraltar.gov.gi/new/downloads-ito</w:t>
        </w:r>
      </w:hyperlink>
      <w:r>
        <w:rPr>
          <w:rStyle w:val="Hyperlink"/>
          <w:rFonts w:ascii="Times New Roman" w:hAnsi="Times New Roman"/>
          <w:sz w:val="20"/>
          <w:szCs w:val="20"/>
        </w:rPr>
        <w:t>.</w:t>
      </w:r>
      <w:r>
        <w:rPr>
          <w:rFonts w:ascii="Times New Roman" w:hAnsi="Times New Roman"/>
          <w:sz w:val="20"/>
          <w:szCs w:val="20"/>
        </w:rPr>
        <w:t xml:space="preserve"> </w:t>
      </w:r>
    </w:p>
  </w:footnote>
  <w:footnote w:id="280">
    <w:p w:rsidR="00320198" w:rsidRDefault="005C0948">
      <w:pPr>
        <w:pStyle w:val="FootnoteText"/>
        <w:widowControl w:val="0"/>
        <w:tabs>
          <w:tab w:val="left" w:pos="360"/>
        </w:tabs>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lang w:val="en-US"/>
        </w:rPr>
        <w:t xml:space="preserve"> </w:t>
      </w:r>
      <w:r>
        <w:rPr>
          <w:rFonts w:ascii="Times New Roman" w:hAnsi="Times New Roman"/>
          <w:lang w:val="en-US"/>
        </w:rPr>
        <w:tab/>
        <w:t xml:space="preserve">Case SA.25398 </w:t>
      </w:r>
      <w:r>
        <w:rPr>
          <w:rFonts w:ascii="Times New Roman" w:hAnsi="Times New Roman"/>
          <w:i/>
          <w:lang w:val="en-US"/>
        </w:rPr>
        <w:t>Corporate tax exemption of Dutch public enterprises</w:t>
      </w:r>
      <w:r>
        <w:rPr>
          <w:rFonts w:ascii="Times New Roman" w:hAnsi="Times New Roman"/>
          <w:lang w:val="en-US"/>
        </w:rPr>
        <w:t xml:space="preserve">, </w:t>
      </w:r>
      <w:r>
        <w:rPr>
          <w:rFonts w:ascii="Times New Roman" w:hAnsi="Times New Roman"/>
          <w:lang w:val="en-US"/>
        </w:rPr>
        <w:t xml:space="preserve">Commission decision of 21 January 2016. See: </w:t>
      </w:r>
      <w:hyperlink r:id="rId179" w:history="1">
        <w:r>
          <w:rPr>
            <w:rStyle w:val="Hyperlink"/>
            <w:rFonts w:ascii="Times New Roman" w:hAnsi="Times New Roman"/>
          </w:rPr>
          <w:t>http://ec.europa.eu/competition/elojade/isef/case_details.cfm?proc_code=3_SA_25338</w:t>
        </w:r>
      </w:hyperlink>
      <w:r>
        <w:rPr>
          <w:rStyle w:val="Hyperlink"/>
          <w:rFonts w:ascii="Times New Roman" w:hAnsi="Times New Roman"/>
        </w:rPr>
        <w:t>.</w:t>
      </w:r>
      <w:r>
        <w:rPr>
          <w:rFonts w:ascii="Times New Roman" w:hAnsi="Times New Roman"/>
        </w:rPr>
        <w:t xml:space="preserve"> </w:t>
      </w:r>
      <w:r>
        <w:rPr>
          <w:rFonts w:ascii="Times New Roman" w:hAnsi="Times New Roman"/>
          <w:lang w:val="en-US"/>
        </w:rPr>
        <w:t xml:space="preserve"> </w:t>
      </w:r>
    </w:p>
  </w:footnote>
  <w:footnote w:id="281">
    <w:p w:rsidR="00320198" w:rsidRDefault="005C0948">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lang w:val="en-US"/>
        </w:rPr>
        <w:t xml:space="preserve"> </w:t>
      </w:r>
      <w:r>
        <w:rPr>
          <w:rFonts w:ascii="Times New Roman" w:hAnsi="Times New Roman"/>
          <w:lang w:val="en-US"/>
        </w:rPr>
        <w:tab/>
        <w:t>C</w:t>
      </w:r>
      <w:r>
        <w:rPr>
          <w:rFonts w:ascii="Times New Roman" w:hAnsi="Times New Roman"/>
        </w:rPr>
        <w:t xml:space="preserve">ase SA.38393 </w:t>
      </w:r>
      <w:r>
        <w:rPr>
          <w:rFonts w:ascii="Times New Roman" w:hAnsi="Times New Roman"/>
          <w:i/>
        </w:rPr>
        <w:t>Ports tax</w:t>
      </w:r>
      <w:r>
        <w:rPr>
          <w:rFonts w:ascii="Times New Roman" w:hAnsi="Times New Roman"/>
          <w:i/>
        </w:rPr>
        <w:t>ation in Belgium</w:t>
      </w:r>
      <w:r>
        <w:rPr>
          <w:rFonts w:ascii="Times New Roman" w:hAnsi="Times New Roman"/>
        </w:rPr>
        <w:t xml:space="preserve">, Commission decision of 27 July 2017. See: </w:t>
      </w:r>
      <w:hyperlink r:id="rId180" w:history="1">
        <w:r>
          <w:rPr>
            <w:rStyle w:val="Hyperlink"/>
            <w:rFonts w:ascii="Times New Roman" w:hAnsi="Times New Roman"/>
          </w:rPr>
          <w:t>http://ec.europa.eu/competition/elojade/isef/case_details.cfm?proc_code=3_SA_38393</w:t>
        </w:r>
      </w:hyperlink>
      <w:r>
        <w:rPr>
          <w:rStyle w:val="Hyperlink"/>
          <w:rFonts w:ascii="Times New Roman" w:hAnsi="Times New Roman"/>
        </w:rPr>
        <w:t>.</w:t>
      </w:r>
      <w:r>
        <w:rPr>
          <w:rFonts w:ascii="Times New Roman" w:hAnsi="Times New Roman"/>
        </w:rPr>
        <w:t xml:space="preserve"> </w:t>
      </w:r>
    </w:p>
  </w:footnote>
  <w:footnote w:id="282">
    <w:p w:rsidR="00320198" w:rsidRDefault="005C0948">
      <w:pPr>
        <w:pStyle w:val="FootnoteText"/>
        <w:tabs>
          <w:tab w:val="left" w:pos="360"/>
        </w:tabs>
        <w:spacing w:after="0" w:line="240" w:lineRule="auto"/>
        <w:ind w:left="284" w:hanging="284"/>
        <w:rPr>
          <w:rFonts w:ascii="Times New Roman" w:hAnsi="Times New Roman"/>
          <w:lang w:val="en-U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lang w:val="en-US"/>
        </w:rPr>
        <w:t>Case SA.3</w:t>
      </w:r>
      <w:r>
        <w:rPr>
          <w:rFonts w:ascii="Times New Roman" w:hAnsi="Times New Roman"/>
          <w:lang w:val="en-US"/>
        </w:rPr>
        <w:t xml:space="preserve">8398 </w:t>
      </w:r>
      <w:r>
        <w:rPr>
          <w:rFonts w:ascii="Times New Roman" w:hAnsi="Times New Roman"/>
          <w:i/>
          <w:lang w:val="en-US"/>
        </w:rPr>
        <w:t xml:space="preserve">Ports taxation in France, </w:t>
      </w:r>
      <w:r>
        <w:rPr>
          <w:rFonts w:ascii="Times New Roman" w:hAnsi="Times New Roman"/>
          <w:lang w:val="en-US"/>
        </w:rPr>
        <w:t xml:space="preserve">Commission decision of 27 July 2017. See: </w:t>
      </w:r>
      <w:hyperlink r:id="rId181" w:history="1">
        <w:r>
          <w:rPr>
            <w:rStyle w:val="Hyperlink"/>
            <w:rFonts w:ascii="Times New Roman" w:hAnsi="Times New Roman"/>
          </w:rPr>
          <w:t>http://ec.europa.eu/competition/elojade/isef/case_details.cfm?proc_code=3_SA_38398</w:t>
        </w:r>
      </w:hyperlink>
      <w:r>
        <w:rPr>
          <w:rStyle w:val="Hyperlink"/>
          <w:rFonts w:ascii="Times New Roman" w:hAnsi="Times New Roman"/>
        </w:rPr>
        <w:t>.</w:t>
      </w:r>
      <w:r>
        <w:rPr>
          <w:rFonts w:ascii="Times New Roman" w:hAnsi="Times New Roman"/>
        </w:rPr>
        <w:t xml:space="preserve"> </w:t>
      </w:r>
    </w:p>
  </w:footnote>
  <w:footnote w:id="283">
    <w:p w:rsidR="00320198" w:rsidRDefault="005C0948">
      <w:pPr>
        <w:pStyle w:val="FootnoteText"/>
        <w:spacing w:after="0" w:line="240" w:lineRule="auto"/>
        <w:ind w:left="284" w:hanging="284"/>
        <w:rPr>
          <w:rFonts w:ascii="Times New Roman" w:hAnsi="Times New Roman"/>
          <w:i/>
          <w:iCs/>
          <w:color w:val="1F497D"/>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w:t>
      </w:r>
      <w:r>
        <w:rPr>
          <w:rFonts w:ascii="Times New Roman" w:hAnsi="Times New Roman"/>
          <w:iCs/>
          <w:color w:val="000000"/>
        </w:rPr>
        <w:t xml:space="preserve">SA.45862 </w:t>
      </w:r>
      <w:r>
        <w:rPr>
          <w:rFonts w:ascii="Times New Roman" w:hAnsi="Times New Roman"/>
          <w:i/>
          <w:iCs/>
          <w:color w:val="000000"/>
        </w:rPr>
        <w:t>NL_BZK_CSDO_LB</w:t>
      </w:r>
      <w:r>
        <w:rPr>
          <w:rFonts w:ascii="Times New Roman" w:hAnsi="Times New Roman"/>
          <w:iCs/>
          <w:color w:val="000000"/>
        </w:rPr>
        <w:t xml:space="preserve"> – the Netherlands. See:</w:t>
      </w:r>
      <w:r>
        <w:rPr>
          <w:rFonts w:ascii="Times New Roman" w:hAnsi="Times New Roman"/>
          <w:i/>
          <w:iCs/>
          <w:color w:val="000000"/>
        </w:rPr>
        <w:t xml:space="preserve"> </w:t>
      </w:r>
      <w:hyperlink r:id="rId182" w:history="1">
        <w:r>
          <w:rPr>
            <w:rStyle w:val="Hyperlink"/>
            <w:rFonts w:ascii="Times New Roman" w:hAnsi="Times New Roman"/>
            <w:iCs/>
          </w:rPr>
          <w:t>http://europa.eu/rapid/press-release_IP-18-3521_en.htm</w:t>
        </w:r>
      </w:hyperlink>
      <w:r>
        <w:rPr>
          <w:rStyle w:val="Hyperlink"/>
          <w:rFonts w:ascii="Times New Roman" w:hAnsi="Times New Roman"/>
          <w:iCs/>
        </w:rPr>
        <w:t>.</w:t>
      </w:r>
    </w:p>
  </w:footnote>
  <w:footnote w:id="284">
    <w:p w:rsidR="00320198" w:rsidRDefault="005C0948">
      <w:pPr>
        <w:spacing w:after="0" w:line="240" w:lineRule="auto"/>
        <w:ind w:left="284" w:hanging="284"/>
        <w:jc w:val="both"/>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vertAlign w:val="superscript"/>
        </w:rPr>
        <w:tab/>
      </w:r>
      <w:r>
        <w:rPr>
          <w:rFonts w:ascii="Times New Roman" w:hAnsi="Times New Roman"/>
          <w:sz w:val="20"/>
          <w:szCs w:val="20"/>
        </w:rPr>
        <w:t>See:</w:t>
      </w:r>
      <w:r>
        <w:rPr>
          <w:rFonts w:ascii="Times New Roman" w:hAnsi="Times New Roman"/>
          <w:sz w:val="20"/>
          <w:szCs w:val="20"/>
        </w:rPr>
        <w:tab/>
      </w:r>
      <w:hyperlink r:id="rId183" w:history="1">
        <w:r>
          <w:rPr>
            <w:rStyle w:val="Hyperlink"/>
            <w:rFonts w:ascii="Times New Roman" w:hAnsi="Times New Roman"/>
            <w:iCs/>
            <w:sz w:val="20"/>
            <w:szCs w:val="20"/>
          </w:rPr>
          <w:t>https://www.mf.gov.pl/en/news/-/asset_publisher/X7ac/content/arrangements-with-the-eu-commiss</w:t>
        </w:r>
        <w:r>
          <w:rPr>
            <w:rStyle w:val="Hyperlink"/>
            <w:rFonts w:ascii="Times New Roman" w:hAnsi="Times New Roman"/>
            <w:iCs/>
            <w:sz w:val="20"/>
            <w:szCs w:val="20"/>
          </w:rPr>
          <w:t>ion-on-the-minimum-income-tax-from-commercial-buildings</w:t>
        </w:r>
      </w:hyperlink>
      <w:r>
        <w:rPr>
          <w:rStyle w:val="Hyperlink"/>
          <w:rFonts w:ascii="Times New Roman" w:hAnsi="Times New Roman"/>
          <w:iCs/>
          <w:sz w:val="20"/>
          <w:szCs w:val="20"/>
        </w:rPr>
        <w:t>.</w:t>
      </w:r>
    </w:p>
  </w:footnote>
  <w:footnote w:id="285">
    <w:p w:rsidR="00320198" w:rsidRDefault="005C0948">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Communication from the Commission to the European Parliament, the European Council, the European Economic and Social Committee, the Committee of the regions and the European Investment Bank of 13.</w:t>
      </w:r>
      <w:r>
        <w:rPr>
          <w:rFonts w:ascii="Times New Roman" w:hAnsi="Times New Roman"/>
          <w:sz w:val="20"/>
          <w:szCs w:val="20"/>
        </w:rPr>
        <w:t xml:space="preserve">9.2017 “Investing in a smart, innovative and sustainable Industry”. See: </w:t>
      </w:r>
      <w:hyperlink r:id="rId184" w:history="1">
        <w:r>
          <w:rPr>
            <w:rStyle w:val="Hyperlink"/>
            <w:rFonts w:ascii="Times New Roman" w:hAnsi="Times New Roman"/>
            <w:sz w:val="20"/>
            <w:szCs w:val="20"/>
          </w:rPr>
          <w:t>https://eur-lex.europa.eu/resource.html?uri=cellar:c8b</w:t>
        </w:r>
        <w:r>
          <w:rPr>
            <w:rStyle w:val="Hyperlink"/>
            <w:rFonts w:ascii="Times New Roman" w:hAnsi="Times New Roman"/>
            <w:sz w:val="20"/>
            <w:szCs w:val="20"/>
          </w:rPr>
          <w:t>9aac5-9861-11e7-b92d-01aa75ed71a1.0001.02/DOC_1&amp;format=PDF</w:t>
        </w:r>
      </w:hyperlink>
      <w:r>
        <w:rPr>
          <w:rStyle w:val="Hyperlink"/>
          <w:rFonts w:ascii="Times New Roman" w:hAnsi="Times New Roman"/>
          <w:sz w:val="20"/>
          <w:szCs w:val="20"/>
        </w:rPr>
        <w:t>.</w:t>
      </w:r>
    </w:p>
  </w:footnote>
  <w:footnote w:id="28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185" w:history="1">
        <w:r>
          <w:rPr>
            <w:rStyle w:val="Hyperlink"/>
            <w:rFonts w:ascii="Times New Roman" w:hAnsi="Times New Roman"/>
          </w:rPr>
          <w:t>http://europa.eu/rapid/press-release_IP-18-3721_en.htm</w:t>
        </w:r>
      </w:hyperlink>
      <w:r>
        <w:rPr>
          <w:rStyle w:val="Hyperlink"/>
          <w:rFonts w:ascii="Times New Roman" w:hAnsi="Times New Roman"/>
        </w:rPr>
        <w:t>.</w:t>
      </w:r>
    </w:p>
  </w:footnote>
  <w:footnote w:id="28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M.8677 - </w:t>
      </w:r>
      <w:r>
        <w:rPr>
          <w:rFonts w:ascii="Times New Roman" w:hAnsi="Times New Roman"/>
          <w:i/>
        </w:rPr>
        <w:t>Siemens /Alstom</w:t>
      </w:r>
      <w:r>
        <w:rPr>
          <w:rFonts w:ascii="Times New Roman" w:hAnsi="Times New Roman"/>
        </w:rPr>
        <w:t xml:space="preserve">. See: </w:t>
      </w:r>
      <w:hyperlink r:id="rId186" w:history="1">
        <w:r>
          <w:rPr>
            <w:rStyle w:val="Hyperlink"/>
            <w:rFonts w:ascii="Times New Roman" w:hAnsi="Times New Roman"/>
          </w:rPr>
          <w:t>http://europa.eu/rapid/press-release_IP-18-4527_en.htm</w:t>
        </w:r>
      </w:hyperlink>
      <w:r>
        <w:rPr>
          <w:rStyle w:val="Hyperlink"/>
          <w:rFonts w:ascii="Times New Roman" w:hAnsi="Times New Roman"/>
        </w:rPr>
        <w:t>.</w:t>
      </w:r>
    </w:p>
  </w:footnote>
  <w:footnote w:id="288">
    <w:p w:rsidR="00320198" w:rsidRDefault="005C0948">
      <w:pPr>
        <w:pStyle w:val="FootnoteText"/>
        <w:ind w:left="284" w:hanging="284"/>
        <w:rPr>
          <w:rFonts w:ascii="Times New Roman" w:hAnsi="Times New Roman"/>
        </w:rPr>
      </w:pPr>
      <w:r>
        <w:rPr>
          <w:rFonts w:ascii="Times New Roman" w:hAnsi="Times New Roman"/>
          <w:vertAlign w:val="superscript"/>
        </w:rPr>
        <w:footnoteRef/>
      </w:r>
      <w:r>
        <w:rPr>
          <w:rFonts w:ascii="Times New Roman" w:hAnsi="Times New Roman"/>
        </w:rPr>
        <w:tab/>
        <w:t xml:space="preserve">Case M.8677 – </w:t>
      </w:r>
      <w:r>
        <w:rPr>
          <w:rFonts w:ascii="Times New Roman" w:hAnsi="Times New Roman"/>
          <w:i/>
        </w:rPr>
        <w:t xml:space="preserve">Siemens / Alstom.  </w:t>
      </w:r>
      <w:r>
        <w:rPr>
          <w:rFonts w:ascii="Times New Roman" w:hAnsi="Times New Roman"/>
        </w:rPr>
        <w:t>Decision of 6 February 2019. Not yet published.</w:t>
      </w:r>
      <w:r>
        <w:rPr>
          <w:rFonts w:ascii="Times New Roman" w:hAnsi="Times New Roman"/>
          <w:i/>
        </w:rPr>
        <w:t xml:space="preserve"> </w:t>
      </w:r>
      <w:r>
        <w:rPr>
          <w:rFonts w:ascii="Times New Roman" w:hAnsi="Times New Roman"/>
        </w:rPr>
        <w:t>See: http://europa.eu/rapid/press-release_IP-19-881_en.htm.</w:t>
      </w:r>
    </w:p>
  </w:footnote>
  <w:footnote w:id="289">
    <w:p w:rsidR="00320198" w:rsidRDefault="005C0948">
      <w:pPr>
        <w:spacing w:after="0" w:line="240" w:lineRule="auto"/>
        <w:ind w:left="284" w:hanging="284"/>
        <w:jc w:val="both"/>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Case </w:t>
      </w:r>
      <w:r>
        <w:rPr>
          <w:rFonts w:ascii="Times New Roman" w:hAnsi="Times New Roman"/>
          <w:sz w:val="20"/>
          <w:szCs w:val="20"/>
        </w:rPr>
        <w:t xml:space="preserve">SA.36086 </w:t>
      </w:r>
      <w:r>
        <w:rPr>
          <w:rFonts w:ascii="Times New Roman" w:hAnsi="Times New Roman"/>
          <w:i/>
          <w:sz w:val="20"/>
          <w:szCs w:val="20"/>
        </w:rPr>
        <w:t>Potential aid to Oltchim</w:t>
      </w:r>
      <w:r>
        <w:rPr>
          <w:rFonts w:ascii="Times New Roman" w:hAnsi="Times New Roman"/>
          <w:sz w:val="20"/>
          <w:szCs w:val="20"/>
        </w:rPr>
        <w:t xml:space="preserve">, Commission decision of 17 December 2018, see: </w:t>
      </w:r>
      <w:hyperlink r:id="rId187" w:history="1">
        <w:r>
          <w:rPr>
            <w:rStyle w:val="Hyperlink"/>
            <w:rFonts w:ascii="Times New Roman" w:hAnsi="Times New Roman"/>
            <w:sz w:val="20"/>
            <w:szCs w:val="20"/>
          </w:rPr>
          <w:t>http://ec.europa.eu/competition/elojade/isef/case_details.cfm?proc_code=3_SA_36086</w:t>
        </w:r>
      </w:hyperlink>
      <w:r>
        <w:rPr>
          <w:rStyle w:val="Hyperlink"/>
          <w:rFonts w:ascii="Times New Roman" w:hAnsi="Times New Roman"/>
          <w:sz w:val="20"/>
          <w:szCs w:val="20"/>
        </w:rPr>
        <w:t xml:space="preserve">; </w:t>
      </w:r>
      <w:r>
        <w:rPr>
          <w:rFonts w:ascii="Times New Roman" w:hAnsi="Times New Roman"/>
          <w:sz w:val="20"/>
          <w:szCs w:val="20"/>
        </w:rPr>
        <w:t>and IP/18/6845, see:</w:t>
      </w:r>
      <w:r>
        <w:rPr>
          <w:rFonts w:ascii="Times New Roman" w:hAnsi="Times New Roman"/>
          <w:noProof/>
          <w:sz w:val="20"/>
          <w:szCs w:val="20"/>
        </w:rPr>
        <w:t xml:space="preserve"> </w:t>
      </w:r>
      <w:hyperlink r:id="rId188" w:history="1">
        <w:r>
          <w:rPr>
            <w:rStyle w:val="Hyperlink"/>
            <w:rFonts w:ascii="Times New Roman" w:hAnsi="Times New Roman"/>
            <w:noProof/>
            <w:sz w:val="20"/>
            <w:szCs w:val="20"/>
          </w:rPr>
          <w:t>http://europa.eu/rapid/press-release_IP-18-6845_en.htm</w:t>
        </w:r>
      </w:hyperlink>
      <w:r>
        <w:rPr>
          <w:rFonts w:ascii="Times New Roman" w:hAnsi="Times New Roman"/>
          <w:noProof/>
          <w:sz w:val="20"/>
          <w:szCs w:val="20"/>
        </w:rPr>
        <w:t>.</w:t>
      </w:r>
    </w:p>
  </w:footnote>
  <w:footnote w:id="290">
    <w:p w:rsidR="00320198" w:rsidRDefault="005C0948">
      <w:pPr>
        <w:pStyle w:val="FootnoteText"/>
        <w:spacing w:after="0" w:line="240" w:lineRule="auto"/>
        <w:ind w:left="284" w:hanging="284"/>
        <w:jc w:val="both"/>
        <w:rPr>
          <w:rFonts w:ascii="Times New Roman" w:hAnsi="Times New Roman"/>
          <w:lang w:val="en-U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C</w:t>
      </w:r>
      <w:r>
        <w:rPr>
          <w:rFonts w:ascii="Times New Roman" w:hAnsi="Times New Roman"/>
          <w:lang w:val="en-US"/>
        </w:rPr>
        <w:t xml:space="preserve">ase SA.48394 </w:t>
      </w:r>
      <w:r>
        <w:rPr>
          <w:rFonts w:ascii="Times New Roman" w:hAnsi="Times New Roman"/>
          <w:i/>
          <w:lang w:val="en-US"/>
        </w:rPr>
        <w:t>Restruc</w:t>
      </w:r>
      <w:r>
        <w:rPr>
          <w:rFonts w:ascii="Times New Roman" w:hAnsi="Times New Roman"/>
          <w:i/>
          <w:lang w:val="en-US"/>
        </w:rPr>
        <w:t>turing of National Uranium Company</w:t>
      </w:r>
      <w:r>
        <w:rPr>
          <w:rFonts w:ascii="Times New Roman" w:hAnsi="Times New Roman"/>
          <w:lang w:val="en-US"/>
        </w:rPr>
        <w:t xml:space="preserve"> (Companiei Nationale a Uraniului CNU), see: </w:t>
      </w:r>
      <w:hyperlink r:id="rId189" w:history="1">
        <w:r>
          <w:rPr>
            <w:rStyle w:val="Hyperlink"/>
            <w:rFonts w:ascii="Times New Roman" w:hAnsi="Times New Roman"/>
            <w:lang w:val="en-US"/>
          </w:rPr>
          <w:t>http://ec.europa.eu/competition/elojade/isef/case_details.cfm?proc_code=3_SA_4</w:t>
        </w:r>
        <w:r>
          <w:rPr>
            <w:rStyle w:val="Hyperlink"/>
            <w:rFonts w:ascii="Times New Roman" w:hAnsi="Times New Roman"/>
            <w:lang w:val="en-US"/>
          </w:rPr>
          <w:t>8394</w:t>
        </w:r>
      </w:hyperlink>
      <w:r>
        <w:rPr>
          <w:rStyle w:val="Hyperlink"/>
          <w:rFonts w:ascii="Times New Roman" w:hAnsi="Times New Roman"/>
          <w:lang w:val="en-US"/>
        </w:rPr>
        <w:t xml:space="preserve">; </w:t>
      </w:r>
      <w:r>
        <w:rPr>
          <w:rFonts w:ascii="Times New Roman" w:hAnsi="Times New Roman"/>
          <w:lang w:val="en-US"/>
        </w:rPr>
        <w:t xml:space="preserve">and IP/18/3733, see: </w:t>
      </w:r>
      <w:hyperlink r:id="rId190" w:history="1">
        <w:r>
          <w:rPr>
            <w:rStyle w:val="Hyperlink"/>
            <w:rFonts w:ascii="Times New Roman" w:hAnsi="Times New Roman"/>
            <w:lang w:val="en-US"/>
          </w:rPr>
          <w:t>http://europa.eu/rapid/press-release_IP-18-3733_en.htm</w:t>
        </w:r>
      </w:hyperlink>
      <w:r>
        <w:rPr>
          <w:rFonts w:ascii="Times New Roman" w:hAnsi="Times New Roman"/>
          <w:lang w:val="en-US"/>
        </w:rPr>
        <w:t>.</w:t>
      </w:r>
    </w:p>
  </w:footnote>
  <w:footnote w:id="291">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191" w:history="1">
        <w:r>
          <w:rPr>
            <w:rStyle w:val="Hyperlink"/>
            <w:rFonts w:ascii="Times New Roman" w:hAnsi="Times New Roman"/>
          </w:rPr>
          <w:t>http://europa.eu/rapid/</w:t>
        </w:r>
        <w:r>
          <w:rPr>
            <w:rStyle w:val="Hyperlink"/>
            <w:rFonts w:ascii="Times New Roman" w:hAnsi="Times New Roman"/>
          </w:rPr>
          <w:t>press-release_IP-18-6341_en.htm</w:t>
        </w:r>
      </w:hyperlink>
      <w:r>
        <w:rPr>
          <w:rStyle w:val="Hyperlink"/>
          <w:rFonts w:ascii="Times New Roman" w:hAnsi="Times New Roman"/>
        </w:rPr>
        <w:t>.</w:t>
      </w:r>
    </w:p>
    <w:p w:rsidR="00320198" w:rsidRDefault="00320198">
      <w:pPr>
        <w:pStyle w:val="FootnoteText"/>
        <w:spacing w:after="0" w:line="240" w:lineRule="auto"/>
        <w:jc w:val="both"/>
        <w:rPr>
          <w:rFonts w:ascii="Times New Roman" w:hAnsi="Times New Roman"/>
          <w:lang w:val="en-US"/>
        </w:rPr>
      </w:pPr>
    </w:p>
  </w:footnote>
  <w:footnote w:id="292">
    <w:p w:rsidR="00320198" w:rsidRDefault="005C0948">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There are approximately 11 million farms in the European Union which produce agricultural products for processing by about 300 000 enterprises in the food and drink industry. The food processors sell their products thro</w:t>
      </w:r>
      <w:r>
        <w:rPr>
          <w:rFonts w:ascii="Times New Roman" w:hAnsi="Times New Roman"/>
        </w:rPr>
        <w:t xml:space="preserve">ugh some 2.8 million enterprises within the food distribution and food service industry, delivering food to the EU's 500 million consumers. See: </w:t>
      </w:r>
      <w:hyperlink r:id="rId192" w:history="1">
        <w:r>
          <w:rPr>
            <w:rStyle w:val="Hyperlink"/>
            <w:rFonts w:ascii="Times New Roman" w:hAnsi="Times New Roman"/>
          </w:rPr>
          <w:t>https://ec.europa.eu/info/sites/info/files/food-farming-fisheries/farming/documents/factsheet-food-supply-chain_march2017_en.pdf</w:t>
        </w:r>
      </w:hyperlink>
      <w:r>
        <w:rPr>
          <w:rFonts w:ascii="Times New Roman" w:hAnsi="Times New Roman"/>
        </w:rPr>
        <w:t>.</w:t>
      </w:r>
    </w:p>
  </w:footnote>
  <w:footnote w:id="293">
    <w:p w:rsidR="00320198" w:rsidRDefault="005C0948">
      <w:pPr>
        <w:tabs>
          <w:tab w:val="left" w:pos="307"/>
        </w:tabs>
        <w:spacing w:after="0" w:line="240" w:lineRule="auto"/>
        <w:ind w:left="284" w:hanging="284"/>
        <w:jc w:val="both"/>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The CMO Regulation is the European Parliament and Council Regulation (EU) No 1308/2013 of</w:t>
      </w:r>
      <w:r>
        <w:rPr>
          <w:rFonts w:ascii="Times New Roman" w:hAnsi="Times New Roman"/>
          <w:sz w:val="20"/>
          <w:szCs w:val="20"/>
        </w:rPr>
        <w:t xml:space="preserve"> 17 December 2013 establishing a common organisation of the markets in agricultural products and repealing Council Regulations (EEC) No 922/72, (EEC) No 234/79, (EC) No 1037/2001 and (EC) No 1234/2007. See:</w:t>
      </w:r>
      <w:hyperlink r:id="rId193" w:history="1">
        <w:r>
          <w:rPr>
            <w:rStyle w:val="Hyperlink"/>
            <w:rFonts w:ascii="Times New Roman" w:hAnsi="Times New Roman"/>
            <w:sz w:val="20"/>
            <w:szCs w:val="20"/>
            <w:u w:val="none"/>
          </w:rPr>
          <w:t xml:space="preserve"> </w:t>
        </w:r>
        <w:r>
          <w:rPr>
            <w:rStyle w:val="Hyperlink"/>
            <w:rFonts w:ascii="Times New Roman" w:hAnsi="Times New Roman"/>
            <w:sz w:val="20"/>
            <w:szCs w:val="20"/>
          </w:rPr>
          <w:t>http://eur-lex.europa.eu/legal-content/en/ALL/?uri=CELEX:32013R1308.</w:t>
        </w:r>
      </w:hyperlink>
    </w:p>
  </w:footnote>
  <w:footnote w:id="294">
    <w:p w:rsidR="00320198" w:rsidRDefault="005C0948">
      <w:pPr>
        <w:pStyle w:val="FootnoteText"/>
        <w:tabs>
          <w:tab w:val="left" w:pos="284"/>
          <w:tab w:val="left" w:pos="567"/>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Regulation No. Regulation (EU) 2017/2393 of 13 December 2017. See: </w:t>
      </w:r>
      <w:hyperlink r:id="rId194" w:history="1">
        <w:r>
          <w:rPr>
            <w:rStyle w:val="Hyperlink"/>
            <w:rFonts w:ascii="Times New Roman" w:hAnsi="Times New Roman"/>
          </w:rPr>
          <w:t>https://eur-</w:t>
        </w:r>
      </w:hyperlink>
      <w:r>
        <w:rPr>
          <w:rStyle w:val="Hyperlink"/>
          <w:rFonts w:ascii="Times New Roman" w:hAnsi="Times New Roman"/>
        </w:rPr>
        <w:t>lex.europa.eu/legal-content/EN/TXT/?u</w:t>
      </w:r>
      <w:r>
        <w:rPr>
          <w:rStyle w:val="Hyperlink"/>
          <w:rFonts w:ascii="Times New Roman" w:hAnsi="Times New Roman"/>
        </w:rPr>
        <w:t>ri=uriserv:OJ.L_.2017.350.01.0015.01.ENG.</w:t>
      </w:r>
      <w:r>
        <w:rPr>
          <w:rFonts w:ascii="Times New Roman" w:hAnsi="Times New Roman"/>
        </w:rPr>
        <w:t xml:space="preserve"> </w:t>
      </w:r>
    </w:p>
  </w:footnote>
  <w:footnote w:id="295">
    <w:p w:rsidR="00320198" w:rsidRDefault="005C0948">
      <w:pPr>
        <w:pStyle w:val="FootnoteText"/>
        <w:tabs>
          <w:tab w:val="left" w:pos="284"/>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195" w:history="1">
        <w:r>
          <w:rPr>
            <w:rStyle w:val="Hyperlink"/>
            <w:rFonts w:ascii="Times New Roman" w:hAnsi="Times New Roman"/>
            <w:lang w:eastAsia="en-GB"/>
          </w:rPr>
          <w:t>http://europa.eu/rapid/press-release_MEMO-18-3974_en.htm</w:t>
        </w:r>
      </w:hyperlink>
      <w:r>
        <w:rPr>
          <w:rStyle w:val="Hyperlink"/>
          <w:rFonts w:ascii="Times New Roman" w:hAnsi="Times New Roman"/>
          <w:lang w:eastAsia="en-GB"/>
        </w:rPr>
        <w:t>.</w:t>
      </w:r>
    </w:p>
  </w:footnote>
  <w:footnote w:id="296">
    <w:p w:rsidR="00320198" w:rsidRDefault="005C0948">
      <w:pPr>
        <w:pStyle w:val="FootnoteText"/>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196" w:history="1">
        <w:r>
          <w:rPr>
            <w:rStyle w:val="Hyperlink"/>
            <w:rFonts w:ascii="Times New Roman" w:hAnsi="Times New Roman"/>
          </w:rPr>
          <w:t>http://ec.europa.eu/competition/publications/reports/kd0218732enn.pdf</w:t>
        </w:r>
      </w:hyperlink>
      <w:r>
        <w:rPr>
          <w:rFonts w:ascii="Times New Roman" w:hAnsi="Times New Roman"/>
        </w:rPr>
        <w:t>.</w:t>
      </w:r>
    </w:p>
  </w:footnote>
  <w:footnote w:id="297">
    <w:p w:rsidR="00320198" w:rsidRDefault="005C0948">
      <w:pPr>
        <w:pStyle w:val="FootnoteText"/>
        <w:tabs>
          <w:tab w:val="left" w:pos="284"/>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197" w:history="1">
        <w:r>
          <w:rPr>
            <w:rStyle w:val="Hyperlink"/>
            <w:rFonts w:ascii="Times New Roman" w:hAnsi="Times New Roman"/>
          </w:rPr>
          <w:t>http://ec.europa.eu/competition/sectors/agriculture/report_on_competition_rules_application.pdf</w:t>
        </w:r>
      </w:hyperlink>
      <w:r>
        <w:rPr>
          <w:rStyle w:val="Hyperlink"/>
          <w:rFonts w:ascii="Times New Roman" w:hAnsi="Times New Roman"/>
        </w:rPr>
        <w:t>.</w:t>
      </w:r>
    </w:p>
  </w:footnote>
  <w:footnote w:id="298">
    <w:p w:rsidR="00320198" w:rsidRDefault="005C0948">
      <w:pPr>
        <w:pStyle w:val="FootnoteText"/>
        <w:tabs>
          <w:tab w:val="left" w:pos="284"/>
        </w:tabs>
        <w:spacing w:after="0" w:line="240" w:lineRule="auto"/>
        <w:ind w:left="284" w:hanging="284"/>
        <w:rPr>
          <w:rFonts w:ascii="Times New Roman" w:hAnsi="Times New Roman"/>
          <w:lang w:val="cs-CZ"/>
        </w:rPr>
      </w:pPr>
      <w:r>
        <w:rPr>
          <w:rFonts w:ascii="Times New Roman" w:hAnsi="Times New Roman"/>
          <w:vertAlign w:val="superscript"/>
        </w:rPr>
        <w:footnoteRef/>
      </w:r>
      <w:r>
        <w:rPr>
          <w:rFonts w:ascii="Times New Roman" w:hAnsi="Times New Roman"/>
          <w:lang w:val="cs-CZ"/>
        </w:rPr>
        <w:t xml:space="preserve"> </w:t>
      </w:r>
      <w:r>
        <w:rPr>
          <w:rFonts w:ascii="Times New Roman" w:hAnsi="Times New Roman"/>
          <w:lang w:val="cs-CZ"/>
        </w:rPr>
        <w:tab/>
        <w:t>See:</w:t>
      </w:r>
      <w:r>
        <w:rPr>
          <w:rFonts w:ascii="Times New Roman" w:hAnsi="Times New Roman"/>
          <w:lang w:val="cs-CZ"/>
        </w:rPr>
        <w:tab/>
      </w:r>
      <w:hyperlink r:id="rId198" w:history="1">
        <w:r>
          <w:rPr>
            <w:rStyle w:val="Hyperlink"/>
            <w:rFonts w:ascii="Times New Roman" w:hAnsi="Times New Roman"/>
            <w:lang w:val="cs-CZ"/>
          </w:rPr>
          <w:t>http://europa.eu/rapid/press-release_IP-18-2702_en.htm</w:t>
        </w:r>
      </w:hyperlink>
      <w:r>
        <w:rPr>
          <w:rStyle w:val="Hyperlink"/>
          <w:rFonts w:ascii="Times New Roman" w:hAnsi="Times New Roman"/>
          <w:lang w:val="cs-CZ"/>
        </w:rPr>
        <w:t xml:space="preserve">., and </w:t>
      </w:r>
      <w:r>
        <w:rPr>
          <w:rStyle w:val="Hyperlink"/>
          <w:rFonts w:ascii="Times New Roman" w:hAnsi="Times New Roman"/>
          <w:lang w:val="cs-CZ"/>
        </w:rPr>
        <w:t>https://eur-lex.europa.eu/legal-content/EN/TXT/?uri=CELEX%3A52018PC0173.</w:t>
      </w:r>
    </w:p>
  </w:footnote>
  <w:footnote w:id="299">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Annex H to the Commission Impact Assessment: Economic impact of unfair trading practices regulations in the food supply chain, p. 260, see: </w:t>
      </w:r>
      <w:hyperlink r:id="rId199" w:history="1">
        <w:r>
          <w:rPr>
            <w:rStyle w:val="Hyperlink"/>
            <w:rFonts w:ascii="Times New Roman" w:hAnsi="Times New Roman"/>
          </w:rPr>
          <w:t>https://eur-lex.europa.eu/legal-content/EN/TXT/PDF/?uri=CELEX:52018SC0092&amp;from=EN</w:t>
        </w:r>
      </w:hyperlink>
      <w:r>
        <w:rPr>
          <w:rStyle w:val="Hyperlink"/>
          <w:rFonts w:ascii="Times New Roman" w:hAnsi="Times New Roman"/>
        </w:rPr>
        <w:t>.</w:t>
      </w:r>
    </w:p>
  </w:footnote>
  <w:footnote w:id="300">
    <w:p w:rsidR="00320198" w:rsidRDefault="005C0948">
      <w:pPr>
        <w:pStyle w:val="FootnoteText"/>
        <w:tabs>
          <w:tab w:val="left" w:pos="284"/>
        </w:tabs>
        <w:spacing w:after="0" w:line="240" w:lineRule="auto"/>
        <w:ind w:left="284" w:hanging="284"/>
        <w:jc w:val="both"/>
        <w:rPr>
          <w:rFonts w:ascii="Times New Roman" w:hAnsi="Times New Roman"/>
          <w:lang w:val="cs-CZ"/>
        </w:rPr>
      </w:pPr>
      <w:r>
        <w:rPr>
          <w:rFonts w:ascii="Times New Roman" w:hAnsi="Times New Roman"/>
          <w:vertAlign w:val="superscript"/>
        </w:rPr>
        <w:footnoteRef/>
      </w:r>
      <w:r>
        <w:rPr>
          <w:rFonts w:ascii="Times New Roman" w:hAnsi="Times New Roman"/>
        </w:rPr>
        <w:t xml:space="preserve"> Case AT.40134 - </w:t>
      </w:r>
      <w:r>
        <w:rPr>
          <w:rFonts w:ascii="Times New Roman" w:hAnsi="Times New Roman"/>
          <w:i/>
        </w:rPr>
        <w:t>AB InBev beer trade restrictions (previously Limes)</w:t>
      </w:r>
      <w:r>
        <w:rPr>
          <w:rFonts w:ascii="Times New Roman" w:hAnsi="Times New Roman"/>
        </w:rPr>
        <w:t xml:space="preserve">. See: </w:t>
      </w:r>
      <w:hyperlink r:id="rId200" w:history="1">
        <w:r>
          <w:rPr>
            <w:rStyle w:val="Hyperlink"/>
            <w:rFonts w:ascii="Times New Roman" w:hAnsi="Times New Roman"/>
          </w:rPr>
          <w:t>http://europa.eu/rapid/press-release IP-17-5041 en.htm</w:t>
        </w:r>
      </w:hyperlink>
      <w:r>
        <w:rPr>
          <w:rStyle w:val="Hyperlink"/>
          <w:rFonts w:ascii="Times New Roman" w:hAnsi="Times New Roman"/>
        </w:rPr>
        <w:t>.</w:t>
      </w:r>
    </w:p>
  </w:footnote>
  <w:footnote w:id="301">
    <w:p w:rsidR="00320198" w:rsidRDefault="005C0948">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See: http://ec.europa.eu/competition/elojade/isef/case_details.cfm?proc_code=2_M_8084.</w:t>
      </w:r>
    </w:p>
  </w:footnote>
  <w:footnote w:id="302">
    <w:p w:rsidR="00320198" w:rsidRDefault="005C0948">
      <w:pPr>
        <w:pStyle w:val="FootnoteText"/>
        <w:spacing w:after="0" w:line="240" w:lineRule="auto"/>
        <w:ind w:left="284" w:hanging="284"/>
        <w:rPr>
          <w:rFonts w:ascii="Times New Roman" w:hAnsi="Times New Roman"/>
          <w:color w:val="263238"/>
          <w:lang w:val="e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The spending was 5.7% in Latvia an</w:t>
      </w:r>
      <w:r>
        <w:rPr>
          <w:rFonts w:ascii="Times New Roman" w:hAnsi="Times New Roman"/>
        </w:rPr>
        <w:t xml:space="preserve">d 11.3% in Germany in 2016. </w:t>
      </w:r>
      <w:r>
        <w:rPr>
          <w:rFonts w:ascii="Times New Roman" w:hAnsi="Times New Roman"/>
          <w:i/>
        </w:rPr>
        <w:t>Source:</w:t>
      </w:r>
      <w:r>
        <w:rPr>
          <w:rFonts w:ascii="Times New Roman" w:hAnsi="Times New Roman"/>
        </w:rPr>
        <w:t xml:space="preserve"> OECD (2017), </w:t>
      </w:r>
      <w:r>
        <w:rPr>
          <w:rFonts w:ascii="Times New Roman" w:hAnsi="Times New Roman"/>
          <w:i/>
        </w:rPr>
        <w:t>Health at a Glance 2017: OECD Indicators</w:t>
      </w:r>
      <w:r>
        <w:rPr>
          <w:rFonts w:ascii="Times New Roman" w:hAnsi="Times New Roman"/>
        </w:rPr>
        <w:t xml:space="preserve">, OECD Publishing, Paris, pp. 134-135. See: </w:t>
      </w:r>
      <w:hyperlink r:id="rId201" w:history="1">
        <w:r>
          <w:rPr>
            <w:rStyle w:val="Hyperlink"/>
            <w:rFonts w:ascii="Times New Roman" w:hAnsi="Times New Roman"/>
          </w:rPr>
          <w:t>http://dx.doi.org/10.1787/health_glance-2017-en</w:t>
        </w:r>
      </w:hyperlink>
      <w:r>
        <w:rPr>
          <w:rFonts w:ascii="Times New Roman" w:hAnsi="Times New Roman"/>
        </w:rPr>
        <w:t>.</w:t>
      </w:r>
    </w:p>
  </w:footnote>
  <w:footnote w:id="303">
    <w:p w:rsidR="00320198" w:rsidRDefault="005C0948">
      <w:pPr>
        <w:pStyle w:val="FootnoteText"/>
        <w:spacing w:after="0" w:line="240" w:lineRule="auto"/>
        <w:ind w:left="284" w:hanging="284"/>
        <w:jc w:val="both"/>
        <w:rPr>
          <w:rFonts w:ascii="Times New Roman" w:hAnsi="Times New Roman"/>
          <w:color w:val="263238"/>
          <w:lang w:val="e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Pharmac</w:t>
      </w:r>
      <w:r>
        <w:rPr>
          <w:rFonts w:ascii="Times New Roman" w:hAnsi="Times New Roman"/>
        </w:rPr>
        <w:t xml:space="preserve">euticals sold in retail represented 16% of health expenditure on average across OECD countries in 2015 (or the nearest year); this figure does not yet include expenditure on pharmaceuticals in hospitals. See: </w:t>
      </w:r>
      <w:hyperlink r:id="rId202" w:history="1">
        <w:r>
          <w:rPr>
            <w:rStyle w:val="Hyperlink"/>
            <w:rFonts w:ascii="Times New Roman" w:hAnsi="Times New Roman"/>
          </w:rPr>
          <w:t>https://www.oecd-ilibrary.org/docserver/health_glance-2017-68-en.pdf?expires=1551708629&amp;id=id&amp;accname=oid031827&amp;checksum=EC3C51C8A5CC</w:t>
        </w:r>
        <w:r>
          <w:rPr>
            <w:rStyle w:val="Hyperlink"/>
            <w:rFonts w:ascii="Times New Roman" w:hAnsi="Times New Roman"/>
          </w:rPr>
          <w:t>457130B602AD5CA1F827</w:t>
        </w:r>
      </w:hyperlink>
      <w:r>
        <w:rPr>
          <w:rFonts w:ascii="Times New Roman" w:hAnsi="Times New Roman"/>
          <w:i/>
        </w:rPr>
        <w:t>.</w:t>
      </w:r>
    </w:p>
  </w:footnote>
  <w:footnote w:id="30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See: </w:t>
      </w:r>
      <w:hyperlink r:id="rId203" w:history="1">
        <w:r>
          <w:rPr>
            <w:rStyle w:val="Hyperlink"/>
            <w:rFonts w:ascii="Times New Roman" w:hAnsi="Times New Roman"/>
          </w:rPr>
          <w:t>http://ec.europa.eu/competition/sectors/pharmaceuticals/report2019/index.html</w:t>
        </w:r>
      </w:hyperlink>
      <w:r>
        <w:rPr>
          <w:rFonts w:ascii="Times New Roman" w:hAnsi="Times New Roman"/>
        </w:rPr>
        <w:t>.</w:t>
      </w:r>
    </w:p>
    <w:p w:rsidR="00320198" w:rsidRDefault="005C0948">
      <w:pPr>
        <w:pStyle w:val="FootnoteText"/>
        <w:spacing w:after="0" w:line="240" w:lineRule="auto"/>
        <w:jc w:val="both"/>
        <w:rPr>
          <w:rFonts w:ascii="Times New Roman" w:hAnsi="Times New Roman"/>
        </w:rPr>
      </w:pPr>
      <w:r>
        <w:rPr>
          <w:rFonts w:ascii="Times New Roman" w:hAnsi="Times New Roman"/>
        </w:rPr>
        <w:t xml:space="preserve"> </w:t>
      </w:r>
    </w:p>
  </w:footnote>
  <w:footnote w:id="305">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AT.40394 </w:t>
      </w:r>
      <w:r>
        <w:rPr>
          <w:rFonts w:ascii="Times New Roman" w:hAnsi="Times New Roman"/>
          <w:i/>
        </w:rPr>
        <w:t>Aspen</w:t>
      </w:r>
      <w:r>
        <w:rPr>
          <w:rFonts w:ascii="Times New Roman" w:hAnsi="Times New Roman"/>
        </w:rPr>
        <w:t>. See: IP/17/1323 of 15 May 2</w:t>
      </w:r>
      <w:r>
        <w:rPr>
          <w:rFonts w:ascii="Times New Roman" w:hAnsi="Times New Roman"/>
        </w:rPr>
        <w:t xml:space="preserve">017: </w:t>
      </w:r>
      <w:hyperlink r:id="rId204" w:history="1">
        <w:r>
          <w:rPr>
            <w:rStyle w:val="Hyperlink"/>
            <w:rFonts w:ascii="Times New Roman" w:hAnsi="Times New Roman"/>
          </w:rPr>
          <w:t>http://europa.eu/rapid/press-release_IP-17-1323_en.htm</w:t>
        </w:r>
      </w:hyperlink>
      <w:r>
        <w:rPr>
          <w:rFonts w:ascii="Times New Roman" w:hAnsi="Times New Roman"/>
        </w:rPr>
        <w:t xml:space="preserve"> and </w:t>
      </w:r>
      <w:hyperlink r:id="rId205" w:history="1">
        <w:r>
          <w:rPr>
            <w:rStyle w:val="Hyperlink"/>
            <w:rFonts w:ascii="Times New Roman" w:hAnsi="Times New Roman"/>
          </w:rPr>
          <w:t>http://ec.europa.eu/compet</w:t>
        </w:r>
        <w:r>
          <w:rPr>
            <w:rStyle w:val="Hyperlink"/>
            <w:rFonts w:ascii="Times New Roman" w:hAnsi="Times New Roman"/>
          </w:rPr>
          <w:t>ition/antitrust/cases/dec_docs/40394/40394_235_3.pdf</w:t>
        </w:r>
      </w:hyperlink>
      <w:r>
        <w:rPr>
          <w:rFonts w:ascii="Times New Roman" w:hAnsi="Times New Roman"/>
        </w:rPr>
        <w:t>.</w:t>
      </w:r>
    </w:p>
  </w:footnote>
  <w:footnote w:id="30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The Italian competition authority already adopted an infringement decision against Aspen on 29 September 2016.</w:t>
      </w:r>
    </w:p>
  </w:footnote>
  <w:footnote w:id="307">
    <w:p w:rsidR="00320198" w:rsidRDefault="005C0948">
      <w:pPr>
        <w:pStyle w:val="FootnoteText"/>
        <w:spacing w:after="0" w:line="240" w:lineRule="auto"/>
        <w:ind w:left="284" w:hanging="284"/>
        <w:rPr>
          <w:rFonts w:ascii="Times New Roman" w:hAnsi="Times New Roman"/>
          <w:lang w:val="en-U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Case AT.39686 Cephalon, see: IP/17/2063 of 17 July 2017</w:t>
      </w:r>
      <w:r>
        <w:rPr>
          <w:rFonts w:ascii="Times New Roman" w:hAnsi="Times New Roman"/>
          <w:lang w:val="en-US"/>
        </w:rPr>
        <w:t xml:space="preserve">: </w:t>
      </w:r>
      <w:hyperlink r:id="rId206" w:history="1">
        <w:r>
          <w:rPr>
            <w:rStyle w:val="Hyperlink"/>
            <w:rFonts w:ascii="Times New Roman" w:hAnsi="Times New Roman"/>
            <w:lang w:val="en-US"/>
          </w:rPr>
          <w:t>http://europa.eu/rapid/press-release_IP-17-2063_en.htm</w:t>
        </w:r>
      </w:hyperlink>
      <w:r>
        <w:rPr>
          <w:rStyle w:val="Hyperlink"/>
          <w:rFonts w:ascii="Times New Roman" w:hAnsi="Times New Roman"/>
        </w:rPr>
        <w:t>.</w:t>
      </w:r>
    </w:p>
  </w:footnote>
  <w:footnote w:id="308">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M. 8955 - Takeda/Shire, See: </w:t>
      </w:r>
      <w:hyperlink r:id="rId207" w:history="1">
        <w:r>
          <w:rPr>
            <w:rStyle w:val="Hyperlink"/>
            <w:rFonts w:ascii="Times New Roman" w:hAnsi="Times New Roman"/>
          </w:rPr>
          <w:t>http://europa.eu/rapid/press</w:t>
        </w:r>
        <w:r>
          <w:rPr>
            <w:rStyle w:val="Hyperlink"/>
            <w:rFonts w:ascii="Times New Roman" w:hAnsi="Times New Roman"/>
          </w:rPr>
          <w:t>-release_IP-18-6497_en.htm</w:t>
        </w:r>
      </w:hyperlink>
      <w:r>
        <w:rPr>
          <w:rFonts w:ascii="Times New Roman" w:hAnsi="Times New Roman"/>
        </w:rPr>
        <w:t>.</w:t>
      </w:r>
    </w:p>
  </w:footnote>
  <w:footnote w:id="309">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T-216/15 </w:t>
      </w:r>
      <w:r>
        <w:rPr>
          <w:rFonts w:ascii="Times New Roman" w:hAnsi="Times New Roman"/>
          <w:i/>
        </w:rPr>
        <w:t>Dôvera zdravotná poist’ovňa v Commission,</w:t>
      </w:r>
      <w:r>
        <w:rPr>
          <w:rFonts w:ascii="Times New Roman" w:hAnsi="Times New Roman"/>
        </w:rPr>
        <w:t xml:space="preserve"> Judgment of the General Court of 5 February 2018, see: </w:t>
      </w:r>
      <w:hyperlink r:id="rId208" w:history="1">
        <w:r>
          <w:rPr>
            <w:rStyle w:val="Hyperlink"/>
            <w:rFonts w:ascii="Times New Roman" w:hAnsi="Times New Roman"/>
          </w:rPr>
          <w:t>http://curia.europa.eu/juris/liste</w:t>
        </w:r>
        <w:r>
          <w:rPr>
            <w:rStyle w:val="Hyperlink"/>
            <w:rFonts w:ascii="Times New Roman" w:hAnsi="Times New Roman"/>
          </w:rPr>
          <w:t>.jsf?language=en&amp;num=T-216/15</w:t>
        </w:r>
      </w:hyperlink>
      <w:r>
        <w:rPr>
          <w:rStyle w:val="Hyperlink"/>
          <w:rFonts w:ascii="Times New Roman" w:hAnsi="Times New Roman"/>
        </w:rPr>
        <w:t>.</w:t>
      </w:r>
      <w:r>
        <w:rPr>
          <w:rFonts w:ascii="Times New Roman" w:hAnsi="Times New Roman"/>
        </w:rPr>
        <w:t xml:space="preserve"> </w:t>
      </w:r>
    </w:p>
  </w:footnote>
  <w:footnote w:id="310">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r>
        <w:rPr>
          <w:rFonts w:ascii="Times New Roman" w:hAnsi="Times New Roman"/>
          <w:i/>
        </w:rPr>
        <w:t xml:space="preserve">EU transport in figures Statistical pocketbook </w:t>
      </w:r>
      <w:r>
        <w:rPr>
          <w:rFonts w:ascii="Times New Roman" w:hAnsi="Times New Roman"/>
        </w:rPr>
        <w:t xml:space="preserve">(2017). See: </w:t>
      </w:r>
      <w:hyperlink r:id="rId209" w:history="1">
        <w:r>
          <w:rPr>
            <w:rStyle w:val="Hyperlink"/>
            <w:rFonts w:ascii="Times New Roman" w:hAnsi="Times New Roman"/>
          </w:rPr>
          <w:t>http://ec.europa.eu/transport/facts-fundings/statistics/d</w:t>
        </w:r>
        <w:r>
          <w:rPr>
            <w:rStyle w:val="Hyperlink"/>
            <w:rFonts w:ascii="Times New Roman" w:hAnsi="Times New Roman"/>
          </w:rPr>
          <w:t>oc/2017/pocketbook2017.pdf</w:t>
        </w:r>
      </w:hyperlink>
      <w:r>
        <w:rPr>
          <w:rFonts w:ascii="Times New Roman" w:hAnsi="Times New Roman"/>
        </w:rPr>
        <w:t>, p.19; prepared by the Commission with around EUR 664 billion in Gross Value Added (GVA) at basic prices, the transport and storage services sector (including postal and courier activities) accounted for approximately 5 % of tota</w:t>
      </w:r>
      <w:r>
        <w:rPr>
          <w:rFonts w:ascii="Times New Roman" w:hAnsi="Times New Roman"/>
        </w:rPr>
        <w:t>l GVA in the EU-28 in 2016 (or 4.5 % excluding postal and courier services).</w:t>
      </w:r>
    </w:p>
  </w:footnote>
  <w:footnote w:id="311">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It should be noted however, that the third postal Directive (2008/6/EC) introduced full opening of the Member States' postal markets, allowing new operators and services.</w:t>
      </w:r>
    </w:p>
  </w:footnote>
  <w:footnote w:id="312">
    <w:p w:rsidR="00320198" w:rsidRDefault="005C0948">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rPr>
        <w:t xml:space="preserve">Case M.8869 </w:t>
      </w:r>
      <w:r>
        <w:rPr>
          <w:rFonts w:ascii="Times New Roman" w:hAnsi="Times New Roman"/>
          <w:i/>
        </w:rPr>
        <w:t>Ryanair/LaudaMotion</w:t>
      </w:r>
      <w:r>
        <w:rPr>
          <w:rFonts w:ascii="Times New Roman" w:hAnsi="Times New Roman"/>
        </w:rPr>
        <w:t xml:space="preserve">, see: </w:t>
      </w:r>
      <w:hyperlink r:id="rId210" w:history="1">
        <w:r>
          <w:rPr>
            <w:rStyle w:val="Hyperlink"/>
            <w:rFonts w:ascii="Times New Roman" w:hAnsi="Times New Roman"/>
          </w:rPr>
          <w:t>http://ec.europa.eu/competition/elojade/isef/case_details.cfm?proc_code=2_M_8869</w:t>
        </w:r>
      </w:hyperlink>
      <w:r>
        <w:rPr>
          <w:rStyle w:val="Hyperlink"/>
          <w:rFonts w:ascii="Times New Roman" w:hAnsi="Times New Roman"/>
        </w:rPr>
        <w:t>.</w:t>
      </w:r>
      <w:r>
        <w:rPr>
          <w:rFonts w:ascii="Times New Roman" w:hAnsi="Times New Roman"/>
        </w:rPr>
        <w:t xml:space="preserve"> </w:t>
      </w:r>
    </w:p>
  </w:footnote>
  <w:footnote w:id="31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Cases M.8633 </w:t>
      </w:r>
      <w:r>
        <w:rPr>
          <w:rFonts w:ascii="Times New Roman" w:hAnsi="Times New Roman"/>
          <w:i/>
        </w:rPr>
        <w:t xml:space="preserve">Lufthansa/Certain Air </w:t>
      </w:r>
      <w:r>
        <w:rPr>
          <w:rFonts w:ascii="Times New Roman" w:hAnsi="Times New Roman"/>
          <w:i/>
        </w:rPr>
        <w:t>Berlin assets</w:t>
      </w:r>
      <w:r>
        <w:rPr>
          <w:rFonts w:ascii="Times New Roman" w:hAnsi="Times New Roman"/>
        </w:rPr>
        <w:t xml:space="preserve"> and M.8672 </w:t>
      </w:r>
      <w:r>
        <w:rPr>
          <w:rFonts w:ascii="Times New Roman" w:hAnsi="Times New Roman"/>
          <w:i/>
        </w:rPr>
        <w:t>easyJet/Certain Air Berlin assets.</w:t>
      </w:r>
    </w:p>
  </w:footnote>
  <w:footnote w:id="314">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M.6447 </w:t>
      </w:r>
      <w:r>
        <w:rPr>
          <w:rFonts w:ascii="Times New Roman" w:hAnsi="Times New Roman"/>
          <w:i/>
        </w:rPr>
        <w:t>IAG/bmi</w:t>
      </w:r>
      <w:r>
        <w:rPr>
          <w:rFonts w:ascii="Times New Roman" w:hAnsi="Times New Roman"/>
        </w:rPr>
        <w:t>, Commission decision of 12 November 2018 concerning the assessment of the viability of the Applicant and evaluation of its formal bid pursuant to Clause 1.4.9 of the Commitm</w:t>
      </w:r>
      <w:r>
        <w:rPr>
          <w:rFonts w:ascii="Times New Roman" w:hAnsi="Times New Roman"/>
        </w:rPr>
        <w:t xml:space="preserve">ents attached to the Commission decision of 30 March 2012 in case M.6447 – </w:t>
      </w:r>
      <w:r>
        <w:rPr>
          <w:rFonts w:ascii="Times New Roman" w:hAnsi="Times New Roman"/>
          <w:i/>
        </w:rPr>
        <w:t>IAG/bmi</w:t>
      </w:r>
      <w:r>
        <w:rPr>
          <w:rFonts w:ascii="Times New Roman" w:hAnsi="Times New Roman"/>
        </w:rPr>
        <w:t xml:space="preserve">. </w:t>
      </w:r>
    </w:p>
  </w:footnote>
  <w:footnote w:id="315">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M.7541 </w:t>
      </w:r>
      <w:r>
        <w:rPr>
          <w:rFonts w:ascii="Times New Roman" w:hAnsi="Times New Roman"/>
          <w:i/>
        </w:rPr>
        <w:t>IAG/Aer Lingus</w:t>
      </w:r>
      <w:r>
        <w:rPr>
          <w:rFonts w:ascii="Times New Roman" w:hAnsi="Times New Roman"/>
        </w:rPr>
        <w:t>, Commission decision of 12 November 2018 concerning the assessment of the viability of the applicant and evaluation of its formal bid pursuan</w:t>
      </w:r>
      <w:r>
        <w:rPr>
          <w:rFonts w:ascii="Times New Roman" w:hAnsi="Times New Roman"/>
        </w:rPr>
        <w:t xml:space="preserve">t to Clause 2.26 of the Commitments attached to the Commission decision of 14 July 2015 in case M.7541 – </w:t>
      </w:r>
      <w:r>
        <w:rPr>
          <w:rFonts w:ascii="Times New Roman" w:hAnsi="Times New Roman"/>
          <w:i/>
        </w:rPr>
        <w:t>IAG/Aer Lingus</w:t>
      </w:r>
      <w:r>
        <w:rPr>
          <w:rFonts w:ascii="Times New Roman" w:hAnsi="Times New Roman"/>
        </w:rPr>
        <w:t xml:space="preserve">. </w:t>
      </w:r>
    </w:p>
  </w:footnote>
  <w:footnote w:id="316">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ab/>
      </w:r>
      <w:r>
        <w:rPr>
          <w:rFonts w:ascii="Times New Roman" w:hAnsi="Times New Roman"/>
        </w:rPr>
        <w:t xml:space="preserve">Case M. 5364 </w:t>
      </w:r>
      <w:r>
        <w:rPr>
          <w:rFonts w:ascii="Times New Roman" w:hAnsi="Times New Roman"/>
          <w:i/>
        </w:rPr>
        <w:t>Iberia/Clickair/Vueling</w:t>
      </w:r>
      <w:r>
        <w:rPr>
          <w:rFonts w:ascii="Times New Roman" w:hAnsi="Times New Roman"/>
        </w:rPr>
        <w:t xml:space="preserve">, Commission decision of 12 November 2018 concerning the Assessment of the viability of Applicants and evaluation of their formal bids pursuant to Clause 1.4.9 of the commitments attached to the Commission decision of 9 January 2009 in case M. 5364 -  </w:t>
      </w:r>
      <w:r>
        <w:rPr>
          <w:rFonts w:ascii="Times New Roman" w:hAnsi="Times New Roman"/>
          <w:i/>
        </w:rPr>
        <w:t>Iber</w:t>
      </w:r>
      <w:r>
        <w:rPr>
          <w:rFonts w:ascii="Times New Roman" w:hAnsi="Times New Roman"/>
          <w:i/>
        </w:rPr>
        <w:t>ia/Clickair/Vueling</w:t>
      </w:r>
      <w:r>
        <w:rPr>
          <w:rFonts w:ascii="Times New Roman" w:hAnsi="Times New Roman"/>
        </w:rPr>
        <w:t xml:space="preserve">.  </w:t>
      </w:r>
    </w:p>
  </w:footnote>
  <w:footnote w:id="31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Computerised Reservation Systems ("CRS"), also known as Global Distribution Systems ("GDS") provide a technical interface between, on one side, airlines and other travel service providers, such as rail operators, and, on the other</w:t>
      </w:r>
      <w:r>
        <w:rPr>
          <w:rFonts w:ascii="Times New Roman" w:hAnsi="Times New Roman"/>
        </w:rPr>
        <w:t xml:space="preserve"> side, travel agents (both online and brick-and-mortar). The CRSs aggregate fare, schedule and availability information provided by the airlines and supply it to the travel agents, enabling them to search for, compare, reserve and book flights, The CRSs gi</w:t>
      </w:r>
      <w:r>
        <w:rPr>
          <w:rFonts w:ascii="Times New Roman" w:hAnsi="Times New Roman"/>
        </w:rPr>
        <w:t>ve travel agents access to the services of hundreds of airlines worldwide and provide airlines with a distribution channel to thousands of travel agents worldwide.</w:t>
      </w:r>
    </w:p>
  </w:footnote>
  <w:footnote w:id="318">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See: </w:t>
      </w:r>
      <w:hyperlink r:id="rId211" w:history="1">
        <w:r>
          <w:rPr>
            <w:rStyle w:val="Hyperlink"/>
            <w:rFonts w:ascii="Times New Roman" w:hAnsi="Times New Roman"/>
          </w:rPr>
          <w:t>http://ec.europa.eu/transparency/regdoc/index.cfm?fuseaction=list&amp;coteId=3&amp;documentType =COMMUNICATION_FROM_COMMISSION&amp;version=ALL</w:t>
        </w:r>
      </w:hyperlink>
      <w:r>
        <w:rPr>
          <w:rStyle w:val="Hyperlink"/>
          <w:rFonts w:ascii="Times New Roman" w:hAnsi="Times New Roman"/>
        </w:rPr>
        <w:t>.</w:t>
      </w:r>
    </w:p>
  </w:footnote>
  <w:footnote w:id="319">
    <w:p w:rsidR="00320198" w:rsidRDefault="005C0948">
      <w:pPr>
        <w:pStyle w:val="FootnoteText"/>
        <w:tabs>
          <w:tab w:val="left" w:pos="360"/>
        </w:tabs>
        <w:spacing w:after="0" w:line="240" w:lineRule="auto"/>
        <w:ind w:left="284" w:hanging="284"/>
        <w:rPr>
          <w:rFonts w:ascii="Times New Roman" w:hAnsi="Times New Roman"/>
          <w:bCs/>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w:t>
      </w:r>
      <w:r>
        <w:rPr>
          <w:rStyle w:val="Strong"/>
          <w:rFonts w:ascii="Times New Roman" w:hAnsi="Times New Roman"/>
          <w:b w:val="0"/>
        </w:rPr>
        <w:t>SA.46945</w:t>
      </w:r>
      <w:r>
        <w:rPr>
          <w:rStyle w:val="Strong"/>
          <w:rFonts w:ascii="Times New Roman" w:hAnsi="Times New Roman"/>
        </w:rPr>
        <w:t xml:space="preserve"> </w:t>
      </w:r>
      <w:r>
        <w:rPr>
          <w:rStyle w:val="Strong"/>
          <w:rFonts w:ascii="Times New Roman" w:hAnsi="Times New Roman"/>
          <w:b w:val="0"/>
          <w:i/>
        </w:rPr>
        <w:t>Erfurt-Weimar Airport</w:t>
      </w:r>
      <w:r>
        <w:rPr>
          <w:rStyle w:val="Strong"/>
          <w:rFonts w:ascii="Times New Roman" w:hAnsi="Times New Roman"/>
          <w:b w:val="0"/>
        </w:rPr>
        <w:t xml:space="preserve">, </w:t>
      </w:r>
      <w:r>
        <w:rPr>
          <w:rFonts w:ascii="Times New Roman" w:hAnsi="Times New Roman"/>
        </w:rPr>
        <w:t>Commission decision</w:t>
      </w:r>
      <w:r>
        <w:rPr>
          <w:rFonts w:ascii="Times New Roman" w:hAnsi="Times New Roman"/>
        </w:rPr>
        <w:t xml:space="preserve"> of 15 November 2018, see:</w:t>
      </w:r>
      <w:r>
        <w:rPr>
          <w:rFonts w:ascii="Times New Roman" w:hAnsi="Times New Roman"/>
          <w:b/>
        </w:rPr>
        <w:t xml:space="preserve"> </w:t>
      </w:r>
      <w:r>
        <w:rPr>
          <w:rFonts w:ascii="Times New Roman" w:hAnsi="Times New Roman"/>
        </w:rPr>
        <w:t xml:space="preserve"> </w:t>
      </w:r>
      <w:hyperlink r:id="rId212" w:history="1">
        <w:r>
          <w:rPr>
            <w:rStyle w:val="Hyperlink"/>
            <w:rFonts w:ascii="Times New Roman" w:hAnsi="Times New Roman"/>
          </w:rPr>
          <w:t>http://ec.europa.eu/competition/elojade/isef/case_details.cfm?proc_code=3_SA_46945</w:t>
        </w:r>
      </w:hyperlink>
      <w:r>
        <w:rPr>
          <w:rStyle w:val="Strong"/>
          <w:rFonts w:ascii="Times New Roman" w:hAnsi="Times New Roman"/>
          <w:b w:val="0"/>
        </w:rPr>
        <w:t xml:space="preserve">; Case SA.49709, </w:t>
      </w:r>
      <w:r>
        <w:rPr>
          <w:rStyle w:val="Strong"/>
          <w:rFonts w:ascii="Times New Roman" w:hAnsi="Times New Roman"/>
          <w:b w:val="0"/>
          <w:i/>
        </w:rPr>
        <w:t>Rostock Airport</w:t>
      </w:r>
      <w:r>
        <w:rPr>
          <w:rStyle w:val="Strong"/>
          <w:rFonts w:ascii="Times New Roman" w:hAnsi="Times New Roman"/>
          <w:b w:val="0"/>
        </w:rPr>
        <w:t>,</w:t>
      </w:r>
      <w:r>
        <w:rPr>
          <w:rStyle w:val="Strong"/>
          <w:rFonts w:ascii="Times New Roman" w:hAnsi="Times New Roman"/>
        </w:rPr>
        <w:t xml:space="preserve"> </w:t>
      </w:r>
      <w:r>
        <w:rPr>
          <w:rFonts w:ascii="Times New Roman" w:hAnsi="Times New Roman"/>
          <w:bCs/>
        </w:rPr>
        <w:t>Commission</w:t>
      </w:r>
      <w:r>
        <w:rPr>
          <w:rStyle w:val="Strong"/>
          <w:rFonts w:ascii="Times New Roman" w:hAnsi="Times New Roman"/>
          <w:b w:val="0"/>
        </w:rPr>
        <w:t xml:space="preserve"> de</w:t>
      </w:r>
      <w:r>
        <w:rPr>
          <w:rStyle w:val="Strong"/>
          <w:rFonts w:ascii="Times New Roman" w:hAnsi="Times New Roman"/>
          <w:b w:val="0"/>
        </w:rPr>
        <w:t xml:space="preserve">cision of 13 September 2018, see: </w:t>
      </w:r>
      <w:r>
        <w:rPr>
          <w:rStyle w:val="Hyperlink"/>
          <w:rFonts w:ascii="Times New Roman" w:hAnsi="Times New Roman"/>
          <w:bCs/>
        </w:rPr>
        <w:t>http://ec.europa.eu/competition/elojade/isef/case_details.cfm?proc_code=3_SA_49709</w:t>
      </w:r>
      <w:r>
        <w:rPr>
          <w:rFonts w:ascii="Times New Roman" w:hAnsi="Times New Roman"/>
          <w:bCs/>
        </w:rPr>
        <w:t>.</w:t>
      </w:r>
    </w:p>
  </w:footnote>
  <w:footnote w:id="320">
    <w:p w:rsidR="00320198" w:rsidRDefault="005C0948">
      <w:pPr>
        <w:pStyle w:val="FootnoteText"/>
        <w:tabs>
          <w:tab w:val="left" w:pos="360"/>
        </w:tabs>
        <w:spacing w:after="0" w:line="240" w:lineRule="auto"/>
        <w:ind w:left="284" w:hanging="284"/>
        <w:rPr>
          <w:rFonts w:ascii="Times New Roman" w:hAnsi="Times New Roman"/>
          <w:bC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w:t>
      </w:r>
      <w:r>
        <w:rPr>
          <w:rFonts w:ascii="Times New Roman" w:hAnsi="Times New Roman"/>
          <w:bCs/>
        </w:rPr>
        <w:t xml:space="preserve">SA.49482 </w:t>
      </w:r>
      <w:r>
        <w:rPr>
          <w:rFonts w:ascii="Times New Roman" w:hAnsi="Times New Roman"/>
          <w:bCs/>
          <w:i/>
        </w:rPr>
        <w:t>Highlands and Island Airports Limited - Sumburgh Airport</w:t>
      </w:r>
      <w:r>
        <w:rPr>
          <w:rFonts w:ascii="Times New Roman" w:hAnsi="Times New Roman"/>
          <w:bCs/>
        </w:rPr>
        <w:t xml:space="preserve">, Commission decision of 25 May 2018, see: </w:t>
      </w:r>
      <w:hyperlink r:id="rId213" w:history="1">
        <w:r>
          <w:rPr>
            <w:rStyle w:val="Hyperlink"/>
            <w:rFonts w:ascii="Times New Roman" w:hAnsi="Times New Roman"/>
          </w:rPr>
          <w:t>http://ec.europa.eu/competition/elojade/isef/case_details.cfm?proc_code=3_SA_49482</w:t>
        </w:r>
      </w:hyperlink>
      <w:r>
        <w:rPr>
          <w:rStyle w:val="Hyperlink"/>
          <w:rFonts w:ascii="Times New Roman" w:hAnsi="Times New Roman"/>
        </w:rPr>
        <w:t>.</w:t>
      </w:r>
      <w:r>
        <w:rPr>
          <w:rStyle w:val="Strong"/>
          <w:rFonts w:ascii="Times New Roman" w:hAnsi="Times New Roman"/>
          <w:b w:val="0"/>
        </w:rPr>
        <w:t xml:space="preserve"> Case SA</w:t>
      </w:r>
      <w:r>
        <w:rPr>
          <w:rStyle w:val="Hyperlink"/>
          <w:rFonts w:ascii="Times New Roman" w:hAnsi="Times New Roman"/>
          <w:u w:val="none"/>
        </w:rPr>
        <w:t>.</w:t>
      </w:r>
      <w:r>
        <w:rPr>
          <w:rStyle w:val="Strong"/>
          <w:rFonts w:ascii="Times New Roman" w:hAnsi="Times New Roman"/>
          <w:b w:val="0"/>
        </w:rPr>
        <w:t xml:space="preserve">49331 </w:t>
      </w:r>
      <w:r>
        <w:rPr>
          <w:rStyle w:val="Strong"/>
          <w:rFonts w:ascii="Times New Roman" w:hAnsi="Times New Roman"/>
          <w:b w:val="0"/>
          <w:i/>
        </w:rPr>
        <w:t>SGEI compensation for Bornholm Airport</w:t>
      </w:r>
      <w:r>
        <w:rPr>
          <w:rStyle w:val="Strong"/>
          <w:rFonts w:ascii="Times New Roman" w:hAnsi="Times New Roman"/>
          <w:b w:val="0"/>
        </w:rPr>
        <w:t xml:space="preserve">, </w:t>
      </w:r>
      <w:r>
        <w:rPr>
          <w:rStyle w:val="Strong"/>
          <w:rFonts w:ascii="Times New Roman" w:hAnsi="Times New Roman"/>
        </w:rPr>
        <w:t xml:space="preserve"> </w:t>
      </w:r>
      <w:r>
        <w:rPr>
          <w:rFonts w:ascii="Times New Roman" w:hAnsi="Times New Roman"/>
        </w:rPr>
        <w:t xml:space="preserve">Commission decision of 16 April 2018, see: </w:t>
      </w:r>
      <w:hyperlink r:id="rId214" w:history="1">
        <w:r>
          <w:rPr>
            <w:rStyle w:val="Hyperlink"/>
            <w:rFonts w:ascii="Times New Roman" w:hAnsi="Times New Roman"/>
          </w:rPr>
          <w:t>http://ec.europa.eu/competition/elojade/isef/case_details.cfm?proc_code=3_SA_49331</w:t>
        </w:r>
      </w:hyperlink>
      <w:r>
        <w:rPr>
          <w:rStyle w:val="Strong"/>
          <w:rFonts w:ascii="Times New Roman" w:hAnsi="Times New Roman"/>
          <w:b w:val="0"/>
        </w:rPr>
        <w:t>; Case</w:t>
      </w:r>
      <w:r>
        <w:rPr>
          <w:rStyle w:val="Strong"/>
          <w:rFonts w:ascii="Times New Roman" w:hAnsi="Times New Roman"/>
        </w:rPr>
        <w:t xml:space="preserve"> </w:t>
      </w:r>
      <w:r>
        <w:rPr>
          <w:rStyle w:val="Strong"/>
          <w:rFonts w:ascii="Times New Roman" w:hAnsi="Times New Roman"/>
          <w:b w:val="0"/>
        </w:rPr>
        <w:t xml:space="preserve">SA.49203 </w:t>
      </w:r>
      <w:r>
        <w:rPr>
          <w:rStyle w:val="Strong"/>
          <w:rFonts w:ascii="Times New Roman" w:hAnsi="Times New Roman"/>
          <w:b w:val="0"/>
          <w:i/>
        </w:rPr>
        <w:t>SGEI Compensatio</w:t>
      </w:r>
      <w:r>
        <w:rPr>
          <w:rStyle w:val="Strong"/>
          <w:rFonts w:ascii="Times New Roman" w:hAnsi="Times New Roman"/>
          <w:b w:val="0"/>
          <w:i/>
        </w:rPr>
        <w:t>n for Bacau Airport</w:t>
      </w:r>
      <w:r>
        <w:rPr>
          <w:rStyle w:val="Strong"/>
          <w:rFonts w:ascii="Times New Roman" w:hAnsi="Times New Roman"/>
          <w:b w:val="0"/>
        </w:rPr>
        <w:t>,</w:t>
      </w:r>
      <w:r>
        <w:rPr>
          <w:rStyle w:val="Strong"/>
          <w:rFonts w:ascii="Times New Roman" w:hAnsi="Times New Roman"/>
        </w:rPr>
        <w:t xml:space="preserve"> </w:t>
      </w:r>
      <w:r>
        <w:rPr>
          <w:rFonts w:ascii="Times New Roman" w:hAnsi="Times New Roman"/>
        </w:rPr>
        <w:t xml:space="preserve">Commission decision of 6 September 2018, see: </w:t>
      </w:r>
      <w:hyperlink r:id="rId215" w:history="1">
        <w:r>
          <w:rPr>
            <w:rStyle w:val="Hyperlink"/>
            <w:rFonts w:ascii="Times New Roman" w:hAnsi="Times New Roman"/>
          </w:rPr>
          <w:t>http://ec.europa.eu/competition/elojade/isef/case_details.cfm?proc_code=3_SA_49203</w:t>
        </w:r>
      </w:hyperlink>
      <w:r>
        <w:rPr>
          <w:rStyle w:val="Strong"/>
          <w:rFonts w:ascii="Times New Roman" w:hAnsi="Times New Roman"/>
          <w:b w:val="0"/>
        </w:rPr>
        <w:t>.</w:t>
      </w:r>
    </w:p>
  </w:footnote>
  <w:footnote w:id="321">
    <w:p w:rsidR="00320198" w:rsidRDefault="005C0948">
      <w:pPr>
        <w:pStyle w:val="FootnoteText"/>
        <w:tabs>
          <w:tab w:val="left" w:pos="360"/>
        </w:tabs>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vertAlign w:val="superscript"/>
          <w:lang w:val="fr-BE"/>
        </w:rPr>
        <w:tab/>
      </w:r>
      <w:r>
        <w:rPr>
          <w:rFonts w:ascii="Times New Roman" w:hAnsi="Times New Roman"/>
          <w:lang w:val="fr-BE"/>
        </w:rPr>
        <w:t>Cas</w:t>
      </w:r>
      <w:r>
        <w:rPr>
          <w:rFonts w:ascii="Times New Roman" w:hAnsi="Times New Roman"/>
          <w:lang w:val="fr-BE"/>
        </w:rPr>
        <w:t xml:space="preserve">e </w:t>
      </w:r>
      <w:r>
        <w:rPr>
          <w:rFonts w:ascii="Times New Roman" w:hAnsi="Times New Roman"/>
          <w:bCs/>
          <w:lang w:val="fr-BE"/>
        </w:rPr>
        <w:t xml:space="preserve">SA.47867 </w:t>
      </w:r>
      <w:r>
        <w:rPr>
          <w:rFonts w:ascii="Times New Roman" w:hAnsi="Times New Roman"/>
          <w:bCs/>
          <w:i/>
          <w:lang w:val="fr-BE"/>
        </w:rPr>
        <w:t>Aide présumée en faveur de Ryanair à l'aéroport de Montpellier,</w:t>
      </w:r>
      <w:r>
        <w:rPr>
          <w:rFonts w:ascii="Times New Roman" w:hAnsi="Times New Roman"/>
          <w:lang w:val="fr-BE"/>
        </w:rPr>
        <w:t xml:space="preserve"> Commission decision of 5 July 2018, see :</w:t>
      </w:r>
      <w:r>
        <w:rPr>
          <w:rFonts w:ascii="Times New Roman" w:hAnsi="Times New Roman"/>
          <w:bCs/>
          <w:lang w:val="fr-BE"/>
        </w:rPr>
        <w:t xml:space="preserve"> </w:t>
      </w:r>
      <w:hyperlink r:id="rId216" w:history="1">
        <w:r>
          <w:rPr>
            <w:rStyle w:val="Hyperlink"/>
            <w:rFonts w:ascii="Times New Roman" w:hAnsi="Times New Roman"/>
            <w:bCs/>
            <w:lang w:val="fr-BE"/>
          </w:rPr>
          <w:t>http://ec.europa.eu/competition/elojade/</w:t>
        </w:r>
        <w:r>
          <w:rPr>
            <w:rStyle w:val="Hyperlink"/>
            <w:rFonts w:ascii="Times New Roman" w:hAnsi="Times New Roman"/>
            <w:bCs/>
            <w:lang w:val="fr-BE"/>
          </w:rPr>
          <w:t>isef/case_details.cfm?proc_code=3_SA_47867</w:t>
        </w:r>
      </w:hyperlink>
      <w:r>
        <w:rPr>
          <w:rFonts w:ascii="Times New Roman" w:hAnsi="Times New Roman"/>
          <w:bCs/>
          <w:lang w:val="fr-BE"/>
        </w:rPr>
        <w:t>.</w:t>
      </w:r>
    </w:p>
  </w:footnote>
  <w:footnote w:id="322">
    <w:p w:rsidR="00320198" w:rsidRDefault="005C0948">
      <w:pPr>
        <w:pStyle w:val="FootnoteText"/>
        <w:tabs>
          <w:tab w:val="left" w:pos="360"/>
        </w:tabs>
        <w:spacing w:after="0" w:line="240" w:lineRule="auto"/>
        <w:ind w:left="284" w:hanging="284"/>
        <w:jc w:val="both"/>
        <w:rPr>
          <w:rFonts w:ascii="Times New Roman" w:hAnsi="Times New Roman"/>
          <w:bCs/>
        </w:rPr>
      </w:pPr>
      <w:r>
        <w:rPr>
          <w:rFonts w:ascii="Times New Roman" w:hAnsi="Times New Roman"/>
          <w:vertAlign w:val="superscript"/>
        </w:rPr>
        <w:footnoteRef/>
      </w:r>
      <w:r>
        <w:rPr>
          <w:rFonts w:ascii="Times New Roman" w:hAnsi="Times New Roman"/>
          <w:bCs/>
        </w:rPr>
        <w:t xml:space="preserve"> </w:t>
      </w:r>
      <w:r>
        <w:rPr>
          <w:rFonts w:ascii="Times New Roman" w:hAnsi="Times New Roman"/>
          <w:bCs/>
        </w:rPr>
        <w:tab/>
        <w:t>Case SA</w:t>
      </w:r>
      <w:r>
        <w:rPr>
          <w:rStyle w:val="Strong"/>
          <w:rFonts w:ascii="Times New Roman" w:hAnsi="Times New Roman"/>
          <w:b w:val="0"/>
        </w:rPr>
        <w:t>.</w:t>
      </w:r>
      <w:r>
        <w:rPr>
          <w:rFonts w:ascii="Times New Roman" w:hAnsi="Times New Roman"/>
          <w:bCs/>
        </w:rPr>
        <w:t xml:space="preserve">43260 </w:t>
      </w:r>
      <w:r>
        <w:rPr>
          <w:rFonts w:ascii="Times New Roman" w:hAnsi="Times New Roman"/>
          <w:bCs/>
          <w:i/>
        </w:rPr>
        <w:t>Alleged aid to Frankfurt Hahn Airport and Ryanair</w:t>
      </w:r>
      <w:r>
        <w:rPr>
          <w:rFonts w:ascii="Times New Roman" w:hAnsi="Times New Roman"/>
          <w:bCs/>
        </w:rPr>
        <w:t>,</w:t>
      </w:r>
      <w:r>
        <w:rPr>
          <w:rStyle w:val="Strong"/>
          <w:rFonts w:ascii="Times New Roman" w:hAnsi="Times New Roman"/>
          <w:b w:val="0"/>
        </w:rPr>
        <w:t xml:space="preserve"> </w:t>
      </w:r>
      <w:r>
        <w:rPr>
          <w:rFonts w:ascii="Times New Roman" w:hAnsi="Times New Roman"/>
        </w:rPr>
        <w:t xml:space="preserve">Commission decision of 26 October 2018, see: </w:t>
      </w:r>
      <w:hyperlink r:id="rId217" w:history="1">
        <w:r>
          <w:rPr>
            <w:rStyle w:val="Hyperlink"/>
            <w:rFonts w:ascii="Times New Roman" w:hAnsi="Times New Roman"/>
          </w:rPr>
          <w:t>http://europa.eu/rapid/press</w:t>
        </w:r>
        <w:r>
          <w:rPr>
            <w:rStyle w:val="Hyperlink"/>
            <w:rFonts w:ascii="Times New Roman" w:hAnsi="Times New Roman"/>
          </w:rPr>
          <w:t>-release_IP-18-6222_en.htm</w:t>
        </w:r>
      </w:hyperlink>
      <w:r>
        <w:rPr>
          <w:rStyle w:val="Strong"/>
          <w:rFonts w:ascii="Times New Roman" w:hAnsi="Times New Roman"/>
          <w:b w:val="0"/>
        </w:rPr>
        <w:t>.</w:t>
      </w:r>
    </w:p>
  </w:footnote>
  <w:footnote w:id="323">
    <w:p w:rsidR="00320198" w:rsidRDefault="005C0948">
      <w:pPr>
        <w:pStyle w:val="FootnoteText"/>
        <w:tabs>
          <w:tab w:val="left" w:pos="360"/>
        </w:tabs>
        <w:spacing w:after="0" w:line="240" w:lineRule="auto"/>
        <w:ind w:left="284" w:hanging="284"/>
        <w:jc w:val="both"/>
        <w:rPr>
          <w:rFonts w:ascii="Times New Roman" w:hAnsi="Times New Roman"/>
          <w:bCs/>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See:</w:t>
      </w:r>
      <w:r>
        <w:rPr>
          <w:rFonts w:ascii="Times New Roman" w:hAnsi="Times New Roman"/>
        </w:rPr>
        <w:tab/>
      </w:r>
      <w:hyperlink r:id="rId218" w:history="1">
        <w:r>
          <w:rPr>
            <w:rStyle w:val="Hyperlink"/>
            <w:rFonts w:ascii="Times New Roman" w:hAnsi="Times New Roman"/>
          </w:rPr>
          <w:t>http://europa.eu/rapid/press-release_IP-18-6785_en.htm</w:t>
        </w:r>
      </w:hyperlink>
      <w:r>
        <w:rPr>
          <w:rStyle w:val="Hyperlink"/>
          <w:rFonts w:ascii="Times New Roman" w:hAnsi="Times New Roman"/>
        </w:rPr>
        <w:t>.</w:t>
      </w:r>
      <w:r>
        <w:rPr>
          <w:rFonts w:ascii="Times New Roman" w:hAnsi="Times New Roman"/>
        </w:rPr>
        <w:t xml:space="preserve"> </w:t>
      </w:r>
    </w:p>
  </w:footnote>
  <w:footnote w:id="324">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SA.48171 </w:t>
      </w:r>
      <w:r>
        <w:rPr>
          <w:rFonts w:ascii="Times New Roman" w:hAnsi="Times New Roman"/>
          <w:i/>
        </w:rPr>
        <w:t>Complaints against alleged State aid in favour of Alitalia</w:t>
      </w:r>
      <w:r>
        <w:rPr>
          <w:rFonts w:ascii="Times New Roman" w:hAnsi="Times New Roman"/>
        </w:rPr>
        <w:t xml:space="preserve">, Commission decision of 23/04/2018, see: at </w:t>
      </w:r>
      <w:hyperlink r:id="rId219" w:history="1">
        <w:r>
          <w:rPr>
            <w:rStyle w:val="Hyperlink"/>
            <w:rFonts w:ascii="Times New Roman" w:hAnsi="Times New Roman"/>
          </w:rPr>
          <w:t>http://ec.europa.eu/competition/state_aid/cases/274312/274312_1991247_21_2.pdf</w:t>
        </w:r>
      </w:hyperlink>
      <w:r>
        <w:rPr>
          <w:rStyle w:val="Hyperlink"/>
          <w:rFonts w:ascii="Times New Roman" w:hAnsi="Times New Roman"/>
        </w:rPr>
        <w:t>;</w:t>
      </w:r>
      <w:r>
        <w:rPr>
          <w:rFonts w:ascii="Times New Roman" w:hAnsi="Times New Roman"/>
        </w:rPr>
        <w:t xml:space="preserve"> and IP/18/3501, see: </w:t>
      </w:r>
      <w:hyperlink r:id="rId220" w:history="1">
        <w:r>
          <w:rPr>
            <w:rStyle w:val="Hyperlink"/>
            <w:rFonts w:ascii="Times New Roman" w:hAnsi="Times New Roman"/>
          </w:rPr>
          <w:t>http://europa.eu/rapid/press-release_IP-18-3501_en.htm</w:t>
        </w:r>
      </w:hyperlink>
      <w:r>
        <w:rPr>
          <w:rStyle w:val="Hyperlink"/>
          <w:rFonts w:ascii="Times New Roman" w:hAnsi="Times New Roman"/>
        </w:rPr>
        <w:t>.</w:t>
      </w:r>
      <w:r>
        <w:rPr>
          <w:rFonts w:ascii="Times New Roman" w:hAnsi="Times New Roman"/>
        </w:rPr>
        <w:t xml:space="preserve">  </w:t>
      </w:r>
    </w:p>
  </w:footnote>
  <w:footnote w:id="32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Council Regulation 246/2009 provides that, in accordance with the provisions of Article 101(3) TFEU, the Commission may, by way of Regulati</w:t>
      </w:r>
      <w:r>
        <w:rPr>
          <w:rFonts w:ascii="Times New Roman" w:hAnsi="Times New Roman"/>
        </w:rPr>
        <w:t>on, exempt consortia agreements from the application of Article 101(1) TFEU for a period limited to five years with the possibility of prolongation. Accordingly, in 2009 the Commission adopted the Consortia Block Exemption Regulation which sets the specifi</w:t>
      </w:r>
      <w:r>
        <w:rPr>
          <w:rFonts w:ascii="Times New Roman" w:hAnsi="Times New Roman"/>
        </w:rPr>
        <w:t>c conditions for the exemption of consortia agreements. These conditions notably aim at ensuring that customers enjoy a fair share of the resulting benefits.</w:t>
      </w:r>
    </w:p>
  </w:footnote>
  <w:footnote w:id="32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Liner shipping services consist of the provision of regular, scheduled maritime cargo transport</w:t>
      </w:r>
      <w:r>
        <w:rPr>
          <w:rFonts w:ascii="Times New Roman" w:hAnsi="Times New Roman"/>
        </w:rPr>
        <w:t xml:space="preserve"> on a specific route. They require significant levels of investment and therefore are regularly provided by several shipping companies cooperating in "consortia" agreements. Consortia can lead to economies of scale and better utilisation of the space of th</w:t>
      </w:r>
      <w:r>
        <w:rPr>
          <w:rFonts w:ascii="Times New Roman" w:hAnsi="Times New Roman"/>
        </w:rPr>
        <w:t>e vessels.</w:t>
      </w:r>
    </w:p>
  </w:footnote>
  <w:footnote w:id="32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For the Roadmap, consultation documents and further information on the evaluation, see: </w:t>
      </w:r>
      <w:hyperlink r:id="rId221" w:history="1">
        <w:r>
          <w:rPr>
            <w:rStyle w:val="Hyperlink"/>
            <w:rFonts w:ascii="Times New Roman" w:hAnsi="Times New Roman"/>
          </w:rPr>
          <w:t>http://ec.europa.eu/competition/consultations/2018_consortia/in</w:t>
        </w:r>
        <w:r>
          <w:rPr>
            <w:rStyle w:val="Hyperlink"/>
            <w:rFonts w:ascii="Times New Roman" w:hAnsi="Times New Roman"/>
          </w:rPr>
          <w:t>dex_en.html</w:t>
        </w:r>
      </w:hyperlink>
      <w:r>
        <w:rPr>
          <w:rFonts w:ascii="Times New Roman" w:hAnsi="Times New Roman"/>
        </w:rPr>
        <w:t xml:space="preserve">. </w:t>
      </w:r>
    </w:p>
  </w:footnote>
  <w:footnote w:id="328">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Case M.7268</w:t>
      </w:r>
      <w:r>
        <w:rPr>
          <w:rFonts w:ascii="Times New Roman" w:hAnsi="Times New Roman"/>
          <w:i/>
        </w:rPr>
        <w:t xml:space="preserve"> CSAV/HGV/Kühne Maritime/Hapag-LLoyd</w:t>
      </w:r>
      <w:r>
        <w:rPr>
          <w:rFonts w:ascii="Times New Roman" w:hAnsi="Times New Roman"/>
        </w:rPr>
        <w:t xml:space="preserve">, Commission decision of 11 September 2014, available at </w:t>
      </w:r>
      <w:hyperlink r:id="rId222" w:history="1">
        <w:r>
          <w:rPr>
            <w:rStyle w:val="Hyperlink"/>
            <w:rFonts w:ascii="Times New Roman" w:hAnsi="Times New Roman"/>
          </w:rPr>
          <w:t>http://ec.europa.eu/competition/mergers/cases/</w:t>
        </w:r>
        <w:r>
          <w:rPr>
            <w:rStyle w:val="Hyperlink"/>
            <w:rFonts w:ascii="Times New Roman" w:hAnsi="Times New Roman"/>
          </w:rPr>
          <w:t>decisions/m7268_1503_2.pdf</w:t>
        </w:r>
      </w:hyperlink>
      <w:r>
        <w:rPr>
          <w:rFonts w:ascii="Times New Roman" w:hAnsi="Times New Roman"/>
        </w:rPr>
        <w:t xml:space="preserve">. </w:t>
      </w:r>
    </w:p>
  </w:footnote>
  <w:footnote w:id="329">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M.9016 </w:t>
      </w:r>
      <w:r>
        <w:rPr>
          <w:rFonts w:ascii="Times New Roman" w:hAnsi="Times New Roman"/>
          <w:i/>
        </w:rPr>
        <w:t>CMA CGM/Container Finance</w:t>
      </w:r>
      <w:r>
        <w:rPr>
          <w:rFonts w:ascii="Times New Roman" w:hAnsi="Times New Roman"/>
        </w:rPr>
        <w:t xml:space="preserve">, Commission decision of 22 October 2018, will become available at: </w:t>
      </w:r>
      <w:hyperlink r:id="rId223" w:history="1">
        <w:r>
          <w:rPr>
            <w:rStyle w:val="Hyperlink"/>
            <w:rFonts w:ascii="Times New Roman" w:hAnsi="Times New Roman"/>
          </w:rPr>
          <w:t>http://ec.europa.e</w:t>
        </w:r>
        <w:r>
          <w:rPr>
            <w:rStyle w:val="Hyperlink"/>
            <w:rFonts w:ascii="Times New Roman" w:hAnsi="Times New Roman"/>
          </w:rPr>
          <w:t>u/competition/elojade/isef/index.cfm?fuseaction=dsp_merger_by_date</w:t>
        </w:r>
      </w:hyperlink>
      <w:r>
        <w:rPr>
          <w:rStyle w:val="Hyperlink"/>
          <w:rFonts w:ascii="Times New Roman" w:hAnsi="Times New Roman"/>
        </w:rPr>
        <w:t>.</w:t>
      </w:r>
    </w:p>
  </w:footnote>
  <w:footnote w:id="330">
    <w:p w:rsidR="00320198" w:rsidRDefault="005C0948">
      <w:pPr>
        <w:pStyle w:val="Default"/>
        <w:ind w:left="284" w:hanging="284"/>
        <w:rPr>
          <w:rFonts w:ascii="Times New Roman" w:hAnsi="Times New Roman" w:cs="Times New Roman"/>
          <w:sz w:val="20"/>
          <w:szCs w:val="20"/>
        </w:rPr>
      </w:pPr>
      <w:r>
        <w:rPr>
          <w:rFonts w:ascii="Times New Roman" w:hAnsi="Times New Roman" w:cs="Times New Roman"/>
          <w:color w:val="auto"/>
          <w:sz w:val="20"/>
          <w:szCs w:val="20"/>
          <w:vertAlign w:val="superscript"/>
          <w:lang w:eastAsia="en-US"/>
        </w:rPr>
        <w:footnoteRef/>
      </w:r>
      <w:r>
        <w:rPr>
          <w:rFonts w:ascii="Times New Roman" w:hAnsi="Times New Roman" w:cs="Times New Roman"/>
          <w:color w:val="auto"/>
          <w:sz w:val="20"/>
          <w:szCs w:val="20"/>
          <w:vertAlign w:val="superscript"/>
          <w:lang w:eastAsia="en-US"/>
        </w:rPr>
        <w:t xml:space="preserve"> </w:t>
      </w:r>
      <w:r>
        <w:rPr>
          <w:rFonts w:ascii="Times New Roman" w:hAnsi="Times New Roman" w:cs="Times New Roman"/>
          <w:color w:val="auto"/>
          <w:sz w:val="20"/>
          <w:szCs w:val="20"/>
          <w:vertAlign w:val="superscript"/>
          <w:lang w:eastAsia="en-US"/>
        </w:rPr>
        <w:tab/>
      </w:r>
      <w:r>
        <w:rPr>
          <w:rFonts w:ascii="Times New Roman" w:hAnsi="Times New Roman" w:cs="Times New Roman"/>
          <w:sz w:val="20"/>
          <w:szCs w:val="20"/>
        </w:rPr>
        <w:t xml:space="preserve">Case M.9093 </w:t>
      </w:r>
      <w:r>
        <w:rPr>
          <w:rFonts w:ascii="Times New Roman" w:hAnsi="Times New Roman" w:cs="Times New Roman"/>
          <w:i/>
          <w:sz w:val="20"/>
          <w:szCs w:val="20"/>
        </w:rPr>
        <w:t>DP WORLD INVESTMENTS / UNIFEEDER</w:t>
      </w:r>
      <w:r>
        <w:rPr>
          <w:rFonts w:ascii="Times New Roman" w:hAnsi="Times New Roman" w:cs="Times New Roman"/>
          <w:sz w:val="20"/>
          <w:szCs w:val="20"/>
        </w:rPr>
        <w:t xml:space="preserve">, Commission decision of 4 December 2018, will become available at </w:t>
      </w:r>
      <w:hyperlink r:id="rId224" w:history="1">
        <w:r>
          <w:rPr>
            <w:rStyle w:val="Hyperlink"/>
            <w:rFonts w:ascii="Times New Roman" w:hAnsi="Times New Roman" w:cs="Times New Roman"/>
            <w:sz w:val="20"/>
            <w:szCs w:val="20"/>
          </w:rPr>
          <w:t>http://ec.europa.eu/competition/elojade/isef/index.cfm?fuseaction=dsp_merger_by_date</w:t>
        </w:r>
      </w:hyperlink>
      <w:r>
        <w:rPr>
          <w:rFonts w:ascii="Times New Roman" w:hAnsi="Times New Roman" w:cs="Times New Roman"/>
          <w:sz w:val="20"/>
          <w:szCs w:val="20"/>
        </w:rPr>
        <w:t xml:space="preserve">. </w:t>
      </w:r>
    </w:p>
  </w:footnote>
  <w:footnote w:id="331">
    <w:p w:rsidR="00320198" w:rsidRDefault="005C0948">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Communication from the Commission, </w:t>
      </w:r>
      <w:r>
        <w:rPr>
          <w:rFonts w:ascii="Times New Roman" w:hAnsi="Times New Roman"/>
          <w:i/>
        </w:rPr>
        <w:t>Community guidelines on State ai</w:t>
      </w:r>
      <w:r>
        <w:rPr>
          <w:rFonts w:ascii="Times New Roman" w:hAnsi="Times New Roman"/>
          <w:i/>
        </w:rPr>
        <w:t>d to maritime transport,</w:t>
      </w:r>
      <w:r>
        <w:rPr>
          <w:rFonts w:ascii="Times New Roman" w:hAnsi="Times New Roman"/>
        </w:rPr>
        <w:t xml:space="preserve"> OJ C 13, 17.01.2004, p. 3. See: </w:t>
      </w:r>
      <w:hyperlink r:id="rId225" w:history="1">
        <w:r>
          <w:rPr>
            <w:rStyle w:val="Hyperlink"/>
            <w:rFonts w:ascii="Times New Roman" w:hAnsi="Times New Roman"/>
          </w:rPr>
          <w:t>http://eur-lex.europa.eu/legalcontent/EN/ALL/?uri=CELEX:52004XC0117(01)</w:t>
        </w:r>
      </w:hyperlink>
      <w:r>
        <w:rPr>
          <w:rFonts w:ascii="Times New Roman" w:hAnsi="Times New Roman"/>
        </w:rPr>
        <w:t>.</w:t>
      </w:r>
    </w:p>
  </w:footnote>
  <w:footnote w:id="332">
    <w:p w:rsidR="00320198" w:rsidRDefault="005C0948">
      <w:pPr>
        <w:pStyle w:val="Default"/>
        <w:tabs>
          <w:tab w:val="left" w:pos="360"/>
        </w:tabs>
        <w:ind w:left="284" w:hanging="284"/>
        <w:rPr>
          <w:rFonts w:ascii="Times New Roman" w:hAnsi="Times New Roman" w:cs="Times New Roman"/>
          <w:sz w:val="20"/>
          <w:szCs w:val="20"/>
        </w:rPr>
      </w:pPr>
      <w:r>
        <w:rPr>
          <w:rFonts w:ascii="Times New Roman" w:hAnsi="Times New Roman" w:cs="Times New Roman"/>
          <w:color w:val="auto"/>
          <w:sz w:val="20"/>
          <w:szCs w:val="20"/>
          <w:vertAlign w:val="superscript"/>
          <w:lang w:eastAsia="en-US"/>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auto"/>
          <w:sz w:val="20"/>
          <w:szCs w:val="20"/>
          <w:lang w:eastAsia="en-US"/>
        </w:rPr>
        <w:t xml:space="preserve">Case SA.48929 (2018/N) - </w:t>
      </w:r>
      <w:r>
        <w:rPr>
          <w:rFonts w:ascii="Times New Roman" w:hAnsi="Times New Roman" w:cs="Times New Roman"/>
          <w:i/>
          <w:color w:val="auto"/>
          <w:sz w:val="20"/>
          <w:szCs w:val="20"/>
          <w:lang w:eastAsia="en-US"/>
        </w:rPr>
        <w:t>Portugal -</w:t>
      </w:r>
      <w:r>
        <w:rPr>
          <w:rFonts w:ascii="Times New Roman" w:hAnsi="Times New Roman" w:cs="Times New Roman"/>
          <w:i/>
          <w:color w:val="auto"/>
          <w:sz w:val="20"/>
          <w:szCs w:val="20"/>
          <w:lang w:eastAsia="en-US"/>
        </w:rPr>
        <w:t xml:space="preserve"> Tonnage Tax and Seafarer Scheme</w:t>
      </w:r>
      <w:r>
        <w:rPr>
          <w:rFonts w:ascii="Times New Roman" w:hAnsi="Times New Roman" w:cs="Times New Roman"/>
          <w:color w:val="auto"/>
          <w:sz w:val="20"/>
          <w:szCs w:val="20"/>
          <w:lang w:eastAsia="en-US"/>
        </w:rPr>
        <w:t xml:space="preserve">. See: </w:t>
      </w:r>
      <w:hyperlink r:id="rId226" w:history="1">
        <w:r>
          <w:rPr>
            <w:rStyle w:val="Hyperlink"/>
            <w:rFonts w:ascii="Times New Roman" w:hAnsi="Times New Roman" w:cs="Times New Roman"/>
            <w:sz w:val="20"/>
            <w:szCs w:val="20"/>
            <w:lang w:eastAsia="en-US"/>
          </w:rPr>
          <w:t>http://europa.eu/rapid/press-release_IP-18-2842_en.htm</w:t>
        </w:r>
      </w:hyperlink>
      <w:r>
        <w:rPr>
          <w:rFonts w:ascii="Times New Roman" w:hAnsi="Times New Roman" w:cs="Times New Roman"/>
          <w:color w:val="auto"/>
          <w:sz w:val="20"/>
          <w:szCs w:val="20"/>
          <w:lang w:eastAsia="en-US"/>
        </w:rPr>
        <w:t>.</w:t>
      </w:r>
    </w:p>
  </w:footnote>
  <w:footnote w:id="333">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Cases SA.48119 (2017/N) and SA.49523 (2017/N) – </w:t>
      </w:r>
      <w:r>
        <w:rPr>
          <w:rFonts w:ascii="Times New Roman" w:hAnsi="Times New Roman"/>
          <w:i/>
        </w:rPr>
        <w:t>Croatia –SGEI</w:t>
      </w:r>
      <w:r>
        <w:rPr>
          <w:rFonts w:ascii="Times New Roman" w:hAnsi="Times New Roman"/>
        </w:rPr>
        <w:t xml:space="preserve"> – scheduled coastal mariti</w:t>
      </w:r>
      <w:r>
        <w:rPr>
          <w:rFonts w:ascii="Times New Roman" w:hAnsi="Times New Roman"/>
        </w:rPr>
        <w:t xml:space="preserve">me public transport on the ferry routes Nos 431, 432, 632 and 635. See:  </w:t>
      </w:r>
      <w:hyperlink r:id="rId227" w:history="1">
        <w:r>
          <w:rPr>
            <w:rStyle w:val="Hyperlink"/>
            <w:rFonts w:ascii="Times New Roman" w:hAnsi="Times New Roman"/>
          </w:rPr>
          <w:t>http://ec.europa.eu/competition/elojade/isef/case_details.cfm?proc_code=3_SA_48119</w:t>
        </w:r>
      </w:hyperlink>
      <w:r>
        <w:rPr>
          <w:rStyle w:val="Hyperlink"/>
          <w:rFonts w:ascii="Times New Roman" w:hAnsi="Times New Roman"/>
        </w:rPr>
        <w:t>.</w:t>
      </w:r>
    </w:p>
    <w:p w:rsidR="00320198" w:rsidRDefault="005C0948">
      <w:pPr>
        <w:pStyle w:val="FootnoteText"/>
        <w:spacing w:after="0" w:line="240" w:lineRule="auto"/>
        <w:ind w:left="284"/>
        <w:jc w:val="both"/>
        <w:rPr>
          <w:rFonts w:ascii="Times New Roman" w:hAnsi="Times New Roman"/>
        </w:rPr>
      </w:pPr>
      <w:r>
        <w:rPr>
          <w:rFonts w:ascii="Times New Roman" w:hAnsi="Times New Roman"/>
        </w:rPr>
        <w:t xml:space="preserve">and </w:t>
      </w:r>
      <w:r>
        <w:rPr>
          <w:rStyle w:val="Hyperlink"/>
          <w:rFonts w:ascii="Times New Roman" w:hAnsi="Times New Roman"/>
        </w:rPr>
        <w:t xml:space="preserve">http://ec.europa.eu/competition/elojade/isef/case_details.cfm?proc_code=3_SA_49523. </w:t>
      </w:r>
    </w:p>
  </w:footnote>
  <w:footnote w:id="33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Case SA.45300 - Denmark</w:t>
      </w:r>
      <w:r>
        <w:rPr>
          <w:rFonts w:ascii="Times New Roman" w:hAnsi="Times New Roman"/>
          <w:i/>
        </w:rPr>
        <w:t xml:space="preserve"> - Amendment of the Danish Tonnage Tax scheme</w:t>
      </w:r>
      <w:r>
        <w:rPr>
          <w:rFonts w:ascii="Times New Roman" w:hAnsi="Times New Roman"/>
        </w:rPr>
        <w:t xml:space="preserve"> (Extension of the tonnage tax scheme to cover a number of specialized vessels). See: </w:t>
      </w:r>
      <w:r>
        <w:rPr>
          <w:rFonts w:ascii="Times New Roman" w:hAnsi="Times New Roman"/>
          <w:u w:val="single"/>
        </w:rPr>
        <w:t>http://</w:t>
      </w:r>
      <w:hyperlink r:id="rId228" w:history="1">
        <w:r>
          <w:rPr>
            <w:rFonts w:ascii="Times New Roman" w:hAnsi="Times New Roman"/>
            <w:u w:val="single"/>
          </w:rPr>
          <w:t xml:space="preserve">europa.eu/rapid/press-release_IP-18-6107_en.pdf.   </w:t>
        </w:r>
      </w:hyperlink>
    </w:p>
  </w:footnote>
  <w:footnote w:id="335">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SA. 46727 – The Netherlands - </w:t>
      </w:r>
      <w:r>
        <w:rPr>
          <w:rFonts w:ascii="Times New Roman" w:hAnsi="Times New Roman"/>
          <w:i/>
        </w:rPr>
        <w:t>Prolongation of the extension of reduced remittances for maritime navigation to commercial cruisin</w:t>
      </w:r>
      <w:r>
        <w:rPr>
          <w:rFonts w:ascii="Times New Roman" w:hAnsi="Times New Roman"/>
          <w:i/>
        </w:rPr>
        <w:t>g vessels</w:t>
      </w:r>
      <w:r>
        <w:rPr>
          <w:rFonts w:ascii="Times New Roman" w:hAnsi="Times New Roman"/>
        </w:rPr>
        <w:t xml:space="preserve">, Commission decision of 7 November 2018, OJ C 462 of 21 December 2018, p.1. </w:t>
      </w:r>
    </w:p>
  </w:footnote>
  <w:footnote w:id="336">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vertAlign w:val="superscript"/>
          <w:lang w:val="fr-BE"/>
        </w:rPr>
        <w:tab/>
      </w:r>
      <w:r>
        <w:rPr>
          <w:rFonts w:ascii="Times New Roman" w:hAnsi="Times New Roman"/>
          <w:lang w:val="fr-BE"/>
        </w:rPr>
        <w:t xml:space="preserve">Case SA. 46309 – France – </w:t>
      </w:r>
      <w:r>
        <w:rPr>
          <w:rFonts w:ascii="Times New Roman" w:hAnsi="Times New Roman"/>
          <w:i/>
          <w:lang w:val="fr-BE"/>
        </w:rPr>
        <w:t>Modification du régime d’allègement des charges sociales patronales des entreprises d’armement maritime</w:t>
      </w:r>
      <w:r>
        <w:rPr>
          <w:rFonts w:ascii="Times New Roman" w:hAnsi="Times New Roman"/>
          <w:lang w:val="fr-BE"/>
        </w:rPr>
        <w:t xml:space="preserve">, Commission decision of 20 December </w:t>
      </w:r>
      <w:r>
        <w:rPr>
          <w:rFonts w:ascii="Times New Roman" w:hAnsi="Times New Roman"/>
          <w:lang w:val="fr-BE"/>
        </w:rPr>
        <w:t xml:space="preserve">2018. </w:t>
      </w:r>
      <w:r>
        <w:rPr>
          <w:rFonts w:ascii="Times New Roman" w:hAnsi="Times New Roman"/>
        </w:rPr>
        <w:t xml:space="preserve">See: </w:t>
      </w:r>
      <w:hyperlink r:id="rId229" w:history="1">
        <w:r>
          <w:rPr>
            <w:rStyle w:val="Hyperlink"/>
            <w:rFonts w:ascii="Times New Roman" w:hAnsi="Times New Roman"/>
          </w:rPr>
          <w:t>http://europa.eu/rapid/midday-express-20-12-2018.htm</w:t>
        </w:r>
      </w:hyperlink>
      <w:r>
        <w:rPr>
          <w:rStyle w:val="Hyperlink"/>
          <w:rFonts w:ascii="Times New Roman" w:hAnsi="Times New Roman"/>
        </w:rPr>
        <w:t>.</w:t>
      </w:r>
      <w:r>
        <w:rPr>
          <w:rFonts w:ascii="Times New Roman" w:hAnsi="Times New Roman"/>
        </w:rPr>
        <w:t xml:space="preserve">  </w:t>
      </w:r>
    </w:p>
  </w:footnote>
  <w:footnote w:id="337">
    <w:p w:rsidR="00320198" w:rsidRDefault="005C0948">
      <w:pPr>
        <w:pStyle w:val="FootnoteText"/>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AT.40565 </w:t>
      </w:r>
      <w:r>
        <w:rPr>
          <w:rFonts w:ascii="Times New Roman" w:hAnsi="Times New Roman"/>
          <w:i/>
        </w:rPr>
        <w:t>ZSSK procedural case</w:t>
      </w:r>
      <w:r>
        <w:rPr>
          <w:rFonts w:ascii="Times New Roman" w:hAnsi="Times New Roman"/>
        </w:rPr>
        <w:t xml:space="preserve">. See: IP/18/5905 of 25 September 2018 </w:t>
      </w:r>
      <w:hyperlink r:id="rId230" w:history="1">
        <w:r>
          <w:rPr>
            <w:rStyle w:val="Hyperlink"/>
            <w:rFonts w:ascii="Times New Roman" w:hAnsi="Times New Roman"/>
          </w:rPr>
          <w:t>http://europa.eu/rapid/press-release_IP-18-5905_en.htm</w:t>
        </w:r>
      </w:hyperlink>
      <w:r>
        <w:rPr>
          <w:rFonts w:ascii="Times New Roman" w:hAnsi="Times New Roman"/>
        </w:rPr>
        <w:t xml:space="preserve">. </w:t>
      </w:r>
    </w:p>
  </w:footnote>
  <w:footnote w:id="338">
    <w:p w:rsidR="00320198" w:rsidRDefault="005C0948">
      <w:pPr>
        <w:pStyle w:val="FootnoteText"/>
        <w:tabs>
          <w:tab w:val="left" w:pos="360"/>
        </w:tabs>
        <w:spacing w:after="0" w:line="240" w:lineRule="auto"/>
        <w:ind w:left="284" w:hanging="284"/>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SA.49153 - Czechia - </w:t>
      </w:r>
      <w:r>
        <w:rPr>
          <w:rFonts w:ascii="Times New Roman" w:hAnsi="Times New Roman"/>
          <w:i/>
        </w:rPr>
        <w:t>Aid for intermodal transport units</w:t>
      </w:r>
      <w:r>
        <w:rPr>
          <w:rFonts w:ascii="Times New Roman" w:hAnsi="Times New Roman"/>
        </w:rPr>
        <w:t xml:space="preserve">, Commission decision of 15 May 2018, available at </w:t>
      </w:r>
      <w:hyperlink r:id="rId231" w:history="1">
        <w:r>
          <w:rPr>
            <w:rStyle w:val="Hyperlink"/>
            <w:rFonts w:ascii="Times New Roman" w:hAnsi="Times New Roman"/>
          </w:rPr>
          <w:t>http://ec.europa.eu/competition/elojade/isef/case_details.cfm?proc_code=3_SA_49153</w:t>
        </w:r>
      </w:hyperlink>
      <w:r>
        <w:rPr>
          <w:rFonts w:ascii="Times New Roman" w:hAnsi="Times New Roman"/>
        </w:rPr>
        <w:t>; Case</w:t>
      </w:r>
      <w:r>
        <w:rPr>
          <w:rFonts w:ascii="Times New Roman" w:hAnsi="Times New Roman"/>
          <w:u w:val="single"/>
        </w:rPr>
        <w:t xml:space="preserve"> </w:t>
      </w:r>
      <w:r>
        <w:rPr>
          <w:rFonts w:ascii="Times New Roman" w:hAnsi="Times New Roman"/>
        </w:rPr>
        <w:t xml:space="preserve"> SA.49518 - United Kingdom - </w:t>
      </w:r>
      <w:r>
        <w:rPr>
          <w:rFonts w:ascii="Times New Roman" w:hAnsi="Times New Roman"/>
          <w:i/>
        </w:rPr>
        <w:t>Freight Facilities Grant</w:t>
      </w:r>
      <w:r>
        <w:rPr>
          <w:rFonts w:ascii="Times New Roman" w:hAnsi="Times New Roman"/>
        </w:rPr>
        <w:t xml:space="preserve">, Commission decision of 15 October 2018, available at  </w:t>
      </w:r>
      <w:hyperlink r:id="rId232" w:history="1">
        <w:r>
          <w:rPr>
            <w:rStyle w:val="Hyperlink"/>
            <w:rFonts w:ascii="Times New Roman" w:hAnsi="Times New Roman"/>
          </w:rPr>
          <w:t>http://ec.europa.eu/competition/elojade/isef/case_details.cfm?proc_code=3_SA_49518</w:t>
        </w:r>
      </w:hyperlink>
      <w:r>
        <w:rPr>
          <w:rFonts w:ascii="Times New Roman" w:hAnsi="Times New Roman"/>
        </w:rPr>
        <w:t xml:space="preserve">; Case SA.49749 - Sweden - </w:t>
      </w:r>
      <w:r>
        <w:rPr>
          <w:rFonts w:ascii="Times New Roman" w:hAnsi="Times New Roman"/>
          <w:i/>
        </w:rPr>
        <w:t>Environmental compensation for rail freight transport,</w:t>
      </w:r>
      <w:r>
        <w:rPr>
          <w:rFonts w:ascii="Times New Roman" w:hAnsi="Times New Roman"/>
        </w:rPr>
        <w:t xml:space="preserve"> Commission</w:t>
      </w:r>
      <w:r>
        <w:rPr>
          <w:rFonts w:ascii="Times New Roman" w:hAnsi="Times New Roman"/>
        </w:rPr>
        <w:t xml:space="preserve"> decision of 20 April 2018, available at </w:t>
      </w:r>
      <w:hyperlink r:id="rId233" w:history="1">
        <w:r>
          <w:rPr>
            <w:rStyle w:val="Hyperlink"/>
            <w:rFonts w:ascii="Times New Roman" w:hAnsi="Times New Roman"/>
          </w:rPr>
          <w:t>http://ec.europa.eu/competition/elojade/isef/case_details.cfm?proc_code=3_SA_49749</w:t>
        </w:r>
      </w:hyperlink>
      <w:r>
        <w:rPr>
          <w:rFonts w:ascii="Times New Roman" w:hAnsi="Times New Roman"/>
        </w:rPr>
        <w:t xml:space="preserve">; Case SA.50165  - Germany - </w:t>
      </w:r>
      <w:r>
        <w:rPr>
          <w:rFonts w:ascii="Times New Roman" w:hAnsi="Times New Roman"/>
          <w:i/>
        </w:rPr>
        <w:t>Support for the promotion of energy efficiency in rail transport</w:t>
      </w:r>
      <w:r>
        <w:rPr>
          <w:rFonts w:ascii="Times New Roman" w:hAnsi="Times New Roman"/>
        </w:rPr>
        <w:t xml:space="preserve">, Commission decision of 26 July 2018, available at </w:t>
      </w:r>
      <w:hyperlink r:id="rId234" w:history="1">
        <w:r>
          <w:rPr>
            <w:rStyle w:val="Hyperlink"/>
            <w:rFonts w:ascii="Times New Roman" w:hAnsi="Times New Roman"/>
          </w:rPr>
          <w:t>http://ec.europa.eu/competition/elojade/i</w:t>
        </w:r>
        <w:r>
          <w:rPr>
            <w:rStyle w:val="Hyperlink"/>
            <w:rFonts w:ascii="Times New Roman" w:hAnsi="Times New Roman"/>
          </w:rPr>
          <w:t>sef/case_details.cfm?proc_code=3_SA_50165</w:t>
        </w:r>
      </w:hyperlink>
      <w:r>
        <w:rPr>
          <w:rFonts w:ascii="Times New Roman" w:hAnsi="Times New Roman"/>
        </w:rPr>
        <w:t xml:space="preserve">; Case SA.50217 - Sweden - </w:t>
      </w:r>
      <w:r>
        <w:rPr>
          <w:rFonts w:ascii="Times New Roman" w:hAnsi="Times New Roman"/>
          <w:i/>
        </w:rPr>
        <w:t>Swedish Eco-bonus scheme for short sea shipping and inland waterway transport,</w:t>
      </w:r>
      <w:r>
        <w:rPr>
          <w:rFonts w:ascii="Times New Roman" w:hAnsi="Times New Roman"/>
        </w:rPr>
        <w:t xml:space="preserve"> Commission decision of 9 November 2018, available at </w:t>
      </w:r>
      <w:hyperlink r:id="rId235" w:history="1">
        <w:r>
          <w:rPr>
            <w:rFonts w:ascii="Times New Roman" w:hAnsi="Times New Roman"/>
            <w:u w:val="single"/>
          </w:rPr>
          <w:t>http://ec.europa.eu/competition/elojade/isef/case_details.cfm?proc_code=3_SA_50217</w:t>
        </w:r>
      </w:hyperlink>
      <w:r>
        <w:rPr>
          <w:rFonts w:ascii="Times New Roman" w:hAnsi="Times New Roman"/>
        </w:rPr>
        <w:t xml:space="preserve">; Case SA.50395 - Germany - </w:t>
      </w:r>
      <w:r>
        <w:rPr>
          <w:rFonts w:ascii="Times New Roman" w:hAnsi="Times New Roman"/>
          <w:i/>
        </w:rPr>
        <w:t>Offshore-surcharge reduction for railway undertakings in Germany</w:t>
      </w:r>
      <w:r>
        <w:rPr>
          <w:rFonts w:ascii="Times New Roman" w:hAnsi="Times New Roman"/>
        </w:rPr>
        <w:t>, Commission decision of 27 March 2018,</w:t>
      </w:r>
      <w:r>
        <w:rPr>
          <w:rFonts w:ascii="Times New Roman" w:hAnsi="Times New Roman"/>
        </w:rPr>
        <w:t xml:space="preserve"> available at </w:t>
      </w:r>
      <w:hyperlink r:id="rId236" w:history="1">
        <w:r>
          <w:rPr>
            <w:rFonts w:ascii="Times New Roman" w:hAnsi="Times New Roman"/>
            <w:u w:val="single"/>
          </w:rPr>
          <w:t>http://ec.europa.eu/competition/elojade/isef/case_details.cfm?proc_code=3_SA_50395</w:t>
        </w:r>
      </w:hyperlink>
      <w:r>
        <w:rPr>
          <w:rFonts w:ascii="Times New Roman" w:hAnsi="Times New Roman"/>
        </w:rPr>
        <w:t xml:space="preserve">; Case  SA.50584 - Belgium - </w:t>
      </w:r>
      <w:r>
        <w:rPr>
          <w:rFonts w:ascii="Times New Roman" w:hAnsi="Times New Roman"/>
          <w:i/>
        </w:rPr>
        <w:t xml:space="preserve">Structural aid measure reducing </w:t>
      </w:r>
      <w:r>
        <w:rPr>
          <w:rFonts w:ascii="Times New Roman" w:hAnsi="Times New Roman"/>
          <w:i/>
        </w:rPr>
        <w:t>the cost disadvantage of bundling volumes transported by rail/inland waterways to and from Flemish seaports in order to promote a modal shift</w:t>
      </w:r>
      <w:r>
        <w:rPr>
          <w:rFonts w:ascii="Times New Roman" w:hAnsi="Times New Roman"/>
        </w:rPr>
        <w:t xml:space="preserve"> Commission decision of 24 October 2018, available at  </w:t>
      </w:r>
      <w:hyperlink r:id="rId237" w:history="1">
        <w:r>
          <w:rPr>
            <w:rFonts w:ascii="Times New Roman" w:hAnsi="Times New Roman"/>
            <w:u w:val="single"/>
          </w:rPr>
          <w:t>http://ec.europa.eu/competition/elojade/isef/case_details.cfm?proc_code=3_SA_50584</w:t>
        </w:r>
      </w:hyperlink>
      <w:r>
        <w:rPr>
          <w:rFonts w:ascii="Times New Roman" w:hAnsi="Times New Roman"/>
        </w:rPr>
        <w:t xml:space="preserve">. </w:t>
      </w:r>
    </w:p>
  </w:footnote>
  <w:footnote w:id="339">
    <w:p w:rsidR="00320198" w:rsidRDefault="005C0948">
      <w:pPr>
        <w:pStyle w:val="FootnoteText"/>
        <w:tabs>
          <w:tab w:val="left" w:pos="284"/>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SA.43549 - Alleged aid to CFR Marfa, Commission decision of 18 December 2017, available at </w:t>
      </w:r>
      <w:hyperlink r:id="rId238" w:history="1">
        <w:r>
          <w:rPr>
            <w:rStyle w:val="Hyperlink"/>
            <w:rFonts w:ascii="Times New Roman" w:hAnsi="Times New Roman"/>
          </w:rPr>
          <w:t>http://ec.europa.eu/competition/elojade/isef/case_details.cfm?proc_code=3_SA_43549</w:t>
        </w:r>
      </w:hyperlink>
      <w:r>
        <w:rPr>
          <w:rStyle w:val="Hyperlink"/>
          <w:rFonts w:ascii="Times New Roman" w:hAnsi="Times New Roman"/>
        </w:rPr>
        <w:t>;</w:t>
      </w:r>
      <w:r>
        <w:rPr>
          <w:rFonts w:ascii="Times New Roman" w:hAnsi="Times New Roman"/>
        </w:rPr>
        <w:t xml:space="preserve"> and IP/17/5345, see: </w:t>
      </w:r>
      <w:hyperlink r:id="rId239" w:history="1">
        <w:r>
          <w:rPr>
            <w:rStyle w:val="Hyperlink"/>
            <w:rFonts w:ascii="Times New Roman" w:hAnsi="Times New Roman"/>
          </w:rPr>
          <w:t>http://europa.</w:t>
        </w:r>
        <w:r>
          <w:rPr>
            <w:rStyle w:val="Hyperlink"/>
            <w:rFonts w:ascii="Times New Roman" w:hAnsi="Times New Roman"/>
          </w:rPr>
          <w:t>eu/rapid/press-release_IP-17-5345_en.htm</w:t>
        </w:r>
      </w:hyperlink>
      <w:r>
        <w:rPr>
          <w:rFonts w:ascii="Times New Roman" w:hAnsi="Times New Roman"/>
        </w:rPr>
        <w:t>.</w:t>
      </w:r>
    </w:p>
  </w:footnote>
  <w:footnote w:id="340">
    <w:p w:rsidR="00320198" w:rsidRDefault="005C0948">
      <w:pPr>
        <w:pStyle w:val="FootnoteText"/>
        <w:tabs>
          <w:tab w:val="left" w:pos="284"/>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Case SA.43127 </w:t>
      </w:r>
      <w:r>
        <w:rPr>
          <w:rFonts w:ascii="Times New Roman" w:hAnsi="Times New Roman"/>
          <w:i/>
        </w:rPr>
        <w:t>Restructuring of the Polish Regional Railways</w:t>
      </w:r>
      <w:r>
        <w:rPr>
          <w:rFonts w:ascii="Times New Roman" w:hAnsi="Times New Roman"/>
        </w:rPr>
        <w:t xml:space="preserve">, Commission decision of 23 January 2018, see: </w:t>
      </w:r>
      <w:hyperlink r:id="rId240" w:history="1">
        <w:r>
          <w:rPr>
            <w:rStyle w:val="Hyperlink"/>
            <w:rFonts w:ascii="Times New Roman" w:hAnsi="Times New Roman"/>
          </w:rPr>
          <w:t>http:/</w:t>
        </w:r>
        <w:r>
          <w:rPr>
            <w:rStyle w:val="Hyperlink"/>
            <w:rFonts w:ascii="Times New Roman" w:hAnsi="Times New Roman"/>
          </w:rPr>
          <w:t>/ec.europa.eu/competition/elojade/isef/case_details.cfm?proc_code=3_SA_43127</w:t>
        </w:r>
      </w:hyperlink>
      <w:r>
        <w:rPr>
          <w:rStyle w:val="Hyperlink"/>
          <w:rFonts w:ascii="Times New Roman" w:hAnsi="Times New Roman"/>
        </w:rPr>
        <w:t>;</w:t>
      </w:r>
      <w:r>
        <w:rPr>
          <w:rFonts w:ascii="Times New Roman" w:hAnsi="Times New Roman"/>
        </w:rPr>
        <w:t xml:space="preserve"> and IP/18/394, see: </w:t>
      </w:r>
      <w:hyperlink r:id="rId241" w:history="1">
        <w:r>
          <w:rPr>
            <w:rStyle w:val="Hyperlink"/>
            <w:rFonts w:ascii="Times New Roman" w:hAnsi="Times New Roman"/>
          </w:rPr>
          <w:t>http://europa.eu/rapid/press-release_IP-18-394_en.htm</w:t>
        </w:r>
      </w:hyperlink>
      <w:r>
        <w:rPr>
          <w:rFonts w:ascii="Times New Roman" w:hAnsi="Times New Roman"/>
        </w:rPr>
        <w:t>.</w:t>
      </w:r>
    </w:p>
  </w:footnote>
  <w:footnote w:id="341">
    <w:p w:rsidR="00320198" w:rsidRDefault="005C0948">
      <w:pPr>
        <w:pStyle w:val="FootnoteText"/>
        <w:tabs>
          <w:tab w:val="left" w:pos="360"/>
        </w:tabs>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Regulation (EC) No 1370/2007 o</w:t>
      </w:r>
      <w:r>
        <w:rPr>
          <w:rFonts w:ascii="Times New Roman" w:hAnsi="Times New Roman"/>
        </w:rPr>
        <w:t>f the European Parliament and the Council of 23 October 2007 on public passenger transport services by rail and by road and repealing Council Regulations (EEC) Nos. 1191/69 and 1107/70, OJ L 315, 3.12.2007, p. 1.</w:t>
      </w:r>
    </w:p>
  </w:footnote>
  <w:footnote w:id="342">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Judgement T720/16 </w:t>
      </w:r>
      <w:r>
        <w:rPr>
          <w:rFonts w:ascii="Times New Roman" w:hAnsi="Times New Roman"/>
          <w:i/>
        </w:rPr>
        <w:t>Arfea v Commission</w:t>
      </w:r>
      <w:r>
        <w:rPr>
          <w:rFonts w:ascii="Times New Roman" w:hAnsi="Times New Roman"/>
        </w:rPr>
        <w:t xml:space="preserve"> and</w:t>
      </w:r>
      <w:r>
        <w:rPr>
          <w:rFonts w:ascii="Times New Roman" w:hAnsi="Times New Roman"/>
        </w:rPr>
        <w:t xml:space="preserve"> Judgements T185/15 </w:t>
      </w:r>
      <w:r>
        <w:rPr>
          <w:rFonts w:ascii="Times New Roman" w:hAnsi="Times New Roman"/>
          <w:i/>
        </w:rPr>
        <w:t>Buonotourist v Commission</w:t>
      </w:r>
      <w:r>
        <w:rPr>
          <w:rFonts w:ascii="Times New Roman" w:hAnsi="Times New Roman"/>
        </w:rPr>
        <w:t xml:space="preserve"> and T186/15 </w:t>
      </w:r>
      <w:r>
        <w:rPr>
          <w:rFonts w:ascii="Times New Roman" w:hAnsi="Times New Roman"/>
          <w:i/>
        </w:rPr>
        <w:t>CSTP v Commission</w:t>
      </w:r>
      <w:r>
        <w:rPr>
          <w:rFonts w:ascii="Times New Roman" w:hAnsi="Times New Roman"/>
        </w:rPr>
        <w:t>.</w:t>
      </w:r>
    </w:p>
  </w:footnote>
  <w:footnote w:id="343">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SA.45281 (2017/N) and State Aid SA.44859 (2016/FC) – Czech Republic – </w:t>
      </w:r>
      <w:r>
        <w:rPr>
          <w:rFonts w:ascii="Times New Roman" w:hAnsi="Times New Roman"/>
          <w:i/>
        </w:rPr>
        <w:t xml:space="preserve">State compensations granted to Czech Post for the provision of the universal postal service over the </w:t>
      </w:r>
      <w:r>
        <w:rPr>
          <w:rFonts w:ascii="Times New Roman" w:hAnsi="Times New Roman"/>
          <w:i/>
        </w:rPr>
        <w:t>period 2013-2017</w:t>
      </w:r>
      <w:r>
        <w:rPr>
          <w:rFonts w:ascii="Times New Roman" w:hAnsi="Times New Roman"/>
        </w:rPr>
        <w:t>.</w:t>
      </w:r>
    </w:p>
  </w:footnote>
  <w:footnote w:id="344">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Case SA.47293 (2017/N) – Czech Republic – </w:t>
      </w:r>
      <w:r>
        <w:rPr>
          <w:rFonts w:ascii="Times New Roman" w:hAnsi="Times New Roman"/>
          <w:i/>
        </w:rPr>
        <w:t>State compensations granted to Czech Post for the provision of the Data Boxes Information System over the period 2018-2022</w:t>
      </w:r>
      <w:r>
        <w:rPr>
          <w:rFonts w:ascii="Times New Roman" w:hAnsi="Times New Roman"/>
        </w:rPr>
        <w:t>.</w:t>
      </w:r>
    </w:p>
  </w:footnote>
  <w:footnote w:id="345">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SA.47707 SA.47707(2018/N) – Denmark – </w:t>
      </w:r>
      <w:r>
        <w:rPr>
          <w:rFonts w:ascii="Times New Roman" w:hAnsi="Times New Roman"/>
          <w:i/>
        </w:rPr>
        <w:t xml:space="preserve">State compensations </w:t>
      </w:r>
      <w:r>
        <w:rPr>
          <w:rFonts w:ascii="Times New Roman" w:hAnsi="Times New Roman"/>
          <w:i/>
        </w:rPr>
        <w:t>granted to PostNord for the provision of the universal postal service</w:t>
      </w:r>
      <w:r>
        <w:rPr>
          <w:rFonts w:ascii="Times New Roman" w:hAnsi="Times New Roman"/>
        </w:rPr>
        <w:t xml:space="preserve">. See: </w:t>
      </w:r>
      <w:hyperlink r:id="rId242" w:history="1">
        <w:r>
          <w:rPr>
            <w:rStyle w:val="Hyperlink"/>
            <w:rFonts w:ascii="Times New Roman" w:hAnsi="Times New Roman"/>
          </w:rPr>
          <w:t>http://europa.eu/rapid/press-release_IP-18-3965_en.htm</w:t>
        </w:r>
      </w:hyperlink>
      <w:r>
        <w:rPr>
          <w:rStyle w:val="Hyperlink"/>
          <w:rFonts w:ascii="Times New Roman" w:hAnsi="Times New Roman"/>
        </w:rPr>
        <w:t>.</w:t>
      </w:r>
      <w:r>
        <w:rPr>
          <w:rFonts w:ascii="Times New Roman" w:hAnsi="Times New Roman"/>
        </w:rPr>
        <w:t xml:space="preserve"> </w:t>
      </w:r>
    </w:p>
  </w:footnote>
  <w:footnote w:id="346">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Case SA.37977 </w:t>
      </w:r>
      <w:r>
        <w:rPr>
          <w:rFonts w:ascii="Times New Roman" w:hAnsi="Times New Roman"/>
          <w:i/>
        </w:rPr>
        <w:t xml:space="preserve">Complaint regarding unlawful State </w:t>
      </w:r>
      <w:r>
        <w:rPr>
          <w:rFonts w:ascii="Times New Roman" w:hAnsi="Times New Roman"/>
          <w:i/>
        </w:rPr>
        <w:t>aid in favour of Sociedad Estatal Correos y Telégrafos, S.A</w:t>
      </w:r>
      <w:r>
        <w:rPr>
          <w:rFonts w:ascii="Times New Roman" w:hAnsi="Times New Roman"/>
        </w:rPr>
        <w:t xml:space="preserve">. See: </w:t>
      </w:r>
      <w:hyperlink r:id="rId243" w:history="1">
        <w:r>
          <w:rPr>
            <w:rStyle w:val="Hyperlink"/>
            <w:rFonts w:ascii="Times New Roman" w:hAnsi="Times New Roman"/>
          </w:rPr>
          <w:t>http://europa.eu/rapid/press-release_IP-18-4444_en.htm</w:t>
        </w:r>
      </w:hyperlink>
      <w:r>
        <w:rPr>
          <w:rStyle w:val="Hyperlink"/>
          <w:rFonts w:ascii="Times New Roman" w:hAnsi="Times New Roman"/>
        </w:rPr>
        <w:t>.</w:t>
      </w:r>
      <w:r>
        <w:rPr>
          <w:rFonts w:ascii="Times New Roman" w:hAnsi="Times New Roman"/>
        </w:rPr>
        <w:t xml:space="preserve">  </w:t>
      </w:r>
    </w:p>
  </w:footnote>
  <w:footnote w:id="347">
    <w:p w:rsidR="00320198" w:rsidRDefault="005C0948">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See: </w:t>
      </w:r>
      <w:hyperlink r:id="rId244" w:history="1">
        <w:r>
          <w:rPr>
            <w:rStyle w:val="Hyperlink"/>
            <w:rFonts w:ascii="Times New Roman" w:hAnsi="Times New Roman"/>
          </w:rPr>
          <w:t>http://europa.eu/rapid/press-release_MEMO-18-6247_en.htm</w:t>
        </w:r>
      </w:hyperlink>
      <w:r>
        <w:rPr>
          <w:rStyle w:val="Hyperlink"/>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48" w:rsidRPr="005C0948" w:rsidRDefault="005C0948" w:rsidP="005C0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48" w:rsidRPr="005C0948" w:rsidRDefault="005C0948" w:rsidP="005C094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48" w:rsidRPr="005C0948" w:rsidRDefault="005C0948" w:rsidP="005C094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98" w:rsidRDefault="003201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98" w:rsidRDefault="00320198">
    <w:pPr>
      <w:pStyle w:val="Header"/>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98" w:rsidRDefault="003201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98" w:rsidRDefault="003201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98" w:rsidRDefault="00320198">
    <w:pPr>
      <w:pStyle w:val="Header"/>
      <w:rPr>
        <w:lang w:val="fr-B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98" w:rsidRDefault="00320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74"/>
    <w:multiLevelType w:val="hybridMultilevel"/>
    <w:tmpl w:val="AC420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D20CF1"/>
    <w:multiLevelType w:val="hybridMultilevel"/>
    <w:tmpl w:val="28A2328A"/>
    <w:lvl w:ilvl="0" w:tplc="DD662B4A">
      <w:start w:val="1"/>
      <w:numFmt w:val="lowerLetter"/>
      <w:lvlText w:val="%1)"/>
      <w:lvlJc w:val="left"/>
      <w:pPr>
        <w:ind w:left="1444" w:hanging="7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8484436"/>
    <w:multiLevelType w:val="multilevel"/>
    <w:tmpl w:val="FFE6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F1FC6"/>
    <w:multiLevelType w:val="hybridMultilevel"/>
    <w:tmpl w:val="7348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577F"/>
    <w:multiLevelType w:val="hybridMultilevel"/>
    <w:tmpl w:val="E9E0BE5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5" w15:restartNumberingAfterBreak="0">
    <w:nsid w:val="327157C6"/>
    <w:multiLevelType w:val="multilevel"/>
    <w:tmpl w:val="28582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EBF77AB"/>
    <w:multiLevelType w:val="hybridMultilevel"/>
    <w:tmpl w:val="832E0A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455EA"/>
    <w:multiLevelType w:val="multilevel"/>
    <w:tmpl w:val="82BCD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364ED4"/>
    <w:multiLevelType w:val="multilevel"/>
    <w:tmpl w:val="577A4A90"/>
    <w:lvl w:ilvl="0">
      <w:start w:val="1"/>
      <w:numFmt w:val="decimal"/>
      <w:pStyle w:val="ListNumber"/>
      <w:lvlText w:val="(%1)"/>
      <w:lvlJc w:val="left"/>
      <w:pPr>
        <w:tabs>
          <w:tab w:val="num" w:pos="993"/>
        </w:tabs>
        <w:ind w:left="993" w:hanging="709"/>
      </w:pPr>
      <w:rPr>
        <w:rFonts w:ascii="Times New Roman" w:hAnsi="Times New Roman" w:cs="Times New Roman" w:hint="default"/>
        <w:i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7E515C0"/>
    <w:multiLevelType w:val="multilevel"/>
    <w:tmpl w:val="5E122C2C"/>
    <w:lvl w:ilvl="0">
      <w:start w:val="1"/>
      <w:numFmt w:val="decimal"/>
      <w:lvlText w:val="%1."/>
      <w:lvlJc w:val="left"/>
      <w:pPr>
        <w:ind w:left="720"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0" w15:restartNumberingAfterBreak="0">
    <w:nsid w:val="70CA52CE"/>
    <w:multiLevelType w:val="hybridMultilevel"/>
    <w:tmpl w:val="E7869B40"/>
    <w:lvl w:ilvl="0" w:tplc="12326016">
      <w:start w:val="1"/>
      <w:numFmt w:val="bullet"/>
      <w:lvlText w:val="­"/>
      <w:lvlJc w:val="left"/>
      <w:pPr>
        <w:ind w:left="720" w:hanging="360"/>
      </w:pPr>
      <w:rPr>
        <w:rFonts w:ascii="Sylfaen" w:hAnsi="Sylfae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1232C"/>
    <w:multiLevelType w:val="hybridMultilevel"/>
    <w:tmpl w:val="2EA276C0"/>
    <w:lvl w:ilvl="0" w:tplc="8648D84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65050"/>
    <w:multiLevelType w:val="hybridMultilevel"/>
    <w:tmpl w:val="6494F564"/>
    <w:lvl w:ilvl="0" w:tplc="040B000F">
      <w:start w:val="1"/>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num w:numId="1">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0"/>
  </w:num>
  <w:num w:numId="5">
    <w:abstractNumId w:val="4"/>
  </w:num>
  <w:num w:numId="6">
    <w:abstractNumId w:val="11"/>
  </w:num>
  <w:num w:numId="7">
    <w:abstractNumId w:val="2"/>
  </w:num>
  <w:num w:numId="8">
    <w:abstractNumId w:val="3"/>
  </w:num>
  <w:num w:numId="9">
    <w:abstractNumId w:val="7"/>
  </w:num>
  <w:num w:numId="10">
    <w:abstractNumId w:val="1"/>
  </w:num>
  <w:num w:numId="11">
    <w:abstractNumId w:val="9"/>
  </w:num>
  <w:num w:numId="12">
    <w:abstractNumId w:val="12"/>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CORRIGENDUM_x000b_This document corrects document SWD(2019) 297 final accompanying COM(2019) 339 final of 15.07.2019_x000b_Concerns the English language version._x000b_Modification of text on p. 23 (first paragraph) and update of the first graph on p. 24 (GBER State aid expenditure by objective)._x000b_Modifications in footnotes 94, 133, 176 and 177._x000b__x000b_The text shall read as follows:"/>
    <w:docVar w:name="LW_COVERPAGE_EXISTS" w:val="True"/>
    <w:docVar w:name="LW_COVERPAGE_GUID" w:val="863A73E8-8C5A-4B06-9550-1EE96C286ACB"/>
    <w:docVar w:name="LW_COVERPAGE_TYPE" w:val="1"/>
    <w:docVar w:name="LW_CROSSREFERENCE" w:val="{COM(2019) 339 final}"/>
    <w:docVar w:name="LW_DocType" w:val="NORMAL"/>
    <w:docVar w:name="LW_EMISSION" w:val="14.10.2019"/>
    <w:docVar w:name="LW_EMISSION_ISODATE" w:val="2019-10-1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Report on Competition Policy 2018"/>
    <w:docVar w:name="LW_PART_NBR" w:val="1"/>
    <w:docVar w:name="LW_PART_NBR_TOTAL" w:val="1"/>
    <w:docVar w:name="LW_REF.INST.NEW" w:val="SWD"/>
    <w:docVar w:name="LW_REF.INST.NEW_ADOPTED" w:val="final/2"/>
    <w:docVar w:name="LW_REF.INST.NEW_TEXT" w:val="(2019) 2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THE COUNCIL, THE EUROPEAN ECONOMIC AND SOCIAL COMMITTEE AND THE COMMITTEE OF THE REGIONS"/>
  </w:docVars>
  <w:rsids>
    <w:rsidRoot w:val="00320198"/>
    <w:rsid w:val="00320198"/>
    <w:rsid w:val="005C09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FA19B8-A8C7-497B-B03D-AD8ADBC1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autoRedefine/>
    <w:qFormat/>
    <w:pPr>
      <w:keepNext/>
      <w:spacing w:before="200" w:line="240" w:lineRule="auto"/>
      <w:ind w:left="181"/>
      <w:jc w:val="center"/>
      <w:outlineLvl w:val="1"/>
    </w:pPr>
    <w:rPr>
      <w:rFonts w:ascii="Times New Roman" w:hAnsi="Times New Roman"/>
      <w:b/>
      <w:bCs/>
      <w:iCs/>
      <w:noProof/>
      <w:sz w:val="24"/>
      <w:szCs w:val="24"/>
      <w:lang w:val="en-US"/>
    </w:rPr>
  </w:style>
  <w:style w:type="paragraph" w:styleId="Heading3">
    <w:name w:val="heading 3"/>
    <w:basedOn w:val="Normal"/>
    <w:next w:val="Normal"/>
    <w:link w:val="Heading3Char"/>
    <w:qFormat/>
    <w:pPr>
      <w:keepNext/>
      <w:spacing w:line="240" w:lineRule="auto"/>
      <w:ind w:left="360"/>
      <w:outlineLvl w:val="2"/>
    </w:pPr>
    <w:rPr>
      <w:rFonts w:ascii="Times New Roman" w:eastAsia="Times New Roman" w:hAnsi="Times New Roman"/>
      <w:b/>
      <w:bCs/>
      <w:noProof/>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Times New Roman" w:hAnsi="Times New Roman"/>
      <w:b/>
      <w:bCs/>
      <w:iCs/>
      <w:noProof/>
      <w:sz w:val="24"/>
      <w:szCs w:val="24"/>
      <w:lang w:val="en-US" w:eastAsia="en-US"/>
    </w:rPr>
  </w:style>
  <w:style w:type="character" w:customStyle="1" w:styleId="Heading3Char">
    <w:name w:val="Heading 3 Char"/>
    <w:basedOn w:val="DefaultParagraphFont"/>
    <w:link w:val="Heading3"/>
    <w:rPr>
      <w:rFonts w:ascii="Times New Roman" w:eastAsia="Times New Roman" w:hAnsi="Times New Roman"/>
      <w:b/>
      <w:bCs/>
      <w:noProof/>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r,Voetnootteks,fn,f"/>
    <w:basedOn w:val="Normal"/>
    <w:link w:val="FootnoteTextChar"/>
    <w:uiPriority w:val="99"/>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basedOn w:val="DefaultParagraphFont"/>
    <w:link w:val="FootnoteText"/>
    <w:uiPriority w:val="99"/>
    <w:rPr>
      <w:lang w:eastAsia="en-US"/>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Body">
    <w:name w:val="Body"/>
    <w:rPr>
      <w:rFonts w:ascii="Helvetica" w:eastAsia="ヒラギノ角ゴ Pro W3" w:hAnsi="Helvetica"/>
      <w:color w:val="000000"/>
      <w:sz w:val="24"/>
      <w:lang w:val="en-US"/>
    </w:rPr>
  </w:style>
  <w:style w:type="paragraph" w:customStyle="1" w:styleId="FreeForm">
    <w:name w:val="Free Form"/>
    <w:rPr>
      <w:rFonts w:ascii="Helvetica" w:eastAsia="ヒラギノ角ゴ Pro W3" w:hAnsi="Helvetica"/>
      <w:color w:val="000000"/>
      <w:sz w:val="24"/>
      <w:lang w:val="en-US"/>
    </w:rPr>
  </w:style>
  <w:style w:type="paragraph" w:styleId="ListParagraph">
    <w:name w:val="List Paragraph"/>
    <w:basedOn w:val="Normal"/>
    <w:uiPriority w:val="34"/>
    <w:qFormat/>
    <w:pPr>
      <w:spacing w:after="0" w:line="240" w:lineRule="auto"/>
      <w:ind w:left="720"/>
    </w:pPr>
    <w:rPr>
      <w:rFonts w:cs="Calibri"/>
    </w:rPr>
  </w:style>
  <w:style w:type="character" w:styleId="Hyperlink">
    <w:name w:val="Hyperlink"/>
    <w:uiPriority w:val="99"/>
    <w:unhideWhenUsed/>
    <w:rPr>
      <w:color w:val="0000FF"/>
      <w:u w:val="single"/>
    </w:rPr>
  </w:style>
  <w:style w:type="character" w:customStyle="1" w:styleId="at2">
    <w:name w:val="a__t2"/>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uiPriority w:val="99"/>
    <w:pPr>
      <w:spacing w:after="160" w:line="240" w:lineRule="exact"/>
    </w:pPr>
    <w:rPr>
      <w:sz w:val="20"/>
      <w:szCs w:val="20"/>
      <w:vertAlign w:val="superscript"/>
      <w:lang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2"/>
      <w:szCs w:val="22"/>
      <w:lang w:eastAsia="en-US"/>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at4">
    <w:name w:val="a__t4"/>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lang w:eastAsia="en-GB"/>
    </w:rPr>
  </w:style>
  <w:style w:type="character" w:customStyle="1" w:styleId="at1">
    <w:name w:val="a__t1"/>
  </w:style>
  <w:style w:type="character" w:customStyle="1" w:styleId="at7">
    <w:name w:val="a__t7"/>
  </w:style>
  <w:style w:type="character" w:customStyle="1" w:styleId="at5">
    <w:name w:val="a__t5"/>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at31">
    <w:name w:val="a__t31"/>
    <w:rPr>
      <w:i/>
      <w:iCs/>
    </w:rPr>
  </w:style>
  <w:style w:type="paragraph" w:customStyle="1" w:styleId="a3520normalp7">
    <w:name w:val="a__35__20_normal_p7"/>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st">
    <w:name w:val="st"/>
  </w:style>
  <w:style w:type="character" w:styleId="Emphasis">
    <w:name w:val="Emphasis"/>
    <w:uiPriority w:val="20"/>
    <w:qFormat/>
    <w:rPr>
      <w:i/>
      <w:iCs/>
    </w:rPr>
  </w:style>
  <w:style w:type="paragraph" w:customStyle="1" w:styleId="aa5f5f5f355f5f205fnormalp10">
    <w:name w:val="a_a_5f__5f__5f_35_5f__5f_20_5f_normal_p10"/>
    <w:basedOn w:val="Normal"/>
    <w:pPr>
      <w:spacing w:after="120" w:line="240" w:lineRule="auto"/>
      <w:jc w:val="both"/>
    </w:pPr>
    <w:rPr>
      <w:rFonts w:ascii="Times New Roman" w:eastAsia="Times New Roman" w:hAnsi="Times New Roman"/>
      <w:sz w:val="24"/>
      <w:szCs w:val="24"/>
      <w:lang w:eastAsia="en-GB"/>
    </w:rPr>
  </w:style>
  <w:style w:type="paragraph" w:customStyle="1" w:styleId="aa5f5f5f355f5f205fnormalp11">
    <w:name w:val="a_a_5f__5f__5f_35_5f__5f_20_5f_normal_p11"/>
    <w:basedOn w:val="Normal"/>
    <w:pPr>
      <w:spacing w:after="120" w:line="240" w:lineRule="auto"/>
      <w:jc w:val="both"/>
    </w:pPr>
    <w:rPr>
      <w:rFonts w:ascii="Times New Roman" w:eastAsia="Times New Roman" w:hAnsi="Times New Roman"/>
      <w:sz w:val="24"/>
      <w:szCs w:val="24"/>
      <w:lang w:eastAsia="en-GB"/>
    </w:rPr>
  </w:style>
  <w:style w:type="character" w:customStyle="1" w:styleId="at3">
    <w:name w:val="a__t3"/>
  </w:style>
  <w:style w:type="character" w:customStyle="1" w:styleId="at81">
    <w:name w:val="a__t81"/>
    <w:rPr>
      <w:i/>
      <w:iCs/>
    </w:rPr>
  </w:style>
  <w:style w:type="character" w:customStyle="1" w:styleId="at6">
    <w:name w:val="a__t6"/>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
    <w:locked/>
    <w:rPr>
      <w:rFonts w:ascii="Verdana" w:eastAsia="Times New Roman" w:hAnsi="Verdana"/>
      <w:spacing w:val="-2"/>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 w:val="22"/>
      <w:szCs w:val="24"/>
      <w:lang w:eastAsia="en-US"/>
    </w:rPr>
  </w:style>
  <w:style w:type="character" w:customStyle="1" w:styleId="affairetitle">
    <w:name w:val="affaire_title"/>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footnote20symbol1">
    <w:name w:val="a__footnote_20_symbol1"/>
    <w:rPr>
      <w:b/>
      <w:bC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1">
    <w:name w:val="toc 1"/>
    <w:basedOn w:val="Normal"/>
    <w:next w:val="Normal"/>
    <w:autoRedefine/>
    <w:uiPriority w:val="39"/>
    <w:unhideWhenUsed/>
    <w:pPr>
      <w:tabs>
        <w:tab w:val="left" w:pos="440"/>
        <w:tab w:val="right" w:leader="dot" w:pos="9062"/>
      </w:tabs>
      <w:spacing w:line="264" w:lineRule="auto"/>
      <w:jc w:val="center"/>
    </w:p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NoSpacing">
    <w:name w:val="No Spacing"/>
    <w:uiPriority w:val="1"/>
    <w:qFormat/>
    <w:rPr>
      <w:sz w:val="22"/>
      <w:szCs w:val="22"/>
      <w:lang w:eastAsia="en-US"/>
    </w:rPr>
  </w:style>
  <w:style w:type="character" w:customStyle="1" w:styleId="Corpsdutexte">
    <w:name w:val="Corps du texte_"/>
    <w:uiPriority w:val="99"/>
    <w:locked/>
    <w:rPr>
      <w:sz w:val="23"/>
      <w:szCs w:val="23"/>
      <w:shd w:val="clear" w:color="auto" w:fill="FFFFFF"/>
    </w:rPr>
  </w:style>
  <w:style w:type="paragraph" w:customStyle="1" w:styleId="Corpsdutexte1">
    <w:name w:val="Corps du texte1"/>
    <w:basedOn w:val="Normal"/>
    <w:uiPriority w:val="99"/>
    <w:pPr>
      <w:widowControl w:val="0"/>
      <w:shd w:val="clear" w:color="auto" w:fill="FFFFFF"/>
      <w:spacing w:after="1380" w:line="274" w:lineRule="exact"/>
    </w:pPr>
    <w:rPr>
      <w:sz w:val="23"/>
      <w:szCs w:val="23"/>
      <w:lang w:eastAsia="en-GB"/>
    </w:rPr>
  </w:style>
  <w:style w:type="character" w:customStyle="1" w:styleId="outputecliaff">
    <w:name w:val="outputecliaff"/>
  </w:style>
  <w:style w:type="paragraph" w:customStyle="1" w:styleId="Pa9">
    <w:name w:val="Pa9"/>
    <w:basedOn w:val="Normal"/>
    <w:next w:val="Normal"/>
    <w:uiPriority w:val="99"/>
    <w:pPr>
      <w:autoSpaceDE w:val="0"/>
      <w:autoSpaceDN w:val="0"/>
      <w:adjustRightInd w:val="0"/>
      <w:spacing w:after="0" w:line="201" w:lineRule="atLeast"/>
    </w:pPr>
    <w:rPr>
      <w:rFonts w:ascii="Minion Pro" w:hAnsi="Minion Pro"/>
      <w:sz w:val="24"/>
      <w:szCs w:val="24"/>
      <w:lang w:eastAsia="en-GB"/>
    </w:rPr>
  </w:style>
  <w:style w:type="paragraph" w:customStyle="1" w:styleId="astandardp3">
    <w:name w:val="a_standard_p3"/>
    <w:basedOn w:val="Normal"/>
    <w:pPr>
      <w:spacing w:before="100" w:beforeAutospacing="1" w:after="100" w:afterAutospacing="1" w:line="240" w:lineRule="auto"/>
      <w:jc w:val="both"/>
    </w:pPr>
    <w:rPr>
      <w:rFonts w:ascii="Times New Roman" w:eastAsia="Times New Roman" w:hAnsi="Times New Roman"/>
      <w:sz w:val="24"/>
      <w:szCs w:val="24"/>
      <w:lang w:eastAsia="en-GB"/>
    </w:rPr>
  </w:style>
  <w:style w:type="character" w:customStyle="1" w:styleId="aa5f5ft8">
    <w:name w:val="a__a_5f__5f_t8"/>
  </w:style>
  <w:style w:type="character" w:customStyle="1" w:styleId="aa5f5ft9">
    <w:name w:val="a__a_5f__5f_t9"/>
  </w:style>
  <w:style w:type="paragraph" w:styleId="Subtitle">
    <w:name w:val="Subtitle"/>
    <w:basedOn w:val="Normal"/>
    <w:next w:val="Normal"/>
    <w:link w:val="SubtitleChar"/>
    <w:uiPriority w:val="11"/>
    <w:qFormat/>
    <w:pPr>
      <w:numPr>
        <w:ilvl w:val="1"/>
      </w:numPr>
      <w:spacing w:line="240" w:lineRule="auto"/>
      <w:ind w:left="600"/>
      <w:jc w:val="both"/>
    </w:pPr>
    <w:rPr>
      <w:rFonts w:eastAsia="Times New Roman"/>
      <w:i/>
      <w:iCs/>
      <w:sz w:val="24"/>
      <w:szCs w:val="24"/>
    </w:rPr>
  </w:style>
  <w:style w:type="character" w:customStyle="1" w:styleId="SubtitleChar">
    <w:name w:val="Subtitle Char"/>
    <w:basedOn w:val="DefaultParagraphFont"/>
    <w:link w:val="Subtitle"/>
    <w:uiPriority w:val="11"/>
    <w:rPr>
      <w:rFonts w:eastAsia="Times New Roman"/>
      <w:i/>
      <w:iCs/>
      <w:sz w:val="24"/>
      <w:szCs w:val="24"/>
      <w:lang w:eastAsia="en-US"/>
    </w:rPr>
  </w:style>
  <w:style w:type="table" w:styleId="LightShading-Accent2">
    <w:name w:val="Light Shading Accent 2"/>
    <w:basedOn w:val="TableNormal"/>
    <w:uiPriority w:val="60"/>
    <w:rPr>
      <w:color w:val="943634"/>
      <w:lang w:val="it-IT" w:eastAsia="it-I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Number">
    <w:name w:val="List Number"/>
    <w:basedOn w:val="Normal"/>
    <w:semiHidden/>
    <w:unhideWhenUsed/>
    <w:pPr>
      <w:numPr>
        <w:numId w:val="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
      </w:numPr>
      <w:spacing w:after="240" w:line="240" w:lineRule="auto"/>
      <w:jc w:val="both"/>
    </w:pPr>
    <w:rPr>
      <w:rFonts w:ascii="Times New Roman" w:eastAsia="Times New Roman" w:hAnsi="Times New Roman"/>
      <w:sz w:val="24"/>
      <w:szCs w:val="20"/>
    </w:rPr>
  </w:style>
  <w:style w:type="character" w:customStyle="1" w:styleId="at11">
    <w:name w:val="a__t11"/>
    <w:rPr>
      <w:i/>
      <w:iC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character" w:customStyle="1" w:styleId="outputecli">
    <w:name w:val="outputecli"/>
    <w:basedOn w:val="DefaultParagraphFont"/>
  </w:style>
  <w:style w:type="character" w:customStyle="1" w:styleId="st1">
    <w:name w:val="st1"/>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0">
    <w:name w:val="corpsdutexte"/>
    <w:basedOn w:val="DefaultParagraphFont"/>
  </w:style>
  <w:style w:type="numbering" w:customStyle="1" w:styleId="NoList1">
    <w:name w:val="No List1"/>
    <w:next w:val="NoList"/>
    <w:uiPriority w:val="99"/>
    <w:semiHidden/>
    <w:unhideWhenUsed/>
  </w:style>
  <w:style w:type="table" w:customStyle="1" w:styleId="LightShading-Accent21">
    <w:name w:val="Light Shading - Accent 21"/>
    <w:basedOn w:val="TableNormal"/>
    <w:next w:val="LightShading-Accent2"/>
    <w:uiPriority w:val="60"/>
    <w:rPr>
      <w:color w:val="943634"/>
      <w:lang w:val="it-IT" w:eastAsia="it-I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02alineaalta">
    <w:name w:val="c02alineaalta"/>
    <w:basedOn w:val="Normal"/>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rPr>
      <w:b w:val="0"/>
      <w:bCs w:val="0"/>
      <w:i w:val="0"/>
      <w:iCs w:val="0"/>
      <w:smallCaps w:val="0"/>
      <w:strike w:val="0"/>
      <w:sz w:val="19"/>
      <w:szCs w:val="19"/>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styleId="HTMLCite">
    <w:name w:val="HTML Cite"/>
    <w:basedOn w:val="DefaultParagraphFont"/>
    <w:uiPriority w:val="99"/>
    <w:semiHidden/>
    <w:unhideWhenUsed/>
    <w:rPr>
      <w:i/>
      <w:iCs/>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w:basedOn w:val="DefaultParagraphFont"/>
    <w:uiPriority w:val="99"/>
    <w:semiHidden/>
    <w:unhideWhenUsed/>
    <w:qFormat/>
    <w:rPr>
      <w:vertAlign w:val="superscript"/>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969">
      <w:bodyDiv w:val="1"/>
      <w:marLeft w:val="0"/>
      <w:marRight w:val="0"/>
      <w:marTop w:val="0"/>
      <w:marBottom w:val="0"/>
      <w:divBdr>
        <w:top w:val="none" w:sz="0" w:space="0" w:color="auto"/>
        <w:left w:val="none" w:sz="0" w:space="0" w:color="auto"/>
        <w:bottom w:val="none" w:sz="0" w:space="0" w:color="auto"/>
        <w:right w:val="none" w:sz="0" w:space="0" w:color="auto"/>
      </w:divBdr>
    </w:div>
    <w:div w:id="51199255">
      <w:bodyDiv w:val="1"/>
      <w:marLeft w:val="0"/>
      <w:marRight w:val="0"/>
      <w:marTop w:val="0"/>
      <w:marBottom w:val="0"/>
      <w:divBdr>
        <w:top w:val="none" w:sz="0" w:space="0" w:color="auto"/>
        <w:left w:val="none" w:sz="0" w:space="0" w:color="auto"/>
        <w:bottom w:val="none" w:sz="0" w:space="0" w:color="auto"/>
        <w:right w:val="none" w:sz="0" w:space="0" w:color="auto"/>
      </w:divBdr>
    </w:div>
    <w:div w:id="70349736">
      <w:bodyDiv w:val="1"/>
      <w:marLeft w:val="0"/>
      <w:marRight w:val="0"/>
      <w:marTop w:val="0"/>
      <w:marBottom w:val="0"/>
      <w:divBdr>
        <w:top w:val="none" w:sz="0" w:space="0" w:color="auto"/>
        <w:left w:val="none" w:sz="0" w:space="0" w:color="auto"/>
        <w:bottom w:val="none" w:sz="0" w:space="0" w:color="auto"/>
        <w:right w:val="none" w:sz="0" w:space="0" w:color="auto"/>
      </w:divBdr>
    </w:div>
    <w:div w:id="73020009">
      <w:bodyDiv w:val="1"/>
      <w:marLeft w:val="0"/>
      <w:marRight w:val="0"/>
      <w:marTop w:val="0"/>
      <w:marBottom w:val="0"/>
      <w:divBdr>
        <w:top w:val="none" w:sz="0" w:space="0" w:color="auto"/>
        <w:left w:val="none" w:sz="0" w:space="0" w:color="auto"/>
        <w:bottom w:val="none" w:sz="0" w:space="0" w:color="auto"/>
        <w:right w:val="none" w:sz="0" w:space="0" w:color="auto"/>
      </w:divBdr>
    </w:div>
    <w:div w:id="93210872">
      <w:bodyDiv w:val="1"/>
      <w:marLeft w:val="0"/>
      <w:marRight w:val="0"/>
      <w:marTop w:val="0"/>
      <w:marBottom w:val="0"/>
      <w:divBdr>
        <w:top w:val="none" w:sz="0" w:space="0" w:color="auto"/>
        <w:left w:val="none" w:sz="0" w:space="0" w:color="auto"/>
        <w:bottom w:val="none" w:sz="0" w:space="0" w:color="auto"/>
        <w:right w:val="none" w:sz="0" w:space="0" w:color="auto"/>
      </w:divBdr>
    </w:div>
    <w:div w:id="97529303">
      <w:bodyDiv w:val="1"/>
      <w:marLeft w:val="0"/>
      <w:marRight w:val="0"/>
      <w:marTop w:val="0"/>
      <w:marBottom w:val="0"/>
      <w:divBdr>
        <w:top w:val="none" w:sz="0" w:space="0" w:color="auto"/>
        <w:left w:val="none" w:sz="0" w:space="0" w:color="auto"/>
        <w:bottom w:val="none" w:sz="0" w:space="0" w:color="auto"/>
        <w:right w:val="none" w:sz="0" w:space="0" w:color="auto"/>
      </w:divBdr>
    </w:div>
    <w:div w:id="205530703">
      <w:bodyDiv w:val="1"/>
      <w:marLeft w:val="0"/>
      <w:marRight w:val="0"/>
      <w:marTop w:val="0"/>
      <w:marBottom w:val="0"/>
      <w:divBdr>
        <w:top w:val="none" w:sz="0" w:space="0" w:color="auto"/>
        <w:left w:val="none" w:sz="0" w:space="0" w:color="auto"/>
        <w:bottom w:val="none" w:sz="0" w:space="0" w:color="auto"/>
        <w:right w:val="none" w:sz="0" w:space="0" w:color="auto"/>
      </w:divBdr>
    </w:div>
    <w:div w:id="230694935">
      <w:bodyDiv w:val="1"/>
      <w:marLeft w:val="0"/>
      <w:marRight w:val="0"/>
      <w:marTop w:val="0"/>
      <w:marBottom w:val="0"/>
      <w:divBdr>
        <w:top w:val="none" w:sz="0" w:space="0" w:color="auto"/>
        <w:left w:val="none" w:sz="0" w:space="0" w:color="auto"/>
        <w:bottom w:val="none" w:sz="0" w:space="0" w:color="auto"/>
        <w:right w:val="none" w:sz="0" w:space="0" w:color="auto"/>
      </w:divBdr>
    </w:div>
    <w:div w:id="323242826">
      <w:bodyDiv w:val="1"/>
      <w:marLeft w:val="0"/>
      <w:marRight w:val="0"/>
      <w:marTop w:val="0"/>
      <w:marBottom w:val="0"/>
      <w:divBdr>
        <w:top w:val="none" w:sz="0" w:space="0" w:color="auto"/>
        <w:left w:val="none" w:sz="0" w:space="0" w:color="auto"/>
        <w:bottom w:val="none" w:sz="0" w:space="0" w:color="auto"/>
        <w:right w:val="none" w:sz="0" w:space="0" w:color="auto"/>
      </w:divBdr>
    </w:div>
    <w:div w:id="367335346">
      <w:bodyDiv w:val="1"/>
      <w:marLeft w:val="0"/>
      <w:marRight w:val="0"/>
      <w:marTop w:val="0"/>
      <w:marBottom w:val="0"/>
      <w:divBdr>
        <w:top w:val="none" w:sz="0" w:space="0" w:color="auto"/>
        <w:left w:val="none" w:sz="0" w:space="0" w:color="auto"/>
        <w:bottom w:val="none" w:sz="0" w:space="0" w:color="auto"/>
        <w:right w:val="none" w:sz="0" w:space="0" w:color="auto"/>
      </w:divBdr>
    </w:div>
    <w:div w:id="368726742">
      <w:bodyDiv w:val="1"/>
      <w:marLeft w:val="0"/>
      <w:marRight w:val="0"/>
      <w:marTop w:val="0"/>
      <w:marBottom w:val="0"/>
      <w:divBdr>
        <w:top w:val="none" w:sz="0" w:space="0" w:color="auto"/>
        <w:left w:val="none" w:sz="0" w:space="0" w:color="auto"/>
        <w:bottom w:val="none" w:sz="0" w:space="0" w:color="auto"/>
        <w:right w:val="none" w:sz="0" w:space="0" w:color="auto"/>
      </w:divBdr>
    </w:div>
    <w:div w:id="426508926">
      <w:bodyDiv w:val="1"/>
      <w:marLeft w:val="0"/>
      <w:marRight w:val="0"/>
      <w:marTop w:val="0"/>
      <w:marBottom w:val="0"/>
      <w:divBdr>
        <w:top w:val="none" w:sz="0" w:space="0" w:color="auto"/>
        <w:left w:val="none" w:sz="0" w:space="0" w:color="auto"/>
        <w:bottom w:val="none" w:sz="0" w:space="0" w:color="auto"/>
        <w:right w:val="none" w:sz="0" w:space="0" w:color="auto"/>
      </w:divBdr>
    </w:div>
    <w:div w:id="539438156">
      <w:bodyDiv w:val="1"/>
      <w:marLeft w:val="0"/>
      <w:marRight w:val="0"/>
      <w:marTop w:val="0"/>
      <w:marBottom w:val="0"/>
      <w:divBdr>
        <w:top w:val="none" w:sz="0" w:space="0" w:color="auto"/>
        <w:left w:val="none" w:sz="0" w:space="0" w:color="auto"/>
        <w:bottom w:val="none" w:sz="0" w:space="0" w:color="auto"/>
        <w:right w:val="none" w:sz="0" w:space="0" w:color="auto"/>
      </w:divBdr>
    </w:div>
    <w:div w:id="558172086">
      <w:bodyDiv w:val="1"/>
      <w:marLeft w:val="0"/>
      <w:marRight w:val="0"/>
      <w:marTop w:val="0"/>
      <w:marBottom w:val="0"/>
      <w:divBdr>
        <w:top w:val="none" w:sz="0" w:space="0" w:color="auto"/>
        <w:left w:val="none" w:sz="0" w:space="0" w:color="auto"/>
        <w:bottom w:val="none" w:sz="0" w:space="0" w:color="auto"/>
        <w:right w:val="none" w:sz="0" w:space="0" w:color="auto"/>
      </w:divBdr>
      <w:divsChild>
        <w:div w:id="1891989339">
          <w:marLeft w:val="0"/>
          <w:marRight w:val="0"/>
          <w:marTop w:val="0"/>
          <w:marBottom w:val="0"/>
          <w:divBdr>
            <w:top w:val="none" w:sz="0" w:space="0" w:color="auto"/>
            <w:left w:val="none" w:sz="0" w:space="0" w:color="auto"/>
            <w:bottom w:val="none" w:sz="0" w:space="0" w:color="auto"/>
            <w:right w:val="none" w:sz="0" w:space="0" w:color="auto"/>
          </w:divBdr>
        </w:div>
        <w:div w:id="852259759">
          <w:marLeft w:val="45"/>
          <w:marRight w:val="45"/>
          <w:marTop w:val="15"/>
          <w:marBottom w:val="0"/>
          <w:divBdr>
            <w:top w:val="none" w:sz="0" w:space="0" w:color="auto"/>
            <w:left w:val="none" w:sz="0" w:space="0" w:color="auto"/>
            <w:bottom w:val="none" w:sz="0" w:space="0" w:color="auto"/>
            <w:right w:val="none" w:sz="0" w:space="0" w:color="auto"/>
          </w:divBdr>
          <w:divsChild>
            <w:div w:id="58596556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618757772">
      <w:bodyDiv w:val="1"/>
      <w:marLeft w:val="0"/>
      <w:marRight w:val="0"/>
      <w:marTop w:val="0"/>
      <w:marBottom w:val="0"/>
      <w:divBdr>
        <w:top w:val="none" w:sz="0" w:space="0" w:color="auto"/>
        <w:left w:val="none" w:sz="0" w:space="0" w:color="auto"/>
        <w:bottom w:val="none" w:sz="0" w:space="0" w:color="auto"/>
        <w:right w:val="none" w:sz="0" w:space="0" w:color="auto"/>
      </w:divBdr>
    </w:div>
    <w:div w:id="641235374">
      <w:bodyDiv w:val="1"/>
      <w:marLeft w:val="0"/>
      <w:marRight w:val="0"/>
      <w:marTop w:val="0"/>
      <w:marBottom w:val="0"/>
      <w:divBdr>
        <w:top w:val="none" w:sz="0" w:space="0" w:color="auto"/>
        <w:left w:val="none" w:sz="0" w:space="0" w:color="auto"/>
        <w:bottom w:val="none" w:sz="0" w:space="0" w:color="auto"/>
        <w:right w:val="none" w:sz="0" w:space="0" w:color="auto"/>
      </w:divBdr>
    </w:div>
    <w:div w:id="715785894">
      <w:bodyDiv w:val="1"/>
      <w:marLeft w:val="0"/>
      <w:marRight w:val="0"/>
      <w:marTop w:val="0"/>
      <w:marBottom w:val="0"/>
      <w:divBdr>
        <w:top w:val="none" w:sz="0" w:space="0" w:color="auto"/>
        <w:left w:val="none" w:sz="0" w:space="0" w:color="auto"/>
        <w:bottom w:val="none" w:sz="0" w:space="0" w:color="auto"/>
        <w:right w:val="none" w:sz="0" w:space="0" w:color="auto"/>
      </w:divBdr>
    </w:div>
    <w:div w:id="827288467">
      <w:bodyDiv w:val="1"/>
      <w:marLeft w:val="0"/>
      <w:marRight w:val="0"/>
      <w:marTop w:val="0"/>
      <w:marBottom w:val="0"/>
      <w:divBdr>
        <w:top w:val="none" w:sz="0" w:space="0" w:color="auto"/>
        <w:left w:val="none" w:sz="0" w:space="0" w:color="auto"/>
        <w:bottom w:val="none" w:sz="0" w:space="0" w:color="auto"/>
        <w:right w:val="none" w:sz="0" w:space="0" w:color="auto"/>
      </w:divBdr>
    </w:div>
    <w:div w:id="835194086">
      <w:bodyDiv w:val="1"/>
      <w:marLeft w:val="0"/>
      <w:marRight w:val="0"/>
      <w:marTop w:val="0"/>
      <w:marBottom w:val="0"/>
      <w:divBdr>
        <w:top w:val="none" w:sz="0" w:space="0" w:color="auto"/>
        <w:left w:val="none" w:sz="0" w:space="0" w:color="auto"/>
        <w:bottom w:val="none" w:sz="0" w:space="0" w:color="auto"/>
        <w:right w:val="none" w:sz="0" w:space="0" w:color="auto"/>
      </w:divBdr>
    </w:div>
    <w:div w:id="890919313">
      <w:bodyDiv w:val="1"/>
      <w:marLeft w:val="0"/>
      <w:marRight w:val="0"/>
      <w:marTop w:val="0"/>
      <w:marBottom w:val="0"/>
      <w:divBdr>
        <w:top w:val="none" w:sz="0" w:space="0" w:color="auto"/>
        <w:left w:val="none" w:sz="0" w:space="0" w:color="auto"/>
        <w:bottom w:val="none" w:sz="0" w:space="0" w:color="auto"/>
        <w:right w:val="none" w:sz="0" w:space="0" w:color="auto"/>
      </w:divBdr>
      <w:divsChild>
        <w:div w:id="633752613">
          <w:marLeft w:val="0"/>
          <w:marRight w:val="0"/>
          <w:marTop w:val="0"/>
          <w:marBottom w:val="0"/>
          <w:divBdr>
            <w:top w:val="none" w:sz="0" w:space="0" w:color="auto"/>
            <w:left w:val="none" w:sz="0" w:space="0" w:color="auto"/>
            <w:bottom w:val="none" w:sz="0" w:space="0" w:color="auto"/>
            <w:right w:val="none" w:sz="0" w:space="0" w:color="auto"/>
          </w:divBdr>
        </w:div>
      </w:divsChild>
    </w:div>
    <w:div w:id="952445780">
      <w:bodyDiv w:val="1"/>
      <w:marLeft w:val="0"/>
      <w:marRight w:val="0"/>
      <w:marTop w:val="0"/>
      <w:marBottom w:val="0"/>
      <w:divBdr>
        <w:top w:val="none" w:sz="0" w:space="0" w:color="auto"/>
        <w:left w:val="none" w:sz="0" w:space="0" w:color="auto"/>
        <w:bottom w:val="none" w:sz="0" w:space="0" w:color="auto"/>
        <w:right w:val="none" w:sz="0" w:space="0" w:color="auto"/>
      </w:divBdr>
    </w:div>
    <w:div w:id="988948236">
      <w:bodyDiv w:val="1"/>
      <w:marLeft w:val="0"/>
      <w:marRight w:val="0"/>
      <w:marTop w:val="0"/>
      <w:marBottom w:val="0"/>
      <w:divBdr>
        <w:top w:val="none" w:sz="0" w:space="0" w:color="auto"/>
        <w:left w:val="none" w:sz="0" w:space="0" w:color="auto"/>
        <w:bottom w:val="none" w:sz="0" w:space="0" w:color="auto"/>
        <w:right w:val="none" w:sz="0" w:space="0" w:color="auto"/>
      </w:divBdr>
    </w:div>
    <w:div w:id="991182727">
      <w:bodyDiv w:val="1"/>
      <w:marLeft w:val="0"/>
      <w:marRight w:val="0"/>
      <w:marTop w:val="0"/>
      <w:marBottom w:val="0"/>
      <w:divBdr>
        <w:top w:val="none" w:sz="0" w:space="0" w:color="auto"/>
        <w:left w:val="none" w:sz="0" w:space="0" w:color="auto"/>
        <w:bottom w:val="none" w:sz="0" w:space="0" w:color="auto"/>
        <w:right w:val="none" w:sz="0" w:space="0" w:color="auto"/>
      </w:divBdr>
    </w:div>
    <w:div w:id="1015109281">
      <w:bodyDiv w:val="1"/>
      <w:marLeft w:val="0"/>
      <w:marRight w:val="0"/>
      <w:marTop w:val="0"/>
      <w:marBottom w:val="0"/>
      <w:divBdr>
        <w:top w:val="none" w:sz="0" w:space="0" w:color="auto"/>
        <w:left w:val="none" w:sz="0" w:space="0" w:color="auto"/>
        <w:bottom w:val="none" w:sz="0" w:space="0" w:color="auto"/>
        <w:right w:val="none" w:sz="0" w:space="0" w:color="auto"/>
      </w:divBdr>
    </w:div>
    <w:div w:id="1063481522">
      <w:bodyDiv w:val="1"/>
      <w:marLeft w:val="0"/>
      <w:marRight w:val="0"/>
      <w:marTop w:val="0"/>
      <w:marBottom w:val="0"/>
      <w:divBdr>
        <w:top w:val="none" w:sz="0" w:space="0" w:color="auto"/>
        <w:left w:val="none" w:sz="0" w:space="0" w:color="auto"/>
        <w:bottom w:val="none" w:sz="0" w:space="0" w:color="auto"/>
        <w:right w:val="none" w:sz="0" w:space="0" w:color="auto"/>
      </w:divBdr>
    </w:div>
    <w:div w:id="1075737982">
      <w:bodyDiv w:val="1"/>
      <w:marLeft w:val="0"/>
      <w:marRight w:val="0"/>
      <w:marTop w:val="0"/>
      <w:marBottom w:val="0"/>
      <w:divBdr>
        <w:top w:val="none" w:sz="0" w:space="0" w:color="auto"/>
        <w:left w:val="none" w:sz="0" w:space="0" w:color="auto"/>
        <w:bottom w:val="none" w:sz="0" w:space="0" w:color="auto"/>
        <w:right w:val="none" w:sz="0" w:space="0" w:color="auto"/>
      </w:divBdr>
    </w:div>
    <w:div w:id="1291322439">
      <w:bodyDiv w:val="1"/>
      <w:marLeft w:val="0"/>
      <w:marRight w:val="0"/>
      <w:marTop w:val="0"/>
      <w:marBottom w:val="0"/>
      <w:divBdr>
        <w:top w:val="none" w:sz="0" w:space="0" w:color="auto"/>
        <w:left w:val="none" w:sz="0" w:space="0" w:color="auto"/>
        <w:bottom w:val="none" w:sz="0" w:space="0" w:color="auto"/>
        <w:right w:val="none" w:sz="0" w:space="0" w:color="auto"/>
      </w:divBdr>
    </w:div>
    <w:div w:id="1348361388">
      <w:bodyDiv w:val="1"/>
      <w:marLeft w:val="0"/>
      <w:marRight w:val="0"/>
      <w:marTop w:val="0"/>
      <w:marBottom w:val="0"/>
      <w:divBdr>
        <w:top w:val="none" w:sz="0" w:space="0" w:color="auto"/>
        <w:left w:val="none" w:sz="0" w:space="0" w:color="auto"/>
        <w:bottom w:val="none" w:sz="0" w:space="0" w:color="auto"/>
        <w:right w:val="none" w:sz="0" w:space="0" w:color="auto"/>
      </w:divBdr>
    </w:div>
    <w:div w:id="1373916670">
      <w:bodyDiv w:val="1"/>
      <w:marLeft w:val="0"/>
      <w:marRight w:val="0"/>
      <w:marTop w:val="0"/>
      <w:marBottom w:val="0"/>
      <w:divBdr>
        <w:top w:val="none" w:sz="0" w:space="0" w:color="auto"/>
        <w:left w:val="none" w:sz="0" w:space="0" w:color="auto"/>
        <w:bottom w:val="none" w:sz="0" w:space="0" w:color="auto"/>
        <w:right w:val="none" w:sz="0" w:space="0" w:color="auto"/>
      </w:divBdr>
    </w:div>
    <w:div w:id="1774788911">
      <w:bodyDiv w:val="1"/>
      <w:marLeft w:val="0"/>
      <w:marRight w:val="0"/>
      <w:marTop w:val="0"/>
      <w:marBottom w:val="0"/>
      <w:divBdr>
        <w:top w:val="none" w:sz="0" w:space="0" w:color="auto"/>
        <w:left w:val="none" w:sz="0" w:space="0" w:color="auto"/>
        <w:bottom w:val="none" w:sz="0" w:space="0" w:color="auto"/>
        <w:right w:val="none" w:sz="0" w:space="0" w:color="auto"/>
      </w:divBdr>
    </w:div>
    <w:div w:id="1784302435">
      <w:bodyDiv w:val="1"/>
      <w:marLeft w:val="0"/>
      <w:marRight w:val="0"/>
      <w:marTop w:val="0"/>
      <w:marBottom w:val="0"/>
      <w:divBdr>
        <w:top w:val="none" w:sz="0" w:space="0" w:color="auto"/>
        <w:left w:val="none" w:sz="0" w:space="0" w:color="auto"/>
        <w:bottom w:val="none" w:sz="0" w:space="0" w:color="auto"/>
        <w:right w:val="none" w:sz="0" w:space="0" w:color="auto"/>
      </w:divBdr>
    </w:div>
    <w:div w:id="1989044594">
      <w:bodyDiv w:val="1"/>
      <w:marLeft w:val="0"/>
      <w:marRight w:val="0"/>
      <w:marTop w:val="0"/>
      <w:marBottom w:val="0"/>
      <w:divBdr>
        <w:top w:val="none" w:sz="0" w:space="0" w:color="auto"/>
        <w:left w:val="none" w:sz="0" w:space="0" w:color="auto"/>
        <w:bottom w:val="none" w:sz="0" w:space="0" w:color="auto"/>
        <w:right w:val="none" w:sz="0" w:space="0" w:color="auto"/>
      </w:divBdr>
    </w:div>
    <w:div w:id="2063941358">
      <w:bodyDiv w:val="1"/>
      <w:marLeft w:val="0"/>
      <w:marRight w:val="0"/>
      <w:marTop w:val="0"/>
      <w:marBottom w:val="0"/>
      <w:divBdr>
        <w:top w:val="none" w:sz="0" w:space="0" w:color="auto"/>
        <w:left w:val="none" w:sz="0" w:space="0" w:color="auto"/>
        <w:bottom w:val="none" w:sz="0" w:space="0" w:color="auto"/>
        <w:right w:val="none" w:sz="0" w:space="0" w:color="auto"/>
      </w:divBdr>
    </w:div>
    <w:div w:id="2079670150">
      <w:bodyDiv w:val="1"/>
      <w:marLeft w:val="0"/>
      <w:marRight w:val="0"/>
      <w:marTop w:val="0"/>
      <w:marBottom w:val="0"/>
      <w:divBdr>
        <w:top w:val="none" w:sz="0" w:space="0" w:color="auto"/>
        <w:left w:val="none" w:sz="0" w:space="0" w:color="auto"/>
        <w:bottom w:val="none" w:sz="0" w:space="0" w:color="auto"/>
        <w:right w:val="none" w:sz="0" w:space="0" w:color="auto"/>
      </w:divBdr>
    </w:div>
    <w:div w:id="2133547249">
      <w:bodyDiv w:val="1"/>
      <w:marLeft w:val="0"/>
      <w:marRight w:val="0"/>
      <w:marTop w:val="0"/>
      <w:marBottom w:val="0"/>
      <w:divBdr>
        <w:top w:val="none" w:sz="0" w:space="0" w:color="auto"/>
        <w:left w:val="none" w:sz="0" w:space="0" w:color="auto"/>
        <w:bottom w:val="none" w:sz="0" w:space="0" w:color="auto"/>
        <w:right w:val="none" w:sz="0" w:space="0" w:color="auto"/>
      </w:divBdr>
    </w:div>
    <w:div w:id="21398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yperlink" Target="http://europa.eu/rapid/press-release_IP-11-1571_en.htm?locale=en"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europa.eu/rapid/press-release_IP-16-3008_en.htm" TargetMode="Externa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curia.europa.eu/jcms/jcms/p1_1525302/en/" TargetMode="Externa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europa.eu/rapid/press-release_IP-18-2281_en.htm"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117" Type="http://schemas.openxmlformats.org/officeDocument/2006/relationships/hyperlink" Target="http://europa.eu/rapid/press-release_IP-19-1590_en.htm" TargetMode="External"/><Relationship Id="rId21" Type="http://schemas.openxmlformats.org/officeDocument/2006/relationships/hyperlink" Target="http://ec.europa.eu/competition/antitrust/legislation/antitrust_enforcement_10_years_en.pdf" TargetMode="External"/><Relationship Id="rId42" Type="http://schemas.openxmlformats.org/officeDocument/2006/relationships/hyperlink" Target="http://europa.eu/rapid/press-release_SPEECH-14-585_en.htm" TargetMode="External"/><Relationship Id="rId63" Type="http://schemas.openxmlformats.org/officeDocument/2006/relationships/hyperlink" Target="http://ec.europa.eu/competition/elojade/isef/case_details.cfm?proc_code=3_SA_50233" TargetMode="External"/><Relationship Id="rId84" Type="http://schemas.openxmlformats.org/officeDocument/2006/relationships/hyperlink" Target="http://www.oecd.org/daf/competition/quality-considerations-in-the-zero-price-economy.htm" TargetMode="External"/><Relationship Id="rId138" Type="http://schemas.openxmlformats.org/officeDocument/2006/relationships/hyperlink" Target="http://ec.europa.eu/competition/elojade/isef/case_details.cfm?proc_code=2_M_8785" TargetMode="External"/><Relationship Id="rId159" Type="http://schemas.openxmlformats.org/officeDocument/2006/relationships/hyperlink" Target="http://curia.europa.eu/juris/liste.jsf?language=en&amp;td=ALL&amp;num=C-304/16" TargetMode="External"/><Relationship Id="rId170" Type="http://schemas.openxmlformats.org/officeDocument/2006/relationships/hyperlink" Target="http://ec.europa.eu/competition/state_aid/legislation/working_paper_tax_rulings.pdf" TargetMode="External"/><Relationship Id="rId191" Type="http://schemas.openxmlformats.org/officeDocument/2006/relationships/hyperlink" Target="http://europa.eu/rapid/press-release_IP-18-6341_en.htm" TargetMode="External"/><Relationship Id="rId205" Type="http://schemas.openxmlformats.org/officeDocument/2006/relationships/hyperlink" Target="http://ec.europa.eu/competition/antitrust/cases/dec_docs/40394/40394_235_3.pdf" TargetMode="External"/><Relationship Id="rId226" Type="http://schemas.openxmlformats.org/officeDocument/2006/relationships/hyperlink" Target="http://europa.eu/rapid/press-release_IP-18-2842_en.htm" TargetMode="External"/><Relationship Id="rId107" Type="http://schemas.openxmlformats.org/officeDocument/2006/relationships/hyperlink" Target="http://europa.eu/rapid/press-release_IP-18-5861_en.htm" TargetMode="External"/><Relationship Id="rId11" Type="http://schemas.openxmlformats.org/officeDocument/2006/relationships/hyperlink" Target="http://ec.europa.eu/competition/speeches/text/sp2018_14_en.pdf" TargetMode="External"/><Relationship Id="rId32" Type="http://schemas.openxmlformats.org/officeDocument/2006/relationships/hyperlink" Target="http://europa.eu/rapid/press-release_IP-18-3622_en.html" TargetMode="External"/><Relationship Id="rId53" Type="http://schemas.openxmlformats.org/officeDocument/2006/relationships/hyperlink" Target="http://ec.europa.eu/competition/elojade/isef/case_details.cfm?proc_code=3_SA_49580" TargetMode="External"/><Relationship Id="rId74" Type="http://schemas.openxmlformats.org/officeDocument/2006/relationships/hyperlink" Target="http://europa.eu/rapid/press-release_IP-18-5865_en.htm" TargetMode="External"/><Relationship Id="rId128" Type="http://schemas.openxmlformats.org/officeDocument/2006/relationships/hyperlink" Target="http://ec.europa.eu/competition/elojade/isef/case_details.cfm?proc_code=2_M_8808" TargetMode="External"/><Relationship Id="rId149" Type="http://schemas.openxmlformats.org/officeDocument/2006/relationships/hyperlink" Target="http://ec.europa.eu/competition/elojade/isef/index.cfm?fuseaction=dsp_result&amp;policy_area_id=3" TargetMode="External"/><Relationship Id="rId5" Type="http://schemas.openxmlformats.org/officeDocument/2006/relationships/hyperlink" Target="http://europa.eu/rapid/press-release_IP-18-6844_en.htm" TargetMode="External"/><Relationship Id="rId95" Type="http://schemas.openxmlformats.org/officeDocument/2006/relationships/hyperlink" Target="http://ec.europa.eu/competition/state_aid/cases/269473/269473_1980325_81_2.pdf" TargetMode="External"/><Relationship Id="rId160" Type="http://schemas.openxmlformats.org/officeDocument/2006/relationships/hyperlink" Target="http://ec.europa.eu/finance/payments/framework/index_en.htm" TargetMode="External"/><Relationship Id="rId181" Type="http://schemas.openxmlformats.org/officeDocument/2006/relationships/hyperlink" Target="http://ec.europa.eu/competition/elojade/isef/case_details.cfm?proc_code=3_SA_38398" TargetMode="External"/><Relationship Id="rId216" Type="http://schemas.openxmlformats.org/officeDocument/2006/relationships/hyperlink" Target="http://ec.europa.eu/competition/elojade/isef/case_details.cfm?proc_code=3_SA_47867" TargetMode="External"/><Relationship Id="rId237" Type="http://schemas.openxmlformats.org/officeDocument/2006/relationships/hyperlink" Target="http://ec.europa.eu/competition/elojade/isef/case_details.cfm?proc_code=3_SA_50584" TargetMode="External"/><Relationship Id="rId22" Type="http://schemas.openxmlformats.org/officeDocument/2006/relationships/hyperlink" Target="http://ec.europa.eu/competition/consultations/2015_effective_enforcers/index_en.html" TargetMode="External"/><Relationship Id="rId43" Type="http://schemas.openxmlformats.org/officeDocument/2006/relationships/hyperlink" Target="http://ec.europa.eu/competition/publications/cpb/2016/2016_004_en.pdf" TargetMode="External"/><Relationship Id="rId64" Type="http://schemas.openxmlformats.org/officeDocument/2006/relationships/hyperlink" Target="http://ec.europa.eu/competition/elojade/isef/case_details.cfm?proc_code=3_N565_2007" TargetMode="External"/><Relationship Id="rId118" Type="http://schemas.openxmlformats.org/officeDocument/2006/relationships/hyperlink" Target="http://europa.eu/rapid/press-release_IP-18-421_en.htm" TargetMode="External"/><Relationship Id="rId139" Type="http://schemas.openxmlformats.org/officeDocument/2006/relationships/hyperlink" Target="http://ec.europa.eu/competition/elojade/isef/case_details.cfm?proc_code=2_M_8861" TargetMode="External"/><Relationship Id="rId85" Type="http://schemas.openxmlformats.org/officeDocument/2006/relationships/hyperlink" Target="http://www.oecd.org/daf/competition/benefits-and-challenges-of-regional-competition-agreements.htm" TargetMode="External"/><Relationship Id="rId150" Type="http://schemas.openxmlformats.org/officeDocument/2006/relationships/hyperlink" Target="http://ec.europa.eu/competition/elojade/isef/case_details.cfm?proc_code=3_SA_48418" TargetMode="External"/><Relationship Id="rId171" Type="http://schemas.openxmlformats.org/officeDocument/2006/relationships/hyperlink" Target="http://www.impotsdirects.public.lu/content/dam/acd/fr/legislation/legi16/circulairelir561-56bis1-27122016.pdf" TargetMode="External"/><Relationship Id="rId192" Type="http://schemas.openxmlformats.org/officeDocument/2006/relationships/hyperlink" Target="https://ec.europa.eu/info/sites/info/files/food-farming-fisheries/farming/documents/factsheet-food-supply-chain_march2017_en.pdf" TargetMode="External"/><Relationship Id="rId206" Type="http://schemas.openxmlformats.org/officeDocument/2006/relationships/hyperlink" Target="http://europa.eu/rapid/press-release_IP-17-2063_en.htm" TargetMode="External"/><Relationship Id="rId227" Type="http://schemas.openxmlformats.org/officeDocument/2006/relationships/hyperlink" Target="http://ec.europa.eu/competition/elojade/isef/case_details.cfm?proc_code=3_SA_48119" TargetMode="External"/><Relationship Id="rId201" Type="http://schemas.openxmlformats.org/officeDocument/2006/relationships/hyperlink" Target="http://dx.doi.org/10.1787/health_glance-2017-en" TargetMode="External"/><Relationship Id="rId222" Type="http://schemas.openxmlformats.org/officeDocument/2006/relationships/hyperlink" Target="http://ec.europa.eu/competition/mergers/cases/decisions/m7268_1503_2.pdf" TargetMode="External"/><Relationship Id="rId243" Type="http://schemas.openxmlformats.org/officeDocument/2006/relationships/hyperlink" Target="http://europa.eu/rapid/press-release_IP-18-4444_en.htm" TargetMode="External"/><Relationship Id="rId12" Type="http://schemas.openxmlformats.org/officeDocument/2006/relationships/hyperlink" Target="https://ec.europa.eu/info/law/better-regulation/initiatives/ares-2018-5068981_en" TargetMode="External"/><Relationship Id="rId17" Type="http://schemas.openxmlformats.org/officeDocument/2006/relationships/hyperlink" Target="https://eur-lex.europa.eu/legal-content/EN/TXT/PDF/?uri=CELEX:52006XC0901(01)&amp;from=EN" TargetMode="External"/><Relationship Id="rId33" Type="http://schemas.openxmlformats.org/officeDocument/2006/relationships/hyperlink" Target="http://europa.eu/rapid/press-release_IP-17-1369_en.htm" TargetMode="External"/><Relationship Id="rId38" Type="http://schemas.openxmlformats.org/officeDocument/2006/relationships/hyperlink" Target="http://ec.europa.eu/competition/mergers/cases/decisions/m3770_373_3.pdf" TargetMode="External"/><Relationship Id="rId59" Type="http://schemas.openxmlformats.org/officeDocument/2006/relationships/hyperlink" Target="http://eur-lex.europa.eu/legal-ontent/EN/TXT/?uri=CELEX:52014XC0122(04)" TargetMode="External"/><Relationship Id="rId103" Type="http://schemas.openxmlformats.org/officeDocument/2006/relationships/hyperlink" Target="http://europa.eu/rapid/press-release_IP-18-682_en.htm" TargetMode="External"/><Relationship Id="rId108" Type="http://schemas.openxmlformats.org/officeDocument/2006/relationships/hyperlink" Target="http://ec.europa.eu/competition/mergers/cases/decisions/m8953_141_3.pdf" TargetMode="External"/><Relationship Id="rId124" Type="http://schemas.openxmlformats.org/officeDocument/2006/relationships/hyperlink" Target="https://ec.europa.eu/digital-single-market/en/news/communication-connectivity-competitive-digital-single-market-towards-european-gigabit-society" TargetMode="External"/><Relationship Id="rId129" Type="http://schemas.openxmlformats.org/officeDocument/2006/relationships/hyperlink" Target="http://ec.europa.eu/competition/elojade/isef/case_details.cfm?proc_code=2_M_8842" TargetMode="External"/><Relationship Id="rId54" Type="http://schemas.openxmlformats.org/officeDocument/2006/relationships/hyperlink" Target="http://ec.europa.eu/competition/elojade/isef/case_details.cfm?proc_code=3_SA_45359" TargetMode="External"/><Relationship Id="rId70" Type="http://schemas.openxmlformats.org/officeDocument/2006/relationships/hyperlink" Target="http://ec.europa.eu/competition/court/overview_en.html" TargetMode="External"/><Relationship Id="rId75" Type="http://schemas.openxmlformats.org/officeDocument/2006/relationships/hyperlink" Target="https://ec.europa.eu/commission/commissioners/2014-2019/vestager/announcements/state-aid-rules-fair-competition_en" TargetMode="External"/><Relationship Id="rId91" Type="http://schemas.openxmlformats.org/officeDocument/2006/relationships/hyperlink" Target="http://ec.europa.eu/competition/international/bilateral/mexico_mou_2018_en.pdf" TargetMode="External"/><Relationship Id="rId96" Type="http://schemas.openxmlformats.org/officeDocument/2006/relationships/hyperlink" Target="http://europa.eu/rapid/press-release_IP-16-3521_en.htm" TargetMode="External"/><Relationship Id="rId140" Type="http://schemas.openxmlformats.org/officeDocument/2006/relationships/hyperlink" Target="https://ec.europa.eu/digital-single-market/en/news/communication-connectivity-competitive-digital-single-market-towards-european-gigabit-society" TargetMode="External"/><Relationship Id="rId145" Type="http://schemas.openxmlformats.org/officeDocument/2006/relationships/hyperlink" Target="http://ec.europa.eu/competition/elojade/isef/index.cfm?fuseaction=dsp_result&amp;policy_area_id=3" TargetMode="External"/><Relationship Id="rId161" Type="http://schemas.openxmlformats.org/officeDocument/2006/relationships/hyperlink" Target="http://ec.europa.eu/competition/antitrust/cases/dec_docs/39398/39398_9728_3.pdf" TargetMode="External"/><Relationship Id="rId166" Type="http://schemas.openxmlformats.org/officeDocument/2006/relationships/hyperlink" Target="http://ec.europa.eu/competition/elojade/isef/case_details.cfm?proc_code=3_SA_35334" TargetMode="External"/><Relationship Id="rId182" Type="http://schemas.openxmlformats.org/officeDocument/2006/relationships/hyperlink" Target="http://europa.eu/rapid/press-release_IP-18-3521_en.htm" TargetMode="External"/><Relationship Id="rId187" Type="http://schemas.openxmlformats.org/officeDocument/2006/relationships/hyperlink" Target="http://ec.europa.eu/competition/elojade/isef/case_details.cfm?proc_code=3_SA_36086" TargetMode="External"/><Relationship Id="rId217" Type="http://schemas.openxmlformats.org/officeDocument/2006/relationships/hyperlink" Target="http://europa.eu/rapid/press-release_IP-18-6222_en.htm" TargetMode="External"/><Relationship Id="rId1" Type="http://schemas.openxmlformats.org/officeDocument/2006/relationships/hyperlink" Target="http://ec.europa.eu/competition/cartels/legislation/leniency_legislation.html" TargetMode="External"/><Relationship Id="rId6" Type="http://schemas.openxmlformats.org/officeDocument/2006/relationships/hyperlink" Target="http://ec.europa.eu/competition/publications/data/factsheet_guess.pdf" TargetMode="External"/><Relationship Id="rId212" Type="http://schemas.openxmlformats.org/officeDocument/2006/relationships/hyperlink" Target="http://ec.europa.eu/competition/elojade/isef/case_details.cfm?proc_code=3_SA_46945" TargetMode="External"/><Relationship Id="rId233" Type="http://schemas.openxmlformats.org/officeDocument/2006/relationships/hyperlink" Target="http://ec.europa.eu/competition/elojade/isef/case_details.cfm?proc_code=3_SA_49749" TargetMode="External"/><Relationship Id="rId238" Type="http://schemas.openxmlformats.org/officeDocument/2006/relationships/hyperlink" Target="http://ec.europa.eu/competition/elojade/isef/case_details.cfm?proc_code=3_SA_43549" TargetMode="External"/><Relationship Id="rId23" Type="http://schemas.openxmlformats.org/officeDocument/2006/relationships/hyperlink" Target="http://europa.eu/rapid/press-release_IP-15-5998_en.htm" TargetMode="External"/><Relationship Id="rId28" Type="http://schemas.openxmlformats.org/officeDocument/2006/relationships/hyperlink" Target="http://europa.eu/rapid/press-release_IP-18-3622_en.htm" TargetMode="External"/><Relationship Id="rId49" Type="http://schemas.openxmlformats.org/officeDocument/2006/relationships/hyperlink" Target="http://ec.europa.eu/competition/elojade/isef/case_details.cfm?proc_code=3_SA_46705" TargetMode="External"/><Relationship Id="rId114" Type="http://schemas.openxmlformats.org/officeDocument/2006/relationships/hyperlink" Target="http://europa.eu/rapid/press-release_IP-17-1646_en.htm" TargetMode="External"/><Relationship Id="rId119" Type="http://schemas.openxmlformats.org/officeDocument/2006/relationships/hyperlink" Target="http://ec.europa.eu/competition/elojade/isef/case_details.cfm?proc_code=1_39711" TargetMode="External"/><Relationship Id="rId44" Type="http://schemas.openxmlformats.org/officeDocument/2006/relationships/hyperlink" Target="https://webgate.ec.europa.eu/competition/transparency/public/search" TargetMode="External"/><Relationship Id="rId60" Type="http://schemas.openxmlformats.org/officeDocument/2006/relationships/hyperlink" Target="http://ec.europa.eu/competition/elojade/isef/case_details.cfm?proc_code=3_SA_49335" TargetMode="External"/><Relationship Id="rId65" Type="http://schemas.openxmlformats.org/officeDocument/2006/relationships/hyperlink" Target="https://eur-lex.europa.eu/legal-content/EN/TXT/PDF/?uri=CELEX:52018XC1219(01)&amp;from=EN" TargetMode="External"/><Relationship Id="rId81" Type="http://schemas.openxmlformats.org/officeDocument/2006/relationships/hyperlink" Target="http://www.oecd.org/daf/competition/gun-jumping-and-suspensory-effects-of-merger-notifications.htm" TargetMode="External"/><Relationship Id="rId86" Type="http://schemas.openxmlformats.org/officeDocument/2006/relationships/hyperlink" Target="http://www.oecd.org/competition/globalforum/investigative-powers-in-practice.htm" TargetMode="External"/><Relationship Id="rId130" Type="http://schemas.openxmlformats.org/officeDocument/2006/relationships/hyperlink" Target="http://europa.eu/rapid/press-release_IP-18-4141_en.htm" TargetMode="External"/><Relationship Id="rId135" Type="http://schemas.openxmlformats.org/officeDocument/2006/relationships/hyperlink" Target="http://ec.europa.eu/competition/elojade/isef/case_details.cfm?proc_code=2_M_8994" TargetMode="External"/><Relationship Id="rId151" Type="http://schemas.openxmlformats.org/officeDocument/2006/relationships/hyperlink" Target="http://ec.europa.eu/competition/elojade/isef/case_details.cfm?proc_code=3_SA_46805" TargetMode="External"/><Relationship Id="rId156" Type="http://schemas.openxmlformats.org/officeDocument/2006/relationships/hyperlink" Target="http://ec.europa.eu/competition/elojade/isef/case_details.cfm?proc_code=3_SA_51820" TargetMode="External"/><Relationship Id="rId177" Type="http://schemas.openxmlformats.org/officeDocument/2006/relationships/hyperlink" Target="https://www.gibraltar.gov.gi/new/downloads-ito" TargetMode="External"/><Relationship Id="rId198" Type="http://schemas.openxmlformats.org/officeDocument/2006/relationships/hyperlink" Target="http://europa.eu/rapid/press-release_IP-18-2702_en.htm" TargetMode="External"/><Relationship Id="rId172" Type="http://schemas.openxmlformats.org/officeDocument/2006/relationships/hyperlink" Target="http://ec.europa.eu/competition/elojade/isef/case_details.cfm?proc_code=3_SA_44888" TargetMode="External"/><Relationship Id="rId193" Type="http://schemas.openxmlformats.org/officeDocument/2006/relationships/hyperlink" Target="%20http://eur-lex.europa.eu/legal-content/en/ALL/?uri=CELEX:32013R1308." TargetMode="External"/><Relationship Id="rId202" Type="http://schemas.openxmlformats.org/officeDocument/2006/relationships/hyperlink" Target="https://www.oecd-ilibrary.org/docserver/health_glance-2017-68-en.pdf?expires=1551708629&amp;id=id&amp;accname=oid031827&amp;checksum=EC3C51C8A5CC457130B602AD5CA1F827" TargetMode="External"/><Relationship Id="rId207" Type="http://schemas.openxmlformats.org/officeDocument/2006/relationships/hyperlink" Target="http://europa.eu/rapid/press-release_IP-18-6497_en.htm" TargetMode="External"/><Relationship Id="rId223" Type="http://schemas.openxmlformats.org/officeDocument/2006/relationships/hyperlink" Target="http://ec.europa.eu/competition/elojade/isef/index.cfm?fuseaction=dsp_merger_by_date" TargetMode="External"/><Relationship Id="rId228" Type="http://schemas.openxmlformats.org/officeDocument/2006/relationships/hyperlink" Target="http://europa.eu/rapid/press-release_IP-18-6107_en.pdf" TargetMode="External"/><Relationship Id="rId244" Type="http://schemas.openxmlformats.org/officeDocument/2006/relationships/hyperlink" Target="http://europa.eu/rapid/press-release_MEMO-18-6247_en.htm" TargetMode="External"/><Relationship Id="rId13" Type="http://schemas.openxmlformats.org/officeDocument/2006/relationships/hyperlink" Target="http://europa.eu/rapid/press-release_IP-18-4601_en.htm" TargetMode="External"/><Relationship Id="rId18" Type="http://schemas.openxmlformats.org/officeDocument/2006/relationships/hyperlink" Target="https://curia.europa.eu/jcms/upload/docs/application/pdf/2018-02/cp180009en.pdf" TargetMode="External"/><Relationship Id="rId39" Type="http://schemas.openxmlformats.org/officeDocument/2006/relationships/hyperlink" Target="http://ec.europa.eu/competition/mergers/cases/decisions/m7018_6053_3.pdf" TargetMode="External"/><Relationship Id="rId109" Type="http://schemas.openxmlformats.org/officeDocument/2006/relationships/hyperlink" Target="http://eur-lex.europa.eu/legal-ontent/EN/TXT/?qid=1447773803386&amp;uri=CELEX%3A52015DC0192" TargetMode="External"/><Relationship Id="rId34" Type="http://schemas.openxmlformats.org/officeDocument/2006/relationships/hyperlink" Target="http://europa.eu/rapid/press-release_IP-18-3522_en.htm" TargetMode="External"/><Relationship Id="rId50" Type="http://schemas.openxmlformats.org/officeDocument/2006/relationships/hyperlink" Target="http://ec.europa.eu/competition/elojade/isef/case_details.cfm?proc_code=3_SA_46578" TargetMode="External"/><Relationship Id="rId55" Type="http://schemas.openxmlformats.org/officeDocument/2006/relationships/hyperlink" Target="http://ec.europa.eu/competition/elojade/isef/case_details.cfm?proc_code=3_SA_48680" TargetMode="External"/><Relationship Id="rId76" Type="http://schemas.openxmlformats.org/officeDocument/2006/relationships/hyperlink" Target="http://www.oecd.org/daf/competition/rethinking-antitrust-enforcement-tools-in-multi-sided-markets.htm" TargetMode="External"/><Relationship Id="rId97" Type="http://schemas.openxmlformats.org/officeDocument/2006/relationships/hyperlink" Target="http://europa.eu/rapid/press-release_IP-18-6414_en.htm" TargetMode="External"/><Relationship Id="rId104" Type="http://schemas.openxmlformats.org/officeDocument/2006/relationships/hyperlink" Target="http://ec.europa.eu/competition/sectors/energy/state_aid_to_secure_electricity_supply_en.html" TargetMode="External"/><Relationship Id="rId120" Type="http://schemas.openxmlformats.org/officeDocument/2006/relationships/hyperlink" Target="http://europa.eu/rapid/press-release_IP-18-4581_en.htm" TargetMode="External"/><Relationship Id="rId125" Type="http://schemas.openxmlformats.org/officeDocument/2006/relationships/hyperlink" Target="https://ec.europa.eu/digital-single-market/en/news/communication-5g-europe-action-plan-and-accompanying-staff-working-document" TargetMode="External"/><Relationship Id="rId141" Type="http://schemas.openxmlformats.org/officeDocument/2006/relationships/hyperlink" Target="https://ec.europa.eu/digital-single-market/en/news/europes-digital-progress-report-2017" TargetMode="External"/><Relationship Id="rId146" Type="http://schemas.openxmlformats.org/officeDocument/2006/relationships/hyperlink" Target="http://ec.europa.eu/competition/elojade/isef/index.cfm?fuseaction=dsp_result&amp;policy_area_id=3" TargetMode="External"/><Relationship Id="rId167" Type="http://schemas.openxmlformats.org/officeDocument/2006/relationships/hyperlink" Target="http://ec.europa.eu/competition/elojade/isef/case_details.cfm?proc_code=3_SA_51026" TargetMode="External"/><Relationship Id="rId188" Type="http://schemas.openxmlformats.org/officeDocument/2006/relationships/hyperlink" Target="http://europa.eu/rapid/press-release_IP-18-6845_en.htm" TargetMode="External"/><Relationship Id="rId7" Type="http://schemas.openxmlformats.org/officeDocument/2006/relationships/hyperlink" Target="http://ec.europa.eu/competition/antitrust/conf_rings.pdf" TargetMode="External"/><Relationship Id="rId71" Type="http://schemas.openxmlformats.org/officeDocument/2006/relationships/hyperlink" Target="https://curia.europa.eu/jcms/jcms/p1_1525302/en/" TargetMode="External"/><Relationship Id="rId92" Type="http://schemas.openxmlformats.org/officeDocument/2006/relationships/hyperlink" Target="https://eur-lex.europa.eu/legal-content/EN/TXT/?qid=1540389031742&amp;uri=CELEX%3A52018PC0441" TargetMode="External"/><Relationship Id="rId162" Type="http://schemas.openxmlformats.org/officeDocument/2006/relationships/hyperlink" Target="http://europa.eu/rapid/press-release_MEX-17-2341_en.htm" TargetMode="External"/><Relationship Id="rId183" Type="http://schemas.openxmlformats.org/officeDocument/2006/relationships/hyperlink" Target="https://www.mf.gov.pl/en/news/-/asset_publisher/X7ac/content/arrangements-with-the-eu-commission-on-the-minimum-income-tax-from-commercial-buildings" TargetMode="External"/><Relationship Id="rId213" Type="http://schemas.openxmlformats.org/officeDocument/2006/relationships/hyperlink" Target="http://ec.europa.eu/competition/elojade/isef/case_details.cfm?proc_code=3_SA_49482" TargetMode="External"/><Relationship Id="rId218" Type="http://schemas.openxmlformats.org/officeDocument/2006/relationships/hyperlink" Target="http://europa.eu/rapid/press-release_IP-18-6785_en.htm" TargetMode="External"/><Relationship Id="rId234" Type="http://schemas.openxmlformats.org/officeDocument/2006/relationships/hyperlink" Target="http://ec.europa.eu/competition/elojade/isef/case_details.cfm?proc_code=3_SA_50165" TargetMode="External"/><Relationship Id="rId239" Type="http://schemas.openxmlformats.org/officeDocument/2006/relationships/hyperlink" Target="http://europa.eu/rapid/press-release_IP-17-5345_en.htm" TargetMode="External"/><Relationship Id="rId2" Type="http://schemas.openxmlformats.org/officeDocument/2006/relationships/hyperlink" Target="http://ec.europa.eu/competition/cartels/legislation/settlements.html" TargetMode="External"/><Relationship Id="rId29" Type="http://schemas.openxmlformats.org/officeDocument/2006/relationships/hyperlink" Target="http://europa.eu/rapid/press-release_IP-18-6497_en.htm" TargetMode="External"/><Relationship Id="rId24" Type="http://schemas.openxmlformats.org/officeDocument/2006/relationships/hyperlink" Target="http://ec.europa.eu/competition/consultations/2015_effective_enforcers/index_en.html" TargetMode="External"/><Relationship Id="rId40" Type="http://schemas.openxmlformats.org/officeDocument/2006/relationships/hyperlink" Target="http://ec.europa.eu/competition/state_aid/scoreboard/index_en.html" TargetMode="External"/><Relationship Id="rId45" Type="http://schemas.openxmlformats.org/officeDocument/2006/relationships/hyperlink" Target="http://ec.europa.eu/competition/publications/cpb/2014/007_en.pdf" TargetMode="External"/><Relationship Id="rId66" Type="http://schemas.openxmlformats.org/officeDocument/2006/relationships/hyperlink" Target="https://eur-lex.europa.eu/legal-content/EN/TXT/PDF/?uri=CELEX:32018R1923&amp;from=EN" TargetMode="External"/><Relationship Id="rId87" Type="http://schemas.openxmlformats.org/officeDocument/2006/relationships/hyperlink" Target="https://unctad.org/en/Pages/MeetingDetails.aspx?meetingid=1675" TargetMode="External"/><Relationship Id="rId110" Type="http://schemas.openxmlformats.org/officeDocument/2006/relationships/hyperlink" Target="http://ec.europa.eu/competition/antitrust/sector_inquiry_final_report_en.pdf" TargetMode="External"/><Relationship Id="rId115" Type="http://schemas.openxmlformats.org/officeDocument/2006/relationships/hyperlink" Target="http://europa.eu/rapid/press-release_IP-18-6312_en.htm" TargetMode="External"/><Relationship Id="rId131" Type="http://schemas.openxmlformats.org/officeDocument/2006/relationships/hyperlink" Target="http://europa.eu/rapid/press-release_IP-18-6588_en.htm" TargetMode="External"/><Relationship Id="rId136" Type="http://schemas.openxmlformats.org/officeDocument/2006/relationships/hyperlink" Target="http://ec.europa.eu/competition/elojade/isef/case_details.cfm?proc_code=2_M_8665" TargetMode="External"/><Relationship Id="rId157" Type="http://schemas.openxmlformats.org/officeDocument/2006/relationships/hyperlink" Target="https://eur-lex.europa.eu/legal-content/en/TXT/?uri=CELEX%3A32017D0899" TargetMode="External"/><Relationship Id="rId178" Type="http://schemas.openxmlformats.org/officeDocument/2006/relationships/hyperlink" Target="https://www.gibraltar.gov.gi/new/downloads-ito" TargetMode="External"/><Relationship Id="rId61" Type="http://schemas.openxmlformats.org/officeDocument/2006/relationships/hyperlink" Target="http://ec.europa.eu/competition/elojade/isef/case_details.cfm?proc_code=3_SA_49336" TargetMode="External"/><Relationship Id="rId82" Type="http://schemas.openxmlformats.org/officeDocument/2006/relationships/hyperlink" Target="http://www.oecd.org/daf/competition/excessive-pricing-in-pharmaceuticals.htm" TargetMode="External"/><Relationship Id="rId152" Type="http://schemas.openxmlformats.org/officeDocument/2006/relationships/hyperlink" Target="http://eur-lex.europa.eu/LexUriServ/LexUriServ.do?uri=OJ:C:2013:332:0001:0011:EN:PDF" TargetMode="External"/><Relationship Id="rId173" Type="http://schemas.openxmlformats.org/officeDocument/2006/relationships/hyperlink" Target="http://europa.eu/rapid/press-release_IP-18-5831_en.htm" TargetMode="External"/><Relationship Id="rId194" Type="http://schemas.openxmlformats.org/officeDocument/2006/relationships/hyperlink" Target="https://eur-" TargetMode="External"/><Relationship Id="rId199" Type="http://schemas.openxmlformats.org/officeDocument/2006/relationships/hyperlink" Target="https://eur-lex.europa.eu/legal-content/EN/TXT/PDF/?uri=CELEX:52018SC0092&amp;from=EN" TargetMode="External"/><Relationship Id="rId203" Type="http://schemas.openxmlformats.org/officeDocument/2006/relationships/hyperlink" Target="http://ec.europa.eu/competition/sectors/pharmaceuticals/report2019/index.html" TargetMode="External"/><Relationship Id="rId208" Type="http://schemas.openxmlformats.org/officeDocument/2006/relationships/hyperlink" Target="http://curia.europa.eu/juris/liste.jsf?language=en&amp;num=T-216/15" TargetMode="External"/><Relationship Id="rId229" Type="http://schemas.openxmlformats.org/officeDocument/2006/relationships/hyperlink" Target="http://europa.eu/rapid/midday-express-20-12-2018.htm" TargetMode="External"/><Relationship Id="rId19" Type="http://schemas.openxmlformats.org/officeDocument/2006/relationships/hyperlink" Target="http://europa.eu/rapid/press-release_IP-18-2281_en.htm" TargetMode="External"/><Relationship Id="rId224" Type="http://schemas.openxmlformats.org/officeDocument/2006/relationships/hyperlink" Target="http://ec.europa.eu/competition/elojade/isef/index.cfm?fuseaction=dsp_merger_by_date" TargetMode="External"/><Relationship Id="rId240" Type="http://schemas.openxmlformats.org/officeDocument/2006/relationships/hyperlink" Target="http://ec.europa.eu/competition/elojade/isef/case_details.cfm?proc_code=3_SA_43127" TargetMode="External"/><Relationship Id="rId14" Type="http://schemas.openxmlformats.org/officeDocument/2006/relationships/hyperlink" Target="https://curia.europa.eu/jcms/upload/docs/application/pdf/2018-07/cp180107en.pdf" TargetMode="External"/><Relationship Id="rId30" Type="http://schemas.openxmlformats.org/officeDocument/2006/relationships/hyperlink" Target="http://europa.eu/rapid/press-release_IP-18-3682_en.htm" TargetMode="External"/><Relationship Id="rId35" Type="http://schemas.openxmlformats.org/officeDocument/2006/relationships/hyperlink" Target="http://ec.europa.eu/competition/consultations/2014_merger_control/index_en.html" TargetMode="External"/><Relationship Id="rId56" Type="http://schemas.openxmlformats.org/officeDocument/2006/relationships/hyperlink" Target="http://ec.europa.eu/competition/elojade/isef/case_details.cfm?proc_code=3_SA_47412" TargetMode="External"/><Relationship Id="rId77" Type="http://schemas.openxmlformats.org/officeDocument/2006/relationships/hyperlink" Target="http://www.oecd.org/daf/competition/non-price-effects-of-mergers.htm" TargetMode="External"/><Relationship Id="rId100" Type="http://schemas.openxmlformats.org/officeDocument/2006/relationships/hyperlink" Target="http://europa.eu/rapid/press-release_IP-18-3401_en.htm" TargetMode="External"/><Relationship Id="rId105" Type="http://schemas.openxmlformats.org/officeDocument/2006/relationships/hyperlink" Target="http://europa.eu/rapid/press-release_IP-18-3921_en.htm" TargetMode="External"/><Relationship Id="rId126" Type="http://schemas.openxmlformats.org/officeDocument/2006/relationships/hyperlink" Target="http://europa.eu/rapid/press-release_IP-16-3539_en.htm" TargetMode="External"/><Relationship Id="rId147" Type="http://schemas.openxmlformats.org/officeDocument/2006/relationships/hyperlink" Target="http://ec.europa.eu/competition/elojade/isef/index.cfm?fuseaction=dsp_result&amp;policy_area_id=3" TargetMode="External"/><Relationship Id="rId168" Type="http://schemas.openxmlformats.org/officeDocument/2006/relationships/hyperlink" Target="http://ec.europa.eu/competition/elojade/isef/case_details.cfm?proc_code=3_SA_52288" TargetMode="External"/><Relationship Id="rId8" Type="http://schemas.openxmlformats.org/officeDocument/2006/relationships/hyperlink" Target="https://ec.europa.eu/commission/commissioners/2014-2019/vestager/announcements/commission-appoints-professors-heike-schweitzer-jacques-cremer-and-assistant-professor-yves_en" TargetMode="External"/><Relationship Id="rId51" Type="http://schemas.openxmlformats.org/officeDocument/2006/relationships/hyperlink" Target="http://ec.europa.eu/competition/elojade/isef/case_details.cfm?proc_code=3_SA_46595" TargetMode="External"/><Relationship Id="rId72" Type="http://schemas.openxmlformats.org/officeDocument/2006/relationships/hyperlink" Target="https://curia.europa.eu/jcms/jcms/p1_1525302/en/" TargetMode="External"/><Relationship Id="rId93" Type="http://schemas.openxmlformats.org/officeDocument/2006/relationships/hyperlink" Target="https://eur-lex.europa.eu/legal-content/EN/TXT/?qid=1540389285918&amp;uri=CELEX%3A52018SC0320" TargetMode="External"/><Relationship Id="rId98" Type="http://schemas.openxmlformats.org/officeDocument/2006/relationships/hyperlink" Target="http://europa.eu/rapid/press-release_IP-18-6722_en.htm" TargetMode="External"/><Relationship Id="rId121" Type="http://schemas.openxmlformats.org/officeDocument/2006/relationships/hyperlink" Target="https://ec.europa.eu/transparency/regdoc/rep/1/2016/EN/1-2016-590-EN-F1-1.PDF" TargetMode="External"/><Relationship Id="rId142" Type="http://schemas.openxmlformats.org/officeDocument/2006/relationships/hyperlink" Target="https://publications.europa.eu/en/publication-detail/-/publication/e81ae17f-9d27-4b68-8560-7cd45dbe21d8" TargetMode="External"/><Relationship Id="rId163" Type="http://schemas.openxmlformats.org/officeDocument/2006/relationships/hyperlink" Target="http://europa.eu/rapid/press-release_IP-18-6655_en.htm" TargetMode="External"/><Relationship Id="rId184" Type="http://schemas.openxmlformats.org/officeDocument/2006/relationships/hyperlink" Target="https://eur-lex.europa.eu/resource.html?uri=cellar:c8b9aac5-9861-11e7-b92d-01aa75ed71a1.0001.02/DOC_1&amp;format=PDF" TargetMode="External"/><Relationship Id="rId189" Type="http://schemas.openxmlformats.org/officeDocument/2006/relationships/hyperlink" Target="http://ec.europa.eu/competition/elojade/isef/case_details.cfm?proc_code=3_SA_48394" TargetMode="External"/><Relationship Id="rId219" Type="http://schemas.openxmlformats.org/officeDocument/2006/relationships/hyperlink" Target="http://ec.europa.eu/competition/state_aid/cases/274312/274312_1991247_21_2.pdf" TargetMode="External"/><Relationship Id="rId3" Type="http://schemas.openxmlformats.org/officeDocument/2006/relationships/hyperlink" Target="http://europa.eu/rapid/press-release_IP-16-3116_en.htm" TargetMode="External"/><Relationship Id="rId214" Type="http://schemas.openxmlformats.org/officeDocument/2006/relationships/hyperlink" Target="http://ec.europa.eu/competition/elojade/isef/case_details.cfm?proc_code=3_SA_49331" TargetMode="External"/><Relationship Id="rId230" Type="http://schemas.openxmlformats.org/officeDocument/2006/relationships/hyperlink" Target="http://europa.eu/rapid/press-release_IP-18-5905_en.htm" TargetMode="External"/><Relationship Id="rId235" Type="http://schemas.openxmlformats.org/officeDocument/2006/relationships/hyperlink" Target="http://ec.europa.eu/competition/elojade/isef/case_details.cfm?proc_code=3_SA_50217" TargetMode="External"/><Relationship Id="rId25" Type="http://schemas.openxmlformats.org/officeDocument/2006/relationships/hyperlink" Target="http://ec.europa.eu/competition/antitrust/nca.html" TargetMode="External"/><Relationship Id="rId46" Type="http://schemas.openxmlformats.org/officeDocument/2006/relationships/hyperlink" Target="http://ec.europa.eu/competition/publications/cpb/2016/2016_003_en.pdf" TargetMode="External"/><Relationship Id="rId67" Type="http://schemas.openxmlformats.org/officeDocument/2006/relationships/hyperlink" Target="http://ec.europa.eu/competition/state_aid/scoreboard/index_en.html" TargetMode="External"/><Relationship Id="rId116" Type="http://schemas.openxmlformats.org/officeDocument/2006/relationships/hyperlink" Target="http://europa.eu/rapid/press-release_IP-18-6894_en.htm" TargetMode="External"/><Relationship Id="rId137" Type="http://schemas.openxmlformats.org/officeDocument/2006/relationships/hyperlink" Target="http://ec.europa.eu/competition/elojade/isef/case_details.cfm?proc_code=2_M_8989" TargetMode="External"/><Relationship Id="rId158" Type="http://schemas.openxmlformats.org/officeDocument/2006/relationships/hyperlink" Target="http://eur-lex.europa.eu/legal-content/EN/TXT/?uri=celex:32015R0751" TargetMode="External"/><Relationship Id="rId20" Type="http://schemas.openxmlformats.org/officeDocument/2006/relationships/hyperlink" Target="http://europa.eu/rapid/press-release_IP-18-962_en.htm" TargetMode="External"/><Relationship Id="rId41" Type="http://schemas.openxmlformats.org/officeDocument/2006/relationships/hyperlink" Target="http://ec.europa.eu/competition/state_aid/scoreboard/index_en.html" TargetMode="External"/><Relationship Id="rId62" Type="http://schemas.openxmlformats.org/officeDocument/2006/relationships/hyperlink" Target="http://ec.europa.eu/competition/elojade/isef/case_details.cfm?proc_code=3_SA_48472" TargetMode="External"/><Relationship Id="rId83" Type="http://schemas.openxmlformats.org/officeDocument/2006/relationships/hyperlink" Target="http://www.oecd.org/daf/competition/personalised-pricing-in-the-digital-era.htm" TargetMode="External"/><Relationship Id="rId88" Type="http://schemas.openxmlformats.org/officeDocument/2006/relationships/hyperlink" Target="https://unctad.org/en/Pages/MeetingDetails.aspx?meetingid=1675" TargetMode="External"/><Relationship Id="rId111" Type="http://schemas.openxmlformats.org/officeDocument/2006/relationships/hyperlink" Target="http://europa.eu/rapid/press-release_IP-18-4601_en.htm" TargetMode="External"/><Relationship Id="rId132" Type="http://schemas.openxmlformats.org/officeDocument/2006/relationships/hyperlink" Target="http://europa.eu/rapid/press-release_IP-18-6772_en.htm" TargetMode="External"/><Relationship Id="rId153" Type="http://schemas.openxmlformats.org/officeDocument/2006/relationships/hyperlink" Target="http://eur-lex.europa.eu/legal-content/EN/TXT/PDF/?uri=CELEX:52009XC1027(01)&amp;from=EN" TargetMode="External"/><Relationship Id="rId174" Type="http://schemas.openxmlformats.org/officeDocument/2006/relationships/hyperlink" Target="http://europa.eu/rapid/press-release_IP-18-6889_en.htm" TargetMode="External"/><Relationship Id="rId179" Type="http://schemas.openxmlformats.org/officeDocument/2006/relationships/hyperlink" Target="http://ec.europa.eu/competition/elojade/isef/case_details.cfm?proc_code=3_SA_25338" TargetMode="External"/><Relationship Id="rId195" Type="http://schemas.openxmlformats.org/officeDocument/2006/relationships/hyperlink" Target="http://europa.eu/rapid/press-release_MEMO-18-3974_en.htm" TargetMode="External"/><Relationship Id="rId209" Type="http://schemas.openxmlformats.org/officeDocument/2006/relationships/hyperlink" Target="http://ec.europa.eu/transport/facts-fundings/statistics/doc/2017/pocketbook2017.pdf" TargetMode="External"/><Relationship Id="rId190" Type="http://schemas.openxmlformats.org/officeDocument/2006/relationships/hyperlink" Target="http://europa.eu/rapid/press-release_IP-18-3733_en.htm" TargetMode="External"/><Relationship Id="rId204" Type="http://schemas.openxmlformats.org/officeDocument/2006/relationships/hyperlink" Target="http://europa.eu/rapid/press-release_IP-17-1323_en.htm" TargetMode="External"/><Relationship Id="rId220" Type="http://schemas.openxmlformats.org/officeDocument/2006/relationships/hyperlink" Target="http://europa.eu/rapid/press-release_IP-18-3501_en.htm" TargetMode="External"/><Relationship Id="rId225" Type="http://schemas.openxmlformats.org/officeDocument/2006/relationships/hyperlink" Target="http://eur-lex.europa.eu/legalcontent/EN/ALL/?uri=CELEX:52004XC0117(01)" TargetMode="External"/><Relationship Id="rId241" Type="http://schemas.openxmlformats.org/officeDocument/2006/relationships/hyperlink" Target="http://europa.eu/rapid/press-release_IP-18-394_en.htm" TargetMode="External"/><Relationship Id="rId15" Type="http://schemas.openxmlformats.org/officeDocument/2006/relationships/hyperlink" Target="https://curia.europa.eu/jcms/upload/docs/application/pdf/2018-07/cp180107en.pdf" TargetMode="External"/><Relationship Id="rId36" Type="http://schemas.openxmlformats.org/officeDocument/2006/relationships/hyperlink" Target="http://ec.europa.eu/competition/consultations/2016_merger_control/index_en.html" TargetMode="External"/><Relationship Id="rId57" Type="http://schemas.openxmlformats.org/officeDocument/2006/relationships/hyperlink" Target="http://ec.europa.eu/competition/elojade/isef/case_details.cfm?proc_code=3_SA_48571" TargetMode="External"/><Relationship Id="rId106" Type="http://schemas.openxmlformats.org/officeDocument/2006/relationships/hyperlink" Target="http://europa.eu/rapid/press-release_IP-18-6846_en.htm" TargetMode="External"/><Relationship Id="rId127" Type="http://schemas.openxmlformats.org/officeDocument/2006/relationships/hyperlink" Target="http://ec.europa.eu/competition/elojade/isef/case_details.cfm?proc_code=2_M_7000" TargetMode="External"/><Relationship Id="rId10" Type="http://schemas.openxmlformats.org/officeDocument/2006/relationships/hyperlink" Target="http://ec.europa.eu/competition/publications/reports/kd0419345enn.pdf" TargetMode="External"/><Relationship Id="rId31" Type="http://schemas.openxmlformats.org/officeDocument/2006/relationships/hyperlink" Target="http://europa.eu/rapid/press-release_IP-17-772_en.html" TargetMode="External"/><Relationship Id="rId52" Type="http://schemas.openxmlformats.org/officeDocument/2006/relationships/hyperlink" Target="http://ec.europa.eu/competition/elojade/isef/case_details.cfm?proc_code=3_SA_46590" TargetMode="External"/><Relationship Id="rId73" Type="http://schemas.openxmlformats.org/officeDocument/2006/relationships/hyperlink" Target="http://curia.europa.eu/juris/document/document.jsf?text=&amp;docid=208961&amp;pageIndex=0&amp;doclang=EN&amp;mode=lst&amp;dir=&amp;occ=first&amp;part=1&amp;cid=12230735" TargetMode="External"/><Relationship Id="rId78" Type="http://schemas.openxmlformats.org/officeDocument/2006/relationships/hyperlink" Target="http://www.oecd.org/daf/competition/e-commerce-implications-for-competition-policy.htm" TargetMode="External"/><Relationship Id="rId94" Type="http://schemas.openxmlformats.org/officeDocument/2006/relationships/hyperlink" Target="https://ec.europa.eu/transport" TargetMode="External"/><Relationship Id="rId99" Type="http://schemas.openxmlformats.org/officeDocument/2006/relationships/hyperlink" Target="http://europa.eu/rapid/press-release_IP-18-6722_en.htm" TargetMode="External"/><Relationship Id="rId101" Type="http://schemas.openxmlformats.org/officeDocument/2006/relationships/hyperlink" Target="http://ec.europa.eu/competition/mergers/cases/decisions/m8660_525_3.pdf" TargetMode="External"/><Relationship Id="rId122" Type="http://schemas.openxmlformats.org/officeDocument/2006/relationships/hyperlink" Target="http://eur-lex.europa.eu/legal-content/EN/TXT/PDF/?uri=CELEX:52016PC0591&amp;from=EN" TargetMode="External"/><Relationship Id="rId143" Type="http://schemas.openxmlformats.org/officeDocument/2006/relationships/hyperlink" Target="http://eur-lex.europa.eu/LexUriServ/LexUriServ.do?uri=OJ:C:2013:025:0001:0026:EN:PDF" TargetMode="External"/><Relationship Id="rId148" Type="http://schemas.openxmlformats.org/officeDocument/2006/relationships/hyperlink" Target="http://ec.europa.eu/competition/elojade/isef/index.cfm?fuseaction=dsp_result&amp;policy_area_id=3" TargetMode="External"/><Relationship Id="rId164" Type="http://schemas.openxmlformats.org/officeDocument/2006/relationships/hyperlink" Target="http://europa.eu/rapid/press-release_MEMO-17-3761_en.htm" TargetMode="External"/><Relationship Id="rId169" Type="http://schemas.openxmlformats.org/officeDocument/2006/relationships/hyperlink" Target="http://www.europarl.europa.eu/sides/getDoc.do?pubRef=-//EP//TEXT+TA+P8-TA-2015-0408+0+DOC+XML+V0//EN" TargetMode="External"/><Relationship Id="rId185" Type="http://schemas.openxmlformats.org/officeDocument/2006/relationships/hyperlink" Target="http://europa.eu/rapid/press-release_IP-18-3721_en.htm" TargetMode="External"/><Relationship Id="rId4" Type="http://schemas.openxmlformats.org/officeDocument/2006/relationships/hyperlink" Target="http://europa.eu/rapid/press-release_IP-18-4601_en.htm" TargetMode="External"/><Relationship Id="rId9" Type="http://schemas.openxmlformats.org/officeDocument/2006/relationships/hyperlink" Target="http://ec.europa.eu/competition/scp19/" TargetMode="External"/><Relationship Id="rId180" Type="http://schemas.openxmlformats.org/officeDocument/2006/relationships/hyperlink" Target="http://ec.europa.eu/competition/elojade/isef/case_details.cfm?proc_code=3_SA_38393" TargetMode="External"/><Relationship Id="rId210" Type="http://schemas.openxmlformats.org/officeDocument/2006/relationships/hyperlink" Target="http://ec.europa.eu/competition/elojade/isef/case_details.cfm?proc_code=2_M_8869" TargetMode="External"/><Relationship Id="rId215" Type="http://schemas.openxmlformats.org/officeDocument/2006/relationships/hyperlink" Target="http://ec.europa.eu/competition/elojade/isef/case_details.cfm?proc_code=3_SA_49203" TargetMode="External"/><Relationship Id="rId236" Type="http://schemas.openxmlformats.org/officeDocument/2006/relationships/hyperlink" Target="http://ec.europa.eu/competition/elojade/isef/case_details.cfm?proc_code=3_SA_50395" TargetMode="External"/><Relationship Id="rId26" Type="http://schemas.openxmlformats.org/officeDocument/2006/relationships/hyperlink" Target="http://www.ec.europa.eu/competition/publications/reports/KD0216916ENN.pdf" TargetMode="External"/><Relationship Id="rId231" Type="http://schemas.openxmlformats.org/officeDocument/2006/relationships/hyperlink" Target="http://ec.europa.eu/competition/elojade/isef/case_details.cfm?proc_code=3_SA_49153" TargetMode="External"/><Relationship Id="rId47" Type="http://schemas.openxmlformats.org/officeDocument/2006/relationships/hyperlink" Target="http://eur-lex.europa.eu/legal-content/EN/TXT/?qid=1427303331326&amp;uri=CELEX:52010DC2020" TargetMode="External"/><Relationship Id="rId68" Type="http://schemas.openxmlformats.org/officeDocument/2006/relationships/hyperlink" Target="http://eca.europa.eu/portal/pls/portal/docs/1/10952771.PDF" TargetMode="External"/><Relationship Id="rId89" Type="http://schemas.openxmlformats.org/officeDocument/2006/relationships/hyperlink" Target="http://curia.europa.eu/juris/liste.jsf?pro=AVIS&amp;num=C-1/15" TargetMode="External"/><Relationship Id="rId112" Type="http://schemas.openxmlformats.org/officeDocument/2006/relationships/hyperlink" Target="http://europa.eu/rapid/press-release_IP-18-6844_en.htm" TargetMode="External"/><Relationship Id="rId133" Type="http://schemas.openxmlformats.org/officeDocument/2006/relationships/hyperlink" Target="http://ec.europa.eu/competition/elojade/isef/case_details.cfm?proc_code=2_M_8788" TargetMode="External"/><Relationship Id="rId154" Type="http://schemas.openxmlformats.org/officeDocument/2006/relationships/hyperlink" Target="http://ec.europa.eu/competition/elojade/isef/index.cfm?fuseaction=dsp_result&amp;policy_area_id=3" TargetMode="External"/><Relationship Id="rId175" Type="http://schemas.openxmlformats.org/officeDocument/2006/relationships/hyperlink" Target="http://www.gibraltarlaws.gov.gi/articles/2018s227.pdf" TargetMode="External"/><Relationship Id="rId196" Type="http://schemas.openxmlformats.org/officeDocument/2006/relationships/hyperlink" Target="http://ec.europa.eu/competition/publications/reports/kd0218732enn.pdf" TargetMode="External"/><Relationship Id="rId200" Type="http://schemas.openxmlformats.org/officeDocument/2006/relationships/hyperlink" Target="http://europa.eu/rapid/press-release%20IP-17-5041%20en.htm" TargetMode="External"/><Relationship Id="rId16" Type="http://schemas.openxmlformats.org/officeDocument/2006/relationships/hyperlink" Target="https://curia.europa.eu/jcms/upload/docs/application/pdf/2018-02/cp180009en.pdf" TargetMode="External"/><Relationship Id="rId221" Type="http://schemas.openxmlformats.org/officeDocument/2006/relationships/hyperlink" Target="http://ec.europa.eu/competition/consultations/2018_consortia/index_en.html" TargetMode="External"/><Relationship Id="rId242" Type="http://schemas.openxmlformats.org/officeDocument/2006/relationships/hyperlink" Target="http://europa.eu/rapid/press-release_IP-18-3965_en.htm" TargetMode="External"/><Relationship Id="rId37" Type="http://schemas.openxmlformats.org/officeDocument/2006/relationships/hyperlink" Target="http://ec.europa.eu/competition/mergers/cases/decisions/m3770_373_3.pdf" TargetMode="External"/><Relationship Id="rId58" Type="http://schemas.openxmlformats.org/officeDocument/2006/relationships/hyperlink" Target="http://ec.europa.eu/growth/smes/cosme_en" TargetMode="External"/><Relationship Id="rId79" Type="http://schemas.openxmlformats.org/officeDocument/2006/relationships/hyperlink" Target="http://www.oecd.org/daf/competition/market-concentration.htm" TargetMode="External"/><Relationship Id="rId102" Type="http://schemas.openxmlformats.org/officeDocument/2006/relationships/hyperlink" Target="http://ec.europa.eu/competition/sectors/energy/capacity_mechanisms_final_report_en.pdf" TargetMode="External"/><Relationship Id="rId123" Type="http://schemas.openxmlformats.org/officeDocument/2006/relationships/hyperlink" Target="http://eur-lex.europa.eu/legal-content/EN/TXT/PDF/?uri=CELEX:52016PC0589&amp;from=EN" TargetMode="External"/><Relationship Id="rId144" Type="http://schemas.openxmlformats.org/officeDocument/2006/relationships/hyperlink" Target="https://ec.europa.eu/digital-single-market/en/news/communication-connectivity-competitive-digital-single-market-towards-european-gigabit-society" TargetMode="External"/><Relationship Id="rId90" Type="http://schemas.openxmlformats.org/officeDocument/2006/relationships/hyperlink" Target="https://eur-lex.europa.eu/legal-content/EN/ALL/?uri=CELEX:22003A0722(01)" TargetMode="External"/><Relationship Id="rId165" Type="http://schemas.openxmlformats.org/officeDocument/2006/relationships/hyperlink" Target="http://eur-lex.europa.eu/legal-content/EN/TXT/PDF/?uri=CELEX:52013XC0730%2801%29&amp;from=EN" TargetMode="External"/><Relationship Id="rId186" Type="http://schemas.openxmlformats.org/officeDocument/2006/relationships/hyperlink" Target="http://europa.eu/rapid/press-release_IP-18-4527_en.htm" TargetMode="External"/><Relationship Id="rId211" Type="http://schemas.openxmlformats.org/officeDocument/2006/relationships/hyperlink" Target="http://ec.europa.eu/transparency/regdoc/index.cfm?fuseaction=list&amp;coteId=3&amp;documentType%20=COMMUNICATION_FROM_COMMISSION&amp;version=ALL" TargetMode="External"/><Relationship Id="rId232" Type="http://schemas.openxmlformats.org/officeDocument/2006/relationships/hyperlink" Target="http://ec.europa.eu/competition/elojade/isef/case_details.cfm?proc_code=3_SA_49518" TargetMode="External"/><Relationship Id="rId27" Type="http://schemas.openxmlformats.org/officeDocument/2006/relationships/hyperlink" Target="http://europa.eu/rapid/press-release_IP-17-772_en.htm.%20See%20also%20Case%20M.8851" TargetMode="External"/><Relationship Id="rId48" Type="http://schemas.openxmlformats.org/officeDocument/2006/relationships/hyperlink" Target="http://ec.europa.eu/competition/state_aid/legislation/block.html" TargetMode="External"/><Relationship Id="rId69" Type="http://schemas.openxmlformats.org/officeDocument/2006/relationships/hyperlink" Target="https://webgate.ec.europa.eu/competition/transparency/public/search/home/" TargetMode="External"/><Relationship Id="rId113" Type="http://schemas.openxmlformats.org/officeDocument/2006/relationships/hyperlink" Target="http://europa.eu/rapid/press-release_IP-17-201_en.htm" TargetMode="External"/><Relationship Id="rId134" Type="http://schemas.openxmlformats.org/officeDocument/2006/relationships/hyperlink" Target="http://ec.europa.eu/competition/elojade/isef/case_details.cfm?proc_code=2_M_8797" TargetMode="External"/><Relationship Id="rId80" Type="http://schemas.openxmlformats.org/officeDocument/2006/relationships/hyperlink" Target="http://www.oecd.org/daf/competition/treatment-of-legally-privileged-information-in-competition-proceedings.htm" TargetMode="External"/><Relationship Id="rId155" Type="http://schemas.openxmlformats.org/officeDocument/2006/relationships/hyperlink" Target="http://ec.europa.eu/competition/elojade/isef/index.cfm?fuseaction=dsp_result&amp;policy_area_id=3" TargetMode="External"/><Relationship Id="rId176" Type="http://schemas.openxmlformats.org/officeDocument/2006/relationships/hyperlink" Target="http://www.gibraltarlaws.gov.gi/articles/2018=228.pdf" TargetMode="External"/><Relationship Id="rId197" Type="http://schemas.openxmlformats.org/officeDocument/2006/relationships/hyperlink" Target="http://ec.europa.eu/competition/sectors/agriculture/report_on_competition_rules_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a8a607-6a81-4fea-b6be-13e8f432caea"/>
    <k91673f5e5044623a7eaaaa7b2e8050e xmlns="3ca8a607-6a81-4fea-b6be-13e8f432caea">
      <Terms xmlns="http://schemas.microsoft.com/office/infopath/2007/PartnerControls"/>
    </k91673f5e5044623a7eaaaa7b2e8050e>
    <documentSummary xmlns="3ca8a607-6a81-4fea-b6be-13e8f432caea" xsi:nil="true"/>
    <d03a6e92a9084a579dc1a1b170d3075f xmlns="3ca8a607-6a81-4fea-b6be-13e8f432caea">
      <Terms xmlns="http://schemas.microsoft.com/office/infopath/2007/PartnerControls"/>
    </d03a6e92a9084a579dc1a1b170d3075f>
    <documentFollowUp xmlns="3ca8a607-6a81-4fea-b6be-13e8f432caea" xsi:nil="true"/>
    <documentTitle xmlns="3ca8a607-6a81-4fea-b6be-13e8f432caea" xsi:nil="true"/>
    <_dlc_DocId xmlns="3ca8a607-6a81-4fea-b6be-13e8f432caea">S6YPT7QTW4PE-2-38</_dlc_DocId>
    <_dlc_DocIdUrl xmlns="3ca8a607-6a81-4fea-b6be-13e8f432caea">
      <Url>https://workspace.comp.cec.eu.int/cases/HT.4840/_layouts/15/DocIdRedir.aspx?ID=S6YPT7QTW4PE-2-38</Url>
      <Description>S6YPT7QTW4PE-2-38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lank Word Document" ma:contentTypeID="0x01010000A15AF7FB934FB78CFAD3C956DF95DD0045EDA11B7F30F74BBC4565355932152B" ma:contentTypeVersion="5" ma:contentTypeDescription="A Microsoft Word Blank Document to start the work from." ma:contentTypeScope="" ma:versionID="b6027c44f2a0d6ec4c66703e8ea13bc5">
  <xsd:schema xmlns:xsd="http://www.w3.org/2001/XMLSchema" xmlns:xs="http://www.w3.org/2001/XMLSchema" xmlns:p="http://schemas.microsoft.com/office/2006/metadata/properties" xmlns:ns1="3ca8a607-6a81-4fea-b6be-13e8f432caea" targetNamespace="http://schemas.microsoft.com/office/2006/metadata/properties" ma:root="true" ma:fieldsID="219b4011350d007556533a133c00d229" ns1:_="">
    <xsd:import namespace="3ca8a607-6a81-4fea-b6be-13e8f432caea"/>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k91673f5e5044623a7eaaaa7b2e8050e" minOccurs="0"/>
                <xsd:element ref="ns1:TaxCatchAll" minOccurs="0"/>
                <xsd:element ref="ns1:TaxCatchAllLabel" minOccurs="0"/>
                <xsd:element ref="ns1:d03a6e92a9084a579dc1a1b170d3075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8a607-6a81-4fea-b6be-13e8f432caea"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k91673f5e5044623a7eaaaa7b2e8050e" ma:index="6" nillable="true" ma:taxonomy="true" ma:internalName="k91673f5e5044623a7eaaaa7b2e8050e" ma:taxonomyFieldName="documentGeneralTags" ma:displayName="General Tags" ma:fieldId="{491673f5-e504-4623-a7ea-aaa7b2e8050e}"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87dc96ef-34b9-4930-8627-1aeb0b2f2b6d}" ma:internalName="TaxCatchAll" ma:showField="CatchAllData" ma:web="3ca8a607-6a81-4fea-b6be-13e8f432cae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87dc96ef-34b9-4930-8627-1aeb0b2f2b6d}" ma:internalName="TaxCatchAllLabel" ma:readOnly="true" ma:showField="CatchAllDataLabel" ma:web="3ca8a607-6a81-4fea-b6be-13e8f432caea">
      <xsd:complexType>
        <xsd:complexContent>
          <xsd:extension base="dms:MultiChoiceLookup">
            <xsd:sequence>
              <xsd:element name="Value" type="dms:Lookup" maxOccurs="unbounded" minOccurs="0" nillable="true"/>
            </xsd:sequence>
          </xsd:extension>
        </xsd:complexContent>
      </xsd:complexType>
    </xsd:element>
    <xsd:element name="d03a6e92a9084a579dc1a1b170d3075f" ma:index="10" nillable="true" ma:taxonomy="true" ma:internalName="d03a6e92a9084a579dc1a1b170d3075f" ma:taxonomyFieldName="documentCaseTags" ma:displayName="Case Tags" ma:fieldId="{d03a6e92-a908-4a57-9dc1-a1b170d3075f}" ma:taxonomyMulti="true" ma:sspId="0b3cc5dc-dc2a-4346-9392-57628a0b46cb" ma:termSetId="571de4ef-9d8a-4c28-9ff3-cbfbe553557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AF4D-C607-4CD0-ADC4-189744188D81}">
  <ds:schemaRefs>
    <ds:schemaRef ds:uri="http://purl.org/dc/terms/"/>
    <ds:schemaRef ds:uri="http://schemas.openxmlformats.org/package/2006/metadata/core-properties"/>
    <ds:schemaRef ds:uri="http://schemas.microsoft.com/office/2006/documentManagement/types"/>
    <ds:schemaRef ds:uri="3ca8a607-6a81-4fea-b6be-13e8f432caea"/>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39F0D96-3165-411F-BE0A-A671BEAD7CD2}">
  <ds:schemaRefs>
    <ds:schemaRef ds:uri="http://schemas.microsoft.com/sharepoint/events"/>
  </ds:schemaRefs>
</ds:datastoreItem>
</file>

<file path=customXml/itemProps3.xml><?xml version="1.0" encoding="utf-8"?>
<ds:datastoreItem xmlns:ds="http://schemas.openxmlformats.org/officeDocument/2006/customXml" ds:itemID="{33415FC9-A7A7-4267-9914-6C6B89A92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8a607-6a81-4fea-b6be-13e8f432c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F38EB-15FD-4EA6-9330-0C33C7F9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38456</Words>
  <Characters>216129</Characters>
  <Application>Microsoft Office Word</Application>
  <DocSecurity>0</DocSecurity>
  <Lines>3485</Lines>
  <Paragraphs>887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LAGES CARVALHO Patrick (SG)</cp:lastModifiedBy>
  <cp:revision>16</cp:revision>
  <cp:lastPrinted>2019-05-17T17:28:00Z</cp:lastPrinted>
  <dcterms:created xsi:type="dcterms:W3CDTF">2019-10-14T07:30:00Z</dcterms:created>
  <dcterms:modified xsi:type="dcterms:W3CDTF">2019-10-14T08:06:00Z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documentCaseTags">
    <vt:lpwstr/>
  </property>
  <property fmtid="{D5CDD505-2E9C-101B-9397-08002B2CF9AE}" pid="7" name="documentGeneralTags">
    <vt:lpwstr/>
  </property>
  <property fmtid="{D5CDD505-2E9C-101B-9397-08002B2CF9AE}" pid="8" name="_dlc_DocIdItemGuid">
    <vt:lpwstr>f101c9ec-b5a7-47f4-abf5-7e7c7dcd8595</vt:lpwstr>
  </property>
  <property fmtid="{D5CDD505-2E9C-101B-9397-08002B2CF9AE}" pid="9" name="Last edited using">
    <vt:lpwstr>LW 7.0, Build 20190717</vt:lpwstr>
  </property>
  <property fmtid="{D5CDD505-2E9C-101B-9397-08002B2CF9AE}" pid="10" name="_DocHome">
    <vt:i4>1611554031</vt:i4>
  </property>
  <property fmtid="{D5CDD505-2E9C-101B-9397-08002B2CF9AE}" pid="11" name="Created using">
    <vt:lpwstr>LW 6.0.1, Build 20180503</vt:lpwstr>
  </property>
  <property fmtid="{D5CDD505-2E9C-101B-9397-08002B2CF9AE}" pid="12" name="CPTemplateID">
    <vt:lpwstr>CP-025</vt:lpwstr>
  </property>
  <property fmtid="{D5CDD505-2E9C-101B-9397-08002B2CF9AE}" pid="13" name="_LW_INVALIDATED__LW_INVALIDATED__LW_INVALIDATED__LW_INVALIDATED__LW_INVALIDATED_ContentTypeId">
    <vt:lpwstr>0x01010000A15AF7FB934FB78CFAD3C956DF95DD0045EDA11B7F30F74BBC4565355932152B</vt:lpwstr>
  </property>
</Properties>
</file>