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552E11-2A4C-4944-BE26-5035E2B9E553"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spacing w:before="0" w:after="240"/>
        <w:rPr>
          <w:rFonts w:eastAsia="Arial Unicode MS"/>
          <w:noProof/>
        </w:rPr>
      </w:pPr>
      <w:r>
        <w:rPr>
          <w:noProof/>
        </w:rPr>
        <w:t>Целта на Международната конвенция за опазване на рибата тон в Атлантическия океан (Конвенцията ICCAT) е с учредяването на ICCAT да се насърчи сътрудничеството, насочено към поддържане на популациите на риба тон и тоноподобни видове в Атлантическия океан на нива, позволяващи максимален устойчив улов за продоволствени и други цели. Конвенцията е в сила от 21 март 1969 г. След одобряването на Конвенцията по силата на съответното решение на Съвета от 9 юни 1986 г.</w:t>
      </w:r>
      <w:r>
        <w:rPr>
          <w:rStyle w:val="FootnoteReference"/>
          <w:noProof/>
        </w:rPr>
        <w:footnoteReference w:id="1"/>
      </w:r>
      <w:r>
        <w:rPr>
          <w:noProof/>
        </w:rPr>
        <w:t xml:space="preserve"> Съюзът стана страна по нея.</w:t>
      </w:r>
    </w:p>
    <w:p>
      <w:pPr>
        <w:spacing w:before="0" w:after="240"/>
        <w:rPr>
          <w:rFonts w:eastAsia="Arial Unicode MS"/>
          <w:noProof/>
        </w:rPr>
      </w:pPr>
      <w:r>
        <w:rPr>
          <w:noProof/>
        </w:rPr>
        <w:t xml:space="preserve">Международната комисия за опазване на рибата тон в Атлантическия океан (ICCAT) е органът, създаден от Конвенцията ICCAT, за опазване и управление на видовете, попадащи в нейната компетентност. ICCAT разполага с правомощия да приема препоръки, които са обвързващи за договарящите страни. Като договаряща страна по Конвенцията ICCAT Съюзът е член на ICCAT, има право на участие и право на глас. </w:t>
      </w:r>
    </w:p>
    <w:p>
      <w:pPr>
        <w:spacing w:before="0" w:after="240"/>
        <w:rPr>
          <w:rFonts w:eastAsia="Arial Unicode MS"/>
          <w:noProof/>
        </w:rPr>
      </w:pPr>
      <w:r>
        <w:rPr>
          <w:noProof/>
        </w:rPr>
        <w:t>С цел да подобри своята ефективност и за по-доброто опазване и управление на видовете, попадащи в нейната компетентност, ICCAT постигна съгласие относно необходимостта от изменение на Конвенцията. На 13 май 2013 г. Съветът упълномощи Комисията да преговаря от името на Европейския съюз за изменението на Конвенцията</w:t>
      </w:r>
      <w:r>
        <w:rPr>
          <w:rStyle w:val="FootnoteReference"/>
          <w:noProof/>
        </w:rPr>
        <w:footnoteReference w:id="2"/>
      </w:r>
      <w:r>
        <w:rPr>
          <w:noProof/>
        </w:rPr>
        <w:t xml:space="preserve">. </w:t>
      </w:r>
    </w:p>
    <w:p>
      <w:pPr>
        <w:spacing w:before="0" w:after="240"/>
        <w:rPr>
          <w:rFonts w:eastAsia="Arial Unicode MS"/>
          <w:noProof/>
        </w:rPr>
      </w:pPr>
      <w:r>
        <w:rPr>
          <w:noProof/>
        </w:rPr>
        <w:t>В периода 2013—2018 г. в рамките на ICCAT бяха обсъдени необходимите изменения на Конвенцията. В резултат на това беше изготвен Протокол за изменение на Конвенцията. Когато влязат в сила, с основните изменения:</w:t>
      </w:r>
    </w:p>
    <w:p>
      <w:pPr>
        <w:pStyle w:val="Point0"/>
        <w:rPr>
          <w:noProof/>
        </w:rPr>
      </w:pPr>
      <w:r>
        <w:t>(1)</w:t>
      </w:r>
      <w:r>
        <w:tab/>
      </w:r>
      <w:r>
        <w:rPr>
          <w:noProof/>
        </w:rPr>
        <w:t>ще се разшири обхватът на Конвенцията по отношение на опазването и управлението на популациите от акули;</w:t>
      </w:r>
    </w:p>
    <w:p>
      <w:pPr>
        <w:pStyle w:val="Point0"/>
        <w:rPr>
          <w:noProof/>
        </w:rPr>
      </w:pPr>
      <w:r>
        <w:t>(2)</w:t>
      </w:r>
      <w:r>
        <w:tab/>
      </w:r>
      <w:r>
        <w:rPr>
          <w:noProof/>
        </w:rPr>
        <w:t>ще се изяснят правилата за гласуване и кворума в рамките на ICCAT, и по-специално изискванията относно мнозинството в ситуации, когато не може да бъде постигнат консенсус;</w:t>
      </w:r>
    </w:p>
    <w:p>
      <w:pPr>
        <w:pStyle w:val="Point0"/>
        <w:rPr>
          <w:noProof/>
        </w:rPr>
      </w:pPr>
      <w:r>
        <w:t>(3)</w:t>
      </w:r>
      <w:r>
        <w:tab/>
      </w:r>
      <w:r>
        <w:rPr>
          <w:noProof/>
        </w:rPr>
        <w:t>ще се определят принципите, с които трябва да се съобразяват ICCAT и нейните членове в работата си в рамките на Конвенцията ICCAT;</w:t>
      </w:r>
    </w:p>
    <w:p>
      <w:pPr>
        <w:pStyle w:val="Point0"/>
        <w:rPr>
          <w:noProof/>
        </w:rPr>
      </w:pPr>
      <w:r>
        <w:t>(4)</w:t>
      </w:r>
      <w:r>
        <w:tab/>
      </w:r>
      <w:r>
        <w:rPr>
          <w:noProof/>
        </w:rPr>
        <w:t>ще се съкрати срокът за влизане в сила на препоръките, приемани от ICCAT, от шест на четири месеца след изпращането на уведомление до членовете на ICCAT;</w:t>
      </w:r>
    </w:p>
    <w:p>
      <w:pPr>
        <w:pStyle w:val="Point0"/>
        <w:rPr>
          <w:noProof/>
        </w:rPr>
      </w:pPr>
      <w:r>
        <w:t>(5)</w:t>
      </w:r>
      <w:r>
        <w:tab/>
      </w:r>
      <w:r>
        <w:rPr>
          <w:noProof/>
        </w:rPr>
        <w:t xml:space="preserve">ще се поясни използването на процедурата за възражение срещу препоръките, приемани от ICCAT; </w:t>
      </w:r>
    </w:p>
    <w:p>
      <w:pPr>
        <w:pStyle w:val="Point0"/>
        <w:rPr>
          <w:noProof/>
        </w:rPr>
      </w:pPr>
      <w:r>
        <w:lastRenderedPageBreak/>
        <w:t>(6)</w:t>
      </w:r>
      <w:r>
        <w:tab/>
      </w:r>
      <w:r>
        <w:rPr>
          <w:noProof/>
        </w:rPr>
        <w:t>ще се позволи по-засилено участие в работата на ICCAT на сътрудничещите страни и риболовните субекти, които не са договарящи страни; както и</w:t>
      </w:r>
    </w:p>
    <w:p>
      <w:pPr>
        <w:pStyle w:val="Point0"/>
        <w:rPr>
          <w:noProof/>
        </w:rPr>
      </w:pPr>
      <w:r>
        <w:t>(7)</w:t>
      </w:r>
      <w:r>
        <w:tab/>
      </w:r>
      <w:r>
        <w:rPr>
          <w:noProof/>
        </w:rPr>
        <w:t xml:space="preserve">ще се въведе механизъм за уреждане на спорове в рамките на ICCAT на доброволни начала, резултатите от който ще бъдат окончателни и задължителни за страните, които прибягват до него. </w:t>
      </w:r>
    </w:p>
    <w:p>
      <w:pPr>
        <w:spacing w:before="0" w:after="240"/>
        <w:rPr>
          <w:rFonts w:eastAsia="Arial Unicode MS"/>
          <w:noProof/>
        </w:rPr>
      </w:pPr>
      <w:r>
        <w:rPr>
          <w:noProof/>
        </w:rPr>
        <w:t>Изменянето на Конвенцията е също благоприятен случай да бъдат заличени някои незначителни разминавания между текстовете на английски, френски и испански език, които са еднакво автентични. Протоколът следователно обхваща всички разпоредби, които трябва да бъдат изменени във всяка една от трите езикови версии.</w:t>
      </w:r>
    </w:p>
    <w:p>
      <w:pPr>
        <w:spacing w:before="0" w:after="240"/>
        <w:rPr>
          <w:rFonts w:eastAsia="Arial Unicode MS"/>
          <w:noProof/>
        </w:rPr>
      </w:pPr>
      <w:r>
        <w:rPr>
          <w:noProof/>
        </w:rPr>
        <w:t xml:space="preserve">Протоколът ще бъде приет от договарящите страни на 28-ото редовно заседание на ICCAT от 18 до 25 ноември 2019 г. </w:t>
      </w:r>
    </w:p>
    <w:p>
      <w:pPr>
        <w:spacing w:before="0" w:after="240"/>
        <w:rPr>
          <w:rFonts w:eastAsia="Arial Unicode MS"/>
          <w:noProof/>
        </w:rPr>
      </w:pPr>
      <w:r>
        <w:rPr>
          <w:noProof/>
        </w:rPr>
        <w:t>Настоящото представлява предложение за решение на Съвета за разрешаване на подписването на Протокола от името на Съюза и за неговото временно прилагане. В член 13 от Протокола се предвижда той да влезе в сила във всяка приемаща го договаряща се страна на деветдесетия ден след депозирането при генералния директор на Организацията за прехрана и земеделие на Организацията на обединените нации на документите за приемане от страна на три четвърти от договарящите се страни, а след това — за всяка останала договаряща се страна — когато същата го приеме. Следователно е необходимо да се предвиди временното прилагане на Протокола в случай, че той влезе в сила преди Съюзът да е приключил вътрешните си процедури по ратификация. Временното прилагане е също така в съответствие с решението на Съвета за упълномощаване на Комисията да води преговори по измененията в Конвенцията.</w:t>
      </w:r>
    </w:p>
    <w:p>
      <w:pPr>
        <w:spacing w:before="0" w:after="240"/>
        <w:rPr>
          <w:rFonts w:eastAsia="Arial Unicode MS"/>
          <w:noProof/>
        </w:rPr>
      </w:pPr>
      <w:r>
        <w:rPr>
          <w:noProof/>
        </w:rPr>
        <w:t xml:space="preserve">Протоколът представлява част от по-голям пакет, който включва също: </w:t>
      </w:r>
    </w:p>
    <w:p>
      <w:pPr>
        <w:pStyle w:val="Point0"/>
        <w:rPr>
          <w:noProof/>
        </w:rPr>
      </w:pPr>
      <w:r>
        <w:t>(1)</w:t>
      </w:r>
      <w:r>
        <w:tab/>
      </w:r>
      <w:r>
        <w:rPr>
          <w:i/>
          <w:noProof/>
        </w:rPr>
        <w:t>Резолюция на ICCAT относно участието на риболовни субекти по силата на изменената</w:t>
      </w:r>
      <w:r>
        <w:rPr>
          <w:noProof/>
        </w:rPr>
        <w:t xml:space="preserve"> Конвенция ICCAT. В тази резолюция се поясняват измененията в Конвенцията относно участието на недоговарящи се страни и по-специално, че Китайски Тайпе е риболовният субект, който ще бъде обхванат от приложение 2 относно риболовните субекти, което се добавя към Конвенцията с член 11 от Протокола; както и</w:t>
      </w:r>
    </w:p>
    <w:p>
      <w:pPr>
        <w:pStyle w:val="Point0"/>
        <w:rPr>
          <w:noProof/>
        </w:rPr>
      </w:pPr>
      <w:r>
        <w:t>(2)</w:t>
      </w:r>
      <w:r>
        <w:tab/>
      </w:r>
      <w:r>
        <w:rPr>
          <w:noProof/>
        </w:rPr>
        <w:t xml:space="preserve">Препоръка на ICCAT относно видовете, които се смятат за риба тон и тоноподобни видове, или за океански, пелагични и далекомигриращи видове от подклас пластинчатохрили. В препоръката се уточнява кои видове са обхванати от Конвенцията, по-специално чрез изричното включване във „видовете от обхвата на ICCAT“ на пластинчатохрили (акули и скатове), които са океански, пелагични и далекомигриращи видове. </w:t>
      </w:r>
    </w:p>
    <w:p>
      <w:pPr>
        <w:spacing w:before="0" w:after="240"/>
        <w:rPr>
          <w:rFonts w:eastAsia="Arial Unicode MS"/>
          <w:noProof/>
        </w:rPr>
      </w:pPr>
      <w:r>
        <w:rPr>
          <w:noProof/>
        </w:rPr>
        <w:t>Резолюцията и препоръката трябва да бъдат приети от ICCAT едновременно с приемането на Протокола от договарящите се страни. В съответствие с член VIII, параграф 2 от Конвенцията ICCAT препоръката ще влезе в сила шест месеца след датата, на която договарящите се страни са били уведомени за нея. Ако договаряща страна е подала и потвърдила възражение срещу препоръката, тя не е обвързваща за съответната страна. В случай че възражението е подкрепено от мнозинството договарящи страни, препоръката не поражда действие.</w:t>
      </w:r>
    </w:p>
    <w:p>
      <w:pPr>
        <w:pStyle w:val="ManualHeading2"/>
        <w:rPr>
          <w:rFonts w:eastAsia="Arial Unicode MS"/>
          <w:noProof/>
          <w:color w:val="000000"/>
          <w:u w:color="000000"/>
          <w:bdr w:val="nil"/>
        </w:rPr>
      </w:pPr>
      <w:r>
        <w:rPr>
          <w:noProof/>
          <w:u w:color="000000"/>
          <w:bdr w:val="nil"/>
        </w:rPr>
        <w:lastRenderedPageBreak/>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Регионалните организации за управление на рибарството (РОУР) са международни организации на държави, някои от които са крайбрежни държави; организации за регионална интеграция, например ЕС и риболовни субекти, които имат интереси в риболова в даден район. Някои РОУР управляват всички рибни запаси в даден район, а други са насочени към определени далекомигриращи видове, като рибата тон, в обширни географски области. Макар че някои имат само консултативна роля, повечето от тях имат управленски правомощия да определят ограничения за улова и риболовното усилие, технически мерки и задължения за упражняване на контрол. </w:t>
      </w:r>
    </w:p>
    <w:p>
      <w:pPr>
        <w:spacing w:before="0" w:after="240"/>
        <w:rPr>
          <w:rFonts w:eastAsia="Arial Unicode MS"/>
          <w:noProof/>
        </w:rPr>
      </w:pPr>
      <w:r>
        <w:rPr>
          <w:noProof/>
        </w:rPr>
        <w:t>Европейският съюз, представляван от Европейската комисия, подпомага и допринася активно за работата на ICCAT, в съответствие със Съобщението на Комисията „Участие в регионални организации по рибарство (РОР)“</w:t>
      </w:r>
      <w:r>
        <w:rPr>
          <w:rStyle w:val="FootnoteReference"/>
          <w:noProof/>
        </w:rPr>
        <w:footnoteReference w:id="3"/>
      </w:r>
      <w:r>
        <w:rPr>
          <w:noProof/>
        </w:rPr>
        <w:t>, с член 29 от Регламент (ЕС) № 1380/2013 на Европейския парламент и на Съвета относно общата политика в областта на рибарството</w:t>
      </w:r>
      <w:r>
        <w:rPr>
          <w:rStyle w:val="FootnoteReference"/>
          <w:noProof/>
        </w:rPr>
        <w:footnoteReference w:id="4"/>
      </w:r>
      <w:r>
        <w:rPr>
          <w:noProof/>
        </w:rPr>
        <w:t xml:space="preserve"> и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5"/>
      </w:r>
      <w:r>
        <w:rPr>
          <w:noProof/>
        </w:rPr>
        <w:t>. Измененията в Конвенцията са необходими, за да се гарантира устойчивата експлоатация, управление и опазване на морските биологични ресурси и на морската среда, управлявани от ICCAT, както и на видовете, уловени в рамките на риболов на видове, обхванати от ICCAT.</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sz w:val="23"/>
          <w:szCs w:val="23"/>
        </w:rPr>
      </w:pPr>
      <w:r>
        <w:rPr>
          <w:noProof/>
        </w:rPr>
        <w:t>В съответствие със съвместното съобщение на върховния представител на ЕС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6"/>
      </w:r>
      <w:r>
        <w:rPr>
          <w:noProof/>
        </w:rPr>
        <w:t>, и заключенията на Съвета във връзка с това съвместно съобщение</w:t>
      </w:r>
      <w:r>
        <w:rPr>
          <w:rStyle w:val="FootnoteReference"/>
          <w:noProof/>
        </w:rPr>
        <w:footnoteReference w:id="7"/>
      </w:r>
      <w:r>
        <w:rPr>
          <w:noProof/>
        </w:rPr>
        <w:t xml:space="preserve">, насърчаването на мерките за подкрепа и повишаване на ефективността на РОУР и, когато е уместно, за подобряване на тяхното управление заема централно място в действията на ЕС в рамките на тези форуми.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rFonts w:eastAsia="Times New Roman"/>
          <w:noProof/>
        </w:rPr>
      </w:pPr>
      <w:r>
        <w:rPr>
          <w:noProof/>
        </w:rPr>
        <w:t>Предложението за решение на Съвета се основава на Договора за функционирането на Европейския съюз, и по-специално на член 43, параграф 2 във връзка с член 218, параграф 5.</w:t>
      </w:r>
    </w:p>
    <w:p>
      <w:pPr>
        <w:pBdr>
          <w:top w:val="nil"/>
          <w:left w:val="nil"/>
          <w:bottom w:val="nil"/>
          <w:right w:val="nil"/>
          <w:between w:val="nil"/>
          <w:bar w:val="nil"/>
        </w:pBdr>
        <w:spacing w:before="0" w:after="240"/>
        <w:rPr>
          <w:rFonts w:eastAsia="Arial Unicode MS"/>
          <w:noProof/>
        </w:rPr>
      </w:pPr>
      <w:r>
        <w:rPr>
          <w:noProof/>
        </w:rPr>
        <w:t>Правното основание за принципите, които да бъдат отразени в настоящата позиция, е Регламент (ЕС) № 1380/2013 на Европейския парламент и на Съвета</w:t>
      </w:r>
      <w:r>
        <w:rPr>
          <w:rStyle w:val="FootnoteReference"/>
          <w:noProof/>
        </w:rPr>
        <w:footnoteReference w:id="8"/>
      </w:r>
      <w:r>
        <w:rPr>
          <w:noProof/>
        </w:rPr>
        <w:t>.</w:t>
      </w:r>
    </w:p>
    <w:p>
      <w:pPr>
        <w:pStyle w:val="ManualHeading2"/>
        <w:rPr>
          <w:rFonts w:eastAsia="Arial Unicode MS"/>
          <w:noProof/>
          <w:u w:color="000000"/>
          <w:bdr w:val="nil"/>
        </w:rPr>
      </w:pPr>
      <w:r>
        <w:rPr>
          <w:noProof/>
          <w:u w:color="000000"/>
          <w:bdr w:val="nil"/>
        </w:rPr>
        <w:lastRenderedPageBreak/>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не надхвърля рамките на необходимото за постигане на поставените цели, а именно за подписването и временното прилагане на Протокола от страна на Съюза.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Съгласно член 218, параграф 5 от Договора за функционирането на Европейския съюз от Комисията се изисква да представи предложение, за да може Съветът да приеме решение за разрешаване на подписването на Протокола и — ако е необходимо — за временното му прилагане преди влизането в сила.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spacing w:before="0" w:after="240"/>
        <w:rPr>
          <w:rFonts w:eastAsia="Times New Roman"/>
          <w:noProof/>
        </w:rPr>
      </w:pPr>
      <w:r>
        <w:rPr>
          <w:noProof/>
        </w:rPr>
        <w:t>На 13 май 2013 г. Съветът упълномощи Комисията да преговаря, от името на Европейския съюз, за изменението на Конвенцията.</w:t>
      </w:r>
    </w:p>
    <w:p>
      <w:pPr>
        <w:spacing w:before="0" w:after="240"/>
        <w:rPr>
          <w:rFonts w:eastAsia="Times New Roman"/>
          <w:noProof/>
        </w:rPr>
      </w:pPr>
      <w:r>
        <w:rPr>
          <w:noProof/>
        </w:rPr>
        <w:t>Предложенията за изменения бяха изготвени по време на шест заседания на работната група за изменение на Конвенцията, създадена за тази цел от ICCAT, първото от които се състоя от 10 до 12 юли 2013 г., а последното — от 24 до 25 май 2018 г. Държавите членки бяха редовно информирани за напредъка на преговорите.</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Комисията почерпи експертно знание от държавите членки както при подготовката, така и по време на преговорите в рамките на ICCAT по измененията на Конвенцията.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r>
        <w:t xml:space="preserve"> </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води до допълнителни разходи за бюджета на ЕС.</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Протокола за изменение на Международната конвенция за опазване на рибата тон в Атлантическия океан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13 май 2013 г. Съветът упълномощи Европейската комисия да започне преговори за изменения на Международната конвенция за опазване на рибата тон в Атлантическия океан (Конвенция ICCAT)</w:t>
      </w:r>
      <w:r>
        <w:rPr>
          <w:rStyle w:val="FootnoteReference"/>
          <w:noProof/>
        </w:rPr>
        <w:footnoteReference w:id="9"/>
      </w:r>
      <w:r>
        <w:rPr>
          <w:noProof/>
        </w:rPr>
        <w:t xml:space="preserve">. Тези преговори приключиха успешно през ноември 2018 г. </w:t>
      </w:r>
    </w:p>
    <w:p>
      <w:pPr>
        <w:pStyle w:val="ManualConsidrant"/>
        <w:rPr>
          <w:noProof/>
        </w:rPr>
      </w:pPr>
      <w:r>
        <w:t>(2)</w:t>
      </w:r>
      <w:r>
        <w:tab/>
      </w:r>
      <w:r>
        <w:rPr>
          <w:noProof/>
        </w:rPr>
        <w:t>Съставеният впоследствие Протокол следва да подобри ефективността на ICCAT и опазването и управлението на видовете в нейната компетентност.</w:t>
      </w:r>
    </w:p>
    <w:p>
      <w:pPr>
        <w:pStyle w:val="ManualConsidrant"/>
        <w:rPr>
          <w:noProof/>
        </w:rPr>
      </w:pPr>
      <w:r>
        <w:t>(3)</w:t>
      </w:r>
      <w:r>
        <w:tab/>
      </w:r>
      <w:r>
        <w:rPr>
          <w:noProof/>
        </w:rPr>
        <w:t>В Регламент (ЕС) № 1380/2013 на Европейския парламент и на Съвета</w:t>
      </w:r>
      <w:r>
        <w:rPr>
          <w:rStyle w:val="FootnoteReference"/>
          <w:noProof/>
        </w:rPr>
        <w:footnoteReference w:id="10"/>
      </w:r>
      <w:r>
        <w:rPr>
          <w:noProof/>
        </w:rPr>
        <w:t xml:space="preserve"> се предвижда задължение за Съюза да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осигуряване на продоволственото снабдяване. В него също така се посочва, че Съюзът трябва да прилага подхода на предпазливост към управлението на рибарството, като целта е да се гарантира, че експлоатацията на живите морски биологични ресурси осигурява възстановяването и поддържането на популациите на улавяните видове над нивата, позволяващи максимален устойчив улов. Наред с това в регламента се предвижда задължение за Съюза да предприема мерки за опазване и управление въз основа на най-добрите налични научни становища, да оказва подкрепа при развитието на научните познания и становища, постепенно да премахне изхвърлянето на улов и да насърчава методи за риболов, които допринасят за по-селективен риболов, за избягване и, доколкото е възможно, за намаляване на нежелания улов, както и за риболов, който има слабо въздействие върху морските екосистеми и рибните ресурси. Освен това Регламент (ЕС) № 1380/2013 изрично предвижда, че Съюзът трябва да прилага тези цели и </w:t>
      </w:r>
      <w:r>
        <w:rPr>
          <w:noProof/>
        </w:rPr>
        <w:lastRenderedPageBreak/>
        <w:t>принципи при осъществяването на своите външни отношения в областта на рибарството. Протоколът е съгласуван с тези цели.</w:t>
      </w:r>
    </w:p>
    <w:p>
      <w:pPr>
        <w:pStyle w:val="ManualConsidrant"/>
        <w:rPr>
          <w:noProof/>
        </w:rPr>
      </w:pPr>
      <w:r>
        <w:t>(4)</w:t>
      </w:r>
      <w:r>
        <w:tab/>
      </w:r>
      <w:r>
        <w:rPr>
          <w:noProof/>
        </w:rPr>
        <w:t>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w:t>
      </w:r>
      <w:r>
        <w:rPr>
          <w:i/>
          <w:noProof/>
        </w:rPr>
        <w:t>Международно управление на океаните: приносът на ЕС за отговорното управление на океаните“</w:t>
      </w:r>
      <w:r>
        <w:rPr>
          <w:rStyle w:val="FootnoteReference"/>
          <w:noProof/>
        </w:rPr>
        <w:footnoteReference w:id="11"/>
      </w:r>
      <w:r>
        <w:rPr>
          <w:noProof/>
        </w:rPr>
        <w:t>, и заключенията на Съвета във връзка с това съвместно съобщение</w:t>
      </w:r>
      <w:r>
        <w:rPr>
          <w:rStyle w:val="FootnoteReference"/>
          <w:noProof/>
        </w:rPr>
        <w:footnoteReference w:id="12"/>
      </w:r>
      <w:r>
        <w:rPr>
          <w:noProof/>
        </w:rPr>
        <w:t>, насърчаването на мерките за подкрепа и повишаване на ефективността на регионалните организации за управление на рибарството (РОУР) и, когато е уместно, за подобряване на тяхното управление са в центъра на действието на ЕС в рамките на тези форуми. Протоколът е изцяло съгласуван с тези цели.</w:t>
      </w:r>
    </w:p>
    <w:p>
      <w:pPr>
        <w:pStyle w:val="ManualConsidrant"/>
        <w:rPr>
          <w:noProof/>
        </w:rPr>
      </w:pPr>
      <w:r>
        <w:t>(5)</w:t>
      </w:r>
      <w:r>
        <w:tab/>
      </w:r>
      <w:r>
        <w:rPr>
          <w:noProof/>
        </w:rPr>
        <w:t>Протоколът следва да бъде подписан от името на Съюза и да се прилага временно до приключване на необходимите за сключването му процедури.</w:t>
      </w:r>
    </w:p>
    <w:p>
      <w:pPr>
        <w:pStyle w:val="ManualConsidrant"/>
        <w:rPr>
          <w:noProof/>
        </w:rPr>
      </w:pPr>
      <w:r>
        <w:t>(6)</w:t>
      </w:r>
      <w:r>
        <w:tab/>
      </w:r>
      <w:r>
        <w:rPr>
          <w:noProof/>
        </w:rPr>
        <w:t>Предвид възможността Протоколът да влезе в сила преди Съюзът да е приключил вътрешните си процедури за ратификация, той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се разрешава подписването от името на Европейския съюз на Протокола за изменение на Международната конвенция за опазване на рибата тон в Атлантическия океан (наричан по-нататък „Протокола“), при условие че посоченият протокол бъде сключен. </w:t>
      </w:r>
    </w:p>
    <w:p>
      <w:pPr>
        <w:rPr>
          <w:noProof/>
        </w:rPr>
      </w:pPr>
      <w:r>
        <w:rPr>
          <w:noProof/>
        </w:rPr>
        <w:t>Текстът на Протокола, който следва да бъде подписан, е приложен към настоящото решение.</w:t>
      </w:r>
    </w:p>
    <w:p>
      <w:pPr>
        <w:pStyle w:val="Titrearticle"/>
        <w:keepNext w:val="0"/>
        <w:rPr>
          <w:noProof/>
        </w:rPr>
      </w:pPr>
      <w:r>
        <w:rPr>
          <w:noProof/>
        </w:rPr>
        <w:t>Член 2</w:t>
      </w:r>
    </w:p>
    <w:p>
      <w:pPr>
        <w:keepLines/>
        <w:rPr>
          <w:noProof/>
        </w:rPr>
      </w:pPr>
      <w:r>
        <w:rPr>
          <w:noProof/>
        </w:rPr>
        <w:t>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споразумението.</w:t>
      </w:r>
    </w:p>
    <w:p>
      <w:pPr>
        <w:pStyle w:val="Titrearticle"/>
        <w:keepNext w:val="0"/>
        <w:rPr>
          <w:noProof/>
        </w:rPr>
      </w:pPr>
      <w:r>
        <w:rPr>
          <w:noProof/>
        </w:rPr>
        <w:t>Член 3</w:t>
      </w:r>
    </w:p>
    <w:p>
      <w:pPr>
        <w:keepLines/>
        <w:rPr>
          <w:noProof/>
        </w:rPr>
      </w:pPr>
      <w:r>
        <w:rPr>
          <w:noProof/>
        </w:rPr>
        <w:t>В съответствие с член 13 от Протокола той се прилага временно до неговото влизане в сила.</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9 юни 1986 г. относно присъединяването на Общността към Международната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 страни по Конвенцията, подписан в Париж на 10 юли 1984 година (ОВ L 162, 18.6.1986 г., стр. 33).</w:t>
      </w:r>
    </w:p>
  </w:footnote>
  <w:footnote w:id="2">
    <w:p>
      <w:pPr>
        <w:pStyle w:val="FootnoteText"/>
      </w:pPr>
      <w:r>
        <w:rPr>
          <w:rStyle w:val="FootnoteReference"/>
        </w:rPr>
        <w:footnoteRef/>
      </w:r>
      <w:r>
        <w:tab/>
        <w:t>Решение на Съвета от 13 май 2013 г. за упълномощаване на Комисията да започне преговори от името на Европейския съюз за изменения на Международната конвенция за опазване на рибата тон в Атлантическия океан.</w:t>
      </w:r>
    </w:p>
  </w:footnote>
  <w:footnote w:id="3">
    <w:p>
      <w:pPr>
        <w:pStyle w:val="FootnoteText"/>
      </w:pPr>
      <w:r>
        <w:rPr>
          <w:rStyle w:val="FootnoteReference"/>
        </w:rPr>
        <w:footnoteRef/>
      </w:r>
      <w:r>
        <w:tab/>
        <w:t>COM/99/0613 окончателен.</w:t>
      </w:r>
    </w:p>
  </w:footnote>
  <w:footnote w:id="4">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
    <w:p>
      <w:pPr>
        <w:pStyle w:val="FootnoteText"/>
        <w:rPr>
          <w:rFonts w:eastAsia="Times New Roman"/>
        </w:rPr>
      </w:pPr>
      <w:r>
        <w:rPr>
          <w:rStyle w:val="FootnoteReference"/>
        </w:rPr>
        <w:footnoteRef/>
      </w:r>
      <w:r>
        <w:tab/>
        <w:t>COM(2011) 424, 13.7.2011 г.</w:t>
      </w:r>
    </w:p>
  </w:footnote>
  <w:footnote w:id="6">
    <w:p>
      <w:pPr>
        <w:pStyle w:val="FootnoteText"/>
      </w:pPr>
      <w:r>
        <w:rPr>
          <w:rStyle w:val="FootnoteReference"/>
        </w:rPr>
        <w:footnoteRef/>
      </w:r>
      <w:r>
        <w:tab/>
        <w:t>COM/2016/49 final.</w:t>
      </w:r>
    </w:p>
  </w:footnote>
  <w:footnote w:id="7">
    <w:p>
      <w:pPr>
        <w:pStyle w:val="FootnoteText"/>
      </w:pPr>
      <w:r>
        <w:rPr>
          <w:rStyle w:val="FootnoteReference"/>
        </w:rPr>
        <w:footnoteRef/>
      </w:r>
      <w:r>
        <w:tab/>
        <w:t>7348/1/17 REV 1.</w:t>
      </w:r>
    </w:p>
  </w:footnote>
  <w:footnote w:id="8">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9">
    <w:p>
      <w:pPr>
        <w:pStyle w:val="FootnoteText"/>
      </w:pPr>
      <w:r>
        <w:rPr>
          <w:rStyle w:val="FootnoteReference"/>
        </w:rPr>
        <w:footnoteRef/>
      </w:r>
      <w:r>
        <w:tab/>
        <w:t>Решение на Съвета от 13 май 2013 г. за упълномощаване на Комисията да започне преговори от името на Европейския съюз за изменения на Международната конвенция за опазване на рибата тон в Атлантическия океан (Конвенция ICCAT).</w:t>
      </w:r>
    </w:p>
  </w:footnote>
  <w:footnote w:id="10">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1">
    <w:p>
      <w:pPr>
        <w:pStyle w:val="FootnoteText"/>
      </w:pPr>
      <w:r>
        <w:rPr>
          <w:rStyle w:val="FootnoteReference"/>
        </w:rPr>
        <w:footnoteRef/>
      </w:r>
      <w:r>
        <w:tab/>
        <w:t>JOIN(2016) 49 final, 10.11.2016 г.</w:t>
      </w:r>
    </w:p>
  </w:footnote>
  <w:footnote w:id="12">
    <w:p>
      <w:pPr>
        <w:pStyle w:val="FootnoteText"/>
      </w:pPr>
      <w:r>
        <w:rPr>
          <w:rStyle w:val="FootnoteReference"/>
        </w:rPr>
        <w:footnoteRef/>
      </w:r>
      <w:r>
        <w:tab/>
        <w:t>7348/1/17 REV 1, 24.3.2017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6:00: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552E11-2A4C-4944-BE26-5035E2B9E553"/>
    <w:docVar w:name="LW_COVERPAGE_TYPE" w:val="1"/>
    <w:docVar w:name="LW_CROSSREFERENCE" w:val="&lt;UNUSED&gt;"/>
    <w:docVar w:name="LW_DocType" w:val="COM"/>
    <w:docVar w:name="LW_EMISSION" w:val="14.10.2019"/>
    <w:docVar w:name="LW_EMISSION_ISODATE" w:val="2019-10-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3"/>
    <w:docVar w:name="LW_REF.II.NEW.CP_YEAR" w:val="2019"/>
    <w:docVar w:name="LW_REF.INST.NEW" w:val="COM"/>
    <w:docVar w:name="LW_REF.INST.NEW_ADOPTED" w:val="final"/>
    <w:docVar w:name="LW_REF.INST.NEW_TEXT" w:val="(2019)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5?\u1088?\u1086?\u1090?\u1086?\u1082?\u1086?\u1083?\u1072? \u1079?\u1072? \u1080?\u1079?\u1084?\u1077?\u1085?\u1077?\u1085?\u1080?\u1077? \u1085?\u1072? \u1052?\u1077?\u1078?\u1076?\u1091?\u1085?\u1072?\u1088?\u1086?\u1076?\u1085?\u1072?\u1090?\u1072? \u1082?\u1086?\u1085?\u1074?\u1077?\u1085?\u1094?\u1080?\u1103? \u1079?\u1072? \u1086?\u1087?\u1072?\u1079?\u1074?\u1072?\u1085?\u1077? \u1085?\u1072? \u1088?\u1080?\u1073?\u1072?\u1090?\u1072? \u1090?\u1086?\u1085? \u1074? \u1040?\u1090?\u1083?\u1072?\u1085?\u1090?\u1080?\u1095?\u1077?\u1089?\u1082?\u1080?\u1103? \u1086?\u1082?\u1077?\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721">
      <w:bodyDiv w:val="1"/>
      <w:marLeft w:val="0"/>
      <w:marRight w:val="0"/>
      <w:marTop w:val="0"/>
      <w:marBottom w:val="0"/>
      <w:divBdr>
        <w:top w:val="none" w:sz="0" w:space="0" w:color="auto"/>
        <w:left w:val="none" w:sz="0" w:space="0" w:color="auto"/>
        <w:bottom w:val="none" w:sz="0" w:space="0" w:color="auto"/>
        <w:right w:val="none" w:sz="0" w:space="0" w:color="auto"/>
      </w:divBdr>
      <w:divsChild>
        <w:div w:id="355431119">
          <w:marLeft w:val="0"/>
          <w:marRight w:val="0"/>
          <w:marTop w:val="0"/>
          <w:marBottom w:val="0"/>
          <w:divBdr>
            <w:top w:val="none" w:sz="0" w:space="0" w:color="auto"/>
            <w:left w:val="none" w:sz="0" w:space="0" w:color="auto"/>
            <w:bottom w:val="none" w:sz="0" w:space="0" w:color="auto"/>
            <w:right w:val="none" w:sz="0" w:space="0" w:color="auto"/>
          </w:divBdr>
        </w:div>
        <w:div w:id="280232412">
          <w:marLeft w:val="0"/>
          <w:marRight w:val="0"/>
          <w:marTop w:val="0"/>
          <w:marBottom w:val="0"/>
          <w:divBdr>
            <w:top w:val="none" w:sz="0" w:space="0" w:color="auto"/>
            <w:left w:val="none" w:sz="0" w:space="0" w:color="auto"/>
            <w:bottom w:val="none" w:sz="0" w:space="0" w:color="auto"/>
            <w:right w:val="none" w:sz="0" w:space="0" w:color="auto"/>
          </w:divBdr>
        </w:div>
        <w:div w:id="1762722805">
          <w:marLeft w:val="0"/>
          <w:marRight w:val="0"/>
          <w:marTop w:val="0"/>
          <w:marBottom w:val="0"/>
          <w:divBdr>
            <w:top w:val="none" w:sz="0" w:space="0" w:color="auto"/>
            <w:left w:val="none" w:sz="0" w:space="0" w:color="auto"/>
            <w:bottom w:val="none" w:sz="0" w:space="0" w:color="auto"/>
            <w:right w:val="none" w:sz="0" w:space="0" w:color="auto"/>
          </w:divBdr>
        </w:div>
        <w:div w:id="1305770927">
          <w:marLeft w:val="0"/>
          <w:marRight w:val="0"/>
          <w:marTop w:val="0"/>
          <w:marBottom w:val="0"/>
          <w:divBdr>
            <w:top w:val="none" w:sz="0" w:space="0" w:color="auto"/>
            <w:left w:val="none" w:sz="0" w:space="0" w:color="auto"/>
            <w:bottom w:val="none" w:sz="0" w:space="0" w:color="auto"/>
            <w:right w:val="none" w:sz="0" w:space="0" w:color="auto"/>
          </w:divBdr>
        </w:div>
        <w:div w:id="217018392">
          <w:marLeft w:val="0"/>
          <w:marRight w:val="0"/>
          <w:marTop w:val="0"/>
          <w:marBottom w:val="0"/>
          <w:divBdr>
            <w:top w:val="none" w:sz="0" w:space="0" w:color="auto"/>
            <w:left w:val="none" w:sz="0" w:space="0" w:color="auto"/>
            <w:bottom w:val="none" w:sz="0" w:space="0" w:color="auto"/>
            <w:right w:val="none" w:sz="0" w:space="0" w:color="auto"/>
          </w:divBdr>
        </w:div>
        <w:div w:id="1999991566">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861283573">
          <w:marLeft w:val="0"/>
          <w:marRight w:val="0"/>
          <w:marTop w:val="0"/>
          <w:marBottom w:val="0"/>
          <w:divBdr>
            <w:top w:val="none" w:sz="0" w:space="0" w:color="auto"/>
            <w:left w:val="none" w:sz="0" w:space="0" w:color="auto"/>
            <w:bottom w:val="none" w:sz="0" w:space="0" w:color="auto"/>
            <w:right w:val="none" w:sz="0" w:space="0" w:color="auto"/>
          </w:divBdr>
        </w:div>
        <w:div w:id="1461805374">
          <w:marLeft w:val="0"/>
          <w:marRight w:val="0"/>
          <w:marTop w:val="0"/>
          <w:marBottom w:val="0"/>
          <w:divBdr>
            <w:top w:val="none" w:sz="0" w:space="0" w:color="auto"/>
            <w:left w:val="none" w:sz="0" w:space="0" w:color="auto"/>
            <w:bottom w:val="none" w:sz="0" w:space="0" w:color="auto"/>
            <w:right w:val="none" w:sz="0" w:space="0" w:color="auto"/>
          </w:divBdr>
        </w:div>
        <w:div w:id="784269893">
          <w:marLeft w:val="0"/>
          <w:marRight w:val="0"/>
          <w:marTop w:val="0"/>
          <w:marBottom w:val="0"/>
          <w:divBdr>
            <w:top w:val="none" w:sz="0" w:space="0" w:color="auto"/>
            <w:left w:val="none" w:sz="0" w:space="0" w:color="auto"/>
            <w:bottom w:val="none" w:sz="0" w:space="0" w:color="auto"/>
            <w:right w:val="none" w:sz="0" w:space="0" w:color="auto"/>
          </w:divBdr>
        </w:div>
        <w:div w:id="488639541">
          <w:marLeft w:val="0"/>
          <w:marRight w:val="0"/>
          <w:marTop w:val="0"/>
          <w:marBottom w:val="0"/>
          <w:divBdr>
            <w:top w:val="none" w:sz="0" w:space="0" w:color="auto"/>
            <w:left w:val="none" w:sz="0" w:space="0" w:color="auto"/>
            <w:bottom w:val="none" w:sz="0" w:space="0" w:color="auto"/>
            <w:right w:val="none" w:sz="0" w:space="0" w:color="auto"/>
          </w:divBdr>
        </w:div>
        <w:div w:id="1395471490">
          <w:marLeft w:val="0"/>
          <w:marRight w:val="0"/>
          <w:marTop w:val="0"/>
          <w:marBottom w:val="0"/>
          <w:divBdr>
            <w:top w:val="none" w:sz="0" w:space="0" w:color="auto"/>
            <w:left w:val="none" w:sz="0" w:space="0" w:color="auto"/>
            <w:bottom w:val="none" w:sz="0" w:space="0" w:color="auto"/>
            <w:right w:val="none" w:sz="0" w:space="0" w:color="auto"/>
          </w:divBdr>
        </w:div>
      </w:divsChild>
    </w:div>
    <w:div w:id="149249283">
      <w:bodyDiv w:val="1"/>
      <w:marLeft w:val="0"/>
      <w:marRight w:val="0"/>
      <w:marTop w:val="0"/>
      <w:marBottom w:val="0"/>
      <w:divBdr>
        <w:top w:val="none" w:sz="0" w:space="0" w:color="auto"/>
        <w:left w:val="none" w:sz="0" w:space="0" w:color="auto"/>
        <w:bottom w:val="none" w:sz="0" w:space="0" w:color="auto"/>
        <w:right w:val="none" w:sz="0" w:space="0" w:color="auto"/>
      </w:divBdr>
      <w:divsChild>
        <w:div w:id="992489707">
          <w:marLeft w:val="0"/>
          <w:marRight w:val="0"/>
          <w:marTop w:val="0"/>
          <w:marBottom w:val="0"/>
          <w:divBdr>
            <w:top w:val="none" w:sz="0" w:space="0" w:color="auto"/>
            <w:left w:val="none" w:sz="0" w:space="0" w:color="auto"/>
            <w:bottom w:val="none" w:sz="0" w:space="0" w:color="auto"/>
            <w:right w:val="none" w:sz="0" w:space="0" w:color="auto"/>
          </w:divBdr>
        </w:div>
        <w:div w:id="957874661">
          <w:marLeft w:val="0"/>
          <w:marRight w:val="0"/>
          <w:marTop w:val="0"/>
          <w:marBottom w:val="0"/>
          <w:divBdr>
            <w:top w:val="none" w:sz="0" w:space="0" w:color="auto"/>
            <w:left w:val="none" w:sz="0" w:space="0" w:color="auto"/>
            <w:bottom w:val="none" w:sz="0" w:space="0" w:color="auto"/>
            <w:right w:val="none" w:sz="0" w:space="0" w:color="auto"/>
          </w:divBdr>
        </w:div>
        <w:div w:id="607350161">
          <w:marLeft w:val="0"/>
          <w:marRight w:val="0"/>
          <w:marTop w:val="0"/>
          <w:marBottom w:val="0"/>
          <w:divBdr>
            <w:top w:val="none" w:sz="0" w:space="0" w:color="auto"/>
            <w:left w:val="none" w:sz="0" w:space="0" w:color="auto"/>
            <w:bottom w:val="none" w:sz="0" w:space="0" w:color="auto"/>
            <w:right w:val="none" w:sz="0" w:space="0" w:color="auto"/>
          </w:divBdr>
        </w:div>
      </w:divsChild>
    </w:div>
    <w:div w:id="430050620">
      <w:bodyDiv w:val="1"/>
      <w:marLeft w:val="0"/>
      <w:marRight w:val="0"/>
      <w:marTop w:val="0"/>
      <w:marBottom w:val="0"/>
      <w:divBdr>
        <w:top w:val="none" w:sz="0" w:space="0" w:color="auto"/>
        <w:left w:val="none" w:sz="0" w:space="0" w:color="auto"/>
        <w:bottom w:val="none" w:sz="0" w:space="0" w:color="auto"/>
        <w:right w:val="none" w:sz="0" w:space="0" w:color="auto"/>
      </w:divBdr>
      <w:divsChild>
        <w:div w:id="1612317131">
          <w:marLeft w:val="0"/>
          <w:marRight w:val="0"/>
          <w:marTop w:val="0"/>
          <w:marBottom w:val="0"/>
          <w:divBdr>
            <w:top w:val="none" w:sz="0" w:space="0" w:color="auto"/>
            <w:left w:val="none" w:sz="0" w:space="0" w:color="auto"/>
            <w:bottom w:val="none" w:sz="0" w:space="0" w:color="auto"/>
            <w:right w:val="none" w:sz="0" w:space="0" w:color="auto"/>
          </w:divBdr>
        </w:div>
        <w:div w:id="1567908737">
          <w:marLeft w:val="0"/>
          <w:marRight w:val="0"/>
          <w:marTop w:val="0"/>
          <w:marBottom w:val="0"/>
          <w:divBdr>
            <w:top w:val="none" w:sz="0" w:space="0" w:color="auto"/>
            <w:left w:val="none" w:sz="0" w:space="0" w:color="auto"/>
            <w:bottom w:val="none" w:sz="0" w:space="0" w:color="auto"/>
            <w:right w:val="none" w:sz="0" w:space="0" w:color="auto"/>
          </w:divBdr>
        </w:div>
        <w:div w:id="1845899598">
          <w:marLeft w:val="0"/>
          <w:marRight w:val="0"/>
          <w:marTop w:val="0"/>
          <w:marBottom w:val="0"/>
          <w:divBdr>
            <w:top w:val="none" w:sz="0" w:space="0" w:color="auto"/>
            <w:left w:val="none" w:sz="0" w:space="0" w:color="auto"/>
            <w:bottom w:val="none" w:sz="0" w:space="0" w:color="auto"/>
            <w:right w:val="none" w:sz="0" w:space="0" w:color="auto"/>
          </w:divBdr>
        </w:div>
        <w:div w:id="369644660">
          <w:marLeft w:val="0"/>
          <w:marRight w:val="0"/>
          <w:marTop w:val="0"/>
          <w:marBottom w:val="0"/>
          <w:divBdr>
            <w:top w:val="none" w:sz="0" w:space="0" w:color="auto"/>
            <w:left w:val="none" w:sz="0" w:space="0" w:color="auto"/>
            <w:bottom w:val="none" w:sz="0" w:space="0" w:color="auto"/>
            <w:right w:val="none" w:sz="0" w:space="0" w:color="auto"/>
          </w:divBdr>
        </w:div>
        <w:div w:id="23749061">
          <w:marLeft w:val="0"/>
          <w:marRight w:val="0"/>
          <w:marTop w:val="0"/>
          <w:marBottom w:val="0"/>
          <w:divBdr>
            <w:top w:val="none" w:sz="0" w:space="0" w:color="auto"/>
            <w:left w:val="none" w:sz="0" w:space="0" w:color="auto"/>
            <w:bottom w:val="none" w:sz="0" w:space="0" w:color="auto"/>
            <w:right w:val="none" w:sz="0" w:space="0" w:color="auto"/>
          </w:divBdr>
        </w:div>
        <w:div w:id="1993175419">
          <w:marLeft w:val="0"/>
          <w:marRight w:val="0"/>
          <w:marTop w:val="0"/>
          <w:marBottom w:val="0"/>
          <w:divBdr>
            <w:top w:val="none" w:sz="0" w:space="0" w:color="auto"/>
            <w:left w:val="none" w:sz="0" w:space="0" w:color="auto"/>
            <w:bottom w:val="none" w:sz="0" w:space="0" w:color="auto"/>
            <w:right w:val="none" w:sz="0" w:space="0" w:color="auto"/>
          </w:divBdr>
        </w:div>
        <w:div w:id="888759268">
          <w:marLeft w:val="0"/>
          <w:marRight w:val="0"/>
          <w:marTop w:val="0"/>
          <w:marBottom w:val="0"/>
          <w:divBdr>
            <w:top w:val="none" w:sz="0" w:space="0" w:color="auto"/>
            <w:left w:val="none" w:sz="0" w:space="0" w:color="auto"/>
            <w:bottom w:val="none" w:sz="0" w:space="0" w:color="auto"/>
            <w:right w:val="none" w:sz="0" w:space="0" w:color="auto"/>
          </w:divBdr>
        </w:div>
        <w:div w:id="1192763818">
          <w:marLeft w:val="0"/>
          <w:marRight w:val="0"/>
          <w:marTop w:val="0"/>
          <w:marBottom w:val="0"/>
          <w:divBdr>
            <w:top w:val="none" w:sz="0" w:space="0" w:color="auto"/>
            <w:left w:val="none" w:sz="0" w:space="0" w:color="auto"/>
            <w:bottom w:val="none" w:sz="0" w:space="0" w:color="auto"/>
            <w:right w:val="none" w:sz="0" w:space="0" w:color="auto"/>
          </w:divBdr>
        </w:div>
        <w:div w:id="421146895">
          <w:marLeft w:val="0"/>
          <w:marRight w:val="0"/>
          <w:marTop w:val="0"/>
          <w:marBottom w:val="0"/>
          <w:divBdr>
            <w:top w:val="none" w:sz="0" w:space="0" w:color="auto"/>
            <w:left w:val="none" w:sz="0" w:space="0" w:color="auto"/>
            <w:bottom w:val="none" w:sz="0" w:space="0" w:color="auto"/>
            <w:right w:val="none" w:sz="0" w:space="0" w:color="auto"/>
          </w:divBdr>
        </w:div>
        <w:div w:id="865098418">
          <w:marLeft w:val="0"/>
          <w:marRight w:val="0"/>
          <w:marTop w:val="0"/>
          <w:marBottom w:val="0"/>
          <w:divBdr>
            <w:top w:val="none" w:sz="0" w:space="0" w:color="auto"/>
            <w:left w:val="none" w:sz="0" w:space="0" w:color="auto"/>
            <w:bottom w:val="none" w:sz="0" w:space="0" w:color="auto"/>
            <w:right w:val="none" w:sz="0" w:space="0" w:color="auto"/>
          </w:divBdr>
        </w:div>
        <w:div w:id="42340219">
          <w:marLeft w:val="0"/>
          <w:marRight w:val="0"/>
          <w:marTop w:val="0"/>
          <w:marBottom w:val="0"/>
          <w:divBdr>
            <w:top w:val="none" w:sz="0" w:space="0" w:color="auto"/>
            <w:left w:val="none" w:sz="0" w:space="0" w:color="auto"/>
            <w:bottom w:val="none" w:sz="0" w:space="0" w:color="auto"/>
            <w:right w:val="none" w:sz="0" w:space="0" w:color="auto"/>
          </w:divBdr>
        </w:div>
        <w:div w:id="1880314007">
          <w:marLeft w:val="0"/>
          <w:marRight w:val="0"/>
          <w:marTop w:val="0"/>
          <w:marBottom w:val="0"/>
          <w:divBdr>
            <w:top w:val="none" w:sz="0" w:space="0" w:color="auto"/>
            <w:left w:val="none" w:sz="0" w:space="0" w:color="auto"/>
            <w:bottom w:val="none" w:sz="0" w:space="0" w:color="auto"/>
            <w:right w:val="none" w:sz="0" w:space="0" w:color="auto"/>
          </w:divBdr>
        </w:div>
        <w:div w:id="1447390325">
          <w:marLeft w:val="0"/>
          <w:marRight w:val="0"/>
          <w:marTop w:val="0"/>
          <w:marBottom w:val="0"/>
          <w:divBdr>
            <w:top w:val="none" w:sz="0" w:space="0" w:color="auto"/>
            <w:left w:val="none" w:sz="0" w:space="0" w:color="auto"/>
            <w:bottom w:val="none" w:sz="0" w:space="0" w:color="auto"/>
            <w:right w:val="none" w:sz="0" w:space="0" w:color="auto"/>
          </w:divBdr>
        </w:div>
        <w:div w:id="1817069863">
          <w:marLeft w:val="0"/>
          <w:marRight w:val="0"/>
          <w:marTop w:val="0"/>
          <w:marBottom w:val="0"/>
          <w:divBdr>
            <w:top w:val="none" w:sz="0" w:space="0" w:color="auto"/>
            <w:left w:val="none" w:sz="0" w:space="0" w:color="auto"/>
            <w:bottom w:val="none" w:sz="0" w:space="0" w:color="auto"/>
            <w:right w:val="none" w:sz="0" w:space="0" w:color="auto"/>
          </w:divBdr>
        </w:div>
        <w:div w:id="33963449">
          <w:marLeft w:val="0"/>
          <w:marRight w:val="0"/>
          <w:marTop w:val="0"/>
          <w:marBottom w:val="0"/>
          <w:divBdr>
            <w:top w:val="none" w:sz="0" w:space="0" w:color="auto"/>
            <w:left w:val="none" w:sz="0" w:space="0" w:color="auto"/>
            <w:bottom w:val="none" w:sz="0" w:space="0" w:color="auto"/>
            <w:right w:val="none" w:sz="0" w:space="0" w:color="auto"/>
          </w:divBdr>
        </w:div>
        <w:div w:id="1781293463">
          <w:marLeft w:val="0"/>
          <w:marRight w:val="0"/>
          <w:marTop w:val="0"/>
          <w:marBottom w:val="0"/>
          <w:divBdr>
            <w:top w:val="none" w:sz="0" w:space="0" w:color="auto"/>
            <w:left w:val="none" w:sz="0" w:space="0" w:color="auto"/>
            <w:bottom w:val="none" w:sz="0" w:space="0" w:color="auto"/>
            <w:right w:val="none" w:sz="0" w:space="0" w:color="auto"/>
          </w:divBdr>
        </w:div>
        <w:div w:id="1971354863">
          <w:marLeft w:val="0"/>
          <w:marRight w:val="0"/>
          <w:marTop w:val="0"/>
          <w:marBottom w:val="0"/>
          <w:divBdr>
            <w:top w:val="none" w:sz="0" w:space="0" w:color="auto"/>
            <w:left w:val="none" w:sz="0" w:space="0" w:color="auto"/>
            <w:bottom w:val="none" w:sz="0" w:space="0" w:color="auto"/>
            <w:right w:val="none" w:sz="0" w:space="0" w:color="auto"/>
          </w:divBdr>
        </w:div>
        <w:div w:id="49691422">
          <w:marLeft w:val="0"/>
          <w:marRight w:val="0"/>
          <w:marTop w:val="0"/>
          <w:marBottom w:val="0"/>
          <w:divBdr>
            <w:top w:val="none" w:sz="0" w:space="0" w:color="auto"/>
            <w:left w:val="none" w:sz="0" w:space="0" w:color="auto"/>
            <w:bottom w:val="none" w:sz="0" w:space="0" w:color="auto"/>
            <w:right w:val="none" w:sz="0" w:space="0" w:color="auto"/>
          </w:divBdr>
        </w:div>
        <w:div w:id="373500908">
          <w:marLeft w:val="0"/>
          <w:marRight w:val="0"/>
          <w:marTop w:val="0"/>
          <w:marBottom w:val="0"/>
          <w:divBdr>
            <w:top w:val="none" w:sz="0" w:space="0" w:color="auto"/>
            <w:left w:val="none" w:sz="0" w:space="0" w:color="auto"/>
            <w:bottom w:val="none" w:sz="0" w:space="0" w:color="auto"/>
            <w:right w:val="none" w:sz="0" w:space="0" w:color="auto"/>
          </w:divBdr>
        </w:div>
        <w:div w:id="239338001">
          <w:marLeft w:val="0"/>
          <w:marRight w:val="0"/>
          <w:marTop w:val="0"/>
          <w:marBottom w:val="0"/>
          <w:divBdr>
            <w:top w:val="none" w:sz="0" w:space="0" w:color="auto"/>
            <w:left w:val="none" w:sz="0" w:space="0" w:color="auto"/>
            <w:bottom w:val="none" w:sz="0" w:space="0" w:color="auto"/>
            <w:right w:val="none" w:sz="0" w:space="0" w:color="auto"/>
          </w:divBdr>
        </w:div>
        <w:div w:id="1573006990">
          <w:marLeft w:val="0"/>
          <w:marRight w:val="0"/>
          <w:marTop w:val="0"/>
          <w:marBottom w:val="0"/>
          <w:divBdr>
            <w:top w:val="none" w:sz="0" w:space="0" w:color="auto"/>
            <w:left w:val="none" w:sz="0" w:space="0" w:color="auto"/>
            <w:bottom w:val="none" w:sz="0" w:space="0" w:color="auto"/>
            <w:right w:val="none" w:sz="0" w:space="0" w:color="auto"/>
          </w:divBdr>
        </w:div>
      </w:divsChild>
    </w:div>
    <w:div w:id="820929226">
      <w:bodyDiv w:val="1"/>
      <w:marLeft w:val="0"/>
      <w:marRight w:val="0"/>
      <w:marTop w:val="0"/>
      <w:marBottom w:val="0"/>
      <w:divBdr>
        <w:top w:val="none" w:sz="0" w:space="0" w:color="auto"/>
        <w:left w:val="none" w:sz="0" w:space="0" w:color="auto"/>
        <w:bottom w:val="none" w:sz="0" w:space="0" w:color="auto"/>
        <w:right w:val="none" w:sz="0" w:space="0" w:color="auto"/>
      </w:divBdr>
      <w:divsChild>
        <w:div w:id="436410381">
          <w:marLeft w:val="0"/>
          <w:marRight w:val="0"/>
          <w:marTop w:val="0"/>
          <w:marBottom w:val="0"/>
          <w:divBdr>
            <w:top w:val="none" w:sz="0" w:space="0" w:color="auto"/>
            <w:left w:val="none" w:sz="0" w:space="0" w:color="auto"/>
            <w:bottom w:val="none" w:sz="0" w:space="0" w:color="auto"/>
            <w:right w:val="none" w:sz="0" w:space="0" w:color="auto"/>
          </w:divBdr>
        </w:div>
        <w:div w:id="1239096386">
          <w:marLeft w:val="0"/>
          <w:marRight w:val="0"/>
          <w:marTop w:val="0"/>
          <w:marBottom w:val="0"/>
          <w:divBdr>
            <w:top w:val="none" w:sz="0" w:space="0" w:color="auto"/>
            <w:left w:val="none" w:sz="0" w:space="0" w:color="auto"/>
            <w:bottom w:val="none" w:sz="0" w:space="0" w:color="auto"/>
            <w:right w:val="none" w:sz="0" w:space="0" w:color="auto"/>
          </w:divBdr>
        </w:div>
      </w:divsChild>
    </w:div>
    <w:div w:id="855848601">
      <w:bodyDiv w:val="1"/>
      <w:marLeft w:val="0"/>
      <w:marRight w:val="0"/>
      <w:marTop w:val="0"/>
      <w:marBottom w:val="0"/>
      <w:divBdr>
        <w:top w:val="none" w:sz="0" w:space="0" w:color="auto"/>
        <w:left w:val="none" w:sz="0" w:space="0" w:color="auto"/>
        <w:bottom w:val="none" w:sz="0" w:space="0" w:color="auto"/>
        <w:right w:val="none" w:sz="0" w:space="0" w:color="auto"/>
      </w:divBdr>
      <w:divsChild>
        <w:div w:id="753166962">
          <w:marLeft w:val="0"/>
          <w:marRight w:val="0"/>
          <w:marTop w:val="0"/>
          <w:marBottom w:val="0"/>
          <w:divBdr>
            <w:top w:val="none" w:sz="0" w:space="0" w:color="auto"/>
            <w:left w:val="none" w:sz="0" w:space="0" w:color="auto"/>
            <w:bottom w:val="none" w:sz="0" w:space="0" w:color="auto"/>
            <w:right w:val="none" w:sz="0" w:space="0" w:color="auto"/>
          </w:divBdr>
        </w:div>
        <w:div w:id="742484477">
          <w:marLeft w:val="0"/>
          <w:marRight w:val="0"/>
          <w:marTop w:val="0"/>
          <w:marBottom w:val="0"/>
          <w:divBdr>
            <w:top w:val="none" w:sz="0" w:space="0" w:color="auto"/>
            <w:left w:val="none" w:sz="0" w:space="0" w:color="auto"/>
            <w:bottom w:val="none" w:sz="0" w:space="0" w:color="auto"/>
            <w:right w:val="none" w:sz="0" w:space="0" w:color="auto"/>
          </w:divBdr>
        </w:div>
      </w:divsChild>
    </w:div>
    <w:div w:id="1283266667">
      <w:bodyDiv w:val="1"/>
      <w:marLeft w:val="0"/>
      <w:marRight w:val="0"/>
      <w:marTop w:val="0"/>
      <w:marBottom w:val="0"/>
      <w:divBdr>
        <w:top w:val="none" w:sz="0" w:space="0" w:color="auto"/>
        <w:left w:val="none" w:sz="0" w:space="0" w:color="auto"/>
        <w:bottom w:val="none" w:sz="0" w:space="0" w:color="auto"/>
        <w:right w:val="none" w:sz="0" w:space="0" w:color="auto"/>
      </w:divBdr>
      <w:divsChild>
        <w:div w:id="2136480947">
          <w:marLeft w:val="0"/>
          <w:marRight w:val="0"/>
          <w:marTop w:val="0"/>
          <w:marBottom w:val="0"/>
          <w:divBdr>
            <w:top w:val="none" w:sz="0" w:space="0" w:color="auto"/>
            <w:left w:val="none" w:sz="0" w:space="0" w:color="auto"/>
            <w:bottom w:val="none" w:sz="0" w:space="0" w:color="auto"/>
            <w:right w:val="none" w:sz="0" w:space="0" w:color="auto"/>
          </w:divBdr>
        </w:div>
        <w:div w:id="160505358">
          <w:marLeft w:val="0"/>
          <w:marRight w:val="0"/>
          <w:marTop w:val="0"/>
          <w:marBottom w:val="0"/>
          <w:divBdr>
            <w:top w:val="none" w:sz="0" w:space="0" w:color="auto"/>
            <w:left w:val="none" w:sz="0" w:space="0" w:color="auto"/>
            <w:bottom w:val="none" w:sz="0" w:space="0" w:color="auto"/>
            <w:right w:val="none" w:sz="0" w:space="0" w:color="auto"/>
          </w:divBdr>
        </w:div>
        <w:div w:id="274602328">
          <w:marLeft w:val="0"/>
          <w:marRight w:val="0"/>
          <w:marTop w:val="0"/>
          <w:marBottom w:val="0"/>
          <w:divBdr>
            <w:top w:val="none" w:sz="0" w:space="0" w:color="auto"/>
            <w:left w:val="none" w:sz="0" w:space="0" w:color="auto"/>
            <w:bottom w:val="none" w:sz="0" w:space="0" w:color="auto"/>
            <w:right w:val="none" w:sz="0" w:space="0" w:color="auto"/>
          </w:divBdr>
        </w:div>
      </w:divsChild>
    </w:div>
    <w:div w:id="1449356487">
      <w:bodyDiv w:val="1"/>
      <w:marLeft w:val="0"/>
      <w:marRight w:val="0"/>
      <w:marTop w:val="0"/>
      <w:marBottom w:val="0"/>
      <w:divBdr>
        <w:top w:val="none" w:sz="0" w:space="0" w:color="auto"/>
        <w:left w:val="none" w:sz="0" w:space="0" w:color="auto"/>
        <w:bottom w:val="none" w:sz="0" w:space="0" w:color="auto"/>
        <w:right w:val="none" w:sz="0" w:space="0" w:color="auto"/>
      </w:divBdr>
      <w:divsChild>
        <w:div w:id="674918157">
          <w:marLeft w:val="0"/>
          <w:marRight w:val="0"/>
          <w:marTop w:val="0"/>
          <w:marBottom w:val="0"/>
          <w:divBdr>
            <w:top w:val="none" w:sz="0" w:space="0" w:color="auto"/>
            <w:left w:val="none" w:sz="0" w:space="0" w:color="auto"/>
            <w:bottom w:val="none" w:sz="0" w:space="0" w:color="auto"/>
            <w:right w:val="none" w:sz="0" w:space="0" w:color="auto"/>
          </w:divBdr>
        </w:div>
        <w:div w:id="1835030161">
          <w:marLeft w:val="0"/>
          <w:marRight w:val="0"/>
          <w:marTop w:val="0"/>
          <w:marBottom w:val="0"/>
          <w:divBdr>
            <w:top w:val="none" w:sz="0" w:space="0" w:color="auto"/>
            <w:left w:val="none" w:sz="0" w:space="0" w:color="auto"/>
            <w:bottom w:val="none" w:sz="0" w:space="0" w:color="auto"/>
            <w:right w:val="none" w:sz="0" w:space="0" w:color="auto"/>
          </w:divBdr>
        </w:div>
        <w:div w:id="613445890">
          <w:marLeft w:val="0"/>
          <w:marRight w:val="0"/>
          <w:marTop w:val="0"/>
          <w:marBottom w:val="0"/>
          <w:divBdr>
            <w:top w:val="none" w:sz="0" w:space="0" w:color="auto"/>
            <w:left w:val="none" w:sz="0" w:space="0" w:color="auto"/>
            <w:bottom w:val="none" w:sz="0" w:space="0" w:color="auto"/>
            <w:right w:val="none" w:sz="0" w:space="0" w:color="auto"/>
          </w:divBdr>
        </w:div>
        <w:div w:id="2132549850">
          <w:marLeft w:val="0"/>
          <w:marRight w:val="0"/>
          <w:marTop w:val="0"/>
          <w:marBottom w:val="0"/>
          <w:divBdr>
            <w:top w:val="none" w:sz="0" w:space="0" w:color="auto"/>
            <w:left w:val="none" w:sz="0" w:space="0" w:color="auto"/>
            <w:bottom w:val="none" w:sz="0" w:space="0" w:color="auto"/>
            <w:right w:val="none" w:sz="0" w:space="0" w:color="auto"/>
          </w:divBdr>
        </w:div>
        <w:div w:id="1501505778">
          <w:marLeft w:val="0"/>
          <w:marRight w:val="0"/>
          <w:marTop w:val="0"/>
          <w:marBottom w:val="0"/>
          <w:divBdr>
            <w:top w:val="none" w:sz="0" w:space="0" w:color="auto"/>
            <w:left w:val="none" w:sz="0" w:space="0" w:color="auto"/>
            <w:bottom w:val="none" w:sz="0" w:space="0" w:color="auto"/>
            <w:right w:val="none" w:sz="0" w:space="0" w:color="auto"/>
          </w:divBdr>
        </w:div>
      </w:divsChild>
    </w:div>
    <w:div w:id="1878659805">
      <w:bodyDiv w:val="1"/>
      <w:marLeft w:val="0"/>
      <w:marRight w:val="0"/>
      <w:marTop w:val="0"/>
      <w:marBottom w:val="0"/>
      <w:divBdr>
        <w:top w:val="none" w:sz="0" w:space="0" w:color="auto"/>
        <w:left w:val="none" w:sz="0" w:space="0" w:color="auto"/>
        <w:bottom w:val="none" w:sz="0" w:space="0" w:color="auto"/>
        <w:right w:val="none" w:sz="0" w:space="0" w:color="auto"/>
      </w:divBdr>
      <w:divsChild>
        <w:div w:id="1151478988">
          <w:marLeft w:val="0"/>
          <w:marRight w:val="0"/>
          <w:marTop w:val="0"/>
          <w:marBottom w:val="0"/>
          <w:divBdr>
            <w:top w:val="none" w:sz="0" w:space="0" w:color="auto"/>
            <w:left w:val="none" w:sz="0" w:space="0" w:color="auto"/>
            <w:bottom w:val="none" w:sz="0" w:space="0" w:color="auto"/>
            <w:right w:val="none" w:sz="0" w:space="0" w:color="auto"/>
          </w:divBdr>
        </w:div>
        <w:div w:id="619144393">
          <w:marLeft w:val="0"/>
          <w:marRight w:val="0"/>
          <w:marTop w:val="0"/>
          <w:marBottom w:val="0"/>
          <w:divBdr>
            <w:top w:val="none" w:sz="0" w:space="0" w:color="auto"/>
            <w:left w:val="none" w:sz="0" w:space="0" w:color="auto"/>
            <w:bottom w:val="none" w:sz="0" w:space="0" w:color="auto"/>
            <w:right w:val="none" w:sz="0" w:space="0" w:color="auto"/>
          </w:divBdr>
        </w:div>
        <w:div w:id="156389997">
          <w:marLeft w:val="0"/>
          <w:marRight w:val="0"/>
          <w:marTop w:val="0"/>
          <w:marBottom w:val="0"/>
          <w:divBdr>
            <w:top w:val="none" w:sz="0" w:space="0" w:color="auto"/>
            <w:left w:val="none" w:sz="0" w:space="0" w:color="auto"/>
            <w:bottom w:val="none" w:sz="0" w:space="0" w:color="auto"/>
            <w:right w:val="none" w:sz="0" w:space="0" w:color="auto"/>
          </w:divBdr>
        </w:div>
        <w:div w:id="1207334192">
          <w:marLeft w:val="0"/>
          <w:marRight w:val="0"/>
          <w:marTop w:val="0"/>
          <w:marBottom w:val="0"/>
          <w:divBdr>
            <w:top w:val="none" w:sz="0" w:space="0" w:color="auto"/>
            <w:left w:val="none" w:sz="0" w:space="0" w:color="auto"/>
            <w:bottom w:val="none" w:sz="0" w:space="0" w:color="auto"/>
            <w:right w:val="none" w:sz="0" w:space="0" w:color="auto"/>
          </w:divBdr>
        </w:div>
        <w:div w:id="1738630665">
          <w:marLeft w:val="0"/>
          <w:marRight w:val="0"/>
          <w:marTop w:val="0"/>
          <w:marBottom w:val="0"/>
          <w:divBdr>
            <w:top w:val="none" w:sz="0" w:space="0" w:color="auto"/>
            <w:left w:val="none" w:sz="0" w:space="0" w:color="auto"/>
            <w:bottom w:val="none" w:sz="0" w:space="0" w:color="auto"/>
            <w:right w:val="none" w:sz="0" w:space="0" w:color="auto"/>
          </w:divBdr>
        </w:div>
        <w:div w:id="454452191">
          <w:marLeft w:val="0"/>
          <w:marRight w:val="0"/>
          <w:marTop w:val="0"/>
          <w:marBottom w:val="0"/>
          <w:divBdr>
            <w:top w:val="none" w:sz="0" w:space="0" w:color="auto"/>
            <w:left w:val="none" w:sz="0" w:space="0" w:color="auto"/>
            <w:bottom w:val="none" w:sz="0" w:space="0" w:color="auto"/>
            <w:right w:val="none" w:sz="0" w:space="0" w:color="auto"/>
          </w:divBdr>
        </w:div>
        <w:div w:id="25180958">
          <w:marLeft w:val="0"/>
          <w:marRight w:val="0"/>
          <w:marTop w:val="0"/>
          <w:marBottom w:val="0"/>
          <w:divBdr>
            <w:top w:val="none" w:sz="0" w:space="0" w:color="auto"/>
            <w:left w:val="none" w:sz="0" w:space="0" w:color="auto"/>
            <w:bottom w:val="none" w:sz="0" w:space="0" w:color="auto"/>
            <w:right w:val="none" w:sz="0" w:space="0" w:color="auto"/>
          </w:divBdr>
        </w:div>
        <w:div w:id="202864402">
          <w:marLeft w:val="0"/>
          <w:marRight w:val="0"/>
          <w:marTop w:val="0"/>
          <w:marBottom w:val="0"/>
          <w:divBdr>
            <w:top w:val="none" w:sz="0" w:space="0" w:color="auto"/>
            <w:left w:val="none" w:sz="0" w:space="0" w:color="auto"/>
            <w:bottom w:val="none" w:sz="0" w:space="0" w:color="auto"/>
            <w:right w:val="none" w:sz="0" w:space="0" w:color="auto"/>
          </w:divBdr>
        </w:div>
        <w:div w:id="284194947">
          <w:marLeft w:val="0"/>
          <w:marRight w:val="0"/>
          <w:marTop w:val="0"/>
          <w:marBottom w:val="0"/>
          <w:divBdr>
            <w:top w:val="none" w:sz="0" w:space="0" w:color="auto"/>
            <w:left w:val="none" w:sz="0" w:space="0" w:color="auto"/>
            <w:bottom w:val="none" w:sz="0" w:space="0" w:color="auto"/>
            <w:right w:val="none" w:sz="0" w:space="0" w:color="auto"/>
          </w:divBdr>
        </w:div>
        <w:div w:id="152235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5A8A63-991C-414D-9219-EE206BA8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2033</Words>
  <Characters>11528</Characters>
  <Application>Microsoft Office Word</Application>
  <DocSecurity>0</DocSecurity>
  <Lines>230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2019-09-20T09:22:00Z</dcterms:created>
  <dcterms:modified xsi:type="dcterms:W3CDTF">2019-10-07T14:00:00Z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