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3EE044-915D-4C15-B7AB-27DAB62AC275" style="width:450.5pt;height:351.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rFonts w:eastAsia="Arial Unicode MS"/>
          <w:noProof/>
        </w:rPr>
      </w:pPr>
      <w:r>
        <w:rPr>
          <w:rFonts w:eastAsia="Arial Unicode MS"/>
          <w:noProof/>
        </w:rPr>
        <w:t>The International Convention for the Conservation of Atlantic Tunas (ICCAT Convention) aims, by establishing the ICCAT, to promote cooperation in maintaining the populations of tuna and tuna</w:t>
      </w:r>
      <w:r>
        <w:rPr>
          <w:rFonts w:eastAsia="Arial Unicode MS"/>
          <w:noProof/>
        </w:rPr>
        <w:noBreakHyphen/>
        <w:t>like fish in the Atlantic Ocean at levels that permit the maximum sustainable catch for food and other purposes. The Convention entered into force on 21 March 1969. The Union is a party to the Convention, having approved it pursuant to the Council Decision of 9 June 1986</w:t>
      </w:r>
      <w:r>
        <w:rPr>
          <w:rStyle w:val="FootnoteReference"/>
          <w:noProof/>
        </w:rPr>
        <w:footnoteReference w:id="1"/>
      </w:r>
      <w:r>
        <w:rPr>
          <w:rFonts w:eastAsia="Arial Unicode MS"/>
          <w:noProof/>
        </w:rPr>
        <w:t>.</w:t>
      </w:r>
    </w:p>
    <w:p>
      <w:pPr>
        <w:spacing w:before="0" w:after="240"/>
        <w:rPr>
          <w:rFonts w:eastAsia="Arial Unicode MS"/>
          <w:noProof/>
        </w:rPr>
      </w:pPr>
      <w:r>
        <w:rPr>
          <w:rFonts w:eastAsia="Arial Unicode MS"/>
          <w:noProof/>
        </w:rPr>
        <w:t xml:space="preserve">The International Commission for the Conservation of Atlantic Tunas (ICCAT Commission) is the body established by the ICCAT Convention for the conservation and management of the species under its purview. The ICCAT Commission has the authority to adopt recommendations that are binding on the Contracting Parties. As a Contracting Party to the ICCAT Convention, the Union is a Member of the ICCAT Commission where it has participation and voting rights. </w:t>
      </w:r>
    </w:p>
    <w:p>
      <w:pPr>
        <w:spacing w:before="0" w:after="240"/>
        <w:rPr>
          <w:rFonts w:eastAsia="Arial Unicode MS"/>
          <w:noProof/>
        </w:rPr>
      </w:pPr>
      <w:r>
        <w:rPr>
          <w:rFonts w:eastAsia="Arial Unicode MS"/>
          <w:noProof/>
        </w:rPr>
        <w:t>In order to improve its effectiveness and strengthen the conservation and management of species under its purview, the ICCAT Commission has agreed on the need to amend the Convention. On 13 May 2013, the Council authorised the Commission to negotiate, on behalf of the European Union, amendments to the Convention</w:t>
      </w:r>
      <w:r>
        <w:rPr>
          <w:rStyle w:val="FootnoteReference"/>
          <w:noProof/>
        </w:rPr>
        <w:footnoteReference w:id="2"/>
      </w:r>
      <w:r>
        <w:rPr>
          <w:rFonts w:eastAsia="Arial Unicode MS"/>
          <w:noProof/>
        </w:rPr>
        <w:t xml:space="preserve">. </w:t>
      </w:r>
    </w:p>
    <w:p>
      <w:pPr>
        <w:spacing w:before="0" w:after="240"/>
        <w:rPr>
          <w:rFonts w:eastAsia="Arial Unicode MS"/>
          <w:noProof/>
        </w:rPr>
      </w:pPr>
      <w:r>
        <w:rPr>
          <w:rFonts w:eastAsia="Arial Unicode MS"/>
          <w:noProof/>
        </w:rPr>
        <w:t>From 2013 to 2018, discussions have taken place within the ICCAT Commission on the changes that are needed to the Convention. As a result, a Protocol has been drafted to amend to the Convention. The main amendments, once in force, will:</w:t>
      </w:r>
    </w:p>
    <w:p>
      <w:pPr>
        <w:pStyle w:val="Point0"/>
        <w:rPr>
          <w:noProof/>
        </w:rPr>
      </w:pPr>
      <w:r>
        <w:t>(1)</w:t>
      </w:r>
      <w:r>
        <w:tab/>
      </w:r>
      <w:r>
        <w:rPr>
          <w:noProof/>
        </w:rPr>
        <w:t>broaden the scope of the Convention as regards shark conservation and management;</w:t>
      </w:r>
    </w:p>
    <w:p>
      <w:pPr>
        <w:pStyle w:val="Point0"/>
        <w:rPr>
          <w:noProof/>
        </w:rPr>
      </w:pPr>
      <w:r>
        <w:t>(2)</w:t>
      </w:r>
      <w:r>
        <w:tab/>
      </w:r>
      <w:r>
        <w:rPr>
          <w:noProof/>
        </w:rPr>
        <w:t>clarify voting rules and quorum in the ICCAT Commission, in particular majority requirements in situations where consensus cannot be achieved;</w:t>
      </w:r>
    </w:p>
    <w:p>
      <w:pPr>
        <w:pStyle w:val="Point0"/>
        <w:rPr>
          <w:noProof/>
        </w:rPr>
      </w:pPr>
      <w:r>
        <w:t>(3)</w:t>
      </w:r>
      <w:r>
        <w:tab/>
      </w:r>
      <w:r>
        <w:rPr>
          <w:noProof/>
        </w:rPr>
        <w:t>define the principles according to which the ICCAT Commission and its Members shall act in conducting work under the ICCAT Convention;</w:t>
      </w:r>
    </w:p>
    <w:p>
      <w:pPr>
        <w:pStyle w:val="Point0"/>
        <w:rPr>
          <w:noProof/>
        </w:rPr>
      </w:pPr>
      <w:r>
        <w:t>(4)</w:t>
      </w:r>
      <w:r>
        <w:tab/>
      </w:r>
      <w:r>
        <w:rPr>
          <w:noProof/>
        </w:rPr>
        <w:t>shorten the entry into effect period for recommendations adopted by the ICCAT Commission from six to four months after notification to ICCAT Members;</w:t>
      </w:r>
    </w:p>
    <w:p>
      <w:pPr>
        <w:pStyle w:val="Point0"/>
        <w:rPr>
          <w:noProof/>
        </w:rPr>
      </w:pPr>
      <w:r>
        <w:t>(5)</w:t>
      </w:r>
      <w:r>
        <w:tab/>
      </w:r>
      <w:r>
        <w:rPr>
          <w:noProof/>
        </w:rPr>
        <w:t xml:space="preserve">clarify the use of the objection procedure for recommendations adopted by the ICCAT Commission; </w:t>
      </w:r>
    </w:p>
    <w:p>
      <w:pPr>
        <w:pStyle w:val="Point0"/>
        <w:rPr>
          <w:noProof/>
        </w:rPr>
      </w:pPr>
      <w:r>
        <w:t>(6)</w:t>
      </w:r>
      <w:r>
        <w:tab/>
      </w:r>
      <w:r>
        <w:rPr>
          <w:noProof/>
        </w:rPr>
        <w:t>enable the enhanced participation of Cooperating Non-Contracting Parties and fishing entities in the work of the ICCAT Commission; and</w:t>
      </w:r>
    </w:p>
    <w:p>
      <w:pPr>
        <w:pStyle w:val="Point0"/>
        <w:rPr>
          <w:noProof/>
        </w:rPr>
      </w:pPr>
      <w:r>
        <w:t>(7)</w:t>
      </w:r>
      <w:r>
        <w:tab/>
      </w:r>
      <w:r>
        <w:rPr>
          <w:noProof/>
        </w:rPr>
        <w:t xml:space="preserve">introduce an ICCAT dispute settlement mechanism which is voluntary, but the outcome of which will be final and binding on the parties that have recourse to it. </w:t>
      </w:r>
    </w:p>
    <w:p>
      <w:pPr>
        <w:spacing w:before="0" w:after="240"/>
        <w:rPr>
          <w:rFonts w:eastAsia="Arial Unicode MS"/>
          <w:noProof/>
        </w:rPr>
      </w:pPr>
      <w:r>
        <w:rPr>
          <w:rFonts w:eastAsia="Arial Unicode MS"/>
          <w:noProof/>
        </w:rPr>
        <w:lastRenderedPageBreak/>
        <w:t>The amendment of the Convention is also used as an opportunity to eliminate slight variations between the English, French and Spanish language versions of the Convention, each version being equally authentic. The Protocol therefore captures all provisions that are to be amended in any one of the three language versions.</w:t>
      </w:r>
    </w:p>
    <w:p>
      <w:pPr>
        <w:spacing w:before="0" w:after="240"/>
        <w:rPr>
          <w:rFonts w:eastAsia="Arial Unicode MS"/>
          <w:noProof/>
        </w:rPr>
      </w:pPr>
      <w:r>
        <w:rPr>
          <w:rFonts w:eastAsia="Arial Unicode MS"/>
          <w:noProof/>
        </w:rPr>
        <w:t>The Protocol will be adopted by the Contracting Parties at the 28</w:t>
      </w:r>
      <w:r>
        <w:rPr>
          <w:rFonts w:eastAsia="Arial Unicode MS"/>
          <w:noProof/>
          <w:vertAlign w:val="superscript"/>
        </w:rPr>
        <w:t>th</w:t>
      </w:r>
      <w:r>
        <w:rPr>
          <w:rFonts w:eastAsia="Arial Unicode MS"/>
          <w:noProof/>
        </w:rPr>
        <w:t xml:space="preserve"> Regular meeting of the ICCAT Commission from 18 to 25 November 2019. </w:t>
      </w:r>
    </w:p>
    <w:p>
      <w:pPr>
        <w:spacing w:before="0" w:after="240"/>
        <w:rPr>
          <w:rFonts w:eastAsia="Arial Unicode MS"/>
          <w:noProof/>
        </w:rPr>
      </w:pPr>
      <w:r>
        <w:rPr>
          <w:rFonts w:eastAsia="Arial Unicode MS"/>
          <w:noProof/>
        </w:rPr>
        <w:t xml:space="preserve">The present proposal is for a Council Decision to authorise the conclusion, on behalf of the Union, of the Protocol. </w:t>
      </w:r>
    </w:p>
    <w:p>
      <w:pPr>
        <w:spacing w:before="0" w:after="240"/>
        <w:rPr>
          <w:rFonts w:eastAsia="Arial Unicode MS"/>
          <w:noProof/>
        </w:rPr>
      </w:pPr>
      <w:r>
        <w:rPr>
          <w:rFonts w:eastAsia="Arial Unicode MS"/>
          <w:noProof/>
        </w:rPr>
        <w:t xml:space="preserve">The Protocol forms part of a wider package that also includes: </w:t>
      </w:r>
    </w:p>
    <w:p>
      <w:pPr>
        <w:pStyle w:val="Point0"/>
        <w:rPr>
          <w:noProof/>
        </w:rPr>
      </w:pPr>
      <w:r>
        <w:t>(8)</w:t>
      </w:r>
      <w:r>
        <w:tab/>
      </w:r>
      <w:r>
        <w:rPr>
          <w:i/>
          <w:noProof/>
        </w:rPr>
        <w:t>a Resolution by ICCAT regarding participation by fishing entities under the amended ICCAT Convention.</w:t>
      </w:r>
      <w:r>
        <w:rPr>
          <w:noProof/>
        </w:rPr>
        <w:t xml:space="preserve"> This Resolution clarifies Convention amendments on non-party participation in particular that Chinese Taipei is the fishing entity that is intended to be covered by the Annex 2 on Fishing Entities, which is added to the Convention by Article 11 of the Protocol; and</w:t>
      </w:r>
    </w:p>
    <w:p>
      <w:pPr>
        <w:pStyle w:val="Point0"/>
        <w:rPr>
          <w:noProof/>
        </w:rPr>
      </w:pPr>
      <w:r>
        <w:t>(9)</w:t>
      </w:r>
      <w:r>
        <w:tab/>
      </w:r>
      <w:r>
        <w:rPr>
          <w:noProof/>
        </w:rPr>
        <w:t xml:space="preserve">a Recommendation by ICCAT on fishes considered to be tuna and tuna-like species or oceanic, pelagic, and highly migratory elasmobranchs. The Recommendation clarifies the species that are covered by the Convention, in particular by expressly defining ‘ICCAT species’ as including elasmobranchs (sharks and rays) that are oceanic, pelagic and highly migratory. </w:t>
      </w:r>
    </w:p>
    <w:p>
      <w:pPr>
        <w:spacing w:before="0" w:after="240"/>
        <w:rPr>
          <w:rFonts w:eastAsia="Arial Unicode MS"/>
          <w:noProof/>
        </w:rPr>
      </w:pPr>
      <w:r>
        <w:rPr>
          <w:rFonts w:eastAsia="Arial Unicode MS"/>
          <w:noProof/>
        </w:rPr>
        <w:t>The Resolution and Recommendation are to be adopted by the ICCAT Commission concurrently with the adoption of the Protocol by the Contracting Parties. In accordance with Article VIII, paragraph 2 of the ICCAT Convention, the Recommendation will become effective six months after the date on which the Contracting Parties have been notified of it. The Recommendation will not be binding on a Contracting Party if it has submitted and reaffirmed an objection to it. If the objection is supported by a majority of the Contracting Parties, the Recommendation does not come into effect.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Regional Fisheries Management Organisations (RFMOs) are international organisations of countries, some of which are coastal states; regional integration organisations, such as the EU; and fishing entities with fishing interests in a given area. Some RFMOs manage all the fish stocks within a specific area, while others focus on particular highly migratory species, notably tuna, throughout vast geographical areas. While some are purely advisory, most have management powers to set catch and fishing effort limits, technical measures, and control obligations. </w:t>
      </w:r>
    </w:p>
    <w:p>
      <w:pPr>
        <w:spacing w:before="0" w:after="240"/>
        <w:rPr>
          <w:rFonts w:eastAsia="Arial Unicode MS"/>
          <w:noProof/>
        </w:rPr>
      </w:pPr>
      <w:r>
        <w:rPr>
          <w:rFonts w:eastAsia="Arial Unicode MS"/>
          <w:noProof/>
        </w:rPr>
        <w:t xml:space="preserve">The European Union, represented by the European Commission, supports and actively contributes to the work of the ICCAT, in line with </w:t>
      </w:r>
      <w:r>
        <w:rPr>
          <w:noProof/>
        </w:rPr>
        <w:t>Commission Communication on ‘Participation in regional fisheries organisations (RFOs)’</w:t>
      </w:r>
      <w:r>
        <w:rPr>
          <w:rStyle w:val="FootnoteReference"/>
          <w:noProof/>
        </w:rPr>
        <w:footnoteReference w:id="3"/>
      </w:r>
      <w:r>
        <w:rPr>
          <w:noProof/>
        </w:rPr>
        <w:t xml:space="preserve">, </w:t>
      </w:r>
      <w:r>
        <w:rPr>
          <w:rFonts w:eastAsia="Arial Unicode MS"/>
          <w:noProof/>
        </w:rPr>
        <w:t>Article 29 of Regulation (EU) No 1380/2013 of the European Parliament and of the Council on the Common Fisheries Policy</w:t>
      </w:r>
      <w:r>
        <w:rPr>
          <w:rStyle w:val="FootnoteReference"/>
          <w:noProof/>
        </w:rPr>
        <w:footnoteReference w:id="4"/>
      </w:r>
      <w:r>
        <w:rPr>
          <w:rFonts w:eastAsia="Arial Unicode MS"/>
          <w:noProof/>
        </w:rPr>
        <w:t xml:space="preserve"> and the Council conclusions of 19 March 2012 on the Commission Communication on the </w:t>
      </w:r>
      <w:r>
        <w:rPr>
          <w:rFonts w:eastAsia="Arial Unicode MS"/>
          <w:noProof/>
        </w:rPr>
        <w:lastRenderedPageBreak/>
        <w:t>‘External dimension of the Common Fisheries Policy’</w:t>
      </w:r>
      <w:r>
        <w:rPr>
          <w:rStyle w:val="FootnoteReference"/>
          <w:noProof/>
        </w:rPr>
        <w:footnoteReference w:id="5"/>
      </w:r>
      <w:r>
        <w:rPr>
          <w:rFonts w:eastAsia="Arial Unicode MS"/>
          <w:noProof/>
        </w:rPr>
        <w:t>. The Convention amendments are necessary to ensure the sustainable exploitation, management and conservation of marine biological resources and the marine environment managed by the ICCAT, as well as of species caught in the context of fishing activities targeting ICCAT species.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sz w:val="23"/>
          <w:szCs w:val="23"/>
        </w:rPr>
      </w:pPr>
      <w:r>
        <w:rPr>
          <w:noProof/>
        </w:rPr>
        <w:t>In accordance with the Joint Communication by the High Representative of the EU for Foreign Affairs and Security Policy and the European Commission ‘International ocean governance: an agenda for the future of oceans’</w:t>
      </w:r>
      <w:r>
        <w:rPr>
          <w:rStyle w:val="FootnoteReference"/>
          <w:noProof/>
        </w:rPr>
        <w:footnoteReference w:id="6"/>
      </w:r>
      <w:r>
        <w:rPr>
          <w:noProof/>
        </w:rPr>
        <w:t xml:space="preserve"> and the Council conclusions on that Joint Communication</w:t>
      </w:r>
      <w:r>
        <w:rPr>
          <w:rStyle w:val="FootnoteReference"/>
          <w:noProof/>
        </w:rPr>
        <w:footnoteReference w:id="7"/>
      </w:r>
      <w:r>
        <w:rPr>
          <w:noProof/>
        </w:rPr>
        <w:t xml:space="preserve">, promoting measures to support and enhance the effectiveness of RFMOs and, where relevant, improve their governance is a central feature of the Union’s action in these fora.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This proposal for a Council Decision is based on the Treaty on the Functioning of the European Union, and in particular Article 43(2), in conjunction with Article 218(6).</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does not go beyond what is necessary to achieve the objective pursued, namely the conclusion of the Protocol by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Times New Roman"/>
          <w:noProof/>
          <w:lang w:eastAsia="en-GB"/>
        </w:rPr>
        <w:t>Article 218(6) of the Treaty on the Functioning of the European Union, requires a proposal from the Commission for the Council to adopt a decision concluding the Protocol.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Times New Roman"/>
          <w:noProof/>
          <w:lang w:eastAsia="en-GB"/>
        </w:rPr>
      </w:pPr>
      <w:r>
        <w:rPr>
          <w:rFonts w:eastAsia="Arial Unicode MS"/>
          <w:noProof/>
        </w:rPr>
        <w:t>On 13 May 2013, the Council authorised the Commission to negotiate, on behalf of the European Union, amendments to the Convention.</w:t>
      </w:r>
    </w:p>
    <w:p>
      <w:pPr>
        <w:spacing w:before="0" w:after="240"/>
        <w:rPr>
          <w:rFonts w:eastAsia="Arial Unicode MS"/>
          <w:noProof/>
        </w:rPr>
      </w:pPr>
      <w:r>
        <w:rPr>
          <w:rFonts w:eastAsia="Times New Roman"/>
          <w:noProof/>
          <w:lang w:eastAsia="en-GB"/>
        </w:rPr>
        <w:t>The amendments were prepared during six meetings of the Working Group on Convention Amendment established for this purpose by the ICCAT, the first of which took place from 10 to 12 July 2013 and the last from 24 to 25 May 2018. Member States were kept informed of progress in the negotiations.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 Commission drew on expertise from Member States in the preparations for, as well as during the negotiations in ICCAT on the amendments to the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This proposal does not entail additional costs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Not applicable.</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t xml:space="preserve"> </w:t>
      </w:r>
    </w:p>
    <w:p>
      <w:pPr>
        <w:pStyle w:val="Rfrenceinterinstitutionnelle"/>
        <w:rPr>
          <w:noProof/>
        </w:rPr>
      </w:pPr>
      <w:r>
        <w:rPr>
          <w:noProof/>
        </w:rPr>
        <w:lastRenderedPageBreak/>
        <w:t>2019/0225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Protocol to amend the International Convention for the Conservation of Atlantic Tunas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in conjunction with Article 218(6) second subparagraph, point (a)(v)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8"/>
      </w:r>
      <w:r>
        <w:rPr>
          <w:noProof/>
        </w:rPr>
        <w:t>,</w:t>
      </w:r>
    </w:p>
    <w:p>
      <w:pPr>
        <w:rPr>
          <w:noProof/>
        </w:rPr>
      </w:pPr>
      <w:r>
        <w:rPr>
          <w:noProof/>
        </w:rPr>
        <w:t>Whereas:</w:t>
      </w:r>
    </w:p>
    <w:p>
      <w:pPr>
        <w:pStyle w:val="ManualConsidrant"/>
        <w:rPr>
          <w:noProof/>
        </w:rPr>
      </w:pPr>
      <w:r>
        <w:t>(1)</w:t>
      </w:r>
      <w:r>
        <w:tab/>
      </w:r>
      <w:r>
        <w:rPr>
          <w:rFonts w:eastAsia="Arial Unicode MS"/>
          <w:noProof/>
        </w:rPr>
        <w:t xml:space="preserve">In accordance with Council Decision [XXXX] of [XXXX], the Protocol to amend </w:t>
      </w:r>
      <w:r>
        <w:rPr>
          <w:noProof/>
        </w:rPr>
        <w:t>the International Convention on the Conservation of Atlantic Tunas was signed on [XXXX] and is applied on a provisional basis as from the date of its entry into force, pending its conclusion at a later date.</w:t>
      </w:r>
    </w:p>
    <w:p>
      <w:pPr>
        <w:pStyle w:val="ManualConsidrant"/>
        <w:rPr>
          <w:noProof/>
        </w:rPr>
      </w:pPr>
      <w:r>
        <w:t>(2)</w:t>
      </w:r>
      <w:r>
        <w:tab/>
      </w:r>
      <w:r>
        <w:rPr>
          <w:noProof/>
        </w:rPr>
        <w:t>Regulation (EU) No 1380/2013 of the European Parliament and of the Council</w:t>
      </w:r>
      <w:r>
        <w:rPr>
          <w:rStyle w:val="FootnoteReference"/>
          <w:noProof/>
        </w:rPr>
        <w:footnoteReference w:id="9"/>
      </w:r>
      <w:r>
        <w:rPr>
          <w:noProof/>
          <w:sz w:val="16"/>
          <w:szCs w:val="16"/>
        </w:rPr>
        <w:t xml:space="preserve"> </w:t>
      </w:r>
      <w:r>
        <w:rPr>
          <w:noProof/>
        </w:rPr>
        <w:t>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Moreover, Regulation (EU) No 1380/2013 specifically provides that those objectives and principles are to be applied by the Union in the conduct of its external fisheries relations. The Protocol is consistent with these objectives.</w:t>
      </w:r>
    </w:p>
    <w:p>
      <w:pPr>
        <w:pStyle w:val="ManualConsidrant"/>
        <w:rPr>
          <w:noProof/>
        </w:rPr>
      </w:pPr>
      <w:r>
        <w:t>(3)</w:t>
      </w:r>
      <w:r>
        <w:tab/>
      </w:r>
      <w:r>
        <w:rPr>
          <w:noProof/>
        </w:rPr>
        <w:t xml:space="preserve">As stated in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10"/>
      </w:r>
      <w:r>
        <w:rPr>
          <w:noProof/>
        </w:rPr>
        <w:t xml:space="preserve">, and the Council conclusions </w:t>
      </w:r>
      <w:r>
        <w:rPr>
          <w:noProof/>
        </w:rPr>
        <w:lastRenderedPageBreak/>
        <w:t>on that Joint communication</w:t>
      </w:r>
      <w:r>
        <w:rPr>
          <w:rStyle w:val="FootnoteReference"/>
          <w:noProof/>
        </w:rPr>
        <w:footnoteReference w:id="11"/>
      </w:r>
      <w:r>
        <w:rPr>
          <w:noProof/>
        </w:rPr>
        <w:t>, the promotion of measures to support and enhance the effectiveness of regional fisheries management organisations (RFMOs) and, where relevant, improve their governance is central to the Union’s action in these fora. The Protocol is fully in line with these aims.</w:t>
      </w:r>
    </w:p>
    <w:p>
      <w:pPr>
        <w:pStyle w:val="ManualConsidrant"/>
        <w:rPr>
          <w:noProof/>
        </w:rPr>
      </w:pPr>
      <w:r>
        <w:t>(4)</w:t>
      </w:r>
      <w:r>
        <w:tab/>
      </w:r>
      <w:r>
        <w:rPr>
          <w:noProof/>
        </w:rPr>
        <w:t>The Protocol should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keepLines/>
        <w:rPr>
          <w:noProof/>
        </w:rPr>
      </w:pPr>
      <w:r>
        <w:rPr>
          <w:noProof/>
        </w:rPr>
        <w:t>The Protocol to amend the International Convention on the Conservation of Atlantic Tunas (“the Protocol”) is hereby approved on behalf of the Union.</w:t>
      </w:r>
    </w:p>
    <w:p>
      <w:pPr>
        <w:pStyle w:val="Titrearticle"/>
        <w:keepNext w:val="0"/>
        <w:rPr>
          <w:noProof/>
        </w:rPr>
      </w:pPr>
      <w:r>
        <w:rPr>
          <w:noProof/>
        </w:rPr>
        <w:t>Article 2</w:t>
      </w:r>
    </w:p>
    <w:p>
      <w:pPr>
        <w:keepLines/>
        <w:rPr>
          <w:noProof/>
        </w:rPr>
      </w:pPr>
      <w:r>
        <w:rPr>
          <w:noProof/>
        </w:rPr>
        <w:t xml:space="preserve">The President of the Council shall designate the person empowered to proceed, on behalf of the Union, to deposit the instrument of approval of the Protocol in line with Article 13 of the Protocol. </w:t>
      </w:r>
    </w:p>
    <w:p>
      <w:pPr>
        <w:pStyle w:val="Titrearticle"/>
        <w:rPr>
          <w:noProof/>
        </w:rPr>
      </w:pPr>
      <w:r>
        <w:rPr>
          <w:noProof/>
        </w:rPr>
        <w:t>Article 3</w:t>
      </w:r>
    </w:p>
    <w:p>
      <w:pPr>
        <w:keepLines/>
        <w:rPr>
          <w:noProof/>
        </w:rPr>
      </w:pPr>
      <w:r>
        <w:rPr>
          <w:noProof/>
        </w:rPr>
        <w:t>This Decision shall enter into force on the day of its adoption</w:t>
      </w:r>
      <w:r>
        <w:rPr>
          <w:rStyle w:val="FootnoteReference"/>
          <w:noProof/>
        </w:rPr>
        <w:footnoteReference w:id="12"/>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18.6.1986, p. 33).</w:t>
      </w:r>
    </w:p>
  </w:footnote>
  <w:footnote w:id="2">
    <w:p>
      <w:pPr>
        <w:pStyle w:val="FootnoteText"/>
        <w:rPr>
          <w:lang w:val="en-US"/>
        </w:rPr>
      </w:pPr>
      <w:r>
        <w:rPr>
          <w:rStyle w:val="FootnoteReference"/>
        </w:rPr>
        <w:footnoteRef/>
      </w:r>
      <w:r>
        <w:tab/>
      </w:r>
      <w:r>
        <w:rPr>
          <w:lang w:val="en-US"/>
        </w:rPr>
        <w:t>Council Decision of 13 May 2013 authorising the Commission to open negotiations on behalf of the European Union on amendments to the International Convention for the Conservation of Atlantic Tunas.</w:t>
      </w:r>
    </w:p>
  </w:footnote>
  <w:footnote w:id="3">
    <w:p>
      <w:pPr>
        <w:pStyle w:val="FootnoteText"/>
      </w:pPr>
      <w:r>
        <w:rPr>
          <w:rStyle w:val="FootnoteReference"/>
        </w:rPr>
        <w:footnoteRef/>
      </w:r>
      <w:r>
        <w:tab/>
        <w:t>COM/99/0613 final.</w:t>
      </w:r>
    </w:p>
  </w:footnote>
  <w:footnote w:id="4">
    <w:p>
      <w:pPr>
        <w:pStyle w:val="FootnoteText"/>
        <w:rPr>
          <w:lang w:val="en-US"/>
        </w:rPr>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w:t>
      </w:r>
      <w:r>
        <w:rPr>
          <w:lang w:val="en-US"/>
        </w:rPr>
        <w:t xml:space="preserve">, </w:t>
      </w:r>
      <w:r>
        <w:t>28.12.2013, p.22).</w:t>
      </w:r>
    </w:p>
  </w:footnote>
  <w:footnote w:id="5">
    <w:p>
      <w:pPr>
        <w:pStyle w:val="FootnoteText"/>
        <w:rPr>
          <w:rFonts w:eastAsia="Times New Roman"/>
          <w:lang w:eastAsia="en-GB"/>
        </w:rPr>
      </w:pPr>
      <w:r>
        <w:rPr>
          <w:rStyle w:val="FootnoteReference"/>
        </w:rPr>
        <w:footnoteRef/>
      </w:r>
      <w:r>
        <w:tab/>
      </w:r>
      <w:r>
        <w:rPr>
          <w:rFonts w:eastAsia="Times New Roman"/>
          <w:lang w:eastAsia="en-GB"/>
        </w:rPr>
        <w:t xml:space="preserve">COM(2011) 424 of </w:t>
      </w:r>
      <w:r>
        <w:rPr>
          <w:rFonts w:eastAsia="Times New Roman"/>
          <w:szCs w:val="24"/>
          <w:lang w:eastAsia="en-GB"/>
        </w:rPr>
        <w:t>13.7.2011.</w:t>
      </w:r>
    </w:p>
  </w:footnote>
  <w:footnote w:id="6">
    <w:p>
      <w:pPr>
        <w:pStyle w:val="FootnoteText"/>
      </w:pPr>
      <w:r>
        <w:rPr>
          <w:rStyle w:val="FootnoteReference"/>
        </w:rPr>
        <w:footnoteRef/>
      </w:r>
      <w:r>
        <w:tab/>
        <w:t>JOIN(2016) 49 final.</w:t>
      </w:r>
    </w:p>
  </w:footnote>
  <w:footnote w:id="7">
    <w:p>
      <w:pPr>
        <w:pStyle w:val="FootnoteText"/>
      </w:pPr>
      <w:r>
        <w:rPr>
          <w:rStyle w:val="FootnoteReference"/>
        </w:rPr>
        <w:footnoteRef/>
      </w:r>
      <w:r>
        <w:tab/>
        <w:t>7348/1/17 REV 1.</w:t>
      </w:r>
    </w:p>
  </w:footnote>
  <w:footnote w:id="8">
    <w:p>
      <w:pPr>
        <w:pStyle w:val="FootnoteText"/>
        <w:rPr>
          <w:lang w:val="pl-PL"/>
        </w:rPr>
      </w:pPr>
      <w:r>
        <w:rPr>
          <w:rStyle w:val="FootnoteReference"/>
        </w:rPr>
        <w:footnoteRef/>
      </w:r>
      <w:r>
        <w:rPr>
          <w:lang w:val="pl-PL"/>
        </w:rPr>
        <w:tab/>
        <w:t>OJ C , , p. .</w:t>
      </w:r>
    </w:p>
  </w:footnote>
  <w:footnote w:id="9">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0">
    <w:p>
      <w:pPr>
        <w:pStyle w:val="FootnoteText"/>
      </w:pPr>
      <w:r>
        <w:rPr>
          <w:rStyle w:val="FootnoteReference"/>
        </w:rPr>
        <w:footnoteRef/>
      </w:r>
      <w:r>
        <w:tab/>
        <w:t>JOIN(2016) 49 final of 10.11.2016.</w:t>
      </w:r>
    </w:p>
  </w:footnote>
  <w:footnote w:id="11">
    <w:p>
      <w:pPr>
        <w:pStyle w:val="FootnoteText"/>
      </w:pPr>
      <w:r>
        <w:rPr>
          <w:rStyle w:val="FootnoteReference"/>
        </w:rPr>
        <w:footnoteRef/>
      </w:r>
      <w:r>
        <w:tab/>
        <w:t>7348/1/17 REV 1 of 24.3.2017.</w:t>
      </w:r>
    </w:p>
  </w:footnote>
  <w:footnote w:id="12">
    <w:p>
      <w:pPr>
        <w:pStyle w:val="FootnoteText"/>
      </w:pPr>
      <w:r>
        <w:rPr>
          <w:rStyle w:val="FootnoteReference"/>
        </w:rPr>
        <w:footnoteRef/>
      </w:r>
      <w:r>
        <w:tab/>
        <w:t>The date of entry into force of the Protocol will be published in the Official Journal of the European Union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2E22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ACE4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D899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DCB6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3081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98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1E517C"/>
    <w:lvl w:ilvl="0">
      <w:start w:val="1"/>
      <w:numFmt w:val="decimal"/>
      <w:pStyle w:val="ListNumber"/>
      <w:lvlText w:val="%1."/>
      <w:lvlJc w:val="left"/>
      <w:pPr>
        <w:tabs>
          <w:tab w:val="num" w:pos="360"/>
        </w:tabs>
        <w:ind w:left="360" w:hanging="360"/>
      </w:pPr>
    </w:lvl>
  </w:abstractNum>
  <w:abstractNum w:abstractNumId="7">
    <w:nsid w:val="FFFFFF89"/>
    <w:multiLevelType w:val="singleLevel"/>
    <w:tmpl w:val="9DB80D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8 12:28: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3EE044-915D-4C15-B7AB-27DAB62AC275"/>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5"/>
    <w:docVar w:name="LW_REF.II.NEW.CP_YEAR" w:val="2019"/>
    <w:docVar w:name="LW_REF.INST.NEW" w:val="COM"/>
    <w:docVar w:name="LW_REF.INST.NEW_ADOPTED" w:val="final"/>
    <w:docVar w:name="LW_REF.INST.NEW_TEXT" w:val="(2019)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Protocol to amend the International Convention for the Conservation of Atlantic Tuna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A30606-AA8E-41EC-B100-7F5D3B87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1782</Words>
  <Characters>9788</Characters>
  <Application>Microsoft Office Word</Application>
  <DocSecurity>0</DocSecurity>
  <Lines>184</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2019-10-04T15:36:00Z</dcterms:created>
  <dcterms:modified xsi:type="dcterms:W3CDTF">2019-10-08T10:28:00Z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