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4" type="#_x0000_t75" alt="F00B8EED-7E4C-45F4-885E-9AFE93DF6B4A" style="width:450.75pt;height:420.75pt">
            <v:imagedata r:id="rId9" o:title=""/>
          </v:shape>
        </w:pict>
      </w:r>
    </w:p>
    <w:p>
      <w:pPr>
        <w:rPr>
          <w:noProof/>
        </w:rPr>
        <w:sectPr>
          <w:footerReference w:type="default" r:id="rId10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Exposdesmotifstitre"/>
        <w:rPr>
          <w:noProof/>
        </w:rPr>
      </w:pPr>
      <w:bookmarkStart w:id="0" w:name="_GoBack"/>
      <w:bookmarkEnd w:id="0"/>
      <w:r>
        <w:rPr>
          <w:noProof/>
        </w:rPr>
        <w:lastRenderedPageBreak/>
        <w:t>ОБЯСНИТЕЛЕН МЕМОРАНДУМ</w:t>
      </w:r>
    </w:p>
    <w:p>
      <w:pPr>
        <w:pStyle w:val="ManualHeading1"/>
        <w:rPr>
          <w:rFonts w:eastAsia="Arial Unicode MS"/>
          <w:noProof/>
        </w:rPr>
      </w:pPr>
      <w:r>
        <w:t>1.</w:t>
      </w:r>
      <w:r>
        <w:tab/>
      </w:r>
      <w:r>
        <w:rPr>
          <w:noProof/>
        </w:rPr>
        <w:t>Предмет на предложението</w:t>
      </w:r>
    </w:p>
    <w:p>
      <w:pPr>
        <w:rPr>
          <w:noProof/>
        </w:rPr>
      </w:pPr>
      <w:r>
        <w:rPr>
          <w:noProof/>
        </w:rPr>
        <w:t>Настоящото предложение се отнася до решението за определяне на позицията относно планираното приемане на процедурния правилник на Съвместния комитет и процедурния правилник на Подкомитета по търговия и инвестиции, която трябва да се заеме от името на Съюза в рамките на Съвместния комитет и Подкомитета по търговия и инвестиции, създадени по силата на Рамковото споразумение за партньорство и сътрудничество между Европейския съюз и неговите държави членки, от една страна, и Монголия, от друга страна (наричано по-нататък „Споразумението“).</w:t>
      </w:r>
    </w:p>
    <w:p>
      <w:pPr>
        <w:pStyle w:val="ManualHeading1"/>
        <w:rPr>
          <w:noProof/>
        </w:rPr>
      </w:pPr>
      <w:r>
        <w:t>2.</w:t>
      </w:r>
      <w:r>
        <w:tab/>
      </w:r>
      <w:r>
        <w:rPr>
          <w:noProof/>
        </w:rPr>
        <w:t>Контекст на предложението</w:t>
      </w:r>
    </w:p>
    <w:p>
      <w:pPr>
        <w:pStyle w:val="ManualHeading2"/>
        <w:rPr>
          <w:noProof/>
        </w:rPr>
      </w:pPr>
      <w:r>
        <w:t>2.1.</w:t>
      </w:r>
      <w:r>
        <w:tab/>
      </w:r>
      <w:r>
        <w:rPr>
          <w:noProof/>
        </w:rPr>
        <w:t>Рамково споразумение за партньорство и сътрудничество между ЕС и Монголия</w:t>
      </w:r>
    </w:p>
    <w:p>
      <w:pPr>
        <w:rPr>
          <w:noProof/>
        </w:rPr>
      </w:pPr>
      <w:r>
        <w:rPr>
          <w:noProof/>
        </w:rPr>
        <w:t>Целта на Споразумението е да се установи засилено партньорство между ЕС, неговите държави членки и Монголия, както и да се задълбочи и подобри сътрудничеството по въпросите от взаимен интерес, като се вземат предвид споделените ценности и общите принципи. Със Споразумението бе създадена съгласувана правно обвързваща рамка за отношенията на ЕС с Монголия. Споразумението влезе в сила на 1 ноември 2017 г.</w:t>
      </w:r>
    </w:p>
    <w:p>
      <w:pPr>
        <w:pStyle w:val="ManualHeading2"/>
        <w:rPr>
          <w:noProof/>
        </w:rPr>
      </w:pPr>
      <w:r>
        <w:t>2.2.</w:t>
      </w:r>
      <w:r>
        <w:tab/>
      </w:r>
      <w:r>
        <w:rPr>
          <w:noProof/>
        </w:rPr>
        <w:t>Съвместният комитет и Подкомитетът по търговия и инвестиции</w:t>
      </w:r>
    </w:p>
    <w:p>
      <w:pPr>
        <w:rPr>
          <w:noProof/>
          <w:u w:color="000000"/>
          <w:bdr w:val="nil"/>
        </w:rPr>
      </w:pPr>
      <w:r>
        <w:rPr>
          <w:noProof/>
          <w:u w:color="000000"/>
          <w:bdr w:val="nil"/>
        </w:rPr>
        <w:t>Съвместният комитет е създаден съгласно член 56 от Споразумението. Основните му задачи са: а) да осигурява нормалното действие и изпълнението на Споразумението; б) да определя приоритети в съответствие с целите на Споразумението; в) да изготвя препоръки за постигане на целите на Споразумението.</w:t>
      </w:r>
    </w:p>
    <w:p>
      <w:pPr>
        <w:rPr>
          <w:noProof/>
          <w:u w:color="000000"/>
          <w:bdr w:val="nil"/>
        </w:rPr>
      </w:pPr>
      <w:r>
        <w:rPr>
          <w:noProof/>
          <w:u w:color="000000"/>
          <w:bdr w:val="nil"/>
        </w:rPr>
        <w:t>Съвместният комитет отправя препоръки и приема решения, когато е уместно, за привеждане в действие на конкретни аспекти на Споразумението. Той заседава на подходящото високо равнище. Съвместният комитет приема свой процедурен правилник. Той може да създава специализирани работни групи, които да се занимават с конкретни въпроси.</w:t>
      </w:r>
    </w:p>
    <w:p>
      <w:pPr>
        <w:rPr>
          <w:noProof/>
          <w:u w:color="000000"/>
          <w:bdr w:val="nil"/>
        </w:rPr>
      </w:pPr>
      <w:r>
        <w:rPr>
          <w:noProof/>
          <w:u w:color="000000"/>
          <w:bdr w:val="nil"/>
        </w:rPr>
        <w:t>Подкомитетът по търговия и инвестиции е създаден съгласно член 28 от Споразумението. Задачата му е да подпомага Съвместния комитет при изпълнението на неговите задачи като поеме всички области на сътрудничество в областта на търговията и инвестициите.</w:t>
      </w:r>
    </w:p>
    <w:p>
      <w:pPr>
        <w:pStyle w:val="ManualHeading2"/>
        <w:rPr>
          <w:noProof/>
        </w:rPr>
      </w:pPr>
      <w:r>
        <w:t>2.3.</w:t>
      </w:r>
      <w:r>
        <w:tab/>
      </w:r>
      <w:r>
        <w:rPr>
          <w:noProof/>
        </w:rPr>
        <w:t>Предвиденият акт на Съвместния комитет и Подкомитета по търговия и инвестиции</w:t>
      </w:r>
    </w:p>
    <w:p>
      <w:pPr>
        <w:rPr>
          <w:noProof/>
        </w:rPr>
      </w:pPr>
      <w:r>
        <w:rPr>
          <w:noProof/>
        </w:rPr>
        <w:t>Съвместният комитет приема решение относно приемането на процедурния правилник за своята работа и за работата на специализираните работни групи. Подкомитетът по търговия и инвестиции приема решение относно приемането на своя процедурен правилник („предвиденият акт“).</w:t>
      </w:r>
    </w:p>
    <w:p>
      <w:pPr>
        <w:rPr>
          <w:rFonts w:eastAsia="Arial Unicode MS"/>
          <w:noProof/>
        </w:rPr>
      </w:pPr>
      <w:r>
        <w:rPr>
          <w:noProof/>
        </w:rPr>
        <w:t>Целта на предвидените актове е да се приемат — в съответствие с член 28, параграф 3 и член 56, параграф 6 от Споразумението — процедурният правилник за организацията на работата на Съвместния комитет и процедурните правилници на Подкомитета по търговия и инвестиции и на специализираните работни групи, за да се даде възможност за прилагане на Споразумението.</w:t>
      </w:r>
    </w:p>
    <w:p>
      <w:pPr>
        <w:pStyle w:val="ManualHeading1"/>
        <w:rPr>
          <w:rFonts w:eastAsia="Arial Unicode MS"/>
          <w:noProof/>
        </w:rPr>
      </w:pPr>
      <w:r>
        <w:lastRenderedPageBreak/>
        <w:t>3.</w:t>
      </w:r>
      <w:r>
        <w:tab/>
      </w:r>
      <w:r>
        <w:rPr>
          <w:noProof/>
        </w:rPr>
        <w:t>Позиция, която трябва да се заеме от името на Съюза</w:t>
      </w:r>
    </w:p>
    <w:p>
      <w:pPr>
        <w:rPr>
          <w:noProof/>
        </w:rPr>
      </w:pPr>
      <w:r>
        <w:rPr>
          <w:noProof/>
        </w:rPr>
        <w:t>Позицията, която трябва да се заеме от името на Съюза, следва да има за цел приемането на процедурния правилник на Съвместния комитет ЕС—Монголия и процедурните правилници на Подкомитета по търговия и инвестиции и на специализираните работни групи. Позицията следва да се основава на проектите на решенията на Съвместния комитет и на Подкомитета по търговия и инвестиции.</w:t>
      </w:r>
    </w:p>
    <w:p>
      <w:pPr>
        <w:pStyle w:val="ManualHeading1"/>
        <w:rPr>
          <w:noProof/>
        </w:rPr>
      </w:pPr>
      <w:r>
        <w:t>4.</w:t>
      </w:r>
      <w:r>
        <w:tab/>
      </w:r>
      <w:r>
        <w:rPr>
          <w:noProof/>
        </w:rPr>
        <w:t>Правно основание</w:t>
      </w:r>
    </w:p>
    <w:p>
      <w:pPr>
        <w:pStyle w:val="ManualHeading2"/>
        <w:rPr>
          <w:noProof/>
        </w:rPr>
      </w:pPr>
      <w:r>
        <w:t>4.1.</w:t>
      </w:r>
      <w:r>
        <w:tab/>
      </w:r>
      <w:r>
        <w:rPr>
          <w:noProof/>
        </w:rPr>
        <w:t>Процесуалноправно основание</w:t>
      </w:r>
    </w:p>
    <w:p>
      <w:pPr>
        <w:pStyle w:val="ManualHeading3"/>
        <w:rPr>
          <w:noProof/>
        </w:rPr>
      </w:pPr>
      <w:r>
        <w:t>4.1.1.</w:t>
      </w:r>
      <w:r>
        <w:tab/>
      </w:r>
      <w:r>
        <w:rPr>
          <w:noProof/>
        </w:rPr>
        <w:t>Принципи</w:t>
      </w:r>
    </w:p>
    <w:p>
      <w:pPr>
        <w:rPr>
          <w:noProof/>
          <w:color w:val="000000" w:themeColor="text1"/>
        </w:rPr>
      </w:pPr>
      <w:r>
        <w:rPr>
          <w:noProof/>
        </w:rPr>
        <w:t>В член 218, параграф 9 от Договора за функционирането на Европейския съюз (ДФЕС) се предвижда приемането на решения за установяване на „</w:t>
      </w:r>
      <w:r>
        <w:rPr>
          <w:i/>
          <w:noProof/>
        </w:rPr>
        <w:t>позициите, които трябва да се заемат от името на Съюза в рамките на орган, създаден със споразумение, когато този орган има за задача да приема актове с правно действие, с изключение на актовете за допълнение или изменение на институционалната рамка на споразумението</w:t>
      </w:r>
      <w:r>
        <w:rPr>
          <w:noProof/>
        </w:rPr>
        <w:t>“.</w:t>
      </w:r>
    </w:p>
    <w:p>
      <w:pPr>
        <w:rPr>
          <w:noProof/>
          <w:color w:val="000000" w:themeColor="text1"/>
        </w:rPr>
      </w:pPr>
      <w:r>
        <w:rPr>
          <w:noProof/>
        </w:rPr>
        <w:t>Понятието „актове с правно действие“ включва актове с правно действие по силата на нормите на международното право, които уреждат съответния орган. То включва и инструменти, които нямат обвързващ характер съгласно международното право, но са „</w:t>
      </w:r>
      <w:r>
        <w:rPr>
          <w:i/>
          <w:noProof/>
        </w:rPr>
        <w:t>годни да окажат съществено въздействие върху съдържанието на приеманата от законодателя на Съюза нормативна уредба</w:t>
      </w:r>
      <w:r>
        <w:rPr>
          <w:noProof/>
        </w:rPr>
        <w:t>“</w:t>
      </w:r>
      <w:r>
        <w:rPr>
          <w:rStyle w:val="FootnoteReference"/>
          <w:noProof/>
        </w:rPr>
        <w:footnoteReference w:id="1"/>
      </w:r>
      <w:r>
        <w:rPr>
          <w:noProof/>
        </w:rPr>
        <w:t>.</w:t>
      </w:r>
    </w:p>
    <w:p>
      <w:pPr>
        <w:pStyle w:val="ManualHeading3"/>
        <w:rPr>
          <w:noProof/>
        </w:rPr>
      </w:pPr>
      <w:r>
        <w:t>4.1.2.</w:t>
      </w:r>
      <w:r>
        <w:tab/>
      </w:r>
      <w:r>
        <w:rPr>
          <w:noProof/>
        </w:rPr>
        <w:t>Прилагане в конкретния случай</w:t>
      </w:r>
    </w:p>
    <w:p>
      <w:pPr>
        <w:rPr>
          <w:noProof/>
          <w:color w:val="000000" w:themeColor="text1"/>
        </w:rPr>
      </w:pPr>
      <w:r>
        <w:rPr>
          <w:noProof/>
        </w:rPr>
        <w:t>Съвместният комитет и Подкомитетът по търговия и инвестиции са органи, създадени по силата на споразумение, а именно Рамковото споразумение за партньорство и сътрудничество между Европейския съюз и неговите държави членки, от една страна, и Монголия, от друга страна.</w:t>
      </w:r>
    </w:p>
    <w:p>
      <w:pPr>
        <w:rPr>
          <w:noProof/>
        </w:rPr>
      </w:pPr>
      <w:r>
        <w:rPr>
          <w:noProof/>
        </w:rPr>
        <w:t>Актовете, които тези органи са задължени да приемат, представляват актове с правно действие. Това е така, защото съгласно член 56, параграф 2 от Споразумението Съвместният комитет и Подкомитетът по търговия и инвестиции ще приемат решения, които са обвързващи за страните.</w:t>
      </w:r>
    </w:p>
    <w:p>
      <w:pPr>
        <w:rPr>
          <w:noProof/>
          <w:color w:val="000000" w:themeColor="text1"/>
        </w:rPr>
      </w:pPr>
      <w:r>
        <w:rPr>
          <w:noProof/>
        </w:rPr>
        <w:t>Предвидените актове не допълват, нито изменят институционалната рамка на Споразумението.</w:t>
      </w:r>
    </w:p>
    <w:p>
      <w:pPr>
        <w:rPr>
          <w:noProof/>
          <w:color w:val="000000" w:themeColor="text1"/>
        </w:rPr>
      </w:pPr>
      <w:r>
        <w:rPr>
          <w:noProof/>
        </w:rPr>
        <w:t>Поради това процесуалноправното основание за предложеното решение е член 218, параграф 9 от ДФЕС.</w:t>
      </w:r>
    </w:p>
    <w:p>
      <w:pPr>
        <w:pStyle w:val="ManualHeading2"/>
        <w:rPr>
          <w:noProof/>
        </w:rPr>
      </w:pPr>
      <w:r>
        <w:t>4.2.</w:t>
      </w:r>
      <w:r>
        <w:tab/>
      </w:r>
      <w:r>
        <w:rPr>
          <w:noProof/>
        </w:rPr>
        <w:t>Материалноправно основание</w:t>
      </w:r>
    </w:p>
    <w:p>
      <w:pPr>
        <w:pStyle w:val="ManualHeading3"/>
        <w:rPr>
          <w:noProof/>
        </w:rPr>
      </w:pPr>
      <w:r>
        <w:t>4.2.1.</w:t>
      </w:r>
      <w:r>
        <w:tab/>
      </w:r>
      <w:r>
        <w:rPr>
          <w:noProof/>
        </w:rPr>
        <w:t>Принципи</w:t>
      </w:r>
    </w:p>
    <w:p>
      <w:pPr>
        <w:rPr>
          <w:noProof/>
          <w:color w:val="000000" w:themeColor="text1"/>
        </w:rPr>
      </w:pPr>
      <w:r>
        <w:rPr>
          <w:noProof/>
        </w:rPr>
        <w:t>Материалноправното основание за дадено решение, приемано съгласно член 218, параграф 9 от ДФЕС, зависи преди всичко от целта и съдържанието на предвидения акт, във връзка с който се заема позиция от името на Съюза. Ако предвиденият акт преследва две цели или се състои от две части и ако едната от целите или частите може да се определи като основна, докато другата е само акцесорна, решението по член 218, параграф 9 от ДФЕС трябва да се основава на едно-единствено материалноправно основание, а именно на изискваното от основната или преобладаващата цел или част.</w:t>
      </w:r>
    </w:p>
    <w:p>
      <w:pPr>
        <w:rPr>
          <w:noProof/>
          <w:color w:val="000000" w:themeColor="text1"/>
        </w:rPr>
      </w:pPr>
      <w:r>
        <w:rPr>
          <w:noProof/>
        </w:rPr>
        <w:lastRenderedPageBreak/>
        <w:t>По отношение на предвиден акт, който преследва едновременно няколко цели или се състои от няколко части, които са неразривно свързани, без никоя от тях да е акцесорна по отношение на другите, материалноправното основание за решение по член 218, параграф 9 от ДФЕС ще трябва, по изключение, да включва съответните различни правни основания.</w:t>
      </w:r>
    </w:p>
    <w:p>
      <w:pPr>
        <w:pStyle w:val="ManualHeading3"/>
        <w:rPr>
          <w:noProof/>
          <w:color w:val="000000" w:themeColor="text1"/>
        </w:rPr>
      </w:pPr>
      <w:r>
        <w:t>4.2.2.</w:t>
      </w:r>
      <w:r>
        <w:tab/>
      </w:r>
      <w:r>
        <w:rPr>
          <w:noProof/>
        </w:rPr>
        <w:t>Прилагане в конкретния случай</w:t>
      </w:r>
    </w:p>
    <w:p>
      <w:pPr>
        <w:rPr>
          <w:noProof/>
          <w:color w:val="000000" w:themeColor="text1"/>
        </w:rPr>
      </w:pPr>
      <w:r>
        <w:rPr>
          <w:noProof/>
        </w:rPr>
        <w:t>Целта на предвидените актове е да се съдейства за постигането на целите на Споразумението и да се улесни неговото изпълнение. Процедурният правилник на Съвместния комитет е свързан с общото функциониране на орган, създаден въз основа на споразумение. Поради това областта, в която попада решението, трябва да се определи с оглед на Споразумението като цяло</w:t>
      </w:r>
      <w:r>
        <w:rPr>
          <w:rStyle w:val="FootnoteReference"/>
          <w:noProof/>
        </w:rPr>
        <w:footnoteReference w:id="2"/>
      </w:r>
      <w:r>
        <w:rPr>
          <w:noProof/>
        </w:rPr>
        <w:t xml:space="preserve">. </w:t>
      </w:r>
    </w:p>
    <w:p>
      <w:pPr>
        <w:rPr>
          <w:noProof/>
          <w:color w:val="000000" w:themeColor="text1"/>
        </w:rPr>
      </w:pPr>
      <w:r>
        <w:rPr>
          <w:noProof/>
        </w:rPr>
        <w:t>В този конкретен случай преобладаващата цел и част на Споразумението е сътрудничеството с развиваща се държава (член 209 от ДФЕС)</w:t>
      </w:r>
      <w:r>
        <w:rPr>
          <w:rStyle w:val="FootnoteReference"/>
          <w:noProof/>
        </w:rPr>
        <w:footnoteReference w:id="3"/>
      </w:r>
      <w:r>
        <w:rPr>
          <w:noProof/>
        </w:rPr>
        <w:t>. Поради това подходящото правно основание следва да бъде член 209 от ДФЕС.</w:t>
      </w:r>
    </w:p>
    <w:p>
      <w:pPr>
        <w:pStyle w:val="ManualHeading2"/>
        <w:rPr>
          <w:noProof/>
        </w:rPr>
      </w:pPr>
      <w:r>
        <w:t>4.3.</w:t>
      </w:r>
      <w:r>
        <w:tab/>
      </w:r>
      <w:r>
        <w:rPr>
          <w:noProof/>
        </w:rPr>
        <w:t>Заключение</w:t>
      </w:r>
    </w:p>
    <w:p>
      <w:pPr>
        <w:rPr>
          <w:noProof/>
          <w:color w:val="000000" w:themeColor="text1"/>
        </w:rPr>
      </w:pPr>
      <w:r>
        <w:rPr>
          <w:noProof/>
        </w:rPr>
        <w:t>Правното основание за предложеното решение следва да бъде член 209 от ДФЕС във връзка с член 218, параграф 9 от ДФЕС.</w:t>
      </w:r>
    </w:p>
    <w:p>
      <w:pPr>
        <w:pStyle w:val="ManualHeading1"/>
        <w:rPr>
          <w:noProof/>
        </w:rPr>
      </w:pPr>
      <w:r>
        <w:t>5.</w:t>
      </w:r>
      <w:r>
        <w:tab/>
      </w:r>
      <w:r>
        <w:rPr>
          <w:noProof/>
        </w:rPr>
        <w:t>Публикуване на предвидения акт</w:t>
      </w:r>
    </w:p>
    <w:p>
      <w:pPr>
        <w:rPr>
          <w:noProof/>
        </w:rPr>
      </w:pPr>
      <w:r>
        <w:rPr>
          <w:noProof/>
        </w:rPr>
        <w:t xml:space="preserve">Тъй като с акта на Съвместния комитет ще се приеме неговият правилник, е целесъобразно след приемането му той да се публикува в </w:t>
      </w:r>
      <w:r>
        <w:rPr>
          <w:i/>
          <w:noProof/>
        </w:rPr>
        <w:t>Официален вестник на Европейския съюз</w:t>
      </w:r>
      <w:r>
        <w:rPr>
          <w:noProof/>
        </w:rPr>
        <w:t>.</w:t>
      </w:r>
    </w:p>
    <w:p>
      <w:pPr>
        <w:rPr>
          <w:noProof/>
        </w:rPr>
        <w:sectPr>
          <w:footerReference w:type="default" r:id="rId11"/>
          <w:footerReference w:type="first" r:id="rId12"/>
          <w:pgSz w:w="11907" w:h="16839"/>
          <w:pgMar w:top="1134" w:right="1417" w:bottom="1134" w:left="1417" w:header="709" w:footer="709" w:gutter="0"/>
          <w:cols w:space="708"/>
          <w:docGrid w:linePitch="360"/>
        </w:sectPr>
      </w:pPr>
    </w:p>
    <w:p>
      <w:pPr>
        <w:pStyle w:val="Rfrenceinterinstitutionnelle"/>
        <w:rPr>
          <w:noProof/>
        </w:rPr>
      </w:pPr>
      <w:r>
        <w:rPr>
          <w:noProof/>
        </w:rPr>
        <w:lastRenderedPageBreak/>
        <w:t>2019/0220 (NLE)</w:t>
      </w:r>
    </w:p>
    <w:p>
      <w:pPr>
        <w:pStyle w:val="Statut"/>
        <w:rPr>
          <w:noProof/>
        </w:rPr>
      </w:pPr>
      <w:r>
        <w:rPr>
          <w:noProof/>
        </w:rPr>
        <w:t>Предложение за</w:t>
      </w:r>
    </w:p>
    <w:p>
      <w:pPr>
        <w:pStyle w:val="Typedudocument"/>
        <w:rPr>
          <w:noProof/>
        </w:rPr>
      </w:pPr>
      <w:r>
        <w:rPr>
          <w:noProof/>
        </w:rPr>
        <w:t>РЕШЕНИЕ НА СЪВЕТА</w:t>
      </w:r>
    </w:p>
    <w:p>
      <w:pPr>
        <w:pStyle w:val="Titreobjet"/>
        <w:rPr>
          <w:noProof/>
        </w:rPr>
      </w:pPr>
      <w:r>
        <w:rPr>
          <w:noProof/>
        </w:rPr>
        <w:t>относно позицията, която трябва да се заеме от името на Европейския съюз в рамките на Съвместния комитет и Подкомитета по търговия и инвестиции, създадени с Рамковото споразумение за партньорство и сътрудничество между Европейския съюз и неговите държави членки, от една страна, и Монголия, от друга страна, във връзка с приемането на решения относно процедурния правилник на Съвместния комитет и относно процедурния правилник на Подкомитета по търговия и инвестиции</w:t>
      </w:r>
    </w:p>
    <w:p>
      <w:pPr>
        <w:pStyle w:val="Institutionquiagit"/>
        <w:rPr>
          <w:b/>
          <w:noProof/>
        </w:rPr>
      </w:pPr>
      <w:r>
        <w:rPr>
          <w:b/>
          <w:noProof/>
        </w:rPr>
        <w:t>СЪВЕТЪТ НА ЕВРОПЕЙСКИЯ СЪЮЗ,</w:t>
      </w:r>
    </w:p>
    <w:p>
      <w:pPr>
        <w:rPr>
          <w:noProof/>
          <w:color w:val="000000" w:themeColor="text1"/>
        </w:rPr>
      </w:pPr>
      <w:r>
        <w:rPr>
          <w:noProof/>
        </w:rPr>
        <w:t>като взе предвид Договора за функционирането на Европейския съюз, и по-специално член 209 във връзка с член 218, параграф 9 от него,</w:t>
      </w:r>
    </w:p>
    <w:p>
      <w:pPr>
        <w:rPr>
          <w:noProof/>
        </w:rPr>
      </w:pPr>
      <w:r>
        <w:rPr>
          <w:noProof/>
        </w:rPr>
        <w:t>като взе предвид предложението на Европейската комисия,</w:t>
      </w:r>
    </w:p>
    <w:p>
      <w:pPr>
        <w:rPr>
          <w:noProof/>
        </w:rPr>
      </w:pPr>
      <w:r>
        <w:rPr>
          <w:noProof/>
        </w:rPr>
        <w:t>като има предвид, че:</w:t>
      </w:r>
    </w:p>
    <w:p>
      <w:pPr>
        <w:pStyle w:val="ManualConsidrant"/>
        <w:rPr>
          <w:noProof/>
          <w:color w:val="000000" w:themeColor="text1"/>
        </w:rPr>
      </w:pPr>
      <w:r>
        <w:t>(1)</w:t>
      </w:r>
      <w:r>
        <w:tab/>
      </w:r>
      <w:r>
        <w:rPr>
          <w:noProof/>
        </w:rPr>
        <w:t>Рамковото споразумение за партньорство и сътрудничество между Европейския съюз и неговите държави членки, от една страна, и Монголия, от друга страна, (наричано по-нататък „Споразумението“) влезе в сила на 1 ноември 2017 г.</w:t>
      </w:r>
    </w:p>
    <w:p>
      <w:pPr>
        <w:pStyle w:val="ManualConsidrant"/>
        <w:rPr>
          <w:noProof/>
          <w:color w:val="000000" w:themeColor="text1"/>
        </w:rPr>
      </w:pPr>
      <w:r>
        <w:t>(2)</w:t>
      </w:r>
      <w:r>
        <w:tab/>
      </w:r>
      <w:r>
        <w:rPr>
          <w:noProof/>
        </w:rPr>
        <w:t xml:space="preserve">С член 56, параграф 1 от Споразумението се създава Съвместен комитет, който да гарантира нормалното действие и изпълнение на Споразумението. </w:t>
      </w:r>
    </w:p>
    <w:p>
      <w:pPr>
        <w:pStyle w:val="ManualConsidrant"/>
        <w:rPr>
          <w:noProof/>
          <w:color w:val="000000" w:themeColor="text1"/>
        </w:rPr>
      </w:pPr>
      <w:r>
        <w:t>(3)</w:t>
      </w:r>
      <w:r>
        <w:tab/>
      </w:r>
      <w:r>
        <w:rPr>
          <w:noProof/>
        </w:rPr>
        <w:t>В член 56, параграф 6 от Споразумението се предвижда, че Съвместният комитет трябва да приеме свой процедурен правилник, а в член 56, параграф 4 — че той може да създава специализирани работни групи.</w:t>
      </w:r>
    </w:p>
    <w:p>
      <w:pPr>
        <w:pStyle w:val="ManualConsidrant"/>
        <w:rPr>
          <w:noProof/>
          <w:color w:val="000000" w:themeColor="text1"/>
        </w:rPr>
      </w:pPr>
      <w:r>
        <w:t>(4)</w:t>
      </w:r>
      <w:r>
        <w:tab/>
      </w:r>
      <w:r>
        <w:rPr>
          <w:noProof/>
        </w:rPr>
        <w:t>С член 28, параграф 1 от Споразумението се създава Подкомитет за търговия и инвестиции.</w:t>
      </w:r>
    </w:p>
    <w:p>
      <w:pPr>
        <w:pStyle w:val="ManualConsidrant"/>
        <w:rPr>
          <w:noProof/>
        </w:rPr>
      </w:pPr>
      <w:r>
        <w:t>(5)</w:t>
      </w:r>
      <w:r>
        <w:tab/>
      </w:r>
      <w:r>
        <w:rPr>
          <w:noProof/>
        </w:rPr>
        <w:t>В член 28, параграф 3 от Споразумението се предвижда, че Подкомитетът за търговия и инвестиции приема свой процедурен правилник.</w:t>
      </w:r>
    </w:p>
    <w:p>
      <w:pPr>
        <w:pStyle w:val="ManualConsidrant"/>
        <w:rPr>
          <w:noProof/>
          <w:color w:val="000000" w:themeColor="text1"/>
        </w:rPr>
      </w:pPr>
      <w:r>
        <w:t>(6)</w:t>
      </w:r>
      <w:r>
        <w:tab/>
      </w:r>
      <w:r>
        <w:rPr>
          <w:noProof/>
        </w:rPr>
        <w:t>С цел да се гарантира ефективното прилагане на Споразумението, процедурният правилник на Съвместния комитет следва да бъде приет възможно най-скоро.</w:t>
      </w:r>
    </w:p>
    <w:p>
      <w:pPr>
        <w:pStyle w:val="ManualConsidrant"/>
        <w:rPr>
          <w:noProof/>
          <w:color w:val="000000" w:themeColor="text1"/>
        </w:rPr>
      </w:pPr>
      <w:r>
        <w:t>(7)</w:t>
      </w:r>
      <w:r>
        <w:tab/>
      </w:r>
      <w:r>
        <w:rPr>
          <w:noProof/>
        </w:rPr>
        <w:t>Поради това е целесъобразно да се определи позицията, която трябва да се заеме от името на Съюза в рамките на Съвместния комитет и на Подкомитета по търговия и инвестиции. Позицията на Съюза в рамките на Съвместния комитет и на Подкомитета за търговия и инвестиции следва да се основава на приложените проекти на решения на Съвместния комитет и на Подкомитета за търговия и инвестиции,</w:t>
      </w:r>
    </w:p>
    <w:p>
      <w:pPr>
        <w:pStyle w:val="Formuledadoption"/>
        <w:rPr>
          <w:noProof/>
        </w:rPr>
      </w:pPr>
      <w:r>
        <w:rPr>
          <w:noProof/>
        </w:rPr>
        <w:lastRenderedPageBreak/>
        <w:t>ПРИЕ НАСТОЯЩОТО РЕШЕНИЕ:</w:t>
      </w:r>
    </w:p>
    <w:p>
      <w:pPr>
        <w:pStyle w:val="Titrearticle"/>
        <w:rPr>
          <w:noProof/>
        </w:rPr>
      </w:pPr>
      <w:r>
        <w:rPr>
          <w:noProof/>
        </w:rPr>
        <w:t>Член 1</w:t>
      </w:r>
    </w:p>
    <w:p>
      <w:pPr>
        <w:rPr>
          <w:noProof/>
          <w:color w:val="000000" w:themeColor="text1"/>
        </w:rPr>
      </w:pPr>
      <w:r>
        <w:rPr>
          <w:noProof/>
        </w:rPr>
        <w:t>Позицията относно предвиденото приемане на процедурния правилник на Съвместния комитет, която трябва да се заеме от името на Съюза в Съвместния комитет ЕС—Монголия, се основава на проекта за решение на Съвместния комитет, приложен към настоящото решение.</w:t>
      </w:r>
    </w:p>
    <w:p>
      <w:pPr>
        <w:rPr>
          <w:noProof/>
          <w:color w:val="000000" w:themeColor="text1"/>
        </w:rPr>
      </w:pPr>
      <w:r>
        <w:rPr>
          <w:noProof/>
        </w:rPr>
        <w:t>Позицията относно предвиденото приемане на процедурния правилник на Подкомитета по търговия и инвестиции, която трябва да се заеме от името на Съюза в рамките на Подкомитета по търговия и инвестиции ЕС—Монголия, се основава на проекта за решение на Подкомитета по търговия и инвестиции, приложен към настоящото решение.</w:t>
      </w:r>
    </w:p>
    <w:p>
      <w:pPr>
        <w:pStyle w:val="Titrearticle"/>
        <w:rPr>
          <w:noProof/>
        </w:rPr>
      </w:pPr>
      <w:r>
        <w:rPr>
          <w:noProof/>
        </w:rPr>
        <w:t>Член 2</w:t>
      </w:r>
    </w:p>
    <w:p>
      <w:pPr>
        <w:rPr>
          <w:noProof/>
          <w:color w:val="000000" w:themeColor="text1"/>
        </w:rPr>
      </w:pPr>
      <w:r>
        <w:rPr>
          <w:noProof/>
        </w:rPr>
        <w:t>Адресат на настоящото решение е Комисията.</w:t>
      </w:r>
    </w:p>
    <w:p>
      <w:pPr>
        <w:pStyle w:val="Fait"/>
        <w:rPr>
          <w:noProof/>
        </w:rPr>
      </w:pPr>
      <w:r>
        <w:t xml:space="preserve">Съставено в Брюксел на </w:t>
      </w:r>
      <w:r>
        <w:rPr>
          <w:rStyle w:val="Marker"/>
        </w:rPr>
        <w:t>[…]</w:t>
      </w:r>
      <w:r>
        <w:t xml:space="preserve"> година.</w:t>
      </w:r>
    </w:p>
    <w:p>
      <w:pPr>
        <w:pStyle w:val="Institutionquisigne"/>
        <w:rPr>
          <w:noProof/>
        </w:rPr>
      </w:pPr>
      <w:r>
        <w:rPr>
          <w:noProof/>
        </w:rPr>
        <w:tab/>
        <w:t>За Съвета</w:t>
      </w:r>
    </w:p>
    <w:p>
      <w:pPr>
        <w:pStyle w:val="Personnequisigne"/>
        <w:rPr>
          <w:noProof/>
        </w:rPr>
      </w:pPr>
      <w:r>
        <w:rPr>
          <w:noProof/>
        </w:rPr>
        <w:tab/>
        <w:t>Председател</w:t>
      </w:r>
    </w:p>
    <w:sectPr>
      <w:pgSz w:w="11907" w:h="16839"/>
      <w:pgMar w:top="1134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5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id="1">
    <w:p>
      <w:pPr>
        <w:pStyle w:val="FootnoteText"/>
      </w:pPr>
      <w:r>
        <w:rPr>
          <w:rStyle w:val="FootnoteReference"/>
        </w:rPr>
        <w:footnoteRef/>
      </w:r>
      <w:r>
        <w:tab/>
        <w:t xml:space="preserve">Дело C-399/12 Германия/Съвет (OIV), ECLI:EU:C:2014:2258, т. 61—64. </w:t>
      </w:r>
    </w:p>
  </w:footnote>
  <w:footnote w:id="2">
    <w:p>
      <w:pPr>
        <w:pStyle w:val="FootnoteText"/>
      </w:pPr>
      <w:r>
        <w:rPr>
          <w:rStyle w:val="FootnoteReference"/>
        </w:rPr>
        <w:footnoteRef/>
      </w:r>
      <w:r>
        <w:tab/>
        <w:t>Дело C-244/17 Комисия/Съвет (Казахстан), ECLI:EU:C:2018:662, точка 40.</w:t>
      </w:r>
    </w:p>
  </w:footnote>
  <w:footnote w:id="3">
    <w:p>
      <w:pPr>
        <w:pStyle w:val="FootnoteText"/>
      </w:pPr>
      <w:r>
        <w:rPr>
          <w:rStyle w:val="FootnoteReference"/>
        </w:rPr>
        <w:footnoteRef/>
      </w:r>
      <w:r>
        <w:tab/>
        <w:t>За обхвата на политиката на развитие вж. дело C-377/12, Комисия/Съвет (Филипини), т. 36—37.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34A403D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CADCD15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531835C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39F8358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D180991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5C20BEC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1292B85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7540A41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2"/>
  </w:num>
  <w:num w:numId="8">
    <w:abstractNumId w:val="1"/>
  </w:num>
  <w:num w:numId="9">
    <w:abstractNumId w:val="0"/>
  </w:num>
  <w:num w:numId="10">
    <w:abstractNumId w:val="21"/>
    <w:lvlOverride w:ilvl="0">
      <w:startOverride w:val="1"/>
    </w:lvlOverride>
  </w:num>
  <w:num w:numId="11">
    <w:abstractNumId w:val="18"/>
  </w:num>
  <w:num w:numId="12">
    <w:abstractNumId w:val="12"/>
  </w:num>
  <w:num w:numId="13">
    <w:abstractNumId w:val="20"/>
  </w:num>
  <w:num w:numId="14">
    <w:abstractNumId w:val="11"/>
  </w:num>
  <w:num w:numId="15">
    <w:abstractNumId w:val="13"/>
  </w:num>
  <w:num w:numId="16">
    <w:abstractNumId w:val="9"/>
  </w:num>
  <w:num w:numId="17">
    <w:abstractNumId w:val="19"/>
  </w:num>
  <w:num w:numId="18">
    <w:abstractNumId w:val="8"/>
  </w:num>
  <w:num w:numId="19">
    <w:abstractNumId w:val="14"/>
  </w:num>
  <w:num w:numId="20">
    <w:abstractNumId w:val="16"/>
  </w:num>
  <w:num w:numId="21">
    <w:abstractNumId w:val="17"/>
  </w:num>
  <w:num w:numId="22">
    <w:abstractNumId w:val="10"/>
  </w:num>
  <w:num w:numId="23">
    <w:abstractNumId w:val="15"/>
  </w:num>
  <w:num w:numId="24">
    <w:abstractNumId w:val="2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attachedTemplate r:id="rId1"/>
  <w:revisionView w:markup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19-10-14 10:59:37"/>
    <w:docVar w:name="DQCResult_Distribution" w:val="0;1"/>
    <w:docVar w:name="DQCResult_DocumentContent" w:val="0;0"/>
    <w:docVar w:name="DQCResult_DocumentSize" w:val="0;0"/>
    <w:docVar w:name="DQCResult_DocumentVersion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0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CORRIGENDUM" w:val="&lt;UNUSED&gt;"/>
    <w:docVar w:name="LW_COVERPAGE_EXISTS" w:val="True"/>
    <w:docVar w:name="LW_COVERPAGE_GUID" w:val="F00B8EED-7E4C-45F4-885E-9AFE93DF6B4A"/>
    <w:docVar w:name="LW_COVERPAGE_TYPE" w:val="1"/>
    <w:docVar w:name="LW_CROSSREFERENCE" w:val="&lt;UNUSED&gt;"/>
    <w:docVar w:name="LW_DocType" w:val="COM"/>
    <w:docVar w:name="LW_EMISSION" w:val="14.10.2019"/>
    <w:docVar w:name="LW_EMISSION_ISODATE" w:val="2019-10-14"/>
    <w:docVar w:name="LW_EMISSION_LOCATION" w:val="BRX"/>
    <w:docVar w:name="LW_EMISSION_PREFIX" w:val="Брюксел, "/>
    <w:docVar w:name="LW_EMISSION_SUFFIX" w:val="&lt;EMPTY&gt;"/>
    <w:docVar w:name="LW_ID_DOCMODEL" w:val="SJ-043"/>
    <w:docVar w:name="LW_ID_DOCSIGNATURE" w:val="SJ-019"/>
    <w:docVar w:name="LW_ID_DOCSTRUCTURE" w:val="COM/PL/ORG"/>
    <w:docVar w:name="LW_ID_DOCTYPE" w:val="SJ-043"/>
    <w:docVar w:name="LW_ID_EXP.MOTIFS.NEW" w:val="EM_PL2_"/>
    <w:docVar w:name="LW_ID_STATUT" w:val="SJ-019"/>
    <w:docVar w:name="LW_INTERETEEE.CP" w:val="&lt;UNUSED&gt;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PART_NBR" w:val="1"/>
    <w:docVar w:name="LW_PART_NBR_TOTAL" w:val="1"/>
    <w:docVar w:name="LW_REF.II.NEW.CP" w:val="NLE"/>
    <w:docVar w:name="LW_REF.II.NEW.CP_NUMBER" w:val="0220"/>
    <w:docVar w:name="LW_REF.II.NEW.CP_YEAR" w:val="2019"/>
    <w:docVar w:name="LW_REF.INST.NEW" w:val="COM"/>
    <w:docVar w:name="LW_REF.INST.NEW_ADOPTED" w:val="final"/>
    <w:docVar w:name="LW_REF.INST.NEW_TEXT" w:val="(2019) 462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TATUT.CP" w:val="\u1055?\u1088?\u1077?\u1076?\u1083?\u1086?\u1078?\u1077?\u1085?\u1080?\u1077? \u1079?\u1072?"/>
    <w:docVar w:name="LW_SUPERTITRE" w:val="&lt;UNUSED&gt;"/>
    <w:docVar w:name="LW_TITRE.OBJ.CP" w:val="\u1086?\u1090?\u1085?\u1086?\u1089?\u1085?\u1086? \u1087?\u1086?\u1079?\u1080?\u1094?\u1080?\u1103?\u1090?\u1072?, \u1082?\u1086?\u1103?\u1090?\u1086? \u1090?\u1088?\u1103?\u1073?\u1074?\u1072? \u1076?\u1072? \u1089?\u1077? \u1079?\u1072?\u1077?\u1084?\u1077? \u1086?\u1090? \u1080?\u1084?\u1077?\u1090?\u1086? \u1085?\u1072? \u1045?\u1074?\u1088?\u1086?\u1087?\u1077?\u1081?\u1089?\u1082?\u1080?\u1103? \u1089?\u1098?\u1102?\u1079? \u1074? \u1088?\u1072?\u1084?\u1082?\u1080?\u1090?\u1077? \u1085?\u1072? \u1057?\u1098?\u1074?\u1084?\u1077?\u1089?\u1090?\u1085?\u1080?\u1103? \u1082?\u1086?\u1084?\u1080?\u1090?\u1077?\u1090? \u1080? \u1055?\u1086?\u1076?\u1082?\u1086?\u1084?\u1080?\u1090?\u1077?\u1090?\u1072? \u1087?\u1086? \u1090?\u1098?\u1088?\u1075?\u1086?\u1074?\u1080?\u1103? \u1080? \u1080?\u1085?\u1074?\u1077?\u1089?\u1090?\u1080?\u1094?\u1080?\u1080?, \u1089?\u1098?\u1079?\u1076?\u1072?\u1076?\u1077?\u1085?\u1080? \u1089? \u1056?\u1072?\u1084?\u1082?\u1086?\u1074?\u1086?\u1090?\u1086? \u1089?\u1087?\u1086?\u1088?\u1072?\u1079?\u1091?\u1084?\u1077?\u1085?\u1080?\u1077? \u1079?\u1072? \u1087?\u1072?\u1088?\u1090?\u1085?\u1100?\u1086?\u1088?\u1089?\u1090?\u1074?\u1086? \u1080? \u1089?\u1098?\u1090?\u1088?\u1091?\u1076?\u1085?\u1080?\u1095?\u1077?\u1089?\u1090?\u1074?\u1086? \u1084?\u1077?\u1078?\u1076?\u1091? \u1045?\u1074?\u1088?\u1086?\u1087?\u1077?\u1081?\u1089?\u1082?\u1080?\u1103? \u1089?\u1098?\u1102?\u1079? \u1080? \u1085?\u1077?\u1075?\u1086?\u1074?\u1080?\u1090?\u1077? \u1076?\u1098?\u1088?\u1078?\u1072?\u1074?\u1080? \u1095?\u1083?\u1077?\u1085?\u1082?\u1080?, \u1086?\u1090? \u1077?\u1076?\u1085?\u1072? \u1089?\u1090?\u1088?\u1072?\u1085?\u1072?, \u1080? \u1052?\u1086?\u1085?\u1075?\u1086?\u1083?\u1080?\u1103?, \u1086?\u1090? \u1076?\u1088?\u1091?\u1075?\u1072? \u1089?\u1090?\u1088?\u1072?\u1085?\u1072?, \u1074?\u1098?\u1074? \u1074?\u1088?\u1098?\u1079?\u1082?\u1072? \u1089? \u1087?\u1088?\u1080?\u1077?\u1084?\u1072?\u1085?\u1077?\u1090?\u1086? \u1085?\u1072? \u1088?\u1077?\u1096?\u1077?\u1085?\u1080?\u1103? \u1086?\u1090?\u1085?\u1086?\u1089?\u1085?\u1086? \u1087?\u1088?\u1086?\u1094?\u1077?\u1076?\u1091?\u1088?\u1085?\u1080?\u1103? \u1087?\u1088?\u1072?\u1074?\u1080?\u1083?\u1085?\u1080?\u1082? \u1085?\u1072? \u1057?\u1098?\u1074?\u1084?\u1077?\u1089?\u1090?\u1085?\u1080?\u1103? \u1082?\u1086?\u1084?\u1080?\u1090?\u1077?\u1090? \u1080? \u1086?\u1090?\u1085?\u1086?\u1089?\u1085?\u1086? \u1087?\u1088?\u1086?\u1094?\u1077?\u1076?\u1091?\u1088?\u1085?\u1080?\u1103? \u1087?\u1088?\u1072?\u1074?\u1080?\u1083?\u1085?\u1080?\u1082? \u1085?\u1072? \u1055?\u1086?\u1076?\u1082?\u1086?\u1084?\u1080?\u1090?\u1077?\u1090?\u1072? \u1087?\u1086? \u1090?\u1098?\u1088?\u1075?\u1086?\u1074?\u1080?\u1103? \u1080? \u1080?\u1085?\u1074?\u1077?\u1089?\u1090?\u1080?\u1094?\u1080?\u1080?"/>
    <w:docVar w:name="LW_TYPE.DOC.CP" w:val="\u1056?\u1045?\u1064?\u1045?\u1053?\u1048?\u1045? \u1053?\u1040? \u1057?\u1066?\u1042?\u1045?\u1058?\u1040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7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7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7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7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contextualSpacing/>
    </w:pPr>
  </w:style>
  <w:style w:type="character" w:styleId="CommentReference">
    <w:name w:val="annotation reference"/>
    <w:semiHidden/>
    <w:rPr>
      <w:sz w:val="16"/>
      <w:szCs w:val="16"/>
      <w:shd w:val="clear" w:color="auto" w:fill="auto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1"/>
      </w:numPr>
    </w:pPr>
  </w:style>
  <w:style w:type="paragraph" w:customStyle="1" w:styleId="Tiret1">
    <w:name w:val="Tiret 1"/>
    <w:basedOn w:val="Point1"/>
    <w:pPr>
      <w:numPr>
        <w:numId w:val="12"/>
      </w:numPr>
    </w:pPr>
  </w:style>
  <w:style w:type="paragraph" w:customStyle="1" w:styleId="Tiret2">
    <w:name w:val="Tiret 2"/>
    <w:basedOn w:val="Point2"/>
    <w:pPr>
      <w:numPr>
        <w:numId w:val="13"/>
      </w:numPr>
    </w:pPr>
  </w:style>
  <w:style w:type="paragraph" w:customStyle="1" w:styleId="Tiret3">
    <w:name w:val="Tiret 3"/>
    <w:basedOn w:val="Point3"/>
    <w:pPr>
      <w:numPr>
        <w:numId w:val="14"/>
      </w:numPr>
    </w:pPr>
  </w:style>
  <w:style w:type="paragraph" w:customStyle="1" w:styleId="Tiret4">
    <w:name w:val="Tiret 4"/>
    <w:basedOn w:val="Point4"/>
    <w:pPr>
      <w:numPr>
        <w:numId w:val="15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6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6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6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6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8"/>
      </w:numPr>
    </w:pPr>
  </w:style>
  <w:style w:type="paragraph" w:customStyle="1" w:styleId="Point1number">
    <w:name w:val="Point 1 (number)"/>
    <w:basedOn w:val="Normal"/>
    <w:pPr>
      <w:numPr>
        <w:ilvl w:val="2"/>
        <w:numId w:val="18"/>
      </w:numPr>
    </w:pPr>
  </w:style>
  <w:style w:type="paragraph" w:customStyle="1" w:styleId="Point2number">
    <w:name w:val="Point 2 (number)"/>
    <w:basedOn w:val="Normal"/>
    <w:pPr>
      <w:numPr>
        <w:ilvl w:val="4"/>
        <w:numId w:val="18"/>
      </w:numPr>
    </w:pPr>
  </w:style>
  <w:style w:type="paragraph" w:customStyle="1" w:styleId="Point3number">
    <w:name w:val="Point 3 (number)"/>
    <w:basedOn w:val="Normal"/>
    <w:pPr>
      <w:numPr>
        <w:ilvl w:val="6"/>
        <w:numId w:val="18"/>
      </w:numPr>
    </w:pPr>
  </w:style>
  <w:style w:type="paragraph" w:customStyle="1" w:styleId="Point0letter">
    <w:name w:val="Point 0 (letter)"/>
    <w:basedOn w:val="Normal"/>
    <w:pPr>
      <w:numPr>
        <w:ilvl w:val="1"/>
        <w:numId w:val="18"/>
      </w:numPr>
    </w:pPr>
  </w:style>
  <w:style w:type="paragraph" w:customStyle="1" w:styleId="Point1letter">
    <w:name w:val="Point 1 (letter)"/>
    <w:basedOn w:val="Normal"/>
    <w:pPr>
      <w:numPr>
        <w:ilvl w:val="3"/>
        <w:numId w:val="18"/>
      </w:numPr>
    </w:pPr>
  </w:style>
  <w:style w:type="paragraph" w:customStyle="1" w:styleId="Point2letter">
    <w:name w:val="Point 2 (letter)"/>
    <w:basedOn w:val="Normal"/>
    <w:pPr>
      <w:numPr>
        <w:ilvl w:val="5"/>
        <w:numId w:val="18"/>
      </w:numPr>
    </w:pPr>
  </w:style>
  <w:style w:type="paragraph" w:customStyle="1" w:styleId="Point3letter">
    <w:name w:val="Point 3 (letter)"/>
    <w:basedOn w:val="Normal"/>
    <w:pPr>
      <w:numPr>
        <w:ilvl w:val="7"/>
        <w:numId w:val="18"/>
      </w:numPr>
    </w:pPr>
  </w:style>
  <w:style w:type="paragraph" w:customStyle="1" w:styleId="Point4letter">
    <w:name w:val="Point 4 (letter)"/>
    <w:basedOn w:val="Normal"/>
    <w:pPr>
      <w:numPr>
        <w:ilvl w:val="8"/>
        <w:numId w:val="18"/>
      </w:numPr>
    </w:pPr>
  </w:style>
  <w:style w:type="paragraph" w:customStyle="1" w:styleId="Bullet0">
    <w:name w:val="Bullet 0"/>
    <w:basedOn w:val="Normal"/>
    <w:pPr>
      <w:numPr>
        <w:numId w:val="19"/>
      </w:numPr>
    </w:pPr>
  </w:style>
  <w:style w:type="paragraph" w:customStyle="1" w:styleId="Bullet1">
    <w:name w:val="Bullet 1"/>
    <w:basedOn w:val="Normal"/>
    <w:pPr>
      <w:numPr>
        <w:numId w:val="20"/>
      </w:numPr>
    </w:pPr>
  </w:style>
  <w:style w:type="paragraph" w:customStyle="1" w:styleId="Bullet2">
    <w:name w:val="Bullet 2"/>
    <w:basedOn w:val="Normal"/>
    <w:pPr>
      <w:numPr>
        <w:numId w:val="21"/>
      </w:numPr>
    </w:pPr>
  </w:style>
  <w:style w:type="paragraph" w:customStyle="1" w:styleId="Bullet3">
    <w:name w:val="Bullet 3"/>
    <w:basedOn w:val="Normal"/>
    <w:pPr>
      <w:numPr>
        <w:numId w:val="22"/>
      </w:numPr>
    </w:pPr>
  </w:style>
  <w:style w:type="paragraph" w:customStyle="1" w:styleId="Bullet4">
    <w:name w:val="Bullet 4"/>
    <w:basedOn w:val="Normal"/>
    <w:pPr>
      <w:numPr>
        <w:numId w:val="23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4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IntrtEEE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IntrtEEE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7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7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7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7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contextualSpacing/>
    </w:pPr>
  </w:style>
  <w:style w:type="character" w:styleId="CommentReference">
    <w:name w:val="annotation reference"/>
    <w:semiHidden/>
    <w:rPr>
      <w:sz w:val="16"/>
      <w:szCs w:val="16"/>
      <w:shd w:val="clear" w:color="auto" w:fill="auto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1"/>
      </w:numPr>
    </w:pPr>
  </w:style>
  <w:style w:type="paragraph" w:customStyle="1" w:styleId="Tiret1">
    <w:name w:val="Tiret 1"/>
    <w:basedOn w:val="Point1"/>
    <w:pPr>
      <w:numPr>
        <w:numId w:val="12"/>
      </w:numPr>
    </w:pPr>
  </w:style>
  <w:style w:type="paragraph" w:customStyle="1" w:styleId="Tiret2">
    <w:name w:val="Tiret 2"/>
    <w:basedOn w:val="Point2"/>
    <w:pPr>
      <w:numPr>
        <w:numId w:val="13"/>
      </w:numPr>
    </w:pPr>
  </w:style>
  <w:style w:type="paragraph" w:customStyle="1" w:styleId="Tiret3">
    <w:name w:val="Tiret 3"/>
    <w:basedOn w:val="Point3"/>
    <w:pPr>
      <w:numPr>
        <w:numId w:val="14"/>
      </w:numPr>
    </w:pPr>
  </w:style>
  <w:style w:type="paragraph" w:customStyle="1" w:styleId="Tiret4">
    <w:name w:val="Tiret 4"/>
    <w:basedOn w:val="Point4"/>
    <w:pPr>
      <w:numPr>
        <w:numId w:val="15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6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6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6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6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8"/>
      </w:numPr>
    </w:pPr>
  </w:style>
  <w:style w:type="paragraph" w:customStyle="1" w:styleId="Point1number">
    <w:name w:val="Point 1 (number)"/>
    <w:basedOn w:val="Normal"/>
    <w:pPr>
      <w:numPr>
        <w:ilvl w:val="2"/>
        <w:numId w:val="18"/>
      </w:numPr>
    </w:pPr>
  </w:style>
  <w:style w:type="paragraph" w:customStyle="1" w:styleId="Point2number">
    <w:name w:val="Point 2 (number)"/>
    <w:basedOn w:val="Normal"/>
    <w:pPr>
      <w:numPr>
        <w:ilvl w:val="4"/>
        <w:numId w:val="18"/>
      </w:numPr>
    </w:pPr>
  </w:style>
  <w:style w:type="paragraph" w:customStyle="1" w:styleId="Point3number">
    <w:name w:val="Point 3 (number)"/>
    <w:basedOn w:val="Normal"/>
    <w:pPr>
      <w:numPr>
        <w:ilvl w:val="6"/>
        <w:numId w:val="18"/>
      </w:numPr>
    </w:pPr>
  </w:style>
  <w:style w:type="paragraph" w:customStyle="1" w:styleId="Point0letter">
    <w:name w:val="Point 0 (letter)"/>
    <w:basedOn w:val="Normal"/>
    <w:pPr>
      <w:numPr>
        <w:ilvl w:val="1"/>
        <w:numId w:val="18"/>
      </w:numPr>
    </w:pPr>
  </w:style>
  <w:style w:type="paragraph" w:customStyle="1" w:styleId="Point1letter">
    <w:name w:val="Point 1 (letter)"/>
    <w:basedOn w:val="Normal"/>
    <w:pPr>
      <w:numPr>
        <w:ilvl w:val="3"/>
        <w:numId w:val="18"/>
      </w:numPr>
    </w:pPr>
  </w:style>
  <w:style w:type="paragraph" w:customStyle="1" w:styleId="Point2letter">
    <w:name w:val="Point 2 (letter)"/>
    <w:basedOn w:val="Normal"/>
    <w:pPr>
      <w:numPr>
        <w:ilvl w:val="5"/>
        <w:numId w:val="18"/>
      </w:numPr>
    </w:pPr>
  </w:style>
  <w:style w:type="paragraph" w:customStyle="1" w:styleId="Point3letter">
    <w:name w:val="Point 3 (letter)"/>
    <w:basedOn w:val="Normal"/>
    <w:pPr>
      <w:numPr>
        <w:ilvl w:val="7"/>
        <w:numId w:val="18"/>
      </w:numPr>
    </w:pPr>
  </w:style>
  <w:style w:type="paragraph" w:customStyle="1" w:styleId="Point4letter">
    <w:name w:val="Point 4 (letter)"/>
    <w:basedOn w:val="Normal"/>
    <w:pPr>
      <w:numPr>
        <w:ilvl w:val="8"/>
        <w:numId w:val="18"/>
      </w:numPr>
    </w:pPr>
  </w:style>
  <w:style w:type="paragraph" w:customStyle="1" w:styleId="Bullet0">
    <w:name w:val="Bullet 0"/>
    <w:basedOn w:val="Normal"/>
    <w:pPr>
      <w:numPr>
        <w:numId w:val="19"/>
      </w:numPr>
    </w:pPr>
  </w:style>
  <w:style w:type="paragraph" w:customStyle="1" w:styleId="Bullet1">
    <w:name w:val="Bullet 1"/>
    <w:basedOn w:val="Normal"/>
    <w:pPr>
      <w:numPr>
        <w:numId w:val="20"/>
      </w:numPr>
    </w:pPr>
  </w:style>
  <w:style w:type="paragraph" w:customStyle="1" w:styleId="Bullet2">
    <w:name w:val="Bullet 2"/>
    <w:basedOn w:val="Normal"/>
    <w:pPr>
      <w:numPr>
        <w:numId w:val="21"/>
      </w:numPr>
    </w:pPr>
  </w:style>
  <w:style w:type="paragraph" w:customStyle="1" w:styleId="Bullet3">
    <w:name w:val="Bullet 3"/>
    <w:basedOn w:val="Normal"/>
    <w:pPr>
      <w:numPr>
        <w:numId w:val="22"/>
      </w:numPr>
    </w:pPr>
  </w:style>
  <w:style w:type="paragraph" w:customStyle="1" w:styleId="Bullet4">
    <w:name w:val="Bullet 4"/>
    <w:basedOn w:val="Normal"/>
    <w:pPr>
      <w:numPr>
        <w:numId w:val="23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4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IntrtEEE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IntrtEEE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CO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9AE581-4597-4AD7-8ACF-3CE6805CA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COM.dotm</Template>
  <TotalTime>1</TotalTime>
  <Pages>6</Pages>
  <Words>1409</Words>
  <Characters>8094</Characters>
  <Application>Microsoft Office Word</Application>
  <DocSecurity>0</DocSecurity>
  <Lines>161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DIGIT/C6</cp:lastModifiedBy>
  <cp:revision>19</cp:revision>
  <dcterms:created xsi:type="dcterms:W3CDTF">2019-09-20T11:12:00Z</dcterms:created>
  <dcterms:modified xsi:type="dcterms:W3CDTF">2019-10-14T08:59:00Z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COM/PL/ORG</vt:lpwstr>
  </property>
  <property fmtid="{D5CDD505-2E9C-101B-9397-08002B2CF9AE}" pid="3" name="Version">
    <vt:lpwstr>6.0.1.0</vt:lpwstr>
  </property>
  <property fmtid="{D5CDD505-2E9C-101B-9397-08002B2CF9AE}" pid="4" name="Last edited using">
    <vt:lpwstr>LW 7.0, Build 20190717</vt:lpwstr>
  </property>
  <property fmtid="{D5CDD505-2E9C-101B-9397-08002B2CF9AE}" pid="5" name="Created using">
    <vt:lpwstr>LW 6.0, Build 20171009</vt:lpwstr>
  </property>
  <property fmtid="{D5CDD505-2E9C-101B-9397-08002B2CF9AE}" pid="6" name="Part">
    <vt:lpwstr>1</vt:lpwstr>
  </property>
  <property fmtid="{D5CDD505-2E9C-101B-9397-08002B2CF9AE}" pid="7" name="Total parts">
    <vt:lpwstr>1</vt:lpwstr>
  </property>
  <property fmtid="{D5CDD505-2E9C-101B-9397-08002B2CF9AE}" pid="8" name="Level of sensitivity">
    <vt:lpwstr>Standard treatment</vt:lpwstr>
  </property>
  <property fmtid="{D5CDD505-2E9C-101B-9397-08002B2CF9AE}" pid="9" name="LWTemplateID">
    <vt:lpwstr>SJ-043</vt:lpwstr>
  </property>
  <property fmtid="{D5CDD505-2E9C-101B-9397-08002B2CF9AE}" pid="10" name="DQCStatus">
    <vt:lpwstr>Green (DQC version 03)</vt:lpwstr>
  </property>
</Properties>
</file>