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3F" w:rsidRDefault="00F47CDD" w:rsidP="00F47CD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609155B-A08F-428A-BAC0-6C3E588E4E51" style="width:450.75pt;height:406.5pt">
            <v:imagedata r:id="rId11" o:title=""/>
          </v:shape>
        </w:pict>
      </w:r>
    </w:p>
    <w:bookmarkEnd w:id="0"/>
    <w:p w:rsidR="00D9323F" w:rsidRDefault="00D9323F">
      <w:pPr>
        <w:widowControl w:val="0"/>
        <w:spacing w:line="240" w:lineRule="auto"/>
        <w:rPr>
          <w:rFonts w:ascii="Times New Roman" w:hAnsi="Times New Roman"/>
          <w:noProof/>
          <w:lang w:eastAsia="en-GB"/>
        </w:rPr>
        <w:sectPr w:rsidR="00D9323F" w:rsidSect="00F47CDD">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2"/>
          <w:cols w:space="720"/>
          <w:docGrid w:linePitch="360"/>
        </w:sectPr>
      </w:pPr>
    </w:p>
    <w:p w:rsidR="00D9323F" w:rsidRDefault="00F47CDD">
      <w:pPr>
        <w:widowControl w:val="0"/>
        <w:spacing w:after="0" w:line="360" w:lineRule="auto"/>
        <w:jc w:val="center"/>
        <w:rPr>
          <w:rFonts w:ascii="Times New Roman Bold" w:hAnsi="Times New Roman Bold"/>
          <w:b/>
          <w:caps/>
          <w:noProof/>
          <w:sz w:val="24"/>
          <w:szCs w:val="24"/>
          <w:lang w:eastAsia="en-GB"/>
        </w:rPr>
      </w:pPr>
      <w:bookmarkStart w:id="1" w:name="_GoBack"/>
      <w:bookmarkEnd w:id="1"/>
      <w:r>
        <w:rPr>
          <w:rFonts w:ascii="Times New Roman Bold" w:hAnsi="Times New Roman Bold"/>
          <w:b/>
          <w:caps/>
          <w:noProof/>
          <w:sz w:val="24"/>
          <w:szCs w:val="24"/>
          <w:lang w:eastAsia="en-GB"/>
        </w:rPr>
        <w:lastRenderedPageBreak/>
        <w:t>Table des matières</w:t>
      </w:r>
    </w:p>
    <w:p w:rsidR="00D9323F" w:rsidRDefault="00F47CDD">
      <w:pPr>
        <w:pStyle w:val="TOC1"/>
        <w:rPr>
          <w:rFonts w:asciiTheme="minorHAnsi" w:eastAsiaTheme="minorEastAsia" w:hAnsiTheme="minorHAnsi" w:cstheme="minorBidi"/>
          <w:noProof/>
          <w:lang w:eastAsia="en-GB"/>
        </w:rPr>
      </w:pPr>
      <w:r>
        <w:rPr>
          <w:rFonts w:ascii="Times New Roman" w:hAnsi="Times New Roman"/>
          <w:b/>
          <w:bCs/>
          <w:noProof/>
          <w:kern w:val="32"/>
          <w:sz w:val="24"/>
          <w:szCs w:val="24"/>
          <w:lang w:eastAsia="en-GB"/>
        </w:rPr>
        <w:fldChar w:fldCharType="begin"/>
      </w:r>
      <w:r>
        <w:rPr>
          <w:rFonts w:ascii="Times New Roman" w:hAnsi="Times New Roman"/>
          <w:b/>
          <w:bCs/>
          <w:noProof/>
          <w:kern w:val="32"/>
          <w:sz w:val="24"/>
          <w:szCs w:val="24"/>
          <w:lang w:eastAsia="en-GB"/>
        </w:rPr>
        <w:instrText xml:space="preserve"> TOC \o "1-3" \h \z \u </w:instrText>
      </w:r>
      <w:r>
        <w:rPr>
          <w:rFonts w:ascii="Times New Roman" w:hAnsi="Times New Roman"/>
          <w:b/>
          <w:bCs/>
          <w:noProof/>
          <w:kern w:val="32"/>
          <w:sz w:val="24"/>
          <w:szCs w:val="24"/>
          <w:lang w:eastAsia="en-GB"/>
        </w:rPr>
        <w:fldChar w:fldCharType="separate"/>
      </w:r>
      <w:hyperlink w:anchor="_Toc19019183" w:history="1">
        <w:r>
          <w:rPr>
            <w:rStyle w:val="Hyperlink"/>
            <w:noProof/>
            <w:lang w:val="fr-BE"/>
          </w:rPr>
          <w:t>I.</w:t>
        </w:r>
        <w:r>
          <w:rPr>
            <w:rFonts w:asciiTheme="minorHAnsi" w:eastAsiaTheme="minorEastAsia" w:hAnsiTheme="minorHAnsi" w:cstheme="minorBidi"/>
            <w:noProof/>
            <w:lang w:eastAsia="en-GB"/>
          </w:rPr>
          <w:tab/>
        </w:r>
        <w:r>
          <w:rPr>
            <w:rStyle w:val="Hyperlink"/>
            <w:noProof/>
            <w:lang w:val="fr-BE"/>
          </w:rPr>
          <w:t>ÉVOLUTION DE LA LÉGISLATION ET DES POLITIQUES</w:t>
        </w:r>
        <w:r>
          <w:rPr>
            <w:noProof/>
            <w:webHidden/>
          </w:rPr>
          <w:tab/>
        </w:r>
        <w:r>
          <w:rPr>
            <w:noProof/>
            <w:webHidden/>
          </w:rPr>
          <w:fldChar w:fldCharType="begin"/>
        </w:r>
        <w:r>
          <w:rPr>
            <w:noProof/>
            <w:webHidden/>
          </w:rPr>
          <w:instrText xml:space="preserve"> PAGEREF _Toc19019183 \h </w:instrText>
        </w:r>
        <w:r>
          <w:rPr>
            <w:noProof/>
            <w:webHidden/>
          </w:rPr>
        </w:r>
        <w:r>
          <w:rPr>
            <w:noProof/>
            <w:webHidden/>
          </w:rPr>
          <w:fldChar w:fldCharType="separate"/>
        </w:r>
        <w:r>
          <w:rPr>
            <w:noProof/>
            <w:webHidden/>
          </w:rPr>
          <w:t>3</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184" w:history="1">
        <w:r>
          <w:rPr>
            <w:rStyle w:val="Hyperlink"/>
            <w:rFonts w:ascii="Times New Roman" w:eastAsia="Times New Roman" w:hAnsi="Times New Roman"/>
            <w:b/>
            <w:smallCaps/>
            <w:noProof/>
          </w:rPr>
          <w:t>1.</w:t>
        </w:r>
        <w:r>
          <w:rPr>
            <w:rFonts w:asciiTheme="minorHAnsi" w:eastAsiaTheme="minorEastAsia" w:hAnsiTheme="minorHAnsi" w:cstheme="minorBidi"/>
            <w:noProof/>
            <w:lang w:eastAsia="en-GB"/>
          </w:rPr>
          <w:tab/>
        </w:r>
        <w:r>
          <w:rPr>
            <w:rStyle w:val="Hyperlink"/>
            <w:rFonts w:ascii="Times New Roman" w:hAnsi="Times New Roman"/>
            <w:b/>
            <w:smallCaps/>
            <w:noProof/>
          </w:rPr>
          <w:t>Pratiques anticoncurrentielles et ententes</w:t>
        </w:r>
        <w:r>
          <w:rPr>
            <w:noProof/>
            <w:webHidden/>
          </w:rPr>
          <w:tab/>
        </w:r>
        <w:r>
          <w:rPr>
            <w:noProof/>
            <w:webHidden/>
          </w:rPr>
          <w:fldChar w:fldCharType="begin"/>
        </w:r>
        <w:r>
          <w:rPr>
            <w:noProof/>
            <w:webHidden/>
          </w:rPr>
          <w:instrText xml:space="preserve"> PAGEREF _Toc19019184 \h </w:instrText>
        </w:r>
        <w:r>
          <w:rPr>
            <w:noProof/>
            <w:webHidden/>
          </w:rPr>
        </w:r>
        <w:r>
          <w:rPr>
            <w:noProof/>
            <w:webHidden/>
          </w:rPr>
          <w:fldChar w:fldCharType="separate"/>
        </w:r>
        <w:r>
          <w:rPr>
            <w:noProof/>
            <w:webHidden/>
          </w:rPr>
          <w:t>3</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85" w:history="1">
        <w:r>
          <w:rPr>
            <w:rStyle w:val="Hyperlink"/>
            <w:rFonts w:ascii="Times New Roman" w:hAnsi="Times New Roman"/>
            <w:b/>
            <w:noProof/>
            <w:lang w:val="fr-BE"/>
          </w:rPr>
          <w:t>1.1 Orientations concernant les procédures en matière de pratiques anticoncurrentielles et d’ententes</w:t>
        </w:r>
        <w:r>
          <w:rPr>
            <w:noProof/>
            <w:webHidden/>
          </w:rPr>
          <w:tab/>
        </w:r>
        <w:r>
          <w:rPr>
            <w:noProof/>
            <w:webHidden/>
          </w:rPr>
          <w:fldChar w:fldCharType="begin"/>
        </w:r>
        <w:r>
          <w:rPr>
            <w:noProof/>
            <w:webHidden/>
          </w:rPr>
          <w:instrText xml:space="preserve"> PAGEREF _Toc19019185 \h </w:instrText>
        </w:r>
        <w:r>
          <w:rPr>
            <w:noProof/>
            <w:webHidden/>
          </w:rPr>
        </w:r>
        <w:r>
          <w:rPr>
            <w:noProof/>
            <w:webHidden/>
          </w:rPr>
          <w:fldChar w:fldCharType="separate"/>
        </w:r>
        <w:r>
          <w:rPr>
            <w:noProof/>
            <w:webHidden/>
          </w:rPr>
          <w:t>4</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86" w:history="1">
        <w:r>
          <w:rPr>
            <w:rStyle w:val="Hyperlink"/>
            <w:rFonts w:ascii="Times New Roman" w:hAnsi="Times New Roman"/>
            <w:b/>
            <w:noProof/>
            <w:lang w:val="fr-BE"/>
          </w:rPr>
          <w:t>1.2 Arrêts importants rendus par les juridictions de l’Union européenne</w:t>
        </w:r>
        <w:r>
          <w:rPr>
            <w:noProof/>
            <w:webHidden/>
          </w:rPr>
          <w:tab/>
        </w:r>
        <w:r>
          <w:rPr>
            <w:noProof/>
            <w:webHidden/>
          </w:rPr>
          <w:fldChar w:fldCharType="begin"/>
        </w:r>
        <w:r>
          <w:rPr>
            <w:noProof/>
            <w:webHidden/>
          </w:rPr>
          <w:instrText xml:space="preserve"> PAGEREF _Toc19019186 \h </w:instrText>
        </w:r>
        <w:r>
          <w:rPr>
            <w:noProof/>
            <w:webHidden/>
          </w:rPr>
        </w:r>
        <w:r>
          <w:rPr>
            <w:noProof/>
            <w:webHidden/>
          </w:rPr>
          <w:fldChar w:fldCharType="separate"/>
        </w:r>
        <w:r>
          <w:rPr>
            <w:noProof/>
            <w:webHidden/>
          </w:rPr>
          <w:t>6</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87" w:history="1">
        <w:r>
          <w:rPr>
            <w:rStyle w:val="Hyperlink"/>
            <w:rFonts w:ascii="Times New Roman" w:hAnsi="Times New Roman"/>
            <w:b/>
            <w:noProof/>
            <w:lang w:val="fr-BE"/>
          </w:rPr>
          <w:t>1.3 La répression des ententes demeure une priorité absolue</w:t>
        </w:r>
        <w:r>
          <w:rPr>
            <w:noProof/>
            <w:webHidden/>
          </w:rPr>
          <w:tab/>
        </w:r>
        <w:r>
          <w:rPr>
            <w:noProof/>
            <w:webHidden/>
          </w:rPr>
          <w:fldChar w:fldCharType="begin"/>
        </w:r>
        <w:r>
          <w:rPr>
            <w:noProof/>
            <w:webHidden/>
          </w:rPr>
          <w:instrText xml:space="preserve"> PAGEREF _Toc19019187 \h </w:instrText>
        </w:r>
        <w:r>
          <w:rPr>
            <w:noProof/>
            <w:webHidden/>
          </w:rPr>
        </w:r>
        <w:r>
          <w:rPr>
            <w:noProof/>
            <w:webHidden/>
          </w:rPr>
          <w:fldChar w:fldCharType="separate"/>
        </w:r>
        <w:r>
          <w:rPr>
            <w:noProof/>
            <w:webHidden/>
          </w:rPr>
          <w:t>16</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88" w:history="1">
        <w:r>
          <w:rPr>
            <w:rStyle w:val="Hyperlink"/>
            <w:rFonts w:ascii="Times New Roman" w:hAnsi="Times New Roman"/>
            <w:b/>
            <w:noProof/>
            <w:lang w:val="fr-BE"/>
          </w:rPr>
          <w:t xml:space="preserve">1.4 Poursuite de l’étroite coopération au sein du réseau </w:t>
        </w:r>
        <w:r>
          <w:rPr>
            <w:rStyle w:val="Hyperlink"/>
            <w:rFonts w:ascii="Times New Roman" w:hAnsi="Times New Roman"/>
            <w:b/>
            <w:noProof/>
            <w:lang w:val="fr-BE"/>
          </w:rPr>
          <w:t>européen de la concurrence ainsi qu’avec les juridictions nationales</w:t>
        </w:r>
        <w:r>
          <w:rPr>
            <w:noProof/>
            <w:webHidden/>
          </w:rPr>
          <w:tab/>
        </w:r>
        <w:r>
          <w:rPr>
            <w:noProof/>
            <w:webHidden/>
          </w:rPr>
          <w:fldChar w:fldCharType="begin"/>
        </w:r>
        <w:r>
          <w:rPr>
            <w:noProof/>
            <w:webHidden/>
          </w:rPr>
          <w:instrText xml:space="preserve"> PAGEREF _Toc19019188 \h </w:instrText>
        </w:r>
        <w:r>
          <w:rPr>
            <w:noProof/>
            <w:webHidden/>
          </w:rPr>
        </w:r>
        <w:r>
          <w:rPr>
            <w:noProof/>
            <w:webHidden/>
          </w:rPr>
          <w:fldChar w:fldCharType="separate"/>
        </w:r>
        <w:r>
          <w:rPr>
            <w:noProof/>
            <w:webHidden/>
          </w:rPr>
          <w:t>18</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189" w:history="1">
        <w:r>
          <w:rPr>
            <w:rStyle w:val="Hyperlink"/>
            <w:rFonts w:ascii="Times New Roman" w:eastAsia="Times New Roman" w:hAnsi="Times New Roman"/>
            <w:b/>
            <w:smallCaps/>
            <w:noProof/>
          </w:rPr>
          <w:t>2.</w:t>
        </w:r>
        <w:r>
          <w:rPr>
            <w:rFonts w:asciiTheme="minorHAnsi" w:eastAsiaTheme="minorEastAsia" w:hAnsiTheme="minorHAnsi" w:cstheme="minorBidi"/>
            <w:noProof/>
            <w:lang w:eastAsia="en-GB"/>
          </w:rPr>
          <w:tab/>
        </w:r>
        <w:r>
          <w:rPr>
            <w:rStyle w:val="Hyperlink"/>
            <w:rFonts w:ascii="Times New Roman" w:hAnsi="Times New Roman"/>
            <w:b/>
            <w:smallCaps/>
            <w:noProof/>
          </w:rPr>
          <w:t>Contrôle des concentrations</w:t>
        </w:r>
        <w:r>
          <w:rPr>
            <w:noProof/>
            <w:webHidden/>
          </w:rPr>
          <w:tab/>
        </w:r>
        <w:r>
          <w:rPr>
            <w:noProof/>
            <w:webHidden/>
          </w:rPr>
          <w:fldChar w:fldCharType="begin"/>
        </w:r>
        <w:r>
          <w:rPr>
            <w:noProof/>
            <w:webHidden/>
          </w:rPr>
          <w:instrText xml:space="preserve"> PAGEREF _Toc19019189 \h </w:instrText>
        </w:r>
        <w:r>
          <w:rPr>
            <w:noProof/>
            <w:webHidden/>
          </w:rPr>
        </w:r>
        <w:r>
          <w:rPr>
            <w:noProof/>
            <w:webHidden/>
          </w:rPr>
          <w:fldChar w:fldCharType="separate"/>
        </w:r>
        <w:r>
          <w:rPr>
            <w:noProof/>
            <w:webHidden/>
          </w:rPr>
          <w:t>20</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0" w:history="1">
        <w:r>
          <w:rPr>
            <w:rStyle w:val="Hyperlink"/>
            <w:rFonts w:ascii="Times New Roman" w:hAnsi="Times New Roman"/>
            <w:b/>
            <w:noProof/>
            <w:lang w:val="fr-BE"/>
          </w:rPr>
          <w:t>2.1 Les tendances récentes en matière de mise en œuvre</w:t>
        </w:r>
        <w:r>
          <w:rPr>
            <w:noProof/>
            <w:webHidden/>
          </w:rPr>
          <w:tab/>
        </w:r>
        <w:r>
          <w:rPr>
            <w:noProof/>
            <w:webHidden/>
          </w:rPr>
          <w:fldChar w:fldCharType="begin"/>
        </w:r>
        <w:r>
          <w:rPr>
            <w:noProof/>
            <w:webHidden/>
          </w:rPr>
          <w:instrText xml:space="preserve"> PAGEREF _Toc19019190 \h </w:instrText>
        </w:r>
        <w:r>
          <w:rPr>
            <w:noProof/>
            <w:webHidden/>
          </w:rPr>
        </w:r>
        <w:r>
          <w:rPr>
            <w:noProof/>
            <w:webHidden/>
          </w:rPr>
          <w:fldChar w:fldCharType="separate"/>
        </w:r>
        <w:r>
          <w:rPr>
            <w:noProof/>
            <w:webHidden/>
          </w:rPr>
          <w:t>21</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1" w:history="1">
        <w:r>
          <w:rPr>
            <w:rStyle w:val="Hyperlink"/>
            <w:rFonts w:ascii="Times New Roman" w:hAnsi="Times New Roman"/>
            <w:b/>
            <w:noProof/>
            <w:lang w:val="fr-BE"/>
          </w:rPr>
          <w:t>2.2 L’évaluation en cours du contrôle des concentrations de l’UE</w:t>
        </w:r>
        <w:r>
          <w:rPr>
            <w:noProof/>
            <w:webHidden/>
          </w:rPr>
          <w:tab/>
        </w:r>
        <w:r>
          <w:rPr>
            <w:noProof/>
            <w:webHidden/>
          </w:rPr>
          <w:fldChar w:fldCharType="begin"/>
        </w:r>
        <w:r>
          <w:rPr>
            <w:noProof/>
            <w:webHidden/>
          </w:rPr>
          <w:instrText xml:space="preserve"> PAGEREF _Toc19019191 \h </w:instrText>
        </w:r>
        <w:r>
          <w:rPr>
            <w:noProof/>
            <w:webHidden/>
          </w:rPr>
        </w:r>
        <w:r>
          <w:rPr>
            <w:noProof/>
            <w:webHidden/>
          </w:rPr>
          <w:fldChar w:fldCharType="separate"/>
        </w:r>
        <w:r>
          <w:rPr>
            <w:noProof/>
            <w:webHidden/>
          </w:rPr>
          <w:t>24</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2" w:history="1">
        <w:r>
          <w:rPr>
            <w:rStyle w:val="Hyperlink"/>
            <w:rFonts w:ascii="Times New Roman" w:hAnsi="Times New Roman"/>
            <w:b/>
            <w:noProof/>
            <w:lang w:val="fr-BE"/>
          </w:rPr>
          <w:t>2.3 Arrêts importants rendus par les tribunaux de l’Union européenne dans le domaine du contrôle des concentrations</w:t>
        </w:r>
        <w:r>
          <w:rPr>
            <w:noProof/>
            <w:webHidden/>
          </w:rPr>
          <w:tab/>
        </w:r>
        <w:r>
          <w:rPr>
            <w:noProof/>
            <w:webHidden/>
          </w:rPr>
          <w:fldChar w:fldCharType="begin"/>
        </w:r>
        <w:r>
          <w:rPr>
            <w:noProof/>
            <w:webHidden/>
          </w:rPr>
          <w:instrText xml:space="preserve"> PAGEREF _Toc19019192 \h </w:instrText>
        </w:r>
        <w:r>
          <w:rPr>
            <w:noProof/>
            <w:webHidden/>
          </w:rPr>
        </w:r>
        <w:r>
          <w:rPr>
            <w:noProof/>
            <w:webHidden/>
          </w:rPr>
          <w:fldChar w:fldCharType="separate"/>
        </w:r>
        <w:r>
          <w:rPr>
            <w:noProof/>
            <w:webHidden/>
          </w:rPr>
          <w:t>24</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193" w:history="1">
        <w:r>
          <w:rPr>
            <w:rStyle w:val="Hyperlink"/>
            <w:rFonts w:ascii="Times New Roman" w:eastAsia="Times New Roman" w:hAnsi="Times New Roman"/>
            <w:b/>
            <w:smallCaps/>
            <w:noProof/>
          </w:rPr>
          <w:t>3.</w:t>
        </w:r>
        <w:r>
          <w:rPr>
            <w:rFonts w:asciiTheme="minorHAnsi" w:eastAsiaTheme="minorEastAsia" w:hAnsiTheme="minorHAnsi" w:cstheme="minorBidi"/>
            <w:noProof/>
            <w:lang w:eastAsia="en-GB"/>
          </w:rPr>
          <w:tab/>
        </w:r>
        <w:r>
          <w:rPr>
            <w:rStyle w:val="Hyperlink"/>
            <w:rFonts w:ascii="Times New Roman" w:hAnsi="Times New Roman"/>
            <w:b/>
            <w:smallCaps/>
            <w:noProof/>
          </w:rPr>
          <w:t>Contrôle des aides d’État</w:t>
        </w:r>
        <w:r>
          <w:rPr>
            <w:noProof/>
            <w:webHidden/>
          </w:rPr>
          <w:tab/>
        </w:r>
        <w:r>
          <w:rPr>
            <w:noProof/>
            <w:webHidden/>
          </w:rPr>
          <w:fldChar w:fldCharType="begin"/>
        </w:r>
        <w:r>
          <w:rPr>
            <w:noProof/>
            <w:webHidden/>
          </w:rPr>
          <w:instrText xml:space="preserve"> PAGEREF _Toc19019193 \h </w:instrText>
        </w:r>
        <w:r>
          <w:rPr>
            <w:noProof/>
            <w:webHidden/>
          </w:rPr>
        </w:r>
        <w:r>
          <w:rPr>
            <w:noProof/>
            <w:webHidden/>
          </w:rPr>
          <w:fldChar w:fldCharType="separate"/>
        </w:r>
        <w:r>
          <w:rPr>
            <w:noProof/>
            <w:webHidden/>
          </w:rPr>
          <w:t>26</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4" w:history="1">
        <w:r>
          <w:rPr>
            <w:rStyle w:val="Hyperlink"/>
            <w:rFonts w:ascii="Times New Roman" w:hAnsi="Times New Roman"/>
            <w:b/>
            <w:noProof/>
            <w:lang w:val="fr-BE"/>
          </w:rPr>
          <w:t>3.1 Mise en œuvre de la modernisation des aides d’État</w:t>
        </w:r>
        <w:r>
          <w:rPr>
            <w:noProof/>
            <w:webHidden/>
          </w:rPr>
          <w:tab/>
        </w:r>
        <w:r>
          <w:rPr>
            <w:noProof/>
            <w:webHidden/>
          </w:rPr>
          <w:fldChar w:fldCharType="begin"/>
        </w:r>
        <w:r>
          <w:rPr>
            <w:noProof/>
            <w:webHidden/>
          </w:rPr>
          <w:instrText xml:space="preserve"> PAGEREF _Toc19</w:instrText>
        </w:r>
        <w:r>
          <w:rPr>
            <w:noProof/>
            <w:webHidden/>
          </w:rPr>
          <w:instrText xml:space="preserve">019194 \h </w:instrText>
        </w:r>
        <w:r>
          <w:rPr>
            <w:noProof/>
            <w:webHidden/>
          </w:rPr>
        </w:r>
        <w:r>
          <w:rPr>
            <w:noProof/>
            <w:webHidden/>
          </w:rPr>
          <w:fldChar w:fldCharType="separate"/>
        </w:r>
        <w:r>
          <w:rPr>
            <w:noProof/>
            <w:webHidden/>
          </w:rPr>
          <w:t>26</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5" w:history="1">
        <w:r>
          <w:rPr>
            <w:rStyle w:val="Hyperlink"/>
            <w:rFonts w:ascii="Times New Roman" w:hAnsi="Times New Roman"/>
            <w:b/>
            <w:noProof/>
            <w:lang w:val="fr-BE"/>
          </w:rPr>
          <w:t>3.2 Poursuite de la modernisation du contrôle des aides d’État</w:t>
        </w:r>
        <w:r>
          <w:rPr>
            <w:noProof/>
            <w:webHidden/>
          </w:rPr>
          <w:tab/>
        </w:r>
        <w:r>
          <w:rPr>
            <w:noProof/>
            <w:webHidden/>
          </w:rPr>
          <w:fldChar w:fldCharType="begin"/>
        </w:r>
        <w:r>
          <w:rPr>
            <w:noProof/>
            <w:webHidden/>
          </w:rPr>
          <w:instrText xml:space="preserve"> PAGEREF _Toc19019195 \h </w:instrText>
        </w:r>
        <w:r>
          <w:rPr>
            <w:noProof/>
            <w:webHidden/>
          </w:rPr>
        </w:r>
        <w:r>
          <w:rPr>
            <w:noProof/>
            <w:webHidden/>
          </w:rPr>
          <w:fldChar w:fldCharType="separate"/>
        </w:r>
        <w:r>
          <w:rPr>
            <w:noProof/>
            <w:webHidden/>
          </w:rPr>
          <w:t>37</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6" w:history="1">
        <w:r>
          <w:rPr>
            <w:rStyle w:val="Hyperlink"/>
            <w:rFonts w:ascii="Times New Roman" w:hAnsi="Times New Roman"/>
            <w:b/>
            <w:noProof/>
            <w:lang w:val="fr-BE"/>
          </w:rPr>
          <w:t>3.3 Contrôle, récupération, évaluation et coopération avec les juridictions nationales</w:t>
        </w:r>
        <w:r>
          <w:rPr>
            <w:noProof/>
            <w:webHidden/>
          </w:rPr>
          <w:tab/>
        </w:r>
        <w:r>
          <w:rPr>
            <w:noProof/>
            <w:webHidden/>
          </w:rPr>
          <w:fldChar w:fldCharType="begin"/>
        </w:r>
        <w:r>
          <w:rPr>
            <w:noProof/>
            <w:webHidden/>
          </w:rPr>
          <w:instrText xml:space="preserve"> PAGEREF _Toc19019196 \h </w:instrText>
        </w:r>
        <w:r>
          <w:rPr>
            <w:noProof/>
            <w:webHidden/>
          </w:rPr>
        </w:r>
        <w:r>
          <w:rPr>
            <w:noProof/>
            <w:webHidden/>
          </w:rPr>
          <w:fldChar w:fldCharType="separate"/>
        </w:r>
        <w:r>
          <w:rPr>
            <w:noProof/>
            <w:webHidden/>
          </w:rPr>
          <w:t>40</w:t>
        </w:r>
        <w:r>
          <w:rPr>
            <w:noProof/>
            <w:webHidden/>
          </w:rPr>
          <w:fldChar w:fldCharType="end"/>
        </w:r>
      </w:hyperlink>
    </w:p>
    <w:p w:rsidR="00D9323F" w:rsidRDefault="00F47CDD">
      <w:pPr>
        <w:pStyle w:val="TOC3"/>
        <w:tabs>
          <w:tab w:val="right" w:leader="dot" w:pos="9060"/>
        </w:tabs>
        <w:rPr>
          <w:rFonts w:asciiTheme="minorHAnsi" w:eastAsiaTheme="minorEastAsia" w:hAnsiTheme="minorHAnsi" w:cstheme="minorBidi"/>
          <w:noProof/>
          <w:lang w:eastAsia="en-GB"/>
        </w:rPr>
      </w:pPr>
      <w:hyperlink w:anchor="_Toc19019197" w:history="1">
        <w:r>
          <w:rPr>
            <w:rStyle w:val="Hyperlink"/>
            <w:rFonts w:ascii="Times New Roman" w:hAnsi="Times New Roman"/>
            <w:b/>
            <w:noProof/>
            <w:lang w:val="fr-BE"/>
          </w:rPr>
          <w:t>3.4 Arrêts importants des juridictions de l’Union européenne dans le domaine des aides d’État</w:t>
        </w:r>
        <w:r>
          <w:rPr>
            <w:noProof/>
            <w:webHidden/>
          </w:rPr>
          <w:tab/>
        </w:r>
        <w:r>
          <w:rPr>
            <w:noProof/>
            <w:webHidden/>
          </w:rPr>
          <w:fldChar w:fldCharType="begin"/>
        </w:r>
        <w:r>
          <w:rPr>
            <w:noProof/>
            <w:webHidden/>
          </w:rPr>
          <w:instrText xml:space="preserve"> PAGEREF _Toc19019197 \h </w:instrText>
        </w:r>
        <w:r>
          <w:rPr>
            <w:noProof/>
            <w:webHidden/>
          </w:rPr>
        </w:r>
        <w:r>
          <w:rPr>
            <w:noProof/>
            <w:webHidden/>
          </w:rPr>
          <w:fldChar w:fldCharType="separate"/>
        </w:r>
        <w:r>
          <w:rPr>
            <w:noProof/>
            <w:webHidden/>
          </w:rPr>
          <w:t>42</w:t>
        </w:r>
        <w:r>
          <w:rPr>
            <w:noProof/>
            <w:webHidden/>
          </w:rPr>
          <w:fldChar w:fldCharType="end"/>
        </w:r>
      </w:hyperlink>
    </w:p>
    <w:p w:rsidR="00D9323F" w:rsidRDefault="00F47CDD">
      <w:pPr>
        <w:pStyle w:val="TOC1"/>
        <w:tabs>
          <w:tab w:val="clear" w:pos="440"/>
        </w:tabs>
        <w:rPr>
          <w:rFonts w:asciiTheme="minorHAnsi" w:eastAsiaTheme="minorEastAsia" w:hAnsiTheme="minorHAnsi" w:cstheme="minorBidi"/>
          <w:noProof/>
          <w:lang w:eastAsia="en-GB"/>
        </w:rPr>
      </w:pPr>
      <w:hyperlink w:anchor="_Toc19019198" w:history="1">
        <w:r>
          <w:rPr>
            <w:rStyle w:val="Hyperlink"/>
            <w:rFonts w:ascii="Times New Roman" w:eastAsia="Times New Roman" w:hAnsi="Times New Roman"/>
            <w:b/>
            <w:smallCaps/>
            <w:noProof/>
            <w:lang w:val="fr-BE"/>
          </w:rPr>
          <w:t>4.</w:t>
        </w:r>
        <w:r>
          <w:rPr>
            <w:rStyle w:val="Hyperlink"/>
            <w:rFonts w:ascii="Times New Roman" w:eastAsia="Times New Roman" w:hAnsi="Times New Roman"/>
            <w:b/>
            <w:smallCaps/>
            <w:noProof/>
            <w:lang w:val="fr-BE"/>
          </w:rPr>
          <w:tab/>
        </w:r>
        <w:r>
          <w:rPr>
            <w:rStyle w:val="Hyperlink"/>
            <w:rFonts w:ascii="Times New Roman" w:hAnsi="Times New Roman"/>
            <w:b/>
            <w:smallCaps/>
            <w:noProof/>
            <w:lang w:val="fr-BE"/>
          </w:rPr>
          <w:t>Dév</w:t>
        </w:r>
        <w:r>
          <w:rPr>
            <w:rStyle w:val="Hyperlink"/>
            <w:rFonts w:ascii="Times New Roman" w:hAnsi="Times New Roman"/>
            <w:b/>
            <w:smallCaps/>
            <w:noProof/>
            <w:lang w:val="fr-BE"/>
          </w:rPr>
          <w:t>eloppement de la dimension internationale de la politique de l’UE en matière de concurrence</w:t>
        </w:r>
        <w:r>
          <w:rPr>
            <w:noProof/>
            <w:webHidden/>
          </w:rPr>
          <w:tab/>
        </w:r>
        <w:r>
          <w:rPr>
            <w:noProof/>
            <w:webHidden/>
          </w:rPr>
          <w:fldChar w:fldCharType="begin"/>
        </w:r>
        <w:r>
          <w:rPr>
            <w:noProof/>
            <w:webHidden/>
          </w:rPr>
          <w:instrText xml:space="preserve"> PAGEREF _Toc19019198 \h </w:instrText>
        </w:r>
        <w:r>
          <w:rPr>
            <w:noProof/>
            <w:webHidden/>
          </w:rPr>
        </w:r>
        <w:r>
          <w:rPr>
            <w:noProof/>
            <w:webHidden/>
          </w:rPr>
          <w:fldChar w:fldCharType="separate"/>
        </w:r>
        <w:r>
          <w:rPr>
            <w:noProof/>
            <w:webHidden/>
          </w:rPr>
          <w:t>49</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199" w:history="1">
        <w:r>
          <w:rPr>
            <w:rStyle w:val="Hyperlink"/>
            <w:rFonts w:ascii="Times New Roman" w:eastAsia="Times New Roman" w:hAnsi="Times New Roman"/>
            <w:b/>
            <w:smallCaps/>
            <w:noProof/>
          </w:rPr>
          <w:t>5.</w:t>
        </w:r>
        <w:r>
          <w:rPr>
            <w:rFonts w:asciiTheme="minorHAnsi" w:eastAsiaTheme="minorEastAsia" w:hAnsiTheme="minorHAnsi" w:cstheme="minorBidi"/>
            <w:noProof/>
            <w:lang w:eastAsia="en-GB"/>
          </w:rPr>
          <w:tab/>
        </w:r>
        <w:r>
          <w:rPr>
            <w:rStyle w:val="Hyperlink"/>
            <w:rFonts w:ascii="Times New Roman" w:hAnsi="Times New Roman"/>
            <w:b/>
            <w:smallCaps/>
            <w:noProof/>
          </w:rPr>
          <w:t>Communication externe</w:t>
        </w:r>
        <w:r>
          <w:rPr>
            <w:noProof/>
            <w:webHidden/>
          </w:rPr>
          <w:tab/>
        </w:r>
        <w:r>
          <w:rPr>
            <w:noProof/>
            <w:webHidden/>
          </w:rPr>
          <w:fldChar w:fldCharType="begin"/>
        </w:r>
        <w:r>
          <w:rPr>
            <w:noProof/>
            <w:webHidden/>
          </w:rPr>
          <w:instrText xml:space="preserve"> PAGEREF _Toc</w:instrText>
        </w:r>
        <w:r>
          <w:rPr>
            <w:noProof/>
            <w:webHidden/>
          </w:rPr>
          <w:instrText xml:space="preserve">19019199 \h </w:instrText>
        </w:r>
        <w:r>
          <w:rPr>
            <w:noProof/>
            <w:webHidden/>
          </w:rPr>
        </w:r>
        <w:r>
          <w:rPr>
            <w:noProof/>
            <w:webHidden/>
          </w:rPr>
          <w:fldChar w:fldCharType="separate"/>
        </w:r>
        <w:r>
          <w:rPr>
            <w:noProof/>
            <w:webHidden/>
          </w:rPr>
          <w:t>51</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0" w:history="1">
        <w:r>
          <w:rPr>
            <w:rStyle w:val="Hyperlink"/>
            <w:rFonts w:ascii="Times New Roman" w:eastAsia="Times New Roman" w:hAnsi="Times New Roman"/>
            <w:b/>
            <w:smallCaps/>
            <w:noProof/>
            <w:lang w:val="fr-BE"/>
          </w:rPr>
          <w:t>6.</w:t>
        </w:r>
        <w:r>
          <w:rPr>
            <w:rFonts w:asciiTheme="minorHAnsi" w:eastAsiaTheme="minorEastAsia" w:hAnsiTheme="minorHAnsi" w:cstheme="minorBidi"/>
            <w:noProof/>
            <w:lang w:eastAsia="en-GB"/>
          </w:rPr>
          <w:tab/>
        </w:r>
        <w:r>
          <w:rPr>
            <w:rStyle w:val="Hyperlink"/>
            <w:rFonts w:ascii="Times New Roman" w:hAnsi="Times New Roman"/>
            <w:b/>
            <w:smallCaps/>
            <w:noProof/>
            <w:lang w:val="fr-BE"/>
          </w:rPr>
          <w:t>Le programme en faveur du marché unique</w:t>
        </w:r>
        <w:r>
          <w:rPr>
            <w:noProof/>
            <w:webHidden/>
          </w:rPr>
          <w:tab/>
        </w:r>
        <w:r>
          <w:rPr>
            <w:noProof/>
            <w:webHidden/>
          </w:rPr>
          <w:fldChar w:fldCharType="begin"/>
        </w:r>
        <w:r>
          <w:rPr>
            <w:noProof/>
            <w:webHidden/>
          </w:rPr>
          <w:instrText xml:space="preserve"> PAGEREF _Toc19019200 \h </w:instrText>
        </w:r>
        <w:r>
          <w:rPr>
            <w:noProof/>
            <w:webHidden/>
          </w:rPr>
        </w:r>
        <w:r>
          <w:rPr>
            <w:noProof/>
            <w:webHidden/>
          </w:rPr>
          <w:fldChar w:fldCharType="separate"/>
        </w:r>
        <w:r>
          <w:rPr>
            <w:noProof/>
            <w:webHidden/>
          </w:rPr>
          <w:t>52</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1" w:history="1">
        <w:r>
          <w:rPr>
            <w:rStyle w:val="Hyperlink"/>
            <w:noProof/>
            <w:lang w:val="fr-BE"/>
          </w:rPr>
          <w:t>II. SITUATION PAR SECTEUR</w:t>
        </w:r>
        <w:r>
          <w:rPr>
            <w:noProof/>
            <w:webHidden/>
          </w:rPr>
          <w:tab/>
        </w:r>
        <w:r>
          <w:rPr>
            <w:noProof/>
            <w:webHidden/>
          </w:rPr>
          <w:fldChar w:fldCharType="begin"/>
        </w:r>
        <w:r>
          <w:rPr>
            <w:noProof/>
            <w:webHidden/>
          </w:rPr>
          <w:instrText xml:space="preserve"> PAGEREF _Toc19019201 \h </w:instrText>
        </w:r>
        <w:r>
          <w:rPr>
            <w:noProof/>
            <w:webHidden/>
          </w:rPr>
        </w:r>
        <w:r>
          <w:rPr>
            <w:noProof/>
            <w:webHidden/>
          </w:rPr>
          <w:fldChar w:fldCharType="separate"/>
        </w:r>
        <w:r>
          <w:rPr>
            <w:noProof/>
            <w:webHidden/>
          </w:rPr>
          <w:t>54</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2" w:history="1">
        <w:r>
          <w:rPr>
            <w:rStyle w:val="Hyperlink"/>
            <w:rFonts w:ascii="Times New Roman" w:hAnsi="Times New Roman"/>
            <w:b/>
            <w:smallCaps/>
            <w:noProof/>
            <w:lang w:val="fr-BE"/>
          </w:rPr>
          <w:t>1. Énergie et environnement</w:t>
        </w:r>
        <w:r>
          <w:rPr>
            <w:noProof/>
            <w:webHidden/>
          </w:rPr>
          <w:tab/>
        </w:r>
        <w:r>
          <w:rPr>
            <w:noProof/>
            <w:webHidden/>
          </w:rPr>
          <w:fldChar w:fldCharType="begin"/>
        </w:r>
        <w:r>
          <w:rPr>
            <w:noProof/>
            <w:webHidden/>
          </w:rPr>
          <w:instrText xml:space="preserve"> PAGEREF _Toc19019202 \h </w:instrText>
        </w:r>
        <w:r>
          <w:rPr>
            <w:noProof/>
            <w:webHidden/>
          </w:rPr>
        </w:r>
        <w:r>
          <w:rPr>
            <w:noProof/>
            <w:webHidden/>
          </w:rPr>
          <w:fldChar w:fldCharType="separate"/>
        </w:r>
        <w:r>
          <w:rPr>
            <w:noProof/>
            <w:webHidden/>
          </w:rPr>
          <w:t>54</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3" w:history="1">
        <w:r>
          <w:rPr>
            <w:rStyle w:val="Hyperlink"/>
            <w:rFonts w:ascii="Times New Roman" w:hAnsi="Times New Roman"/>
            <w:b/>
            <w:smallCaps/>
            <w:noProof/>
            <w:lang w:val="fr-BE"/>
          </w:rPr>
          <w:t>2. Technologies de l’information et de la communication et médias</w:t>
        </w:r>
        <w:r>
          <w:rPr>
            <w:noProof/>
            <w:webHidden/>
          </w:rPr>
          <w:tab/>
        </w:r>
        <w:r>
          <w:rPr>
            <w:noProof/>
            <w:webHidden/>
          </w:rPr>
          <w:fldChar w:fldCharType="begin"/>
        </w:r>
        <w:r>
          <w:rPr>
            <w:noProof/>
            <w:webHidden/>
          </w:rPr>
          <w:instrText xml:space="preserve"> PAGEREF _Toc19019203 \h </w:instrText>
        </w:r>
        <w:r>
          <w:rPr>
            <w:noProof/>
            <w:webHidden/>
          </w:rPr>
        </w:r>
        <w:r>
          <w:rPr>
            <w:noProof/>
            <w:webHidden/>
          </w:rPr>
          <w:fldChar w:fldCharType="separate"/>
        </w:r>
        <w:r>
          <w:rPr>
            <w:noProof/>
            <w:webHidden/>
          </w:rPr>
          <w:t>60</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4" w:history="1">
        <w:r>
          <w:rPr>
            <w:rStyle w:val="Hyperlink"/>
            <w:rFonts w:ascii="Times New Roman" w:hAnsi="Times New Roman"/>
            <w:b/>
            <w:smallCaps/>
            <w:noProof/>
            <w:lang w:val="fr-BE"/>
          </w:rPr>
          <w:t>3. Services financiers</w:t>
        </w:r>
        <w:r>
          <w:rPr>
            <w:noProof/>
            <w:webHidden/>
          </w:rPr>
          <w:tab/>
        </w:r>
        <w:r>
          <w:rPr>
            <w:noProof/>
            <w:webHidden/>
          </w:rPr>
          <w:fldChar w:fldCharType="begin"/>
        </w:r>
        <w:r>
          <w:rPr>
            <w:noProof/>
            <w:webHidden/>
          </w:rPr>
          <w:instrText xml:space="preserve"> PAGEREF _Toc19019204 \h </w:instrText>
        </w:r>
        <w:r>
          <w:rPr>
            <w:noProof/>
            <w:webHidden/>
          </w:rPr>
        </w:r>
        <w:r>
          <w:rPr>
            <w:noProof/>
            <w:webHidden/>
          </w:rPr>
          <w:fldChar w:fldCharType="separate"/>
        </w:r>
        <w:r>
          <w:rPr>
            <w:noProof/>
            <w:webHidden/>
          </w:rPr>
          <w:t>75</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5" w:history="1">
        <w:r>
          <w:rPr>
            <w:rStyle w:val="Hyperlink"/>
            <w:rFonts w:ascii="Times New Roman" w:hAnsi="Times New Roman"/>
            <w:b/>
            <w:smallCaps/>
            <w:noProof/>
            <w:lang w:val="fr-BE"/>
          </w:rPr>
          <w:t>4. Fiscalité et aides d’État</w:t>
        </w:r>
        <w:r>
          <w:rPr>
            <w:noProof/>
            <w:webHidden/>
          </w:rPr>
          <w:tab/>
        </w:r>
        <w:r>
          <w:rPr>
            <w:noProof/>
            <w:webHidden/>
          </w:rPr>
          <w:fldChar w:fldCharType="begin"/>
        </w:r>
        <w:r>
          <w:rPr>
            <w:noProof/>
            <w:webHidden/>
          </w:rPr>
          <w:instrText xml:space="preserve"> PAGEREF _Toc19019205 \h </w:instrText>
        </w:r>
        <w:r>
          <w:rPr>
            <w:noProof/>
            <w:webHidden/>
          </w:rPr>
        </w:r>
        <w:r>
          <w:rPr>
            <w:noProof/>
            <w:webHidden/>
          </w:rPr>
          <w:fldChar w:fldCharType="separate"/>
        </w:r>
        <w:r>
          <w:rPr>
            <w:noProof/>
            <w:webHidden/>
          </w:rPr>
          <w:t>79</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6" w:history="1">
        <w:r>
          <w:rPr>
            <w:rStyle w:val="Hyperlink"/>
            <w:rFonts w:ascii="Times New Roman" w:hAnsi="Times New Roman"/>
            <w:b/>
            <w:smallCaps/>
            <w:noProof/>
            <w:lang w:val="fr-BE"/>
          </w:rPr>
          <w:t>5. Industries de base et industrie manufacturière</w:t>
        </w:r>
        <w:r>
          <w:rPr>
            <w:noProof/>
            <w:webHidden/>
          </w:rPr>
          <w:tab/>
        </w:r>
        <w:r>
          <w:rPr>
            <w:noProof/>
            <w:webHidden/>
          </w:rPr>
          <w:fldChar w:fldCharType="begin"/>
        </w:r>
        <w:r>
          <w:rPr>
            <w:noProof/>
            <w:webHidden/>
          </w:rPr>
          <w:instrText xml:space="preserve"> PAGEREF _Toc19019206 \h </w:instrText>
        </w:r>
        <w:r>
          <w:rPr>
            <w:noProof/>
            <w:webHidden/>
          </w:rPr>
        </w:r>
        <w:r>
          <w:rPr>
            <w:noProof/>
            <w:webHidden/>
          </w:rPr>
          <w:fldChar w:fldCharType="separate"/>
        </w:r>
        <w:r>
          <w:rPr>
            <w:noProof/>
            <w:webHidden/>
          </w:rPr>
          <w:t>84</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7" w:history="1">
        <w:r>
          <w:rPr>
            <w:rStyle w:val="Hyperlink"/>
            <w:rFonts w:ascii="Times New Roman" w:hAnsi="Times New Roman"/>
            <w:b/>
            <w:smallCaps/>
            <w:noProof/>
            <w:lang w:val="fr-BE"/>
          </w:rPr>
          <w:t>6. Industrie agroalimentaire</w:t>
        </w:r>
        <w:r>
          <w:rPr>
            <w:noProof/>
            <w:webHidden/>
          </w:rPr>
          <w:tab/>
        </w:r>
        <w:r>
          <w:rPr>
            <w:noProof/>
            <w:webHidden/>
          </w:rPr>
          <w:fldChar w:fldCharType="begin"/>
        </w:r>
        <w:r>
          <w:rPr>
            <w:noProof/>
            <w:webHidden/>
          </w:rPr>
          <w:instrText xml:space="preserve"> PAGEREF _Toc19019207 \h </w:instrText>
        </w:r>
        <w:r>
          <w:rPr>
            <w:noProof/>
            <w:webHidden/>
          </w:rPr>
        </w:r>
        <w:r>
          <w:rPr>
            <w:noProof/>
            <w:webHidden/>
          </w:rPr>
          <w:fldChar w:fldCharType="separate"/>
        </w:r>
        <w:r>
          <w:rPr>
            <w:noProof/>
            <w:webHidden/>
          </w:rPr>
          <w:t>87</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8" w:history="1">
        <w:r>
          <w:rPr>
            <w:rStyle w:val="Hyperlink"/>
            <w:rFonts w:ascii="Times New Roman" w:hAnsi="Times New Roman"/>
            <w:b/>
            <w:smallCaps/>
            <w:noProof/>
            <w:lang w:val="fr-BE"/>
          </w:rPr>
          <w:t>7. S</w:t>
        </w:r>
        <w:r>
          <w:rPr>
            <w:rStyle w:val="Hyperlink"/>
            <w:rFonts w:ascii="Times New Roman" w:hAnsi="Times New Roman"/>
            <w:b/>
            <w:smallCaps/>
            <w:noProof/>
            <w:lang w:val="fr-BE"/>
          </w:rPr>
          <w:t>ecteur pharmaceutique et services de santé</w:t>
        </w:r>
        <w:r>
          <w:rPr>
            <w:noProof/>
            <w:webHidden/>
          </w:rPr>
          <w:tab/>
        </w:r>
        <w:r>
          <w:rPr>
            <w:noProof/>
            <w:webHidden/>
          </w:rPr>
          <w:fldChar w:fldCharType="begin"/>
        </w:r>
        <w:r>
          <w:rPr>
            <w:noProof/>
            <w:webHidden/>
          </w:rPr>
          <w:instrText xml:space="preserve"> PAGEREF _Toc19019208 \h </w:instrText>
        </w:r>
        <w:r>
          <w:rPr>
            <w:noProof/>
            <w:webHidden/>
          </w:rPr>
        </w:r>
        <w:r>
          <w:rPr>
            <w:noProof/>
            <w:webHidden/>
          </w:rPr>
          <w:fldChar w:fldCharType="separate"/>
        </w:r>
        <w:r>
          <w:rPr>
            <w:noProof/>
            <w:webHidden/>
          </w:rPr>
          <w:t>92</w:t>
        </w:r>
        <w:r>
          <w:rPr>
            <w:noProof/>
            <w:webHidden/>
          </w:rPr>
          <w:fldChar w:fldCharType="end"/>
        </w:r>
      </w:hyperlink>
    </w:p>
    <w:p w:rsidR="00D9323F" w:rsidRDefault="00F47CDD">
      <w:pPr>
        <w:pStyle w:val="TOC1"/>
        <w:rPr>
          <w:rFonts w:asciiTheme="minorHAnsi" w:eastAsiaTheme="minorEastAsia" w:hAnsiTheme="minorHAnsi" w:cstheme="minorBidi"/>
          <w:noProof/>
          <w:lang w:eastAsia="en-GB"/>
        </w:rPr>
      </w:pPr>
      <w:hyperlink w:anchor="_Toc19019209" w:history="1">
        <w:r>
          <w:rPr>
            <w:rStyle w:val="Hyperlink"/>
            <w:rFonts w:ascii="Times New Roman" w:hAnsi="Times New Roman"/>
            <w:b/>
            <w:smallCaps/>
            <w:noProof/>
            <w:lang w:val="fr-BE"/>
          </w:rPr>
          <w:t>8. Transports et services postaux</w:t>
        </w:r>
        <w:r>
          <w:rPr>
            <w:noProof/>
            <w:webHidden/>
          </w:rPr>
          <w:tab/>
        </w:r>
        <w:r>
          <w:rPr>
            <w:noProof/>
            <w:webHidden/>
          </w:rPr>
          <w:fldChar w:fldCharType="begin"/>
        </w:r>
        <w:r>
          <w:rPr>
            <w:noProof/>
            <w:webHidden/>
          </w:rPr>
          <w:instrText xml:space="preserve"> PAGEREF _Toc19019209 \h </w:instrText>
        </w:r>
        <w:r>
          <w:rPr>
            <w:noProof/>
            <w:webHidden/>
          </w:rPr>
        </w:r>
        <w:r>
          <w:rPr>
            <w:noProof/>
            <w:webHidden/>
          </w:rPr>
          <w:fldChar w:fldCharType="separate"/>
        </w:r>
        <w:r>
          <w:rPr>
            <w:noProof/>
            <w:webHidden/>
          </w:rPr>
          <w:t>94</w:t>
        </w:r>
        <w:r>
          <w:rPr>
            <w:noProof/>
            <w:webHidden/>
          </w:rPr>
          <w:fldChar w:fldCharType="end"/>
        </w:r>
      </w:hyperlink>
    </w:p>
    <w:p w:rsidR="00D9323F" w:rsidRDefault="00F47CDD">
      <w:pPr>
        <w:pStyle w:val="ManualHeading1"/>
        <w:rPr>
          <w:rFonts w:asciiTheme="minorHAnsi" w:eastAsiaTheme="minorEastAsia" w:hAnsiTheme="minorHAnsi" w:cstheme="minorBidi"/>
          <w:noProof/>
          <w:lang w:val="fr-BE"/>
        </w:rPr>
      </w:pPr>
      <w:r>
        <w:rPr>
          <w:bCs/>
          <w:noProof/>
          <w:kern w:val="32"/>
          <w:lang w:eastAsia="en-GB"/>
        </w:rPr>
        <w:fldChar w:fldCharType="end"/>
      </w:r>
      <w:r>
        <w:rPr>
          <w:bCs/>
          <w:noProof/>
          <w:kern w:val="32"/>
          <w:lang w:val="fr-BE" w:eastAsia="en-GB"/>
        </w:rPr>
        <w:br w:type="page"/>
      </w:r>
      <w:bookmarkStart w:id="2" w:name="_Toc436752814"/>
      <w:bookmarkStart w:id="3" w:name="_Toc436816397"/>
      <w:bookmarkStart w:id="4" w:name="_Toc436752815"/>
      <w:bookmarkStart w:id="5" w:name="_Toc436816398"/>
      <w:bookmarkStart w:id="6" w:name="_Toc478566424"/>
      <w:bookmarkStart w:id="7" w:name="_Toc19019183"/>
      <w:bookmarkEnd w:id="2"/>
      <w:bookmarkEnd w:id="3"/>
      <w:bookmarkEnd w:id="4"/>
      <w:bookmarkEnd w:id="5"/>
      <w:r>
        <w:rPr>
          <w:noProof/>
          <w:lang w:val="fr-BE"/>
        </w:rPr>
        <w:t>I.</w:t>
      </w:r>
      <w:r>
        <w:rPr>
          <w:noProof/>
          <w:lang w:val="fr-BE"/>
        </w:rPr>
        <w:tab/>
        <w:t>ÉVOLUTION DE LA LÉGISLATION ET DES POLITIQUES</w:t>
      </w:r>
      <w:bookmarkEnd w:id="6"/>
      <w:bookmarkEnd w:id="7"/>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lang w:val="fr-BE"/>
        </w:rPr>
        <w:t>Une politique de concurrence qui responsabilise les citoyens et les entreprises au bénéfice de tous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Fort de plus d’un demi-milliard de consommateurs et de 24,5 millions d’entreprises, le marché intérieur constitue l’une des plus belles réussites de l’UE et son principal atout. La politique de concurrence de l’UE va de pair avec le développement d’un marc</w:t>
      </w:r>
      <w:r>
        <w:rPr>
          <w:rFonts w:ascii="Times New Roman" w:hAnsi="Times New Roman"/>
          <w:noProof/>
          <w:sz w:val="24"/>
          <w:lang w:val="fr-BE"/>
        </w:rPr>
        <w:t>hé intérieur approfondi et plus équitable. L’application des règles de concurrence de l’UE permet de faire en sorte que les marchés fonctionnent mieux dans l'intérêt des consommateurs, qu’il s’agisse des ménages ou des entreprises, et de la société dans so</w:t>
      </w:r>
      <w:r>
        <w:rPr>
          <w:rFonts w:ascii="Times New Roman" w:hAnsi="Times New Roman"/>
          <w:noProof/>
          <w:sz w:val="24"/>
          <w:lang w:val="fr-BE"/>
        </w:rPr>
        <w:t>n ensemble. L’existence de marchés concurrentiels joue un rôle essentiel afin de soutenir les efforts de la Commission pour parvenir à une UE forte et prospère. En outre, la politique de concurrence de l’UE vise à promouvoir une culture de la concurrence t</w:t>
      </w:r>
      <w:r>
        <w:rPr>
          <w:rFonts w:ascii="Times New Roman" w:hAnsi="Times New Roman"/>
          <w:noProof/>
          <w:sz w:val="24"/>
          <w:lang w:val="fr-BE"/>
        </w:rPr>
        <w:t xml:space="preserve">ant au sein de l’UE, par exemple en encourageant une réglementation favorable à la concurrence, qu’à l’échelle mondiale.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mesures prises par la DG Concurrence dans le domaine de la politique de concurrence en 2018 ont ciblé un large éventail de secteur</w:t>
      </w:r>
      <w:r>
        <w:rPr>
          <w:rFonts w:ascii="Times New Roman" w:hAnsi="Times New Roman"/>
          <w:noProof/>
          <w:sz w:val="24"/>
          <w:lang w:val="fr-BE"/>
        </w:rPr>
        <w:t>s de l’économie de l’UE, favorisant des marchés ouverts et efficients de sorte que les entreprises et les citoyens puissent obtenir une juste part des avantages de la croissance économique. De plus, la politique de concurrence de l’UE a continué à soutenir</w:t>
      </w:r>
      <w:r>
        <w:rPr>
          <w:rFonts w:ascii="Times New Roman" w:hAnsi="Times New Roman"/>
          <w:noProof/>
          <w:sz w:val="24"/>
          <w:lang w:val="fr-BE"/>
        </w:rPr>
        <w:t xml:space="preserve"> les grandes priorités politiques de la Commission, en particulier un marché intérieur approfondi et plus équitable, le marché unique numérique, l'union de l’énergie, la lutte contre la fraude fiscale, ainsi que l’action pour le climat, énoncées dans les o</w:t>
      </w:r>
      <w:r>
        <w:rPr>
          <w:rFonts w:ascii="Times New Roman" w:hAnsi="Times New Roman"/>
          <w:noProof/>
          <w:sz w:val="24"/>
          <w:lang w:val="fr-BE"/>
        </w:rPr>
        <w:t xml:space="preserve">rientations politiques du président de la Commission et dans le programme de travail de la Commission pour 2018.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présent document de travail des services de la Commission se compose de deux parties, l’une présentant les principales évolutions de la po</w:t>
      </w:r>
      <w:r>
        <w:rPr>
          <w:rFonts w:ascii="Times New Roman" w:hAnsi="Times New Roman"/>
          <w:noProof/>
          <w:sz w:val="24"/>
          <w:lang w:val="fr-BE"/>
        </w:rPr>
        <w:t>litique et de la législation en 2018 en ce qui concerne les trois instruments de concurrence (pratiques anticoncurrentielles et ententes, concentrations et aides d’État) et l’autre décrivant des actions spécifiques dans la partie consacrée à la situation p</w:t>
      </w:r>
      <w:r>
        <w:rPr>
          <w:rFonts w:ascii="Times New Roman" w:hAnsi="Times New Roman"/>
          <w:noProof/>
          <w:sz w:val="24"/>
          <w:lang w:val="fr-BE"/>
        </w:rPr>
        <w:t>ar secteur.</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9323F">
        <w:trPr>
          <w:trHeight w:val="540"/>
        </w:trPr>
        <w:tc>
          <w:tcPr>
            <w:tcW w:w="9120" w:type="dxa"/>
            <w:tcBorders>
              <w:bottom w:val="single" w:sz="4" w:space="0" w:color="auto"/>
            </w:tcBorders>
          </w:tcPr>
          <w:p w:rsidR="00D9323F" w:rsidRDefault="00F47CDD">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8" w:name="_Toc478566425"/>
            <w:bookmarkStart w:id="9" w:name="_Toc19019184"/>
            <w:r>
              <w:rPr>
                <w:rFonts w:ascii="Times New Roman" w:hAnsi="Times New Roman"/>
                <w:b/>
                <w:smallCaps/>
                <w:noProof/>
                <w:sz w:val="24"/>
              </w:rPr>
              <w:t>Pratiques anticoncurrentielles et ententes</w:t>
            </w:r>
            <w:bookmarkEnd w:id="8"/>
            <w:bookmarkEnd w:id="9"/>
          </w:p>
        </w:tc>
      </w:tr>
    </w:tbl>
    <w:p w:rsidR="00D9323F" w:rsidRDefault="00D9323F">
      <w:pPr>
        <w:widowControl w:val="0"/>
        <w:autoSpaceDE w:val="0"/>
        <w:autoSpaceDN w:val="0"/>
        <w:adjustRightInd w:val="0"/>
        <w:spacing w:line="240" w:lineRule="auto"/>
        <w:rPr>
          <w:rFonts w:ascii="Times New Roman" w:hAnsi="Times New Roman"/>
          <w:b/>
          <w:bCs/>
          <w:noProof/>
          <w:sz w:val="24"/>
          <w:szCs w:val="24"/>
        </w:rPr>
      </w:pPr>
      <w:bookmarkStart w:id="10" w:name="_Toc436754130"/>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 xml:space="preserve">Articles 101, 102 et 106 du TFUE </w:t>
      </w:r>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color w:val="000000"/>
          <w:sz w:val="20"/>
          <w:szCs w:val="20"/>
          <w:lang w:val="fr-BE"/>
        </w:rPr>
      </w:pPr>
      <w:r>
        <w:rPr>
          <w:rFonts w:ascii="Times New Roman" w:hAnsi="Times New Roman"/>
          <w:noProof/>
          <w:sz w:val="20"/>
          <w:lang w:val="fr-BE"/>
        </w:rPr>
        <w:t xml:space="preserve">En vertu de l’article 101 du TFUE, les accords anticoncurrentiels sont incompatibles avec le marché intérieur et interdits. </w:t>
      </w:r>
      <w:r>
        <w:rPr>
          <w:rFonts w:ascii="Times New Roman" w:hAnsi="Times New Roman"/>
          <w:noProof/>
          <w:color w:val="000000"/>
          <w:sz w:val="20"/>
          <w:lang w:val="fr-BE"/>
        </w:rPr>
        <w:t>L’article 101 du TFUE interdit les accords par lesquels des entreprises coordonnent leurs agissements au lieu de se concurrencer en toute indépendance et qui ont pour objet ou pour effet de fausser la concurrence. Cependant, même si un accord horizontal ou</w:t>
      </w:r>
      <w:r>
        <w:rPr>
          <w:rFonts w:ascii="Times New Roman" w:hAnsi="Times New Roman"/>
          <w:noProof/>
          <w:color w:val="000000"/>
          <w:sz w:val="20"/>
          <w:lang w:val="fr-BE"/>
        </w:rPr>
        <w:t xml:space="preserve"> vertical peut être considéré comme restrictif, il pourra être autorisé en vertu de l’article 101, paragraphe 3, du TFUE s’il a finalement pour effet de stimuler la concurrence (du fait, par exemple, de la promotion du progrès technique ou d’une améliorati</w:t>
      </w:r>
      <w:r>
        <w:rPr>
          <w:rFonts w:ascii="Times New Roman" w:hAnsi="Times New Roman"/>
          <w:noProof/>
          <w:color w:val="000000"/>
          <w:sz w:val="20"/>
          <w:lang w:val="fr-BE"/>
        </w:rPr>
        <w:t xml:space="preserve">on de la distribution). </w:t>
      </w:r>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lang w:val="fr-BE"/>
        </w:rPr>
      </w:pPr>
      <w:r>
        <w:rPr>
          <w:rFonts w:ascii="Times New Roman" w:hAnsi="Times New Roman"/>
          <w:noProof/>
          <w:sz w:val="20"/>
          <w:lang w:val="fr-BE"/>
        </w:rPr>
        <w:t>L’article 102 du TFUE interdit les abus de position dominante. En soi, il n’est pas illégal, pour une entreprise, de détenir ou d’acquérir une position dominante. Les entreprises en position dominante peuvent, comme toutes les autr</w:t>
      </w:r>
      <w:r>
        <w:rPr>
          <w:rFonts w:ascii="Times New Roman" w:hAnsi="Times New Roman"/>
          <w:noProof/>
          <w:sz w:val="20"/>
          <w:lang w:val="fr-BE"/>
        </w:rPr>
        <w:t>es entreprises présentes sur le marché, livrer concurrence en fonction de leurs mérites. Cependant, l’article 102 du TFUE interdit les comportements abusifs d’entreprises en position dominante qui, par exemple, imposent de façon directe ou indirecte des pr</w:t>
      </w:r>
      <w:r>
        <w:rPr>
          <w:rFonts w:ascii="Times New Roman" w:hAnsi="Times New Roman"/>
          <w:noProof/>
          <w:sz w:val="20"/>
          <w:lang w:val="fr-BE"/>
        </w:rPr>
        <w:t xml:space="preserve">ix d’achat ou de vente ou d’autres conditions de transaction non équitables. </w:t>
      </w:r>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lang w:val="fr-BE"/>
        </w:rPr>
      </w:pPr>
      <w:r>
        <w:rPr>
          <w:rFonts w:ascii="Times New Roman" w:hAnsi="Times New Roman"/>
          <w:noProof/>
          <w:sz w:val="20"/>
          <w:lang w:val="fr-BE"/>
        </w:rPr>
        <w:t>Enfin, l’article 106 du TFUE interdit aux États membres d’édicter ou de maintenir des mesures contraires aux règles des traités en ce qui concerne les entreprises publiques et le</w:t>
      </w:r>
      <w:r>
        <w:rPr>
          <w:rFonts w:ascii="Times New Roman" w:hAnsi="Times New Roman"/>
          <w:noProof/>
          <w:sz w:val="20"/>
          <w:lang w:val="fr-BE"/>
        </w:rPr>
        <w:t>s entreprises auxquelles ils accordent des droits spéciaux ou exclusifs.</w:t>
      </w:r>
    </w:p>
    <w:p w:rsidR="00D9323F" w:rsidRDefault="00F47CDD">
      <w:pPr>
        <w:keepNext/>
        <w:widowControl w:val="0"/>
        <w:spacing w:line="240" w:lineRule="auto"/>
        <w:rPr>
          <w:rFonts w:ascii="Times New Roman" w:eastAsia="ヒラギノ角ゴ Pro W3" w:hAnsi="Times New Roman"/>
          <w:b/>
          <w:noProof/>
          <w:color w:val="000000"/>
          <w:sz w:val="24"/>
          <w:szCs w:val="24"/>
          <w:lang w:val="fr-BE"/>
        </w:rPr>
      </w:pPr>
      <w:bookmarkStart w:id="11" w:name="_Toc478566426"/>
      <w:r>
        <w:rPr>
          <w:rFonts w:ascii="Times New Roman" w:hAnsi="Times New Roman"/>
          <w:b/>
          <w:noProof/>
          <w:color w:val="000000"/>
          <w:sz w:val="24"/>
          <w:lang w:val="fr-BE"/>
        </w:rPr>
        <w:t>Décisions en matière de pratiques anticoncurrentielles et d’ententes sur la période 2010-2018</w:t>
      </w:r>
    </w:p>
    <w:p w:rsidR="00D9323F" w:rsidRDefault="00F47CDD">
      <w:pPr>
        <w:spacing w:after="0" w:line="240" w:lineRule="auto"/>
        <w:rPr>
          <w:rFonts w:ascii="Times New Roman" w:eastAsia="Times New Roman" w:hAnsi="Times New Roman"/>
          <w:b/>
          <w:bCs/>
          <w:noProof/>
          <w:sz w:val="24"/>
          <w:szCs w:val="24"/>
        </w:rPr>
      </w:pPr>
      <w:r>
        <w:rPr>
          <w:noProof/>
          <w:lang w:eastAsia="en-GB"/>
        </w:rPr>
        <w:drawing>
          <wp:inline distT="0" distB="0" distL="0" distR="0">
            <wp:extent cx="5759450" cy="331332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3313320"/>
                    </a:xfrm>
                    <a:prstGeom prst="rect">
                      <a:avLst/>
                    </a:prstGeom>
                    <a:noFill/>
                    <a:ln>
                      <a:noFill/>
                    </a:ln>
                  </pic:spPr>
                </pic:pic>
              </a:graphicData>
            </a:graphic>
          </wp:inline>
        </w:drawing>
      </w:r>
    </w:p>
    <w:p w:rsidR="00D9323F" w:rsidRDefault="00F47CDD">
      <w:pPr>
        <w:widowControl w:val="0"/>
        <w:spacing w:line="240" w:lineRule="auto"/>
        <w:ind w:left="360"/>
        <w:outlineLvl w:val="2"/>
        <w:rPr>
          <w:rFonts w:ascii="Times New Roman" w:eastAsia="Times New Roman" w:hAnsi="Times New Roman"/>
          <w:b/>
          <w:bCs/>
          <w:noProof/>
          <w:sz w:val="24"/>
          <w:szCs w:val="24"/>
          <w:lang w:val="fr-BE"/>
        </w:rPr>
      </w:pPr>
      <w:bookmarkStart w:id="12" w:name="_Toc19019185"/>
      <w:r>
        <w:rPr>
          <w:rFonts w:ascii="Times New Roman" w:hAnsi="Times New Roman"/>
          <w:b/>
          <w:noProof/>
          <w:sz w:val="24"/>
          <w:lang w:val="fr-BE"/>
        </w:rPr>
        <w:t>1.1 Orientations concernant les procédures en matière de pratiques anticoncurrentielles</w:t>
      </w:r>
      <w:r>
        <w:rPr>
          <w:rFonts w:ascii="Times New Roman" w:hAnsi="Times New Roman"/>
          <w:b/>
          <w:noProof/>
          <w:sz w:val="24"/>
          <w:lang w:val="fr-BE"/>
        </w:rPr>
        <w:t xml:space="preserve"> et d’ententes</w:t>
      </w:r>
      <w:bookmarkEnd w:id="10"/>
      <w:bookmarkEnd w:id="11"/>
      <w:bookmarkEnd w:id="12"/>
    </w:p>
    <w:p w:rsidR="00D9323F" w:rsidRDefault="00F47CDD">
      <w:pPr>
        <w:spacing w:after="12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En 2018, la Commission a poursuivi l’intégration des procédures dans les affaires de concurrence afin d’améliorer le caractère opportun et l’efficacité des règles de concurrence de l’UE. </w:t>
      </w:r>
    </w:p>
    <w:p w:rsidR="00D9323F" w:rsidRDefault="00F47CDD">
      <w:pPr>
        <w:spacing w:after="12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S'appuyant sur le cadre ayant déjà fait ses preuves </w:t>
      </w:r>
      <w:r>
        <w:rPr>
          <w:rFonts w:ascii="Times New Roman" w:eastAsiaTheme="minorHAnsi" w:hAnsi="Times New Roman"/>
          <w:noProof/>
          <w:sz w:val="24"/>
          <w:lang w:val="fr-BE"/>
        </w:rPr>
        <w:t>qui permet de récompenser la coopération des entreprises faisant l'objet d’enquêtes dans le domaine des ententes</w:t>
      </w:r>
      <w:r>
        <w:rPr>
          <w:rFonts w:ascii="Times New Roman" w:eastAsiaTheme="minorHAnsi" w:hAnsi="Times New Roman"/>
          <w:noProof/>
          <w:sz w:val="24"/>
          <w:vertAlign w:val="superscript"/>
        </w:rPr>
        <w:footnoteReference w:id="1"/>
      </w:r>
      <w:r>
        <w:rPr>
          <w:rFonts w:ascii="Times New Roman" w:eastAsiaTheme="minorHAnsi" w:hAnsi="Times New Roman"/>
          <w:noProof/>
          <w:sz w:val="24"/>
          <w:lang w:val="fr-BE"/>
        </w:rPr>
        <w:t xml:space="preserve"> et qui a été utilisé pour la première fois en 2016 dans une affaire ne concernant pas une entente</w:t>
      </w:r>
      <w:r>
        <w:rPr>
          <w:rFonts w:ascii="Times New Roman" w:eastAsiaTheme="minorHAnsi" w:hAnsi="Times New Roman"/>
          <w:noProof/>
          <w:sz w:val="24"/>
          <w:vertAlign w:val="superscript"/>
        </w:rPr>
        <w:footnoteReference w:id="2"/>
      </w:r>
      <w:r>
        <w:rPr>
          <w:rFonts w:ascii="Times New Roman" w:eastAsiaTheme="minorHAnsi" w:hAnsi="Times New Roman"/>
          <w:noProof/>
          <w:sz w:val="24"/>
          <w:lang w:val="fr-BE"/>
        </w:rPr>
        <w:t>, la Commission a engagé des poursuites dans</w:t>
      </w:r>
      <w:r>
        <w:rPr>
          <w:rFonts w:ascii="Times New Roman" w:eastAsiaTheme="minorHAnsi" w:hAnsi="Times New Roman"/>
          <w:noProof/>
          <w:sz w:val="24"/>
          <w:lang w:val="fr-BE"/>
        </w:rPr>
        <w:t xml:space="preserve"> cinq affaires concernant des pratiques anticoncurrentielles en recourant à la coopération en échange d’amendes réduites</w:t>
      </w:r>
      <w:r>
        <w:rPr>
          <w:rFonts w:ascii="Times New Roman" w:eastAsiaTheme="minorHAnsi" w:hAnsi="Times New Roman"/>
          <w:noProof/>
          <w:sz w:val="24"/>
          <w:vertAlign w:val="superscript"/>
        </w:rPr>
        <w:footnoteReference w:id="3"/>
      </w:r>
      <w:r>
        <w:rPr>
          <w:rFonts w:ascii="Times New Roman" w:eastAsiaTheme="minorHAnsi" w:hAnsi="Times New Roman"/>
          <w:noProof/>
          <w:sz w:val="24"/>
          <w:lang w:val="fr-BE"/>
        </w:rPr>
        <w:t xml:space="preserve">. Dans ces affaires, les entreprises visées ont reconnu avoir enfreint les règles de concurrence avant que la Commission ne publie une </w:t>
      </w:r>
      <w:r>
        <w:rPr>
          <w:rFonts w:ascii="Times New Roman" w:eastAsiaTheme="minorHAnsi" w:hAnsi="Times New Roman"/>
          <w:noProof/>
          <w:sz w:val="24"/>
          <w:lang w:val="fr-BE"/>
        </w:rPr>
        <w:t>communication des griefs. Les cinq entreprises ont fourni des éléments de preuve qui ont ajouté une valeur significative à l’enquête et sont venus compléter ceux déjà contenus dans le dossier de la Commission au moment où les déclarations spontanées étaien</w:t>
      </w:r>
      <w:r>
        <w:rPr>
          <w:rFonts w:ascii="Times New Roman" w:eastAsiaTheme="minorHAnsi" w:hAnsi="Times New Roman"/>
          <w:noProof/>
          <w:sz w:val="24"/>
          <w:lang w:val="fr-BE"/>
        </w:rPr>
        <w:t xml:space="preserve">t présentées. Par ailleurs, dans l’une des affaires – </w:t>
      </w:r>
      <w:r>
        <w:rPr>
          <w:rFonts w:ascii="Times New Roman" w:eastAsiaTheme="minorHAnsi" w:hAnsi="Times New Roman"/>
          <w:i/>
          <w:noProof/>
          <w:sz w:val="24"/>
          <w:lang w:val="fr-BE"/>
        </w:rPr>
        <w:t>Guess</w:t>
      </w:r>
      <w:r>
        <w:rPr>
          <w:rFonts w:ascii="Times New Roman" w:eastAsiaTheme="minorHAnsi" w:hAnsi="Times New Roman"/>
          <w:noProof/>
          <w:sz w:val="24"/>
          <w:lang w:val="fr-BE"/>
        </w:rPr>
        <w:t>, – la société faisant l’objet de l’enquête a révélé une infraction aux règles de concurrence de l’UE dont la Commission n’avait pas encore connaissance. En outre, toutes les entreprises ont renonc</w:t>
      </w:r>
      <w:r>
        <w:rPr>
          <w:rFonts w:ascii="Times New Roman" w:eastAsiaTheme="minorHAnsi" w:hAnsi="Times New Roman"/>
          <w:noProof/>
          <w:sz w:val="24"/>
          <w:lang w:val="fr-BE"/>
        </w:rPr>
        <w:t>é à certains droits procéduraux, ce qui a permis de réaliser des gains d’efficience administrative. Les réductions individuelles accordées, comprises entre 40 % et 50 %, reflétaient la chronologie de la coopération (tant en termes de reconnaissance de la r</w:t>
      </w:r>
      <w:r>
        <w:rPr>
          <w:rFonts w:ascii="Times New Roman" w:eastAsiaTheme="minorHAnsi" w:hAnsi="Times New Roman"/>
          <w:noProof/>
          <w:sz w:val="24"/>
          <w:lang w:val="fr-BE"/>
        </w:rPr>
        <w:t>esponsabilité que d’éléments de preuve) ainsi que la mesure dans laquelle les éléments de preuve ont renforcé la position de la Commission. Le 17 décembre 2018, la DG Concurrence a publié une fiche d’information définissant le cadre régissant la coopératio</w:t>
      </w:r>
      <w:r>
        <w:rPr>
          <w:rFonts w:ascii="Times New Roman" w:eastAsiaTheme="minorHAnsi" w:hAnsi="Times New Roman"/>
          <w:noProof/>
          <w:sz w:val="24"/>
          <w:lang w:val="fr-BE"/>
        </w:rPr>
        <w:t>n dans les concernant des pratiques anticoncurrentielles</w:t>
      </w:r>
      <w:r>
        <w:rPr>
          <w:rFonts w:ascii="Times New Roman" w:eastAsiaTheme="minorHAnsi" w:hAnsi="Times New Roman"/>
          <w:noProof/>
          <w:sz w:val="24"/>
          <w:vertAlign w:val="superscript"/>
        </w:rPr>
        <w:footnoteReference w:id="4"/>
      </w:r>
      <w:r>
        <w:rPr>
          <w:rFonts w:ascii="Times New Roman" w:eastAsiaTheme="minorHAnsi" w:hAnsi="Times New Roman"/>
          <w:noProof/>
          <w:sz w:val="24"/>
          <w:lang w:val="fr-BE"/>
        </w:rPr>
        <w:t>.</w:t>
      </w:r>
    </w:p>
    <w:p w:rsidR="00D9323F" w:rsidRDefault="00F47CDD">
      <w:pPr>
        <w:spacing w:after="12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Le 12 décembre 2018, la DG Concurrence a publié des orientations actualisées sur les demandes de confidentialité dans l’accès aux dossiers et le recours à des cercles de confidentialité volontaires</w:t>
      </w:r>
      <w:r>
        <w:rPr>
          <w:rFonts w:ascii="Times New Roman" w:eastAsiaTheme="minorHAnsi" w:hAnsi="Times New Roman"/>
          <w:noProof/>
          <w:sz w:val="24"/>
          <w:vertAlign w:val="superscript"/>
        </w:rPr>
        <w:footnoteReference w:id="5"/>
      </w:r>
      <w:r>
        <w:rPr>
          <w:rFonts w:ascii="Times New Roman" w:eastAsiaTheme="minorHAnsi" w:hAnsi="Times New Roman"/>
          <w:noProof/>
          <w:sz w:val="24"/>
          <w:lang w:val="fr-BE"/>
        </w:rPr>
        <w:t>. Ces orientations expliquent comment les entreprises participant à des enquêtes en matière de pratiques anticoncurrentielles doivent désigner les secrets d’affaires et autres informations confidentielles dans les documents soumis à la Commission. En outr</w:t>
      </w:r>
      <w:r>
        <w:rPr>
          <w:rFonts w:ascii="Times New Roman" w:eastAsiaTheme="minorHAnsi" w:hAnsi="Times New Roman"/>
          <w:noProof/>
          <w:sz w:val="24"/>
          <w:lang w:val="fr-BE"/>
        </w:rPr>
        <w:t>e, elles expliquent comment établir des versions non confidentielles des documents. Elles présentent également les avantages et le fonctionnement de la procédure d’accès au dossier dans le cadre du cercle de confidentialité dans des enquêtes en cours sur d</w:t>
      </w:r>
      <w:r>
        <w:rPr>
          <w:rFonts w:ascii="Times New Roman" w:eastAsiaTheme="minorHAnsi" w:hAnsi="Times New Roman"/>
          <w:noProof/>
          <w:sz w:val="24"/>
          <w:lang w:val="fr-BE"/>
        </w:rPr>
        <w:t>es pratiques anticoncurrentielles. Grâce au cercle de confidentialité, les documents figurant dans le dossier de la Commission sont rendus accessibles au(x) destinataire(s) d’une communication des griefs de manière restreinte. Comme dans le cas d’une salle</w:t>
      </w:r>
      <w:r>
        <w:rPr>
          <w:rFonts w:ascii="Times New Roman" w:eastAsiaTheme="minorHAnsi" w:hAnsi="Times New Roman"/>
          <w:noProof/>
          <w:sz w:val="24"/>
          <w:lang w:val="fr-BE"/>
        </w:rPr>
        <w:t xml:space="preserve"> des données, le nombre de personnes ayant accès aux informations et autorisées à les utiliser est limité au nombre strictement nécessaire à l'exercice des droits de la défense. Les orientations comprennent un modèle d’accord de non-divulgation entre le(s)</w:t>
      </w:r>
      <w:r>
        <w:rPr>
          <w:rFonts w:ascii="Times New Roman" w:eastAsiaTheme="minorHAnsi" w:hAnsi="Times New Roman"/>
          <w:noProof/>
          <w:sz w:val="24"/>
          <w:lang w:val="fr-BE"/>
        </w:rPr>
        <w:t xml:space="preserve"> destinataire(s) d’une communication des griefs et les fournisseurs des informations. </w:t>
      </w:r>
    </w:p>
    <w:p w:rsidR="00D9323F" w:rsidRDefault="00F47CDD">
      <w:pPr>
        <w:spacing w:after="12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En 2018, la Commission a lancé un processus de réflexion sur la façon dont la politique de la concurrence peut servir au mieux les consommateurs européens dans un monde </w:t>
      </w:r>
      <w:r>
        <w:rPr>
          <w:rFonts w:ascii="Times New Roman" w:eastAsiaTheme="minorHAnsi" w:hAnsi="Times New Roman"/>
          <w:noProof/>
          <w:sz w:val="24"/>
          <w:lang w:val="fr-BE"/>
        </w:rPr>
        <w:t>en mutation rapide. Pour ce faire, elle a nommé les professeurs Heike Schweitzer et Jacques Crémer et le professeur assistant Yves-Alexandre de Montjoye conseillers spéciaux sur les futurs enjeux de la numérisation pour la politique de la concurrence</w:t>
      </w:r>
      <w:r>
        <w:rPr>
          <w:rFonts w:ascii="Times New Roman" w:eastAsiaTheme="minorHAnsi" w:hAnsi="Times New Roman"/>
          <w:noProof/>
          <w:sz w:val="24"/>
          <w:vertAlign w:val="superscript"/>
        </w:rPr>
        <w:footnoteReference w:id="6"/>
      </w:r>
      <w:r>
        <w:rPr>
          <w:rFonts w:ascii="Times New Roman" w:eastAsiaTheme="minorHAnsi" w:hAnsi="Times New Roman"/>
          <w:noProof/>
          <w:sz w:val="24"/>
          <w:lang w:val="fr-BE"/>
        </w:rPr>
        <w:t xml:space="preserve">. Le </w:t>
      </w:r>
      <w:r>
        <w:rPr>
          <w:rFonts w:ascii="Times New Roman" w:eastAsiaTheme="minorHAnsi" w:hAnsi="Times New Roman"/>
          <w:noProof/>
          <w:sz w:val="24"/>
          <w:lang w:val="fr-BE"/>
        </w:rPr>
        <w:t>rapport des conseillers spéciaux intitulé «Competition Policy for the Digital Era» a été publié le 4 avril 2019</w:t>
      </w:r>
      <w:r>
        <w:rPr>
          <w:rStyle w:val="FootnoteReference"/>
          <w:rFonts w:ascii="Times New Roman" w:eastAsiaTheme="minorHAnsi" w:hAnsi="Times New Roman"/>
          <w:noProof/>
          <w:sz w:val="24"/>
        </w:rPr>
        <w:footnoteReference w:id="7"/>
      </w:r>
      <w:r>
        <w:rPr>
          <w:rFonts w:ascii="Times New Roman" w:eastAsiaTheme="minorHAnsi" w:hAnsi="Times New Roman"/>
          <w:noProof/>
          <w:sz w:val="24"/>
          <w:lang w:val="fr-BE"/>
        </w:rPr>
        <w:t>. Dans ce rapport, les conseillers spéciaux i) identifient ce qu’ils considèrent être les principales caractéristiques des marchés numériques, i</w:t>
      </w:r>
      <w:r>
        <w:rPr>
          <w:rFonts w:ascii="Times New Roman" w:eastAsiaTheme="minorHAnsi" w:hAnsi="Times New Roman"/>
          <w:noProof/>
          <w:sz w:val="24"/>
          <w:lang w:val="fr-BE"/>
        </w:rPr>
        <w:t>i) donnent leur avis sur les objectifs du droit de la concurrence de l’Union à l’ère du numérique et iii) examinent l’application des règles de la concurrence aux plateformes numériques et aux données, ainsi que le rôle que joue le contrôle des concentrati</w:t>
      </w:r>
      <w:r>
        <w:rPr>
          <w:rFonts w:ascii="Times New Roman" w:eastAsiaTheme="minorHAnsi" w:hAnsi="Times New Roman"/>
          <w:noProof/>
          <w:sz w:val="24"/>
          <w:lang w:val="fr-BE"/>
        </w:rPr>
        <w:t xml:space="preserve">ons pour préserver la concurrence et l’innovation.  </w:t>
      </w:r>
    </w:p>
    <w:p w:rsidR="00D9323F" w:rsidRDefault="00F47CDD">
      <w:pPr>
        <w:spacing w:after="120" w:line="240" w:lineRule="auto"/>
        <w:jc w:val="both"/>
        <w:rPr>
          <w:rFonts w:ascii="Times New Roman" w:eastAsiaTheme="minorHAnsi" w:hAnsi="Times New Roman" w:cstheme="minorBidi"/>
          <w:noProof/>
          <w:sz w:val="24"/>
          <w:szCs w:val="24"/>
          <w:lang w:val="fr-BE"/>
        </w:rPr>
      </w:pPr>
      <w:r>
        <w:rPr>
          <w:rFonts w:ascii="Times New Roman" w:eastAsiaTheme="minorHAnsi" w:hAnsi="Times New Roman" w:cstheme="minorBidi"/>
          <w:noProof/>
          <w:sz w:val="24"/>
          <w:lang w:val="fr-BE"/>
        </w:rPr>
        <w:t>Le 11 octobre 2018, le directeur général de la DG Concurrence, Johannes Leitenberger, a prononcé un discours dans lequel il a abordé les défis auxquels sont actuellement confrontées la politique de la co</w:t>
      </w:r>
      <w:r>
        <w:rPr>
          <w:rFonts w:ascii="Times New Roman" w:eastAsiaTheme="minorHAnsi" w:hAnsi="Times New Roman" w:cstheme="minorBidi"/>
          <w:noProof/>
          <w:sz w:val="24"/>
          <w:lang w:val="fr-BE"/>
        </w:rPr>
        <w:t>ncurrence et son application, notamment les plateformes numériques, les algorithmes et la pertinence des données</w:t>
      </w:r>
      <w:r>
        <w:rPr>
          <w:rFonts w:ascii="Times New Roman" w:eastAsiaTheme="minorHAnsi" w:hAnsi="Times New Roman" w:cstheme="minorBidi"/>
          <w:noProof/>
          <w:sz w:val="24"/>
          <w:vertAlign w:val="superscript"/>
        </w:rPr>
        <w:footnoteReference w:id="8"/>
      </w:r>
      <w:r>
        <w:rPr>
          <w:rFonts w:ascii="Times New Roman" w:eastAsiaTheme="minorHAnsi" w:hAnsi="Times New Roman" w:cstheme="minorBidi"/>
          <w:noProof/>
          <w:sz w:val="24"/>
          <w:lang w:val="fr-BE"/>
        </w:rPr>
        <w:t xml:space="preserve">. </w:t>
      </w:r>
    </w:p>
    <w:p w:rsidR="00D9323F" w:rsidRDefault="00F47CDD">
      <w:pPr>
        <w:spacing w:after="240" w:line="240" w:lineRule="auto"/>
        <w:jc w:val="both"/>
        <w:rPr>
          <w:rFonts w:ascii="Times New Roman" w:eastAsiaTheme="minorHAnsi" w:hAnsi="Times New Roman"/>
          <w:iCs/>
          <w:noProof/>
          <w:sz w:val="24"/>
          <w:szCs w:val="24"/>
          <w:lang w:val="fr-BE"/>
        </w:rPr>
      </w:pPr>
      <w:r>
        <w:rPr>
          <w:rFonts w:ascii="Times New Roman" w:eastAsiaTheme="minorHAnsi" w:hAnsi="Times New Roman"/>
          <w:noProof/>
          <w:sz w:val="24"/>
          <w:lang w:val="fr-BE"/>
        </w:rPr>
        <w:t>En octobre 2018, la Commission a lancé le réexamen du règlement d’exemption par catégorie applicable aux accords verticaux, qui expire en ma</w:t>
      </w:r>
      <w:r>
        <w:rPr>
          <w:rFonts w:ascii="Times New Roman" w:eastAsiaTheme="minorHAnsi" w:hAnsi="Times New Roman"/>
          <w:noProof/>
          <w:sz w:val="24"/>
          <w:lang w:val="fr-BE"/>
        </w:rPr>
        <w:t>i 2022</w:t>
      </w:r>
      <w:r>
        <w:rPr>
          <w:rFonts w:ascii="Times New Roman" w:eastAsiaTheme="minorHAnsi" w:hAnsi="Times New Roman"/>
          <w:noProof/>
          <w:sz w:val="24"/>
          <w:vertAlign w:val="superscript"/>
        </w:rPr>
        <w:footnoteReference w:id="9"/>
      </w:r>
      <w:r>
        <w:rPr>
          <w:rFonts w:ascii="Times New Roman" w:eastAsiaTheme="minorHAnsi" w:hAnsi="Times New Roman"/>
          <w:noProof/>
          <w:sz w:val="24"/>
          <w:lang w:val="fr-BE"/>
        </w:rPr>
        <w:t>. Ce réexamen est effectué conformément aux exigences de la Commission en matière d’amélioration de la réglementation. L’objectif de l’exercice d’évaluation est de permettre à la Commission de décider s’il convient de laisser le règlement en questio</w:t>
      </w:r>
      <w:r>
        <w:rPr>
          <w:rFonts w:ascii="Times New Roman" w:eastAsiaTheme="minorHAnsi" w:hAnsi="Times New Roman"/>
          <w:noProof/>
          <w:sz w:val="24"/>
          <w:lang w:val="fr-BE"/>
        </w:rPr>
        <w:t>n devenir caduc, de le prolonger ou de le réviser. Une feuille de route relative à l’évaluation a été publiée le 8 novembre 2018 en vue de recueillir les commentaires des parties prenantes</w:t>
      </w:r>
      <w:r>
        <w:rPr>
          <w:rFonts w:ascii="Times New Roman" w:eastAsiaTheme="minorHAnsi" w:hAnsi="Times New Roman"/>
          <w:noProof/>
          <w:sz w:val="24"/>
          <w:vertAlign w:val="superscript"/>
        </w:rPr>
        <w:footnoteReference w:id="10"/>
      </w:r>
      <w:r>
        <w:rPr>
          <w:rFonts w:ascii="Times New Roman" w:eastAsiaTheme="minorHAnsi" w:hAnsi="Times New Roman"/>
          <w:noProof/>
          <w:sz w:val="24"/>
          <w:lang w:val="fr-BE"/>
        </w:rPr>
        <w:t>. Ces dernières seront en mesure de fournir d’autres commentaires a</w:t>
      </w:r>
      <w:r>
        <w:rPr>
          <w:rFonts w:ascii="Times New Roman" w:eastAsiaTheme="minorHAnsi" w:hAnsi="Times New Roman"/>
          <w:noProof/>
          <w:sz w:val="24"/>
          <w:lang w:val="fr-BE"/>
        </w:rPr>
        <w:t xml:space="preserve">ux étapes ultérieures du processus de réexamen. Outre les contributions des parties prenantes, le réexamen tiendra compte des informations recueillies par la Commission dans le cadre de l’enquête sectorielle sur le commerce électronique et de l’expérience </w:t>
      </w:r>
      <w:r>
        <w:rPr>
          <w:rFonts w:ascii="Times New Roman" w:eastAsiaTheme="minorHAnsi" w:hAnsi="Times New Roman"/>
          <w:noProof/>
          <w:sz w:val="24"/>
          <w:lang w:val="fr-BE"/>
        </w:rPr>
        <w:t>acquise dans le cadre des décisions relatives aux pratiques anticoncurrentielles prises en 2018 à l’encontre de quatre fabricants d’électronique grand public concernant la fixation des prix de revente en ligne</w:t>
      </w:r>
      <w:r>
        <w:rPr>
          <w:rFonts w:ascii="Times New Roman" w:eastAsiaTheme="minorHAnsi" w:hAnsi="Times New Roman"/>
          <w:noProof/>
          <w:sz w:val="24"/>
          <w:vertAlign w:val="superscript"/>
        </w:rPr>
        <w:footnoteReference w:id="11"/>
      </w:r>
      <w:r>
        <w:rPr>
          <w:rFonts w:ascii="Times New Roman" w:eastAsiaTheme="minorHAnsi" w:hAnsi="Times New Roman"/>
          <w:noProof/>
          <w:sz w:val="24"/>
          <w:lang w:val="fr-BE"/>
        </w:rPr>
        <w:t>. En outre, l’évaluation s’appuiera sur l’expé</w:t>
      </w:r>
      <w:r>
        <w:rPr>
          <w:rFonts w:ascii="Times New Roman" w:eastAsiaTheme="minorHAnsi" w:hAnsi="Times New Roman"/>
          <w:noProof/>
          <w:sz w:val="24"/>
          <w:lang w:val="fr-BE"/>
        </w:rPr>
        <w:t xml:space="preserve">rience acquise par les autorités nationales de concurrence (ANC) dans l’application des règles de concurrence de l’UE dans ce domaine. </w:t>
      </w:r>
    </w:p>
    <w:p w:rsidR="00D9323F" w:rsidRDefault="00D9323F">
      <w:pPr>
        <w:spacing w:after="240" w:line="240" w:lineRule="auto"/>
        <w:jc w:val="both"/>
        <w:rPr>
          <w:rFonts w:ascii="Times New Roman" w:eastAsiaTheme="minorHAnsi" w:hAnsi="Times New Roman"/>
          <w:iCs/>
          <w:noProof/>
          <w:sz w:val="24"/>
          <w:szCs w:val="24"/>
          <w:lang w:val="fr-BE"/>
        </w:rPr>
      </w:pPr>
    </w:p>
    <w:p w:rsidR="00D9323F" w:rsidRDefault="00F47CDD">
      <w:pPr>
        <w:widowControl w:val="0"/>
        <w:spacing w:line="240" w:lineRule="auto"/>
        <w:ind w:left="360"/>
        <w:outlineLvl w:val="2"/>
        <w:rPr>
          <w:rFonts w:ascii="Times New Roman" w:eastAsia="Times New Roman" w:hAnsi="Times New Roman"/>
          <w:b/>
          <w:bCs/>
          <w:noProof/>
          <w:sz w:val="24"/>
          <w:szCs w:val="24"/>
          <w:lang w:val="fr-BE"/>
        </w:rPr>
      </w:pPr>
      <w:bookmarkStart w:id="13" w:name="_Toc478566427"/>
      <w:bookmarkStart w:id="14" w:name="_Toc19019186"/>
      <w:r>
        <w:rPr>
          <w:rFonts w:ascii="Times New Roman" w:hAnsi="Times New Roman"/>
          <w:b/>
          <w:noProof/>
          <w:sz w:val="24"/>
          <w:lang w:val="fr-BE"/>
        </w:rPr>
        <w:t>1.2 Arrêts importants rendus par les juridictions de l’Union européenne</w:t>
      </w:r>
      <w:bookmarkEnd w:id="13"/>
      <w:bookmarkEnd w:id="14"/>
    </w:p>
    <w:p w:rsidR="00D9323F" w:rsidRDefault="00F47CDD">
      <w:pPr>
        <w:spacing w:after="120" w:line="240" w:lineRule="auto"/>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Décisions préjudicielles</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 xml:space="preserve">Diffusion </w:t>
      </w:r>
      <w:r>
        <w:rPr>
          <w:rFonts w:ascii="Times New Roman" w:eastAsiaTheme="minorHAnsi" w:hAnsi="Times New Roman"/>
          <w:i/>
          <w:noProof/>
          <w:sz w:val="24"/>
          <w:lang w:val="fr-BE"/>
        </w:rPr>
        <w:t>d’informations trompeuses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Hoffmann-La Roche Ltd e.a./Autorità Garante della Concorrenza e del Mercato</w:t>
      </w:r>
      <w:r>
        <w:rPr>
          <w:rFonts w:ascii="Times New Roman" w:hAnsi="Times New Roman"/>
          <w:noProof/>
          <w:sz w:val="24"/>
          <w:vertAlign w:val="superscript"/>
        </w:rPr>
        <w:footnoteReference w:id="12"/>
      </w:r>
      <w:r>
        <w:rPr>
          <w:rFonts w:ascii="Times New Roman" w:hAnsi="Times New Roman"/>
          <w:noProof/>
          <w:sz w:val="24"/>
          <w:lang w:val="fr-BE"/>
        </w:rPr>
        <w:t>, la Cour de justice a indiqué qu’un accord entre des entreprises concurrentes visant à diffuser des informations trompeuses</w:t>
      </w:r>
      <w:r>
        <w:rPr>
          <w:rFonts w:ascii="Times New Roman" w:hAnsi="Times New Roman"/>
          <w:noProof/>
          <w:sz w:val="24"/>
          <w:vertAlign w:val="superscript"/>
        </w:rPr>
        <w:footnoteReference w:id="13"/>
      </w:r>
      <w:r>
        <w:rPr>
          <w:rFonts w:ascii="Times New Roman" w:hAnsi="Times New Roman"/>
          <w:noProof/>
          <w:sz w:val="24"/>
          <w:lang w:val="fr-BE"/>
        </w:rPr>
        <w:t xml:space="preserve"> sur les effet</w:t>
      </w:r>
      <w:r>
        <w:rPr>
          <w:rFonts w:ascii="Times New Roman" w:hAnsi="Times New Roman"/>
          <w:noProof/>
          <w:sz w:val="24"/>
          <w:lang w:val="fr-BE"/>
        </w:rPr>
        <w:t>s indésirables résultant de l’utilisation hors RCP d’un médicament</w:t>
      </w:r>
      <w:r>
        <w:rPr>
          <w:rFonts w:ascii="Times New Roman" w:hAnsi="Times New Roman"/>
          <w:noProof/>
          <w:sz w:val="24"/>
          <w:vertAlign w:val="superscript"/>
        </w:rPr>
        <w:footnoteReference w:id="14"/>
      </w:r>
      <w:r>
        <w:rPr>
          <w:rFonts w:ascii="Times New Roman" w:hAnsi="Times New Roman"/>
          <w:noProof/>
          <w:sz w:val="24"/>
          <w:lang w:val="fr-BE"/>
        </w:rPr>
        <w:t xml:space="preserve"> vendu par l'une des entreprises dans le but de réduire la pression concurrentielle sur l’autre entreprise peut constituer une restriction de la concurrence par objet au sens de l’article 1</w:t>
      </w:r>
      <w:r>
        <w:rPr>
          <w:rFonts w:ascii="Times New Roman" w:hAnsi="Times New Roman"/>
          <w:noProof/>
          <w:sz w:val="24"/>
          <w:lang w:val="fr-BE"/>
        </w:rPr>
        <w:t>01, paragraphe 1, du TFUE</w:t>
      </w:r>
      <w:r>
        <w:rPr>
          <w:rFonts w:ascii="Times New Roman" w:hAnsi="Times New Roman"/>
          <w:noProof/>
          <w:sz w:val="24"/>
          <w:vertAlign w:val="superscript"/>
        </w:rPr>
        <w:footnoteReference w:id="15"/>
      </w:r>
      <w:r>
        <w:rPr>
          <w:rFonts w:ascii="Times New Roman" w:hAnsi="Times New Roman"/>
          <w:noProof/>
          <w:sz w:val="24"/>
          <w:lang w:val="fr-BE"/>
        </w:rPr>
        <w:t>. La Cour de justice a considéré qu’un tel accord ne pouvait être considéré comme accessoire à l’accord de licence que les deux entreprises avaient conclu plusieurs années auparavant, et qu’il ne pouvait être justifié au regard de</w:t>
      </w:r>
      <w:r>
        <w:rPr>
          <w:rFonts w:ascii="Times New Roman" w:hAnsi="Times New Roman"/>
          <w:noProof/>
          <w:sz w:val="24"/>
          <w:lang w:val="fr-BE"/>
        </w:rPr>
        <w:t xml:space="preserve"> l’article 101, paragraphe 3, du TFUE. Il s’agissait de la première fois que la Cour de justice examinait la diffusion d’informations trompeuses («dénigrement») et la jugeait anticoncurrentielle</w:t>
      </w:r>
      <w:r>
        <w:rPr>
          <w:rFonts w:ascii="Times New Roman" w:hAnsi="Times New Roman"/>
          <w:noProof/>
          <w:sz w:val="24"/>
          <w:vertAlign w:val="superscript"/>
        </w:rPr>
        <w:footnoteReference w:id="16"/>
      </w:r>
      <w:r>
        <w:rPr>
          <w:rFonts w:ascii="Times New Roman" w:hAnsi="Times New Roman"/>
          <w:noProof/>
          <w:sz w:val="24"/>
          <w:lang w:val="fr-BE"/>
        </w:rPr>
        <w:t>.</w:t>
      </w:r>
      <w:r>
        <w:rPr>
          <w:rFonts w:ascii="Times New Roman" w:hAnsi="Times New Roman"/>
          <w:noProof/>
          <w:sz w:val="24"/>
          <w:vertAlign w:val="superscript"/>
          <w:lang w:val="fr-BE"/>
        </w:rPr>
        <w:t xml:space="preserve"> </w:t>
      </w:r>
      <w:r>
        <w:rPr>
          <w:rFonts w:ascii="Times New Roman" w:hAnsi="Times New Roman"/>
          <w:noProof/>
          <w:sz w:val="24"/>
          <w:lang w:val="fr-BE"/>
        </w:rPr>
        <w:t>Dans son arrêt, la Cour de justice a conclu que, dans la me</w:t>
      </w:r>
      <w:r>
        <w:rPr>
          <w:rFonts w:ascii="Times New Roman" w:hAnsi="Times New Roman"/>
          <w:noProof/>
          <w:sz w:val="24"/>
          <w:lang w:val="fr-BE"/>
        </w:rPr>
        <w:t>sure où un produit pharmaceutique utilisé d’une manière conforme au RCP peut être remplacé par un autre produit utilisé hors RCP (pour les mêmes indications thérapeutiques), ils peuvent relever du même marché de produits.</w:t>
      </w:r>
    </w:p>
    <w:p w:rsidR="00D9323F" w:rsidRDefault="00D9323F">
      <w:pPr>
        <w:widowControl w:val="0"/>
        <w:spacing w:line="240" w:lineRule="auto"/>
        <w:jc w:val="both"/>
        <w:rPr>
          <w:rFonts w:ascii="Times New Roman" w:eastAsiaTheme="minorHAnsi" w:hAnsi="Times New Roman"/>
          <w:i/>
          <w:noProof/>
          <w:sz w:val="24"/>
          <w:lang w:val="fr-BE"/>
        </w:rPr>
      </w:pPr>
    </w:p>
    <w:p w:rsidR="00D9323F" w:rsidRDefault="00F47CDD">
      <w:pPr>
        <w:widowControl w:val="0"/>
        <w:spacing w:line="240" w:lineRule="auto"/>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Notion de désavantage dans la con</w:t>
      </w:r>
      <w:r>
        <w:rPr>
          <w:rFonts w:ascii="Times New Roman" w:eastAsiaTheme="minorHAnsi" w:hAnsi="Times New Roman"/>
          <w:i/>
          <w:noProof/>
          <w:sz w:val="24"/>
          <w:lang w:val="fr-BE"/>
        </w:rPr>
        <w:t>currence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MEO</w:t>
      </w:r>
      <w:r>
        <w:rPr>
          <w:rFonts w:ascii="Times New Roman" w:hAnsi="Times New Roman"/>
          <w:noProof/>
          <w:sz w:val="24"/>
          <w:vertAlign w:val="superscript"/>
        </w:rPr>
        <w:footnoteReference w:id="17"/>
      </w:r>
      <w:r>
        <w:rPr>
          <w:rFonts w:ascii="Times New Roman" w:hAnsi="Times New Roman"/>
          <w:noProof/>
          <w:sz w:val="24"/>
          <w:lang w:val="fr-BE"/>
        </w:rPr>
        <w:t>, la Cour de justice a donné des orientations sur l’interprétation de la notion de désavantage dans la concurrence énoncée à l’article 102, point c), du TFUE, qui interdit aux entreprises dominantes d’«</w:t>
      </w:r>
      <w:r>
        <w:rPr>
          <w:rFonts w:ascii="Times New Roman" w:hAnsi="Times New Roman"/>
          <w:i/>
          <w:noProof/>
          <w:sz w:val="24"/>
          <w:lang w:val="fr-BE"/>
        </w:rPr>
        <w:t xml:space="preserve">appliquer à l’égard de </w:t>
      </w:r>
      <w:r>
        <w:rPr>
          <w:rFonts w:ascii="Times New Roman" w:hAnsi="Times New Roman"/>
          <w:i/>
          <w:noProof/>
          <w:sz w:val="24"/>
          <w:lang w:val="fr-BE"/>
        </w:rPr>
        <w:t>partenaires commerciaux des conditions inégales à des prestations équivalentes, en leur infligeant de ce fait un désavantage dans la concurrence</w:t>
      </w:r>
      <w:r>
        <w:rPr>
          <w:rFonts w:ascii="Times New Roman" w:hAnsi="Times New Roman"/>
          <w:noProof/>
          <w:sz w:val="24"/>
          <w:lang w:val="fr-BE"/>
        </w:rPr>
        <w:t>». La Cour de justice a estimé que la seule présence d’un désavantage immédiat affectant des partenaires commerc</w:t>
      </w:r>
      <w:r>
        <w:rPr>
          <w:rFonts w:ascii="Times New Roman" w:hAnsi="Times New Roman"/>
          <w:noProof/>
          <w:sz w:val="24"/>
          <w:lang w:val="fr-BE"/>
        </w:rPr>
        <w:t xml:space="preserve">iaux qui se sont vu infliger des prix supérieurs par rapport à leurs concurrents pour une prestation équivalente ne signifie pas pour autant que la concurrence soit faussée ou soit susceptible de l’être. Au contraire, la constatation d’un désavantage dans </w:t>
      </w:r>
      <w:r>
        <w:rPr>
          <w:rFonts w:ascii="Times New Roman" w:hAnsi="Times New Roman"/>
          <w:noProof/>
          <w:sz w:val="24"/>
          <w:lang w:val="fr-BE"/>
        </w:rPr>
        <w:t>la concurrence doit se fonder sur une analyse de l’ensemble des circonstances pertinentes de l’espèce qui permet de conclure que le comportement en question a ou est susceptible d’avoir une influence sur les coûts, sur les bénéfices, ou sur un autre intérê</w:t>
      </w:r>
      <w:r>
        <w:rPr>
          <w:rFonts w:ascii="Times New Roman" w:hAnsi="Times New Roman"/>
          <w:noProof/>
          <w:sz w:val="24"/>
          <w:lang w:val="fr-BE"/>
        </w:rPr>
        <w:t>t pertinent d’un ou de plusieurs des partenaires. Bien que cette constatation ne requière pas la preuve d’une détérioration effective et quantifiable de la position concurrentielle, elle exige de démontrer que le comportement est susceptible d’affecter cet</w:t>
      </w:r>
      <w:r>
        <w:rPr>
          <w:rFonts w:ascii="Times New Roman" w:hAnsi="Times New Roman"/>
          <w:noProof/>
          <w:sz w:val="24"/>
          <w:lang w:val="fr-BE"/>
        </w:rPr>
        <w:t>te situation. En outre, la Cour de justice a conclu que la gravité d’un éventuel désavantage concurrentiel n’est pas une condition pour constater une infraction à l’article 102, point c), du TFUE, étant donné qu’il n’existe pas de seuil de sensibilité (</w:t>
      </w:r>
      <w:r>
        <w:rPr>
          <w:rFonts w:ascii="Times New Roman" w:hAnsi="Times New Roman"/>
          <w:i/>
          <w:noProof/>
          <w:sz w:val="24"/>
          <w:lang w:val="fr-BE"/>
        </w:rPr>
        <w:t xml:space="preserve">de </w:t>
      </w:r>
      <w:r>
        <w:rPr>
          <w:rFonts w:ascii="Times New Roman" w:hAnsi="Times New Roman"/>
          <w:i/>
          <w:noProof/>
          <w:sz w:val="24"/>
          <w:lang w:val="fr-BE"/>
        </w:rPr>
        <w:t>minimis</w:t>
      </w:r>
      <w:r>
        <w:rPr>
          <w:rFonts w:ascii="Times New Roman" w:hAnsi="Times New Roman"/>
          <w:noProof/>
          <w:sz w:val="24"/>
          <w:lang w:val="fr-BE"/>
        </w:rPr>
        <w:t>) pour l’application de l’article 102 du TFUE.</w:t>
      </w:r>
    </w:p>
    <w:p w:rsidR="00D9323F" w:rsidRDefault="00F47CDD">
      <w:pPr>
        <w:widowControl w:val="0"/>
        <w:spacing w:line="240" w:lineRule="auto"/>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Actions en dommages et intérêts</w:t>
      </w:r>
    </w:p>
    <w:p w:rsidR="00D9323F" w:rsidRDefault="00F47CDD">
      <w:pPr>
        <w:widowControl w:val="0"/>
        <w:spacing w:line="240" w:lineRule="auto"/>
        <w:jc w:val="both"/>
        <w:rPr>
          <w:rFonts w:ascii="Times New Roman" w:eastAsiaTheme="minorHAnsi" w:hAnsi="Times New Roman"/>
          <w:i/>
          <w:noProof/>
          <w:sz w:val="24"/>
          <w:szCs w:val="24"/>
          <w:lang w:val="fr-BE"/>
        </w:rPr>
      </w:pPr>
      <w:r>
        <w:rPr>
          <w:rFonts w:ascii="Times New Roman" w:hAnsi="Times New Roman"/>
          <w:noProof/>
          <w:sz w:val="24"/>
          <w:lang w:val="fr-BE"/>
        </w:rPr>
        <w:t>Dans l’affaire</w:t>
      </w:r>
      <w:r>
        <w:rPr>
          <w:rFonts w:ascii="Times New Roman" w:hAnsi="Times New Roman"/>
          <w:i/>
          <w:noProof/>
          <w:sz w:val="24"/>
          <w:lang w:val="fr-BE"/>
        </w:rPr>
        <w:t xml:space="preserve"> Apple Sales International</w:t>
      </w:r>
      <w:r>
        <w:rPr>
          <w:rFonts w:ascii="Times New Roman" w:hAnsi="Times New Roman"/>
          <w:noProof/>
          <w:sz w:val="24"/>
          <w:vertAlign w:val="superscript"/>
        </w:rPr>
        <w:footnoteReference w:id="18"/>
      </w:r>
      <w:r>
        <w:rPr>
          <w:rFonts w:ascii="Times New Roman" w:hAnsi="Times New Roman"/>
          <w:noProof/>
          <w:sz w:val="24"/>
          <w:lang w:val="fr-BE"/>
        </w:rPr>
        <w:t>, une décision préjudicielle concernant l’interprétation du règlement n° 44/2001 du Conseil («règlement de Bruxelles»)</w:t>
      </w:r>
      <w:r>
        <w:rPr>
          <w:rFonts w:ascii="Times New Roman" w:hAnsi="Times New Roman"/>
          <w:noProof/>
          <w:sz w:val="24"/>
          <w:vertAlign w:val="superscript"/>
        </w:rPr>
        <w:footnoteReference w:id="19"/>
      </w:r>
      <w:r>
        <w:rPr>
          <w:rFonts w:ascii="Times New Roman" w:hAnsi="Times New Roman"/>
          <w:noProof/>
          <w:sz w:val="24"/>
          <w:lang w:val="fr-BE"/>
        </w:rPr>
        <w:t xml:space="preserve">, la Cour </w:t>
      </w:r>
      <w:r>
        <w:rPr>
          <w:rFonts w:ascii="Times New Roman" w:hAnsi="Times New Roman"/>
          <w:noProof/>
          <w:sz w:val="24"/>
          <w:lang w:val="fr-BE"/>
        </w:rPr>
        <w:t>de justice a conclu que, dans le cadre d’une action en dommages et intérêts pour infraction à l’article 102 du TFUE introduite par un distributeur à l’encontre de son fournisseur, l’application d’une clause attributive de juridiction n’est pas exclue au se</w:t>
      </w:r>
      <w:r>
        <w:rPr>
          <w:rFonts w:ascii="Times New Roman" w:hAnsi="Times New Roman"/>
          <w:noProof/>
          <w:sz w:val="24"/>
          <w:lang w:val="fr-BE"/>
        </w:rPr>
        <w:t>ul motif que cette clause ne se réfère pas expressément aux différends relatifs à la responsabilité encourue du fait d’une infraction au droit de la concurrence. La Cour de justice a ainsi précisé que, dans les affaires relevant de l’article 102 du TFUE da</w:t>
      </w:r>
      <w:r>
        <w:rPr>
          <w:rFonts w:ascii="Times New Roman" w:hAnsi="Times New Roman"/>
          <w:noProof/>
          <w:sz w:val="24"/>
          <w:lang w:val="fr-BE"/>
        </w:rPr>
        <w:t xml:space="preserve">ns le cadre desquelles un comportement anticoncurrentiel est lié à une relation contractuelle, les clauses juridictionnelles de l’accord régissant les relations commerciales entre les parties affecteront également toute action en dommages et intérêts liée </w:t>
      </w:r>
      <w:r>
        <w:rPr>
          <w:rFonts w:ascii="Times New Roman" w:hAnsi="Times New Roman"/>
          <w:noProof/>
          <w:sz w:val="24"/>
          <w:lang w:val="fr-BE"/>
        </w:rPr>
        <w:t>à des pratiques anticoncurrentielles.</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Révision de décisions constatant une infraction</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«Report d'entrée» et définition du marché</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Dans huit arrêts</w:t>
      </w:r>
      <w:r>
        <w:rPr>
          <w:rFonts w:ascii="Times New Roman" w:hAnsi="Times New Roman"/>
          <w:noProof/>
          <w:sz w:val="24"/>
          <w:vertAlign w:val="superscript"/>
        </w:rPr>
        <w:footnoteReference w:id="20"/>
      </w:r>
      <w:r>
        <w:rPr>
          <w:rFonts w:ascii="Times New Roman" w:hAnsi="Times New Roman"/>
          <w:noProof/>
          <w:sz w:val="24"/>
          <w:lang w:val="fr-BE"/>
        </w:rPr>
        <w:t>, le Tribunal a confirmé une grande partie des décisions de la Commission constatant qu’un certain nombre d’ent</w:t>
      </w:r>
      <w:r>
        <w:rPr>
          <w:rFonts w:ascii="Times New Roman" w:hAnsi="Times New Roman"/>
          <w:noProof/>
          <w:sz w:val="24"/>
          <w:lang w:val="fr-BE"/>
        </w:rPr>
        <w:t>reprises produisant des médicaments génériques avaient conclu des accords anticoncurrentiels de «report d'entrée»</w:t>
      </w:r>
      <w:r>
        <w:rPr>
          <w:rFonts w:ascii="Times New Roman" w:hAnsi="Times New Roman"/>
          <w:noProof/>
          <w:sz w:val="24"/>
          <w:vertAlign w:val="superscript"/>
        </w:rPr>
        <w:footnoteReference w:id="21"/>
      </w:r>
      <w:r>
        <w:rPr>
          <w:rFonts w:ascii="Times New Roman" w:hAnsi="Times New Roman"/>
          <w:noProof/>
          <w:sz w:val="24"/>
          <w:lang w:val="fr-BE"/>
        </w:rPr>
        <w:t xml:space="preserve">.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Conformément à son arrêt précédent rendu dans l’affaire </w:t>
      </w:r>
      <w:r>
        <w:rPr>
          <w:rFonts w:ascii="Times New Roman" w:hAnsi="Times New Roman"/>
          <w:i/>
          <w:noProof/>
          <w:sz w:val="24"/>
          <w:lang w:val="fr-BE"/>
        </w:rPr>
        <w:t>Lundbeck</w:t>
      </w:r>
      <w:r>
        <w:rPr>
          <w:rFonts w:ascii="Times New Roman" w:hAnsi="Times New Roman"/>
          <w:noProof/>
          <w:sz w:val="24"/>
          <w:vertAlign w:val="superscript"/>
        </w:rPr>
        <w:footnoteReference w:id="22"/>
      </w:r>
      <w:r>
        <w:rPr>
          <w:rFonts w:ascii="Times New Roman" w:hAnsi="Times New Roman"/>
          <w:noProof/>
          <w:sz w:val="24"/>
          <w:lang w:val="fr-BE"/>
        </w:rPr>
        <w:t xml:space="preserve">, le Tribunal a confirmé dans l’affaire </w:t>
      </w:r>
      <w:r>
        <w:rPr>
          <w:rFonts w:ascii="Times New Roman" w:hAnsi="Times New Roman"/>
          <w:i/>
          <w:noProof/>
          <w:sz w:val="24"/>
          <w:lang w:val="fr-BE"/>
        </w:rPr>
        <w:t>Servier</w:t>
      </w:r>
      <w:r>
        <w:rPr>
          <w:rStyle w:val="FootnoteReference"/>
          <w:rFonts w:ascii="Times New Roman" w:hAnsi="Times New Roman"/>
          <w:i/>
          <w:noProof/>
          <w:sz w:val="24"/>
        </w:rPr>
        <w:footnoteReference w:id="23"/>
      </w:r>
      <w:r>
        <w:rPr>
          <w:rFonts w:ascii="Times New Roman" w:hAnsi="Times New Roman"/>
          <w:noProof/>
          <w:sz w:val="24"/>
          <w:lang w:val="fr-BE"/>
        </w:rPr>
        <w:t xml:space="preserve"> que les accords de règlem</w:t>
      </w:r>
      <w:r>
        <w:rPr>
          <w:rFonts w:ascii="Times New Roman" w:hAnsi="Times New Roman"/>
          <w:noProof/>
          <w:sz w:val="24"/>
          <w:lang w:val="fr-BE"/>
        </w:rPr>
        <w:t xml:space="preserve">ent amiable en matière de brevets impliquant des paiements du laboratoire de princeps au fabricant de génériques peuvent constituer des accords de report d'entrée ayant un objet anticoncurrentiel. Le Tribunal a donc confirmé la conclusion de la Commission </w:t>
      </w:r>
      <w:r>
        <w:rPr>
          <w:rFonts w:ascii="Times New Roman" w:hAnsi="Times New Roman"/>
          <w:noProof/>
          <w:sz w:val="24"/>
          <w:lang w:val="fr-BE"/>
        </w:rPr>
        <w:t xml:space="preserve">selon laquelle les accords conclus par Servier avec cinq fabricants de génériques avaient un tel objet en violation de l’article 101 du TFUE. Le Tribunal a considéré que c’est l’incitation (c’est-à-dire le paiement inversé), et non la reconnaissance de la </w:t>
      </w:r>
      <w:r>
        <w:rPr>
          <w:rFonts w:ascii="Times New Roman" w:hAnsi="Times New Roman"/>
          <w:noProof/>
          <w:sz w:val="24"/>
          <w:lang w:val="fr-BE"/>
        </w:rPr>
        <w:t xml:space="preserve">validité du brevet, qui a conduit les producteurs de génériques à accepter de se retirer des marchés.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En outre, le Tribunal a jugé que si, en principe, des accords accessoires similaires à des paiements directs peuvent inciter les producteurs de générique</w:t>
      </w:r>
      <w:r>
        <w:rPr>
          <w:rFonts w:ascii="Times New Roman" w:hAnsi="Times New Roman"/>
          <w:noProof/>
          <w:sz w:val="24"/>
          <w:lang w:val="fr-BE"/>
        </w:rPr>
        <w:t xml:space="preserve">s à renoncer à la concurrence, tous les accords accessoires ne constituent pas des incitations anticoncurrentielles. En particulier, le Tribunal n’était pas convaincu que la licence accordée à </w:t>
      </w:r>
      <w:r>
        <w:rPr>
          <w:rFonts w:ascii="Times New Roman" w:hAnsi="Times New Roman"/>
          <w:i/>
          <w:noProof/>
          <w:sz w:val="24"/>
          <w:lang w:val="fr-BE"/>
        </w:rPr>
        <w:t>Krka</w:t>
      </w:r>
      <w:r>
        <w:rPr>
          <w:rFonts w:ascii="Times New Roman" w:hAnsi="Times New Roman"/>
          <w:noProof/>
          <w:sz w:val="24"/>
          <w:vertAlign w:val="superscript"/>
        </w:rPr>
        <w:footnoteReference w:id="24"/>
      </w:r>
      <w:r>
        <w:rPr>
          <w:rFonts w:ascii="Times New Roman" w:hAnsi="Times New Roman"/>
          <w:noProof/>
          <w:sz w:val="24"/>
          <w:lang w:val="fr-BE"/>
        </w:rPr>
        <w:t xml:space="preserve"> constituait une incitation au retrait de Krka d’un certai</w:t>
      </w:r>
      <w:r>
        <w:rPr>
          <w:rFonts w:ascii="Times New Roman" w:hAnsi="Times New Roman"/>
          <w:noProof/>
          <w:sz w:val="24"/>
          <w:lang w:val="fr-BE"/>
        </w:rPr>
        <w:t>n nombre de marchés et il a donc rejeté la conclusion de la Commission selon laquelle l’accord conclu par Krka constituait une restriction de la concurrence par objet. En outre, le Tribunal a estimé que la décision de la Commission ne prouvait pas que l’ac</w:t>
      </w:r>
      <w:r>
        <w:rPr>
          <w:rFonts w:ascii="Times New Roman" w:hAnsi="Times New Roman"/>
          <w:noProof/>
          <w:sz w:val="24"/>
          <w:lang w:val="fr-BE"/>
        </w:rPr>
        <w:t>cord conclu par Krka avait des effets restrictifs au regard de l’article 101 du TFUE. Le Tribunal a estimé que, considérant que l’accord avait été mis en œuvre, la Commission aurait dû apprécier les effets réels, et pas seulement potentiels, sur la concurr</w:t>
      </w:r>
      <w:r>
        <w:rPr>
          <w:rFonts w:ascii="Times New Roman" w:hAnsi="Times New Roman"/>
          <w:noProof/>
          <w:sz w:val="24"/>
          <w:lang w:val="fr-BE"/>
        </w:rPr>
        <w:t>ence, en tenant compte également des développements factuels survenus après la conclusion de l’accord.</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Enfin, le Tribunal a annulé la conclusion de la Commission selon laquelle Servier avait abusé de sa position dominante sur le marché du périndopril, un m</w:t>
      </w:r>
      <w:r>
        <w:rPr>
          <w:rFonts w:ascii="Times New Roman" w:hAnsi="Times New Roman"/>
          <w:noProof/>
          <w:sz w:val="24"/>
          <w:lang w:val="fr-BE"/>
        </w:rPr>
        <w:t>édicament utilisé pour traiter l’hypertension et l’insuffisance cardiaque.</w:t>
      </w:r>
      <w:r>
        <w:rPr>
          <w:rFonts w:ascii="Times New Roman" w:hAnsi="Times New Roman"/>
          <w:b/>
          <w:noProof/>
          <w:sz w:val="24"/>
          <w:lang w:val="fr-BE"/>
        </w:rPr>
        <w:t xml:space="preserve"> </w:t>
      </w:r>
      <w:r>
        <w:rPr>
          <w:rFonts w:ascii="Times New Roman" w:hAnsi="Times New Roman"/>
          <w:noProof/>
          <w:sz w:val="24"/>
          <w:lang w:val="fr-BE"/>
        </w:rPr>
        <w:t xml:space="preserve">Il a jugé que la Commission n’avait pas démontré que le marché de produits en cause était limité à la seule molécule de périndopril. Il a estimé que la Commission avait procédé à une appréciation erronée de la substitution thérapeutique du périndropil par </w:t>
      </w:r>
      <w:r>
        <w:rPr>
          <w:rFonts w:ascii="Times New Roman" w:hAnsi="Times New Roman"/>
          <w:noProof/>
          <w:sz w:val="24"/>
          <w:lang w:val="fr-BE"/>
        </w:rPr>
        <w:t>d’autres médicaments appartenant à la même classe thérapeutique. En outre, il a estimé que la Commission s’était excessivement appuyée sur des facteurs liés aux prix. Le Tribunal a donc conclu que la Commission avait commis une erreur en concluant que Serv</w:t>
      </w:r>
      <w:r>
        <w:rPr>
          <w:rFonts w:ascii="Times New Roman" w:hAnsi="Times New Roman"/>
          <w:noProof/>
          <w:sz w:val="24"/>
          <w:lang w:val="fr-BE"/>
        </w:rPr>
        <w:t xml:space="preserve">ier occupait une position dominante au sens de l’article 102 du TFUE. </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Participation à une entente et infraction unique et continue</w:t>
      </w:r>
    </w:p>
    <w:p w:rsidR="00D9323F" w:rsidRDefault="00F47CDD">
      <w:pPr>
        <w:widowControl w:val="0"/>
        <w:spacing w:line="240" w:lineRule="auto"/>
        <w:jc w:val="both"/>
        <w:rPr>
          <w:rFonts w:ascii="Times New Roman" w:hAnsi="Times New Roman"/>
          <w:noProof/>
          <w:sz w:val="24"/>
          <w:szCs w:val="24"/>
          <w:lang w:val="fr-BE"/>
        </w:rPr>
      </w:pPr>
      <w:r>
        <w:rPr>
          <w:rFonts w:ascii="Times New Roman" w:eastAsiaTheme="minorHAnsi" w:hAnsi="Times New Roman"/>
          <w:noProof/>
          <w:lang w:val="fr-BE"/>
        </w:rPr>
        <w:t xml:space="preserve">Dans les affaires </w:t>
      </w:r>
      <w:r>
        <w:rPr>
          <w:rFonts w:ascii="Times New Roman" w:eastAsiaTheme="minorHAnsi" w:hAnsi="Times New Roman"/>
          <w:i/>
          <w:noProof/>
          <w:lang w:val="fr-BE"/>
        </w:rPr>
        <w:t>Câbles électriques</w:t>
      </w:r>
      <w:r>
        <w:rPr>
          <w:rFonts w:asciiTheme="minorHAnsi" w:eastAsiaTheme="minorHAnsi" w:hAnsiTheme="minorHAnsi" w:cstheme="minorBidi"/>
          <w:noProof/>
          <w:vertAlign w:val="superscript"/>
        </w:rPr>
        <w:footnoteReference w:id="25"/>
      </w:r>
      <w:r>
        <w:rPr>
          <w:rFonts w:ascii="Times New Roman" w:eastAsiaTheme="minorHAnsi" w:hAnsi="Times New Roman"/>
          <w:noProof/>
          <w:sz w:val="24"/>
          <w:lang w:val="fr-BE"/>
        </w:rPr>
        <w:t xml:space="preserve">, le Tribunal a évoqué les conditions nécessaires pour tenir un participant à une </w:t>
      </w:r>
      <w:r>
        <w:rPr>
          <w:rFonts w:ascii="Times New Roman" w:eastAsiaTheme="minorHAnsi" w:hAnsi="Times New Roman"/>
          <w:noProof/>
          <w:sz w:val="24"/>
          <w:lang w:val="fr-BE"/>
        </w:rPr>
        <w:t>entente responsable d’une infraction unique et continue en fonction de la forme de sa participation. Le Tribunal a confirmé que, même si un participant n’est pas au courant</w:t>
      </w:r>
      <w:r>
        <w:rPr>
          <w:rFonts w:asciiTheme="minorHAnsi" w:eastAsiaTheme="minorHAnsi" w:hAnsiTheme="minorHAnsi" w:cstheme="minorBidi"/>
          <w:i/>
          <w:noProof/>
          <w:lang w:val="fr-BE"/>
        </w:rPr>
        <w:t xml:space="preserve"> </w:t>
      </w:r>
      <w:r>
        <w:rPr>
          <w:rFonts w:ascii="Times New Roman" w:eastAsiaTheme="minorHAnsi" w:hAnsi="Times New Roman"/>
          <w:noProof/>
          <w:sz w:val="24"/>
          <w:lang w:val="fr-BE"/>
        </w:rPr>
        <w:t xml:space="preserve">du comportement illicite prévu, mais qu’il aurait raisonnablement pu le prévoir et </w:t>
      </w:r>
      <w:r>
        <w:rPr>
          <w:rFonts w:ascii="Times New Roman" w:eastAsiaTheme="minorHAnsi" w:hAnsi="Times New Roman"/>
          <w:noProof/>
          <w:sz w:val="24"/>
          <w:lang w:val="fr-BE"/>
        </w:rPr>
        <w:t>qu’il était prêt à prendre le risque, l’ignorance potentielle du participant à l’entente concernant certaines formes de ce comportement ne l’exonère pas de toute responsabilité</w:t>
      </w:r>
      <w:r>
        <w:rPr>
          <w:rFonts w:asciiTheme="minorHAnsi" w:eastAsiaTheme="minorHAnsi" w:hAnsiTheme="minorHAnsi" w:cstheme="minorBidi"/>
          <w:noProof/>
          <w:vertAlign w:val="superscript"/>
        </w:rPr>
        <w:footnoteReference w:id="26"/>
      </w:r>
      <w:r>
        <w:rPr>
          <w:rFonts w:ascii="Times New Roman" w:eastAsiaTheme="minorHAnsi" w:hAnsi="Times New Roman"/>
          <w:noProof/>
          <w:sz w:val="24"/>
          <w:lang w:val="fr-BE"/>
        </w:rPr>
        <w:t>.</w:t>
      </w:r>
      <w:r>
        <w:rPr>
          <w:rFonts w:asciiTheme="minorHAnsi" w:eastAsiaTheme="minorHAnsi" w:hAnsiTheme="minorHAnsi" w:cstheme="minorBidi"/>
          <w:noProof/>
          <w:lang w:val="fr-BE"/>
        </w:rPr>
        <w:t xml:space="preserve"> </w:t>
      </w:r>
      <w:r>
        <w:rPr>
          <w:rFonts w:ascii="Times New Roman" w:eastAsiaTheme="minorHAnsi" w:hAnsi="Times New Roman"/>
          <w:noProof/>
          <w:sz w:val="24"/>
          <w:lang w:val="fr-BE"/>
        </w:rPr>
        <w:t>En outre, le Tribunal a estimé que lorsqu’une entreprise a enfreint l’article</w:t>
      </w:r>
      <w:r>
        <w:rPr>
          <w:rFonts w:ascii="Times New Roman" w:eastAsiaTheme="minorHAnsi" w:hAnsi="Times New Roman"/>
          <w:noProof/>
          <w:sz w:val="24"/>
          <w:lang w:val="fr-BE"/>
        </w:rPr>
        <w:t> 101 du TFUE, elle ne peut échapper à une sanction au motif qu’un autre participant à l’entente n’a pas reçu d’amende.</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Refus implicite d’accès et compression des marges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ses arrêts </w:t>
      </w:r>
      <w:r>
        <w:rPr>
          <w:rFonts w:ascii="Times New Roman" w:hAnsi="Times New Roman"/>
          <w:i/>
          <w:noProof/>
          <w:sz w:val="24"/>
          <w:lang w:val="fr-BE"/>
        </w:rPr>
        <w:t>Deutsche Telekom</w:t>
      </w:r>
      <w:r>
        <w:rPr>
          <w:rStyle w:val="FootnoteReference"/>
          <w:rFonts w:ascii="Times New Roman" w:hAnsi="Times New Roman"/>
          <w:noProof/>
          <w:sz w:val="24"/>
        </w:rPr>
        <w:footnoteReference w:id="27"/>
      </w:r>
      <w:r>
        <w:rPr>
          <w:rFonts w:ascii="Times New Roman" w:hAnsi="Times New Roman"/>
          <w:noProof/>
          <w:sz w:val="24"/>
          <w:lang w:val="fr-BE"/>
        </w:rPr>
        <w:t xml:space="preserve"> et </w:t>
      </w:r>
      <w:r>
        <w:rPr>
          <w:rFonts w:ascii="Times New Roman" w:hAnsi="Times New Roman"/>
          <w:i/>
          <w:noProof/>
          <w:sz w:val="24"/>
          <w:lang w:val="fr-BE"/>
        </w:rPr>
        <w:t>Slovak Telekom</w:t>
      </w:r>
      <w:r>
        <w:rPr>
          <w:rFonts w:ascii="Times New Roman" w:hAnsi="Times New Roman"/>
          <w:noProof/>
          <w:sz w:val="24"/>
          <w:vertAlign w:val="superscript"/>
        </w:rPr>
        <w:footnoteReference w:id="28"/>
      </w:r>
      <w:r>
        <w:rPr>
          <w:rFonts w:ascii="Times New Roman" w:hAnsi="Times New Roman"/>
          <w:noProof/>
          <w:sz w:val="24"/>
          <w:lang w:val="fr-BE"/>
        </w:rPr>
        <w:t xml:space="preserve">, le Tribunal a largement confirmé </w:t>
      </w:r>
      <w:r>
        <w:rPr>
          <w:rFonts w:ascii="Times New Roman" w:hAnsi="Times New Roman"/>
          <w:noProof/>
          <w:sz w:val="24"/>
          <w:lang w:val="fr-BE"/>
        </w:rPr>
        <w:t>la décision de la Commission constatant que Slovak Telekom, filiale de Deutsche Telekom, avait abusé de sa position dominante en refusant l’accès à sa boucle locale et en s’engageant dans des pratiques de compression des marges. Le Tribunal a noté que le c</w:t>
      </w:r>
      <w:r>
        <w:rPr>
          <w:rFonts w:ascii="Times New Roman" w:hAnsi="Times New Roman"/>
          <w:noProof/>
          <w:sz w:val="24"/>
          <w:lang w:val="fr-BE"/>
        </w:rPr>
        <w:t>adre réglementaire applicable avait imposé à Slovak Telekom l’obligation d’accorder un accès dégroupé à la boucle locale. En outre, il a reconnu la nécessité pour d’autres opérateurs d’accéder à la boucle locale pour permettre le développement d’une concur</w:t>
      </w:r>
      <w:r>
        <w:rPr>
          <w:rFonts w:ascii="Times New Roman" w:hAnsi="Times New Roman"/>
          <w:noProof/>
          <w:sz w:val="24"/>
          <w:lang w:val="fr-BE"/>
        </w:rPr>
        <w:t>rence effective. Par conséquent, le Tribunal a conclu que la Commission n’était pas tenue de démontrer que l’accès à la boucle locale de Slovak Telekom était indispensable pour les concurrents potentiels. Tout en confirmant dans une large mesure la conclus</w:t>
      </w:r>
      <w:r>
        <w:rPr>
          <w:rFonts w:ascii="Times New Roman" w:hAnsi="Times New Roman"/>
          <w:noProof/>
          <w:sz w:val="24"/>
          <w:lang w:val="fr-BE"/>
        </w:rPr>
        <w:t>ion de la Commission concernant l’existence d’une compression des marges, le Tribunal a estimé que la Commission n’avait pas démontré d’effets d’éviction pendant une période de quatre mois lors de laquelle les marges étaient positives selon la méthode d’év</w:t>
      </w:r>
      <w:r>
        <w:rPr>
          <w:rFonts w:ascii="Times New Roman" w:hAnsi="Times New Roman"/>
          <w:noProof/>
          <w:sz w:val="24"/>
          <w:lang w:val="fr-BE"/>
        </w:rPr>
        <w:t xml:space="preserve">aluation «année par année». En conséquence, le Tribunal a réduit le montant de l’amende. </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Responsabilité de la société mère</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l’affaire </w:t>
      </w:r>
      <w:r>
        <w:rPr>
          <w:rFonts w:ascii="Times New Roman" w:eastAsiaTheme="minorHAnsi" w:hAnsi="Times New Roman"/>
          <w:i/>
          <w:noProof/>
          <w:sz w:val="24"/>
          <w:lang w:val="fr-BE"/>
        </w:rPr>
        <w:t>Deutsche Telekom</w:t>
      </w:r>
      <w:r>
        <w:rPr>
          <w:rStyle w:val="FootnoteReference"/>
          <w:rFonts w:ascii="Times New Roman" w:hAnsi="Times New Roman"/>
          <w:noProof/>
          <w:sz w:val="24"/>
        </w:rPr>
        <w:footnoteReference w:id="29"/>
      </w:r>
      <w:r>
        <w:rPr>
          <w:rFonts w:ascii="Times New Roman" w:eastAsiaTheme="minorHAnsi" w:hAnsi="Times New Roman"/>
          <w:noProof/>
          <w:sz w:val="24"/>
          <w:lang w:val="fr-BE"/>
        </w:rPr>
        <w:t xml:space="preserve">, le Tribunal a confirmé la responsabilité de Deutsche Telekom en tant que société mère pour </w:t>
      </w:r>
      <w:r>
        <w:rPr>
          <w:rFonts w:ascii="Times New Roman" w:eastAsiaTheme="minorHAnsi" w:hAnsi="Times New Roman"/>
          <w:noProof/>
          <w:sz w:val="24"/>
          <w:lang w:val="fr-BE"/>
        </w:rPr>
        <w:t>l’infraction, mais a estimé que le chiffre d’affaires de Deutsche Telekom ne reflétait pas le comportement individuel de la société dans l’infraction. Le chiffre d’affaires de Deutsche Telekom ne pouvait donc pas servir de base au calcul d’une amende suppl</w:t>
      </w:r>
      <w:r>
        <w:rPr>
          <w:rFonts w:ascii="Times New Roman" w:eastAsiaTheme="minorHAnsi" w:hAnsi="Times New Roman"/>
          <w:noProof/>
          <w:sz w:val="24"/>
          <w:lang w:val="fr-BE"/>
        </w:rPr>
        <w:t>émentaire à infliger à la société. Le Tribunal a par conséquent réduit le montant de l’amende.</w:t>
      </w:r>
    </w:p>
    <w:p w:rsidR="00D9323F" w:rsidRDefault="00F47CDD">
      <w:pPr>
        <w:spacing w:line="240" w:lineRule="auto"/>
        <w:jc w:val="both"/>
        <w:rPr>
          <w:rFonts w:ascii="Times New Roman" w:eastAsiaTheme="minorHAnsi" w:hAnsi="Times New Roman"/>
          <w:iCs/>
          <w:noProof/>
          <w:sz w:val="24"/>
          <w:szCs w:val="24"/>
          <w:lang w:val="fr-BE"/>
        </w:rPr>
      </w:pPr>
      <w:r>
        <w:rPr>
          <w:rFonts w:ascii="Times New Roman" w:eastAsiaTheme="minorHAnsi" w:hAnsi="Times New Roman"/>
          <w:noProof/>
          <w:sz w:val="24"/>
          <w:lang w:val="fr-BE"/>
        </w:rPr>
        <w:t xml:space="preserve">Dans les affaires </w:t>
      </w:r>
      <w:r>
        <w:rPr>
          <w:rFonts w:ascii="Times New Roman" w:eastAsiaTheme="minorHAnsi" w:hAnsi="Times New Roman"/>
          <w:i/>
          <w:noProof/>
          <w:sz w:val="24"/>
          <w:lang w:val="fr-BE"/>
        </w:rPr>
        <w:t>Câbles électriques</w:t>
      </w:r>
      <w:r>
        <w:rPr>
          <w:rStyle w:val="FootnoteReference"/>
          <w:noProof/>
          <w:sz w:val="24"/>
        </w:rPr>
        <w:footnoteReference w:id="30"/>
      </w:r>
      <w:r>
        <w:rPr>
          <w:rFonts w:ascii="Times New Roman" w:eastAsiaTheme="minorHAnsi" w:hAnsi="Times New Roman"/>
          <w:noProof/>
          <w:sz w:val="24"/>
          <w:lang w:val="fr-BE"/>
        </w:rPr>
        <w:t>,</w:t>
      </w:r>
      <w:r>
        <w:rPr>
          <w:rStyle w:val="FootnoteReference"/>
          <w:noProof/>
          <w:lang w:val="fr-BE"/>
        </w:rPr>
        <w:t xml:space="preserve"> </w:t>
      </w:r>
      <w:r>
        <w:rPr>
          <w:rFonts w:ascii="Times New Roman" w:eastAsiaTheme="minorHAnsi" w:hAnsi="Times New Roman"/>
          <w:noProof/>
          <w:sz w:val="24"/>
          <w:lang w:val="fr-BE"/>
        </w:rPr>
        <w:t>le Tribunal a confirmé la position adoptée par la Commission et a conclu que le fait qu’une entreprise soit un «</w:t>
      </w:r>
      <w:r>
        <w:rPr>
          <w:rFonts w:ascii="Times New Roman" w:eastAsiaTheme="minorHAnsi" w:hAnsi="Times New Roman"/>
          <w:i/>
          <w:noProof/>
          <w:sz w:val="24"/>
          <w:lang w:val="fr-BE"/>
        </w:rPr>
        <w:t>investisse</w:t>
      </w:r>
      <w:r>
        <w:rPr>
          <w:rFonts w:ascii="Times New Roman" w:eastAsiaTheme="minorHAnsi" w:hAnsi="Times New Roman"/>
          <w:i/>
          <w:noProof/>
          <w:sz w:val="24"/>
          <w:lang w:val="fr-BE"/>
        </w:rPr>
        <w:t>ur purement financier</w:t>
      </w:r>
      <w:r>
        <w:rPr>
          <w:rFonts w:ascii="Times New Roman" w:eastAsiaTheme="minorHAnsi" w:hAnsi="Times New Roman"/>
          <w:noProof/>
          <w:sz w:val="24"/>
          <w:lang w:val="fr-BE"/>
        </w:rPr>
        <w:t>» ne constitue pas un critère juridique de non-imputation de responsabilité pour la société mère. Par conséquent, un investisseur financier doit être traité comme toute autre société mère. Dans le cas d’espèce, la société mère a dû ass</w:t>
      </w:r>
      <w:r>
        <w:rPr>
          <w:rFonts w:ascii="Times New Roman" w:eastAsiaTheme="minorHAnsi" w:hAnsi="Times New Roman"/>
          <w:noProof/>
          <w:sz w:val="24"/>
          <w:lang w:val="fr-BE"/>
        </w:rPr>
        <w:t>umer une responsabilité fondée sur 100 % des droits de vote, même si sa participation n’était que de 33 %</w:t>
      </w:r>
      <w:r>
        <w:rPr>
          <w:rStyle w:val="FootnoteReference"/>
          <w:rFonts w:ascii="Times New Roman" w:eastAsiaTheme="minorHAnsi" w:hAnsi="Times New Roman"/>
          <w:noProof/>
          <w:sz w:val="24"/>
        </w:rPr>
        <w:footnoteReference w:id="31"/>
      </w:r>
      <w:r>
        <w:rPr>
          <w:rFonts w:ascii="Times New Roman" w:eastAsiaTheme="minorHAnsi" w:hAnsi="Times New Roman"/>
          <w:noProof/>
          <w:sz w:val="24"/>
          <w:lang w:val="fr-BE"/>
        </w:rPr>
        <w:t xml:space="preserve">. </w:t>
      </w:r>
    </w:p>
    <w:p w:rsidR="00D9323F" w:rsidRDefault="00F47CDD">
      <w:pPr>
        <w:keepNext/>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Compétence territoriale</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les affaires </w:t>
      </w:r>
      <w:r>
        <w:rPr>
          <w:rFonts w:ascii="Times New Roman" w:eastAsiaTheme="minorHAnsi" w:hAnsi="Times New Roman"/>
          <w:i/>
          <w:noProof/>
          <w:sz w:val="24"/>
          <w:lang w:val="fr-BE"/>
        </w:rPr>
        <w:t>Câbles électriques</w:t>
      </w:r>
      <w:r>
        <w:rPr>
          <w:rStyle w:val="FootnoteReference"/>
          <w:noProof/>
          <w:sz w:val="24"/>
        </w:rPr>
        <w:footnoteReference w:id="32"/>
      </w:r>
      <w:r>
        <w:rPr>
          <w:rFonts w:ascii="Times New Roman" w:eastAsiaTheme="minorHAnsi" w:hAnsi="Times New Roman"/>
          <w:noProof/>
          <w:sz w:val="24"/>
          <w:lang w:val="fr-BE"/>
        </w:rPr>
        <w:t>, le Tribunal a confirmé la pratique de la Commission en matière de compétence territo</w:t>
      </w:r>
      <w:r>
        <w:rPr>
          <w:rFonts w:ascii="Times New Roman" w:eastAsiaTheme="minorHAnsi" w:hAnsi="Times New Roman"/>
          <w:noProof/>
          <w:sz w:val="24"/>
          <w:lang w:val="fr-BE"/>
        </w:rPr>
        <w:t>riale. Le Tribunal a estimé que la Commission est habilitée à sanctionner les pratiques mises en œuvre en dehors de l’EEE lorsqu’il est prévisible que les pratiques en question auront un effet immédiat et substantiel sur le marché intérieur.</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Examen des pou</w:t>
      </w:r>
      <w:r>
        <w:rPr>
          <w:rFonts w:ascii="Times New Roman" w:eastAsiaTheme="minorHAnsi" w:hAnsi="Times New Roman"/>
          <w:b/>
          <w:noProof/>
          <w:sz w:val="24"/>
          <w:lang w:val="fr-BE"/>
        </w:rPr>
        <w:t>voirs d’enquête – inspections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Tribunal a rendu deux arrêts sur les recours en annulation introduits par </w:t>
      </w:r>
      <w:r>
        <w:rPr>
          <w:rFonts w:ascii="Times New Roman" w:hAnsi="Times New Roman"/>
          <w:i/>
          <w:noProof/>
          <w:sz w:val="24"/>
          <w:lang w:val="fr-BE"/>
        </w:rPr>
        <w:t>České dráhy</w:t>
      </w:r>
      <w:r>
        <w:rPr>
          <w:rFonts w:ascii="Times New Roman" w:hAnsi="Times New Roman"/>
          <w:noProof/>
          <w:sz w:val="24"/>
          <w:vertAlign w:val="superscript"/>
        </w:rPr>
        <w:footnoteReference w:id="33"/>
      </w:r>
      <w:r>
        <w:rPr>
          <w:rFonts w:ascii="Times New Roman" w:hAnsi="Times New Roman"/>
          <w:noProof/>
          <w:sz w:val="24"/>
          <w:lang w:val="fr-BE"/>
        </w:rPr>
        <w:t xml:space="preserve"> concernant deux décisions d’inspection de la Commission</w:t>
      </w:r>
      <w:r>
        <w:rPr>
          <w:rFonts w:ascii="Times New Roman" w:hAnsi="Times New Roman"/>
          <w:noProof/>
          <w:sz w:val="24"/>
          <w:vertAlign w:val="superscript"/>
        </w:rPr>
        <w:footnoteReference w:id="34"/>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Dans le premier arrêt, qui a partiellement confirmé la décision d’inspection de la Commission, le Tribunal a examiné si la Commission disposait d’indices suffisamment sérieux permettant de suspecter une infraction aux règles de concurrence et si le champ d</w:t>
      </w:r>
      <w:r>
        <w:rPr>
          <w:rFonts w:ascii="Times New Roman" w:hAnsi="Times New Roman"/>
          <w:noProof/>
          <w:sz w:val="24"/>
          <w:lang w:val="fr-BE"/>
        </w:rPr>
        <w:t>’inspection circonscrit par la décision d’inspection se limitait à l’infraction présumée. Il a estimé que la Commission disposait d’indices suffisamment sérieux pour suspecter une infraction à l’article 102 du TFUE au moyen de prix prédateurs sur la liaiso</w:t>
      </w:r>
      <w:r>
        <w:rPr>
          <w:rFonts w:ascii="Times New Roman" w:hAnsi="Times New Roman"/>
          <w:noProof/>
          <w:sz w:val="24"/>
          <w:lang w:val="fr-BE"/>
        </w:rPr>
        <w:t>n ferroviaire Prague-Ostrava. Toutefois, le Tribunal a conclu que la Commission ne disposait pas d’indices permettant de suspecter d’autres types de comportement anticoncurrentiel au regard de l’article 102 du TFUE sur la liaison Prague-Ostrava ou sur d’au</w:t>
      </w:r>
      <w:r>
        <w:rPr>
          <w:rFonts w:ascii="Times New Roman" w:hAnsi="Times New Roman"/>
          <w:noProof/>
          <w:sz w:val="24"/>
          <w:lang w:val="fr-BE"/>
        </w:rPr>
        <w:t>tres liaisons. Le Tribunal a rejeté les autres motifs d’annulation invoqués par České dráhy. Ce faisant, il a confirmé que les inspections parallèles effectuées par la Commission et les autorités nationales de concurrence ne pouvaient donner lieu à une con</w:t>
      </w:r>
      <w:r>
        <w:rPr>
          <w:rFonts w:ascii="Times New Roman" w:hAnsi="Times New Roman"/>
          <w:noProof/>
          <w:sz w:val="24"/>
          <w:lang w:val="fr-BE"/>
        </w:rPr>
        <w:t>fiance légitime que la Commission s’abstiendrait d’intervenir dans cette affaire. Le Tribunal a également précisé que le fait que la liaison faisant l’objet de l’enquête était nationale n’empêchait pas la Commission de considérer que l’infraction potentiel</w:t>
      </w:r>
      <w:r>
        <w:rPr>
          <w:rFonts w:ascii="Times New Roman" w:hAnsi="Times New Roman"/>
          <w:noProof/>
          <w:sz w:val="24"/>
          <w:lang w:val="fr-BE"/>
        </w:rPr>
        <w:t xml:space="preserve">le pourrait avoir un effet sur le commerce entre États membres.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noProof/>
          <w:sz w:val="24"/>
          <w:lang w:val="fr-BE"/>
        </w:rPr>
        <w:t>Dans le deuxième arrêt, le Tribunal a confirmé la deuxième décision d’inspection de la Commission adressée à České dráhy. Cette deuxième décision d’inspection concernait une infraction présum</w:t>
      </w:r>
      <w:r>
        <w:rPr>
          <w:rFonts w:ascii="Times New Roman" w:hAnsi="Times New Roman"/>
          <w:noProof/>
          <w:sz w:val="24"/>
          <w:lang w:val="fr-BE"/>
        </w:rPr>
        <w:t>ée à l’article 101 du TFUE basée sur des documents obtenus lors de la première inspection. L’examen du Tribunal s’est concentré sur la question de savoir si les éléments de preuve sous-jacents de la deuxième décision d’inspection avaient été obtenus légale</w:t>
      </w:r>
      <w:r>
        <w:rPr>
          <w:rFonts w:ascii="Times New Roman" w:hAnsi="Times New Roman"/>
          <w:noProof/>
          <w:sz w:val="24"/>
          <w:lang w:val="fr-BE"/>
        </w:rPr>
        <w:t>ment lors de la première inspection. Le Tribunal a examiné si les documents qui ont servi de base à la deuxième décision d’inspection concernant une infraction présumée à l’article 101 du TFUE étaient liés à l'existence possible de prix prédateurs (l’objet</w:t>
      </w:r>
      <w:r>
        <w:rPr>
          <w:rFonts w:ascii="Times New Roman" w:hAnsi="Times New Roman"/>
          <w:noProof/>
          <w:sz w:val="24"/>
          <w:lang w:val="fr-BE"/>
        </w:rPr>
        <w:t xml:space="preserve"> de la première inspection au titre de l’article 102 du TFUE). Le Tribunal a confirmé que les indications contenues dans ces documents, bien qu’imprécises, étaient liées aux coûts de České dráhy et donc pertinentes pour l’évaluation d’une prétendue stratég</w:t>
      </w:r>
      <w:r>
        <w:rPr>
          <w:rFonts w:ascii="Times New Roman" w:hAnsi="Times New Roman"/>
          <w:noProof/>
          <w:sz w:val="24"/>
          <w:lang w:val="fr-BE"/>
        </w:rPr>
        <w:t xml:space="preserve">ie de prix prédateurs sur la liaison Prague-Ostrava. Il a donc été conclu que les documents avaient été obtenus légalement.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son arrêt dans l’affaire </w:t>
      </w:r>
      <w:r>
        <w:rPr>
          <w:rFonts w:ascii="Times New Roman" w:eastAsiaTheme="minorHAnsi" w:hAnsi="Times New Roman"/>
          <w:i/>
          <w:noProof/>
          <w:sz w:val="24"/>
          <w:lang w:val="fr-BE"/>
        </w:rPr>
        <w:t>bioéthanol</w:t>
      </w:r>
      <w:r>
        <w:rPr>
          <w:rFonts w:ascii="Times New Roman" w:eastAsiaTheme="minorHAnsi" w:hAnsi="Times New Roman"/>
          <w:noProof/>
          <w:vertAlign w:val="superscript"/>
        </w:rPr>
        <w:footnoteReference w:id="35"/>
      </w:r>
      <w:r>
        <w:rPr>
          <w:rFonts w:ascii="Times New Roman" w:eastAsiaTheme="minorHAnsi" w:hAnsi="Times New Roman"/>
          <w:noProof/>
          <w:sz w:val="24"/>
          <w:lang w:val="fr-BE"/>
        </w:rPr>
        <w:t>, le Tribunal a jugé irrecevable toute allégation selon laquelle la Commission aurait viol</w:t>
      </w:r>
      <w:r>
        <w:rPr>
          <w:rFonts w:ascii="Times New Roman" w:eastAsiaTheme="minorHAnsi" w:hAnsi="Times New Roman"/>
          <w:noProof/>
          <w:sz w:val="24"/>
          <w:lang w:val="fr-BE"/>
        </w:rPr>
        <w:t>é, par sa méthodologie de recherches électroniques pendant l’inspection, les principes de protection de la communication juridique et professionnelle. Le Tribunal a réaffirmé sa conclusion selon laquelle la validité juridique d’une décision ne saurait être</w:t>
      </w:r>
      <w:r>
        <w:rPr>
          <w:rFonts w:ascii="Times New Roman" w:eastAsiaTheme="minorHAnsi" w:hAnsi="Times New Roman"/>
          <w:noProof/>
          <w:sz w:val="24"/>
          <w:lang w:val="fr-BE"/>
        </w:rPr>
        <w:t xml:space="preserve"> affectée par des actes postérieurs à son adoption. Il s’ensuit que les entreprises ne peuvent invoquer l’argument selon lequel l’inspection a été effectuée de manière illégale pour étayer des demandes d’annulation de la décision d’inspection elle-même. En</w:t>
      </w:r>
      <w:r>
        <w:rPr>
          <w:rFonts w:ascii="Times New Roman" w:eastAsiaTheme="minorHAnsi" w:hAnsi="Times New Roman"/>
          <w:noProof/>
          <w:sz w:val="24"/>
          <w:lang w:val="fr-BE"/>
        </w:rPr>
        <w:t xml:space="preserve"> outre, le Tribunal a jugé que toute lettre préalable de la Commission refusant de suspendre son enquête sur la base de telles allégations ne constitue pas un acte susceptible d’être contesté en justice avant la conclusion de l’enquête.  </w:t>
      </w:r>
    </w:p>
    <w:p w:rsidR="00D9323F" w:rsidRDefault="00F47CDD">
      <w:pPr>
        <w:spacing w:line="240" w:lineRule="auto"/>
        <w:jc w:val="both"/>
        <w:rPr>
          <w:rFonts w:asciiTheme="minorHAnsi" w:eastAsiaTheme="minorHAnsi" w:hAnsiTheme="minorHAnsi" w:cstheme="minorBidi"/>
          <w:noProof/>
          <w:lang w:val="fr-BE"/>
        </w:rPr>
      </w:pPr>
      <w:r>
        <w:rPr>
          <w:rFonts w:ascii="Times New Roman" w:eastAsiaTheme="minorHAnsi" w:hAnsi="Times New Roman"/>
          <w:noProof/>
          <w:sz w:val="24"/>
          <w:lang w:val="fr-BE"/>
        </w:rPr>
        <w:t>Dans les affaires</w:t>
      </w:r>
      <w:r>
        <w:rPr>
          <w:rFonts w:ascii="Times New Roman" w:eastAsiaTheme="minorHAnsi" w:hAnsi="Times New Roman"/>
          <w:noProof/>
          <w:sz w:val="24"/>
          <w:lang w:val="fr-BE"/>
        </w:rPr>
        <w:t xml:space="preserve"> </w:t>
      </w:r>
      <w:r>
        <w:rPr>
          <w:rFonts w:ascii="Times New Roman" w:eastAsiaTheme="minorHAnsi" w:hAnsi="Times New Roman"/>
          <w:i/>
          <w:noProof/>
          <w:sz w:val="24"/>
          <w:lang w:val="fr-BE"/>
        </w:rPr>
        <w:t>Câbles électriques</w:t>
      </w:r>
      <w:r>
        <w:rPr>
          <w:rFonts w:ascii="Times New Roman" w:eastAsiaTheme="minorHAnsi" w:hAnsi="Times New Roman"/>
          <w:noProof/>
          <w:vertAlign w:val="superscript"/>
        </w:rPr>
        <w:footnoteReference w:id="36"/>
      </w:r>
      <w:r>
        <w:rPr>
          <w:rFonts w:ascii="Times New Roman" w:eastAsiaTheme="minorHAnsi" w:hAnsi="Times New Roman"/>
          <w:noProof/>
          <w:sz w:val="24"/>
          <w:lang w:val="fr-BE"/>
        </w:rPr>
        <w:t>, le Tribunal a réexaminé la procédure d’inspection continue. Si l’examen des documents n’est pas terminé à la fin prévue de l’inspection sur place, une copie de l’ensemble de données restant à analyser peut être scellée et emportée dan</w:t>
      </w:r>
      <w:r>
        <w:rPr>
          <w:rFonts w:ascii="Times New Roman" w:eastAsiaTheme="minorHAnsi" w:hAnsi="Times New Roman"/>
          <w:noProof/>
          <w:sz w:val="24"/>
          <w:lang w:val="fr-BE"/>
        </w:rPr>
        <w:t>s les locaux de la Commission, où l’inspection se poursuit dans un délai raisonnable. Le Tribunal a constaté que l’article 20, paragraphe 2, point b), du règlement nº 1/2003 ne prévoit pas que l’examen des documents professionnels doit être effectué exclus</w:t>
      </w:r>
      <w:r>
        <w:rPr>
          <w:rFonts w:ascii="Times New Roman" w:eastAsiaTheme="minorHAnsi" w:hAnsi="Times New Roman"/>
          <w:noProof/>
          <w:sz w:val="24"/>
          <w:lang w:val="fr-BE"/>
        </w:rPr>
        <w:t>ivement dans les locaux de l’entreprise inspectée. Toutefois, lors de l’examen des documents dans ses propres locaux, la Commission doit offrir les mêmes garanties que celles données lors de l’examen dans les locaux de l’entreprise contrôlée. Enfin, le Tri</w:t>
      </w:r>
      <w:r>
        <w:rPr>
          <w:rFonts w:ascii="Times New Roman" w:eastAsiaTheme="minorHAnsi" w:hAnsi="Times New Roman"/>
          <w:noProof/>
          <w:sz w:val="24"/>
          <w:lang w:val="fr-BE"/>
        </w:rPr>
        <w:t>bunal a considéré que l’étape intermédiaire consistant à copier ou à effectuer des copies-images de documents dans le cadre de l’analyse informatique légale relève des compétences prévues à l’article 20, paragraphe 2, points b) et c), du règlement nº 1/200</w:t>
      </w:r>
      <w:r>
        <w:rPr>
          <w:rFonts w:ascii="Times New Roman" w:eastAsiaTheme="minorHAnsi" w:hAnsi="Times New Roman"/>
          <w:noProof/>
          <w:sz w:val="24"/>
          <w:lang w:val="fr-BE"/>
        </w:rPr>
        <w:t>3.</w:t>
      </w:r>
      <w:r>
        <w:rPr>
          <w:rFonts w:asciiTheme="minorHAnsi" w:eastAsiaTheme="minorHAnsi" w:hAnsiTheme="minorHAnsi" w:cstheme="minorBidi"/>
          <w:noProof/>
          <w:lang w:val="fr-BE"/>
        </w:rPr>
        <w:t xml:space="preserve"> </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Examen des amendes</w:t>
      </w:r>
    </w:p>
    <w:p w:rsidR="00D9323F" w:rsidRDefault="00F47CDD">
      <w:pPr>
        <w:spacing w:line="240" w:lineRule="auto"/>
        <w:jc w:val="both"/>
        <w:rPr>
          <w:rFonts w:ascii="Times New Roman" w:eastAsiaTheme="minorHAnsi" w:hAnsi="Times New Roman"/>
          <w:i/>
          <w:iCs/>
          <w:noProof/>
          <w:sz w:val="24"/>
          <w:szCs w:val="24"/>
          <w:lang w:val="fr-BE"/>
        </w:rPr>
      </w:pPr>
      <w:r>
        <w:rPr>
          <w:rFonts w:ascii="Times New Roman" w:eastAsiaTheme="minorHAnsi" w:hAnsi="Times New Roman"/>
          <w:noProof/>
          <w:sz w:val="24"/>
          <w:lang w:val="fr-BE"/>
        </w:rPr>
        <w:t xml:space="preserve">Les arrêts de la Cour de justice dans les affaires </w:t>
      </w:r>
      <w:r>
        <w:rPr>
          <w:rFonts w:ascii="Times New Roman" w:eastAsiaTheme="minorHAnsi" w:hAnsi="Times New Roman"/>
          <w:i/>
          <w:noProof/>
          <w:sz w:val="24"/>
          <w:lang w:val="fr-BE"/>
        </w:rPr>
        <w:t>Transit</w:t>
      </w:r>
      <w:r>
        <w:rPr>
          <w:rFonts w:asciiTheme="minorHAnsi" w:eastAsiaTheme="minorHAnsi" w:hAnsiTheme="minorHAnsi" w:cstheme="minorBidi"/>
          <w:noProof/>
          <w:vertAlign w:val="superscript"/>
        </w:rPr>
        <w:footnoteReference w:id="37"/>
      </w:r>
      <w:r>
        <w:rPr>
          <w:rFonts w:ascii="Times New Roman" w:eastAsiaTheme="minorHAnsi" w:hAnsi="Times New Roman"/>
          <w:noProof/>
          <w:sz w:val="24"/>
          <w:lang w:val="fr-BE"/>
        </w:rPr>
        <w:t xml:space="preserve"> confirment plusieurs points essentiels pour la pratique décisionnelle de la Commission, à savoir le régime de clémence, les pouvoirs discrétionnaires de la Commission dans le choix des entités à traiter et sa méthode de calcul des amendes. En ce qui conce</w:t>
      </w:r>
      <w:r>
        <w:rPr>
          <w:rFonts w:ascii="Times New Roman" w:eastAsiaTheme="minorHAnsi" w:hAnsi="Times New Roman"/>
          <w:noProof/>
          <w:sz w:val="24"/>
          <w:lang w:val="fr-BE"/>
        </w:rPr>
        <w:t>rne la fixation des amendes, la Cour de justice a jugé que les services ayant fait l’objet de l’entente étaient les services de transit aérien international, et pas uniquement les différentes composantes de ces services sur lesquelles les parties se sont e</w:t>
      </w:r>
      <w:r>
        <w:rPr>
          <w:rFonts w:ascii="Times New Roman" w:eastAsiaTheme="minorHAnsi" w:hAnsi="Times New Roman"/>
          <w:noProof/>
          <w:sz w:val="24"/>
          <w:lang w:val="fr-BE"/>
        </w:rPr>
        <w:t>ntendues. En conséquence, la Cour de justice a considéré que la Commission a correctement fixé les amendes sur la base de la valeur totale des ventes sur le marché global des services de transit aérien international «</w:t>
      </w:r>
      <w:r>
        <w:rPr>
          <w:rFonts w:ascii="Times New Roman" w:eastAsiaTheme="minorHAnsi" w:hAnsi="Times New Roman"/>
          <w:i/>
          <w:noProof/>
          <w:sz w:val="24"/>
          <w:lang w:val="fr-BE"/>
        </w:rPr>
        <w:t>dès lors que les ventes entrant dans le</w:t>
      </w:r>
      <w:r>
        <w:rPr>
          <w:rFonts w:ascii="Times New Roman" w:eastAsiaTheme="minorHAnsi" w:hAnsi="Times New Roman"/>
          <w:i/>
          <w:noProof/>
          <w:sz w:val="24"/>
          <w:lang w:val="fr-BE"/>
        </w:rPr>
        <w:t xml:space="preserve"> périmètre des infractions en cause ont été réalisées sur ce même marché</w:t>
      </w:r>
      <w:r>
        <w:rPr>
          <w:rFonts w:ascii="Times New Roman" w:eastAsiaTheme="minorHAnsi" w:hAnsi="Times New Roman"/>
          <w:noProof/>
          <w:sz w:val="24"/>
          <w:lang w:val="fr-BE"/>
        </w:rPr>
        <w:t>».</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L’arrêt rendu par le Tribunal dans l’affaire </w:t>
      </w:r>
      <w:r>
        <w:rPr>
          <w:rFonts w:ascii="Times New Roman" w:eastAsiaTheme="minorHAnsi" w:hAnsi="Times New Roman"/>
          <w:i/>
          <w:noProof/>
          <w:sz w:val="24"/>
          <w:lang w:val="fr-BE"/>
        </w:rPr>
        <w:t>Crevettes de la mer du Nord</w:t>
      </w:r>
      <w:r>
        <w:rPr>
          <w:rFonts w:ascii="Times New Roman" w:eastAsiaTheme="minorHAnsi" w:hAnsi="Times New Roman"/>
          <w:noProof/>
          <w:sz w:val="20"/>
          <w:vertAlign w:val="superscript"/>
        </w:rPr>
        <w:footnoteReference w:id="38"/>
      </w:r>
      <w:r>
        <w:rPr>
          <w:rFonts w:ascii="Times New Roman" w:eastAsiaTheme="minorHAnsi" w:hAnsi="Times New Roman"/>
          <w:noProof/>
          <w:sz w:val="24"/>
          <w:lang w:val="fr-BE"/>
        </w:rPr>
        <w:t xml:space="preserve"> a confirmé l’existence et la portée de l’entente et la participation de la société Stührk à celle-ci. Toute</w:t>
      </w:r>
      <w:r>
        <w:rPr>
          <w:rFonts w:ascii="Times New Roman" w:eastAsiaTheme="minorHAnsi" w:hAnsi="Times New Roman"/>
          <w:noProof/>
          <w:sz w:val="24"/>
          <w:lang w:val="fr-BE"/>
        </w:rPr>
        <w:t>fois, le Tribunal a rappelé à la Commission qu’elle doit dûment justifier et expliquer le calcul de son amende, en particulier lorsqu’elle s’écarte de ses propres lignes directrices pour le calcul des amendes</w:t>
      </w:r>
      <w:r>
        <w:rPr>
          <w:rFonts w:ascii="Times New Roman" w:eastAsiaTheme="minorHAnsi" w:hAnsi="Times New Roman"/>
          <w:noProof/>
          <w:sz w:val="20"/>
          <w:vertAlign w:val="superscript"/>
        </w:rPr>
        <w:footnoteReference w:id="39"/>
      </w:r>
      <w:r>
        <w:rPr>
          <w:rFonts w:ascii="Times New Roman" w:eastAsiaTheme="minorHAnsi" w:hAnsi="Times New Roman"/>
          <w:noProof/>
          <w:sz w:val="24"/>
          <w:lang w:val="fr-BE"/>
        </w:rPr>
        <w:t>, même si elle le fait en faveur des parties</w:t>
      </w:r>
      <w:r>
        <w:rPr>
          <w:rFonts w:ascii="Times New Roman" w:eastAsiaTheme="minorHAnsi" w:hAnsi="Times New Roman"/>
          <w:noProof/>
          <w:sz w:val="20"/>
          <w:vertAlign w:val="superscript"/>
        </w:rPr>
        <w:footnoteReference w:id="40"/>
      </w:r>
      <w:r>
        <w:rPr>
          <w:rFonts w:ascii="Times New Roman" w:eastAsiaTheme="minorHAnsi" w:hAnsi="Times New Roman"/>
          <w:noProof/>
          <w:sz w:val="24"/>
          <w:lang w:val="fr-BE"/>
        </w:rPr>
        <w:t>.</w:t>
      </w:r>
      <w:r>
        <w:rPr>
          <w:rFonts w:ascii="Times New Roman" w:eastAsiaTheme="minorHAnsi" w:hAnsi="Times New Roman"/>
          <w:noProof/>
          <w:sz w:val="20"/>
          <w:lang w:val="fr-BE"/>
        </w:rPr>
        <w:t xml:space="preserve"> </w:t>
      </w:r>
      <w:r>
        <w:rPr>
          <w:rFonts w:ascii="Times New Roman" w:eastAsiaTheme="minorHAnsi" w:hAnsi="Times New Roman"/>
          <w:noProof/>
          <w:sz w:val="24"/>
          <w:lang w:val="fr-BE"/>
        </w:rPr>
        <w:t xml:space="preserve">Sur cette base, l’amende a été annulée.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les affaires </w:t>
      </w:r>
      <w:r>
        <w:rPr>
          <w:rFonts w:ascii="Times New Roman" w:eastAsiaTheme="minorHAnsi" w:hAnsi="Times New Roman"/>
          <w:i/>
          <w:noProof/>
          <w:sz w:val="24"/>
          <w:lang w:val="fr-BE"/>
        </w:rPr>
        <w:t>Câbles électriques</w:t>
      </w:r>
      <w:r>
        <w:rPr>
          <w:rFonts w:ascii="Times New Roman" w:eastAsiaTheme="minorHAnsi" w:hAnsi="Times New Roman"/>
          <w:noProof/>
          <w:sz w:val="20"/>
          <w:vertAlign w:val="superscript"/>
        </w:rPr>
        <w:footnoteReference w:id="41"/>
      </w:r>
      <w:r>
        <w:rPr>
          <w:rFonts w:ascii="Times New Roman" w:eastAsiaTheme="minorHAnsi" w:hAnsi="Times New Roman"/>
          <w:noProof/>
          <w:sz w:val="24"/>
          <w:lang w:val="fr-BE"/>
        </w:rPr>
        <w:t xml:space="preserve">, le Tribunal a confirmé que la Commission avait correctement appliqué la méthodologie exposée au point 18 des lignes directrices pour le calcul des amendes. Dans ces affaires, </w:t>
      </w:r>
      <w:r>
        <w:rPr>
          <w:rFonts w:ascii="Times New Roman" w:eastAsiaTheme="minorHAnsi" w:hAnsi="Times New Roman"/>
          <w:noProof/>
          <w:sz w:val="24"/>
          <w:lang w:val="fr-BE"/>
        </w:rPr>
        <w:t>les entreprises actives au sein de l’EEE s’étaient réservé le marché de l’EEE, tandis que les entreprises asiatiques s’étaient engagées à ne pas y pénétrer. Les participants à l’entente s’étaient réparti les projets entre eux en fonction de la zone géograp</w:t>
      </w:r>
      <w:r>
        <w:rPr>
          <w:rFonts w:ascii="Times New Roman" w:eastAsiaTheme="minorHAnsi" w:hAnsi="Times New Roman"/>
          <w:noProof/>
          <w:sz w:val="24"/>
          <w:lang w:val="fr-BE"/>
        </w:rPr>
        <w:t>hique ou du client. Plus précisément, les entreprises actives au sein de l’EEE avaient convenu de se répartir les projets au sein de l’EEE.</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ce cas de figure, l’application directe du point 13 des lignes directrices pour le calcul des amendes (lorsque </w:t>
      </w:r>
      <w:r>
        <w:rPr>
          <w:rFonts w:ascii="Times New Roman" w:eastAsiaTheme="minorHAnsi" w:hAnsi="Times New Roman"/>
          <w:noProof/>
          <w:sz w:val="24"/>
          <w:lang w:val="fr-BE"/>
        </w:rPr>
        <w:t>la Commission utilise la valeur des ventes de chaque entreprise active au sein de l’EEE) aboutirait à des ventes nulles (et donc à des amendes nulles) pour les entreprises asiatiques, car celles-ci ne réalisaient aucune vente au sein de l’EEE. En appliquan</w:t>
      </w:r>
      <w:r>
        <w:rPr>
          <w:rFonts w:ascii="Times New Roman" w:eastAsiaTheme="minorHAnsi" w:hAnsi="Times New Roman"/>
          <w:noProof/>
          <w:sz w:val="24"/>
          <w:lang w:val="fr-BE"/>
        </w:rPr>
        <w:t>t le point 18 des lignes directrices pour le calcul des amendes, les ventes réalisées au sein de l’EEE par l’ensemble des membres de l’entente (indépendamment du fait qu’ils soient actifs au sein l’EEE) ont été redistribuées proportionnellement aux parts d</w:t>
      </w:r>
      <w:r>
        <w:rPr>
          <w:rFonts w:ascii="Times New Roman" w:eastAsiaTheme="minorHAnsi" w:hAnsi="Times New Roman"/>
          <w:noProof/>
          <w:sz w:val="24"/>
          <w:lang w:val="fr-BE"/>
        </w:rPr>
        <w:t>e marché qu’ils détiennent sur l’ensemble du territoire couvert par l’infraction.</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ce qui concerne la gravité et les circonstances atténuantes pour la fixation des amendes par la Commission, le Tribunal a confirmé l’approche de la Commission selon laquel</w:t>
      </w:r>
      <w:r>
        <w:rPr>
          <w:rFonts w:ascii="Times New Roman" w:eastAsiaTheme="minorHAnsi" w:hAnsi="Times New Roman"/>
          <w:noProof/>
          <w:sz w:val="24"/>
          <w:lang w:val="fr-BE"/>
        </w:rPr>
        <w:t>le une participation moins active à l’infraction d’une entreprise a été correctement prise en compte lors de l’appréciation par la Commission des circonstances atténuantes</w:t>
      </w:r>
      <w:r>
        <w:rPr>
          <w:rFonts w:ascii="Times New Roman" w:eastAsiaTheme="minorHAnsi" w:hAnsi="Times New Roman"/>
          <w:noProof/>
          <w:sz w:val="20"/>
          <w:vertAlign w:val="superscript"/>
        </w:rPr>
        <w:footnoteReference w:id="42"/>
      </w:r>
      <w:r>
        <w:rPr>
          <w:rFonts w:ascii="Times New Roman" w:eastAsiaTheme="minorHAnsi" w:hAnsi="Times New Roman"/>
          <w:noProof/>
          <w:sz w:val="24"/>
          <w:lang w:val="fr-BE"/>
        </w:rPr>
        <w:t>.</w:t>
      </w:r>
      <w:r>
        <w:rPr>
          <w:rFonts w:ascii="Times New Roman" w:eastAsiaTheme="minorHAnsi" w:hAnsi="Times New Roman"/>
          <w:noProof/>
          <w:sz w:val="20"/>
          <w:vertAlign w:val="superscript"/>
          <w:lang w:val="fr-BE"/>
        </w:rPr>
        <w:t xml:space="preserve"> </w:t>
      </w:r>
    </w:p>
    <w:p w:rsidR="00D9323F" w:rsidRDefault="00F47CDD">
      <w:pPr>
        <w:spacing w:line="240" w:lineRule="auto"/>
        <w:jc w:val="both"/>
        <w:rPr>
          <w:rFonts w:ascii="Times New Roman" w:eastAsiaTheme="minorHAnsi" w:hAnsi="Times New Roman"/>
          <w:noProof/>
          <w:color w:val="1F497D"/>
          <w:sz w:val="24"/>
          <w:szCs w:val="24"/>
          <w:lang w:val="fr-BE"/>
        </w:rPr>
      </w:pPr>
      <w:r>
        <w:rPr>
          <w:rFonts w:ascii="Times New Roman" w:eastAsiaTheme="minorHAnsi" w:hAnsi="Times New Roman"/>
          <w:noProof/>
          <w:sz w:val="24"/>
          <w:lang w:val="fr-BE"/>
        </w:rPr>
        <w:t>En outre, le Tribunal a estimé que la Commission n’était pas tenue de répartir le</w:t>
      </w:r>
      <w:r>
        <w:rPr>
          <w:rFonts w:ascii="Times New Roman" w:eastAsiaTheme="minorHAnsi" w:hAnsi="Times New Roman"/>
          <w:noProof/>
          <w:sz w:val="24"/>
          <w:lang w:val="fr-BE"/>
        </w:rPr>
        <w:t xml:space="preserve">s parts internes de l’amende globale infligée aux entités tenues conjointement et solidairement responsables. Selon le Tribunal, une telle répartition porterait atteinte à l’objectif des mécanismes de responsabilité conjointe et solidaire, dont le but est </w:t>
      </w:r>
      <w:r>
        <w:rPr>
          <w:rFonts w:ascii="Times New Roman" w:eastAsiaTheme="minorHAnsi" w:hAnsi="Times New Roman"/>
          <w:noProof/>
          <w:sz w:val="24"/>
          <w:lang w:val="fr-BE"/>
        </w:rPr>
        <w:t xml:space="preserve">de fournir à la Commission un dispositif juridique supplémentaire pour renforcer à la fois l’efficacité du recouvrement des amendes infligées et l’effet de dissuasion généralement recherché par le droit de la concurrence.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l’arrêt </w:t>
      </w:r>
      <w:r>
        <w:rPr>
          <w:rFonts w:ascii="Times New Roman" w:eastAsiaTheme="minorHAnsi" w:hAnsi="Times New Roman"/>
          <w:i/>
          <w:noProof/>
          <w:sz w:val="24"/>
          <w:lang w:val="fr-BE"/>
        </w:rPr>
        <w:t>Stabilisants thermiq</w:t>
      </w:r>
      <w:r>
        <w:rPr>
          <w:rFonts w:ascii="Times New Roman" w:eastAsiaTheme="minorHAnsi" w:hAnsi="Times New Roman"/>
          <w:i/>
          <w:noProof/>
          <w:sz w:val="24"/>
          <w:lang w:val="fr-BE"/>
        </w:rPr>
        <w:t>ues</w:t>
      </w:r>
      <w:r>
        <w:rPr>
          <w:rFonts w:ascii="Times New Roman" w:eastAsiaTheme="minorHAnsi" w:hAnsi="Times New Roman"/>
          <w:noProof/>
          <w:sz w:val="24"/>
          <w:vertAlign w:val="superscript"/>
        </w:rPr>
        <w:footnoteReference w:id="43"/>
      </w:r>
      <w:r>
        <w:rPr>
          <w:rFonts w:ascii="Times New Roman" w:eastAsiaTheme="minorHAnsi" w:hAnsi="Times New Roman"/>
          <w:noProof/>
          <w:sz w:val="24"/>
          <w:lang w:val="fr-BE"/>
        </w:rPr>
        <w:t xml:space="preserve">, le Tribunal a annulé la décision de la Commission modifiant l’attribution de la responsabilité conjointe et solidaire, constatant une violation du principe d’égalité de traitement lors de la détermination de la responsabilité conjointe et solidaire </w:t>
      </w:r>
      <w:r>
        <w:rPr>
          <w:rFonts w:ascii="Times New Roman" w:eastAsiaTheme="minorHAnsi" w:hAnsi="Times New Roman"/>
          <w:noProof/>
          <w:sz w:val="24"/>
          <w:lang w:val="fr-BE"/>
        </w:rPr>
        <w:t>de l’amende. La question s’est posée du fait qu’au moment de l’infraction, trois entités faisaient partie de l’entreprise, la première (ACW) participant directement à l’ensemble de l’infraction, la deuxième (GEA) étant la société faîtière tout au long de l</w:t>
      </w:r>
      <w:r>
        <w:rPr>
          <w:rFonts w:ascii="Times New Roman" w:eastAsiaTheme="minorHAnsi" w:hAnsi="Times New Roman"/>
          <w:noProof/>
          <w:sz w:val="24"/>
          <w:lang w:val="fr-BE"/>
        </w:rPr>
        <w:t>’infraction et la dernière étant la société mère intermédiaire pour une partie de l’infraction (Chemson). Après l’infraction, mais avant l’adoption de la décision, GEA a vendu ACW et Chemson. L’amende imposée à ACW a été plafonnée en raison de l’applicatio</w:t>
      </w:r>
      <w:r>
        <w:rPr>
          <w:rFonts w:ascii="Times New Roman" w:eastAsiaTheme="minorHAnsi" w:hAnsi="Times New Roman"/>
          <w:noProof/>
          <w:sz w:val="24"/>
          <w:lang w:val="fr-BE"/>
        </w:rPr>
        <w:t>n du plafond de 10 %. Le Tribunal a estimé que cette réduction d’amende pour une entité (ACW) violait le principe d’égalité de traitement et aurait dû être répartie de manière proportionnelle entre les deux autres entités (GEA et Chemson).</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O</w:t>
      </w:r>
      <w:r>
        <w:rPr>
          <w:rFonts w:ascii="Times New Roman" w:hAnsi="Times New Roman"/>
          <w:i/>
          <w:noProof/>
          <w:sz w:val="24"/>
          <w:lang w:val="fr-BE"/>
        </w:rPr>
        <w:t>range Polska</w:t>
      </w:r>
      <w:r>
        <w:rPr>
          <w:rFonts w:ascii="Times New Roman" w:hAnsi="Times New Roman"/>
          <w:noProof/>
          <w:sz w:val="20"/>
          <w:vertAlign w:val="superscript"/>
        </w:rPr>
        <w:footnoteReference w:id="44"/>
      </w:r>
      <w:r>
        <w:rPr>
          <w:rFonts w:ascii="Times New Roman" w:hAnsi="Times New Roman"/>
          <w:noProof/>
          <w:sz w:val="24"/>
          <w:lang w:val="fr-BE"/>
        </w:rPr>
        <w:t>, la Cour de justice a rejeté le pourvoi d’Orange Polska contre un arrêt du Tribunal</w:t>
      </w:r>
      <w:r>
        <w:rPr>
          <w:rFonts w:ascii="Times New Roman" w:hAnsi="Times New Roman"/>
          <w:noProof/>
          <w:sz w:val="20"/>
          <w:vertAlign w:val="superscript"/>
        </w:rPr>
        <w:footnoteReference w:id="45"/>
      </w:r>
      <w:r>
        <w:rPr>
          <w:rFonts w:ascii="Times New Roman" w:hAnsi="Times New Roman"/>
          <w:noProof/>
          <w:sz w:val="24"/>
          <w:lang w:val="fr-BE"/>
        </w:rPr>
        <w:t xml:space="preserve"> confirmant la décision de la Commission européenne</w:t>
      </w:r>
      <w:r>
        <w:rPr>
          <w:rFonts w:ascii="Times New Roman" w:eastAsiaTheme="minorHAnsi" w:hAnsi="Times New Roman"/>
          <w:noProof/>
          <w:sz w:val="24"/>
          <w:vertAlign w:val="superscript"/>
        </w:rPr>
        <w:footnoteReference w:id="46"/>
      </w:r>
      <w:r>
        <w:rPr>
          <w:rFonts w:ascii="Times New Roman" w:hAnsi="Times New Roman"/>
          <w:noProof/>
          <w:sz w:val="24"/>
          <w:lang w:val="fr-BE"/>
        </w:rPr>
        <w:t xml:space="preserve"> infligeant une amende à Telekomunikacja Polska (devenue Orange Polska) pour abus de position dominante su</w:t>
      </w:r>
      <w:r>
        <w:rPr>
          <w:rFonts w:ascii="Times New Roman" w:hAnsi="Times New Roman"/>
          <w:noProof/>
          <w:sz w:val="24"/>
          <w:lang w:val="fr-BE"/>
        </w:rPr>
        <w:t>r les marchés polonais du haut débit. L’arrêt de la Cour de justice confirme que, lorsqu’elle inflige une amende pour une infraction ayant pris fin, la Commission n’est pas tenue de justifier dans sa décision l’existence d’un intérêt légitime à constater c</w:t>
      </w:r>
      <w:r>
        <w:rPr>
          <w:rFonts w:ascii="Times New Roman" w:hAnsi="Times New Roman"/>
          <w:noProof/>
          <w:sz w:val="24"/>
          <w:lang w:val="fr-BE"/>
        </w:rPr>
        <w:t xml:space="preserve">ette infraction. La Cour de justice a également confirmé que, pour apprécier la gravité de l’infraction aux fins du calcul de l’amende, la Commission n’est pas tenue de prendre en compte les effets réels ou probables de l’infraction commise.  </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Révision des</w:t>
      </w:r>
      <w:r>
        <w:rPr>
          <w:rFonts w:ascii="Times New Roman" w:eastAsiaTheme="minorHAnsi" w:hAnsi="Times New Roman"/>
          <w:b/>
          <w:noProof/>
          <w:sz w:val="24"/>
          <w:lang w:val="fr-BE"/>
        </w:rPr>
        <w:t xml:space="preserve"> décisions relatives aux engagements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Canal+</w:t>
      </w:r>
      <w:r>
        <w:rPr>
          <w:rFonts w:ascii="Times New Roman" w:hAnsi="Times New Roman"/>
          <w:noProof/>
          <w:sz w:val="24"/>
          <w:vertAlign w:val="superscript"/>
        </w:rPr>
        <w:footnoteReference w:id="47"/>
      </w:r>
      <w:r>
        <w:rPr>
          <w:rFonts w:ascii="Times New Roman" w:hAnsi="Times New Roman"/>
          <w:noProof/>
          <w:sz w:val="24"/>
          <w:lang w:val="fr-BE"/>
        </w:rPr>
        <w:t>, le Tribunal a rejeté le recours en annulation introduit par Canal+ contre la décision de la Commission rendant obligatoires les engagements offerts par Paramount Pictures Ltd («Paramount»). Ces e</w:t>
      </w:r>
      <w:r>
        <w:rPr>
          <w:rFonts w:ascii="Times New Roman" w:hAnsi="Times New Roman"/>
          <w:noProof/>
          <w:sz w:val="24"/>
          <w:lang w:val="fr-BE"/>
        </w:rPr>
        <w:t>ngagements répondaient aux préoccupations de la Commission selon lesquelles des clauses de l’accord de licence de télévision payante conclu entre Paramount et Sky UK empêchaient les ventes passives transfrontalières et constituaient donc une protection ter</w:t>
      </w:r>
      <w:r>
        <w:rPr>
          <w:rFonts w:ascii="Times New Roman" w:hAnsi="Times New Roman"/>
          <w:noProof/>
          <w:sz w:val="24"/>
          <w:lang w:val="fr-BE"/>
        </w:rPr>
        <w:t>ritoriale absolue éliminant toute concurrence transfrontalière entre radiodiffuseurs de télévision payante. Dans ses engagements, Paramount s’était engagée à ne pas appliquer et à ne pas respecter les restrictions contractuelles sur les ventes passives pen</w:t>
      </w:r>
      <w:r>
        <w:rPr>
          <w:rFonts w:ascii="Times New Roman" w:hAnsi="Times New Roman"/>
          <w:noProof/>
          <w:sz w:val="24"/>
          <w:lang w:val="fr-BE"/>
        </w:rPr>
        <w:t>dant une période de cinq ans au sein de l’EEE. Canal+ a contesté la décision d’engagement en tant que tiers, faisant valoir que les clauses attaquées ne restreignaient pas la concurrence et que la décision de la Commission violait le principe de proportion</w:t>
      </w:r>
      <w:r>
        <w:rPr>
          <w:rFonts w:ascii="Times New Roman" w:hAnsi="Times New Roman"/>
          <w:noProof/>
          <w:sz w:val="24"/>
          <w:lang w:val="fr-BE"/>
        </w:rPr>
        <w:t xml:space="preserve">nalité.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Tribunal a examiné le contexte juridique et économique des clauses attaquées et a confirmé les préoccupations de la Commission selon lesquelles ces clauses constituaient une protection territoriale absolue et avaient pour objet l’élimination d</w:t>
      </w:r>
      <w:r>
        <w:rPr>
          <w:rFonts w:ascii="Times New Roman" w:hAnsi="Times New Roman"/>
          <w:noProof/>
          <w:sz w:val="24"/>
          <w:lang w:val="fr-BE"/>
        </w:rPr>
        <w:t>e toute concurrence transfrontalière entre radiodiffuseurs de télévision payante. Selon le Tribunal, cette conclusion s’applique aux œuvres sous licence, qu’elles soient protégées ou non par le droit d’auteur. En outre, le Tribunal a noté que les clauses i</w:t>
      </w:r>
      <w:r>
        <w:rPr>
          <w:rFonts w:ascii="Times New Roman" w:hAnsi="Times New Roman"/>
          <w:noProof/>
          <w:sz w:val="24"/>
          <w:lang w:val="fr-BE"/>
        </w:rPr>
        <w:t>mposaient des restrictions qui allaient au-delà de ce qui était indispensable pour l’amélioration de la production et de la distribution des œuvres protégées par le droit d’auteur.</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le principe de proportionnalité, le Tribunal a jugé que,</w:t>
      </w:r>
      <w:r>
        <w:rPr>
          <w:rFonts w:ascii="Times New Roman" w:hAnsi="Times New Roman"/>
          <w:noProof/>
          <w:sz w:val="24"/>
          <w:lang w:val="fr-BE"/>
        </w:rPr>
        <w:t xml:space="preserve"> lorsqu’un engagement consiste en la non-application d’une clause contractuelle, une décision de la Commission relative aux engagements rend cet engagement contraignant uniquement pour les entreprises qui l’ont offert, et non pour les tiers qui pourraient </w:t>
      </w:r>
      <w:r>
        <w:rPr>
          <w:rFonts w:ascii="Times New Roman" w:hAnsi="Times New Roman"/>
          <w:noProof/>
          <w:sz w:val="24"/>
          <w:lang w:val="fr-BE"/>
        </w:rPr>
        <w:t>voir leurs droits affectés par cet engagement. Les tiers ont la possibilité de protéger leurs droits juridiques devant le juge national. Le Tribunal a également confirmé que la Commission était en droit, sans violer le principe de proportionnalité, d’accep</w:t>
      </w:r>
      <w:r>
        <w:rPr>
          <w:rFonts w:ascii="Times New Roman" w:hAnsi="Times New Roman"/>
          <w:noProof/>
          <w:sz w:val="24"/>
          <w:lang w:val="fr-BE"/>
        </w:rPr>
        <w:t>ter l’engagement de Paramount de ne pas mettre en œuvre les clauses contestées dans son contrat avec Sky UK pour le Royaume-Uni et l’Irlande (pays pour lesquels la Commission avait exprimé des préoccupations), mais également dans les contrats de licence av</w:t>
      </w:r>
      <w:r>
        <w:rPr>
          <w:rFonts w:ascii="Times New Roman" w:hAnsi="Times New Roman"/>
          <w:noProof/>
          <w:sz w:val="24"/>
          <w:lang w:val="fr-BE"/>
        </w:rPr>
        <w:t>ec d’autres radiodiffuseurs de l’EEE pour différents territoires nationaux.</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Examen de décisions de rejet de plaintes</w:t>
      </w:r>
    </w:p>
    <w:p w:rsidR="00D9323F" w:rsidRDefault="00F47CDD">
      <w:pPr>
        <w:tabs>
          <w:tab w:val="left" w:pos="7080"/>
        </w:tabs>
        <w:spacing w:after="240" w:line="240" w:lineRule="auto"/>
        <w:jc w:val="both"/>
        <w:rPr>
          <w:rFonts w:ascii="Times New Roman" w:hAnsi="Times New Roman" w:cs="Calibri"/>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Agria Polska</w:t>
      </w:r>
      <w:r>
        <w:rPr>
          <w:rFonts w:ascii="Times New Roman" w:hAnsi="Times New Roman"/>
          <w:noProof/>
          <w:sz w:val="24"/>
          <w:vertAlign w:val="superscript"/>
        </w:rPr>
        <w:footnoteReference w:id="48"/>
      </w:r>
      <w:r>
        <w:rPr>
          <w:rFonts w:ascii="Times New Roman" w:hAnsi="Times New Roman"/>
          <w:noProof/>
          <w:sz w:val="24"/>
          <w:lang w:val="fr-BE"/>
        </w:rPr>
        <w:t>, la Cour de justice a rejeté un pourvoi formé contre l’arrêt du Tribunal confirmant la décision de la Commissi</w:t>
      </w:r>
      <w:r>
        <w:rPr>
          <w:rFonts w:ascii="Times New Roman" w:hAnsi="Times New Roman"/>
          <w:noProof/>
          <w:sz w:val="24"/>
          <w:lang w:val="fr-BE"/>
        </w:rPr>
        <w:t>on rejetant une plainte pour défaut d’intérêt de l’Union européenne. La Cour de justice a estimé que la portée et le coût d’une enquête demandée par un plaignant ne peuvent être considérés comme des critères déterminants pour constater l’intérêt de l’Union</w:t>
      </w:r>
      <w:r>
        <w:rPr>
          <w:rFonts w:ascii="Times New Roman" w:hAnsi="Times New Roman"/>
          <w:noProof/>
          <w:sz w:val="24"/>
          <w:lang w:val="fr-BE"/>
        </w:rPr>
        <w:t xml:space="preserve"> européenne, même si l’enquête couvrait plusieurs États membres. En outre, la Cour de justice a rejeté l’argument selon lequel la Commission devrait ouvrir une enquête pour garantir l’efficacité des règles de concurrence si le plaignant se heurte à des obs</w:t>
      </w:r>
      <w:r>
        <w:rPr>
          <w:rFonts w:ascii="Times New Roman" w:hAnsi="Times New Roman"/>
          <w:noProof/>
          <w:sz w:val="24"/>
          <w:lang w:val="fr-BE"/>
        </w:rPr>
        <w:t>tacles procéduraux ou institutionnels pour introduire un recours devant les juridictions nationales. La Commission n’est pas tenue de compenser les lacunes de la protection judiciaire au niveau national en ouvrant une enquête. La Cour de justice a conclu q</w:t>
      </w:r>
      <w:r>
        <w:rPr>
          <w:rFonts w:ascii="Times New Roman" w:hAnsi="Times New Roman"/>
          <w:noProof/>
          <w:sz w:val="24"/>
          <w:lang w:val="fr-BE"/>
        </w:rPr>
        <w:t>u’il incombe aux États membres d’assurer une protection juridictionnelle efficace aux justiciables.</w:t>
      </w:r>
    </w:p>
    <w:p w:rsidR="00D9323F" w:rsidRDefault="00F47CDD">
      <w:pPr>
        <w:spacing w:after="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EAEPC</w:t>
      </w:r>
      <w:r>
        <w:rPr>
          <w:noProof/>
          <w:sz w:val="24"/>
          <w:vertAlign w:val="superscript"/>
        </w:rPr>
        <w:footnoteReference w:id="49"/>
      </w:r>
      <w:r>
        <w:rPr>
          <w:rFonts w:ascii="Times New Roman" w:hAnsi="Times New Roman"/>
          <w:noProof/>
          <w:sz w:val="24"/>
          <w:lang w:val="fr-BE"/>
        </w:rPr>
        <w:t xml:space="preserve">, le Tribunal a pleinement confirmé une décision de la Commission rejetant la plainte de European Association of Euro-Pharmaceutical </w:t>
      </w:r>
      <w:r>
        <w:rPr>
          <w:rFonts w:ascii="Times New Roman" w:hAnsi="Times New Roman"/>
          <w:noProof/>
          <w:sz w:val="24"/>
          <w:lang w:val="fr-BE"/>
        </w:rPr>
        <w:t>Companies (EAEPC) selon laquelle GlaxoSmithKline (GSK) avait violé l’article 101 du TFUE en appliquant un système de double prix. GSK avait notifié le régime à la Commission en 1998 dans le cadre du régime d’autorisation précédent du règlement 17/1962</w:t>
      </w:r>
      <w:r>
        <w:rPr>
          <w:noProof/>
          <w:sz w:val="24"/>
          <w:vertAlign w:val="superscript"/>
        </w:rPr>
        <w:footnoteReference w:id="50"/>
      </w:r>
      <w:r>
        <w:rPr>
          <w:rFonts w:ascii="Times New Roman" w:hAnsi="Times New Roman"/>
          <w:noProof/>
          <w:sz w:val="24"/>
          <w:lang w:val="fr-BE"/>
        </w:rPr>
        <w:t xml:space="preserve"> et </w:t>
      </w:r>
      <w:r>
        <w:rPr>
          <w:rFonts w:ascii="Times New Roman" w:hAnsi="Times New Roman"/>
          <w:noProof/>
          <w:sz w:val="24"/>
          <w:lang w:val="fr-BE"/>
        </w:rPr>
        <w:t>EAEPC avait déposé sa plainte initiale en 1999. Faisant suite à la plainte d’EAEPC, la Commission a adopté en 2001 une décision constatant que le système de double prix constituait une restriction par objet et a refusé de l’exempter. En 2006, le Tribunal a</w:t>
      </w:r>
      <w:r>
        <w:rPr>
          <w:rFonts w:ascii="Times New Roman" w:hAnsi="Times New Roman"/>
          <w:noProof/>
          <w:sz w:val="24"/>
          <w:lang w:val="fr-BE"/>
        </w:rPr>
        <w:t xml:space="preserve"> annulé la décision de la Commission parce que cette dernière avait conclu à tort que la pratique en question restreignait la concurrence par objet et n’avait pas procédé à une appréciation adéquate au regard de l’article 101, paragraphe 3, du TFUE. En 200</w:t>
      </w:r>
      <w:r>
        <w:rPr>
          <w:rFonts w:ascii="Times New Roman" w:hAnsi="Times New Roman"/>
          <w:noProof/>
          <w:sz w:val="24"/>
          <w:lang w:val="fr-BE"/>
        </w:rPr>
        <w:t>9, la Cour de justice a partiellement annulé l’arrêt du Tribunal. La Cour de justice a confirmé la conclusion de la Commission selon laquelle la pratique en question constituait une restriction par objet, mais a confirmé la conclusion du Tribunal selon laq</w:t>
      </w:r>
      <w:r>
        <w:rPr>
          <w:rFonts w:ascii="Times New Roman" w:hAnsi="Times New Roman"/>
          <w:noProof/>
          <w:sz w:val="24"/>
          <w:lang w:val="fr-BE"/>
        </w:rPr>
        <w:t>uelle la Commission n’avait pas procédé à un examen complet au titre de l’article 101, paragraphe 3, du TFUE. À la suite de l’arrêt de la Cour de justice, GSK a officiellement retiré sa demande d’exemption individuelle de cette pratique en vertu de l’artic</w:t>
      </w:r>
      <w:r>
        <w:rPr>
          <w:rFonts w:ascii="Times New Roman" w:hAnsi="Times New Roman"/>
          <w:noProof/>
          <w:sz w:val="24"/>
          <w:lang w:val="fr-BE"/>
        </w:rPr>
        <w:t>le 101, paragraphe 3, du TFUE. Toutefois, EAEPC n’a pas retiré sa plainte contre GSK. En 2013, EAEPC a demandé à ce que la Commission adopte une décision sur la plainte. La Commission a rejeté la plainte pour défaut d’intérêt de l’Union européenne, considé</w:t>
      </w:r>
      <w:r>
        <w:rPr>
          <w:rFonts w:ascii="Times New Roman" w:hAnsi="Times New Roman"/>
          <w:noProof/>
          <w:sz w:val="24"/>
          <w:lang w:val="fr-BE"/>
        </w:rPr>
        <w:t>rant notamment que le comportement en cause remontait à de nombreuses années, qu’il ne s’était déroulé que pendant peu de temps, qu’il n’avait produit aucun effet persistant et que l’affaire pouvait être soumise aux autorités nationales.</w:t>
      </w:r>
    </w:p>
    <w:p w:rsidR="00D9323F" w:rsidRDefault="00F47CDD">
      <w:pPr>
        <w:spacing w:after="0" w:line="240" w:lineRule="auto"/>
        <w:jc w:val="both"/>
        <w:rPr>
          <w:rFonts w:ascii="Times New Roman" w:eastAsiaTheme="minorHAnsi" w:hAnsi="Times New Roman"/>
          <w:b/>
          <w:noProof/>
          <w:sz w:val="24"/>
          <w:szCs w:val="24"/>
          <w:lang w:val="fr-BE"/>
        </w:rPr>
      </w:pPr>
      <w:r>
        <w:rPr>
          <w:rFonts w:ascii="Times New Roman" w:hAnsi="Times New Roman"/>
          <w:noProof/>
          <w:sz w:val="24"/>
          <w:lang w:val="fr-BE"/>
        </w:rPr>
        <w:t xml:space="preserve">  </w:t>
      </w:r>
    </w:p>
    <w:p w:rsidR="00D9323F" w:rsidRDefault="00F47CDD">
      <w:pPr>
        <w:keepNext/>
        <w:jc w:val="both"/>
        <w:rPr>
          <w:rFonts w:ascii="Times New Roman" w:eastAsiaTheme="minorHAnsi" w:hAnsi="Times New Roman"/>
          <w:b/>
          <w:noProof/>
          <w:sz w:val="24"/>
          <w:szCs w:val="24"/>
          <w:lang w:val="fr-BE"/>
        </w:rPr>
      </w:pPr>
      <w:r>
        <w:rPr>
          <w:rFonts w:ascii="Times New Roman" w:eastAsiaTheme="minorHAnsi" w:hAnsi="Times New Roman"/>
          <w:b/>
          <w:noProof/>
          <w:sz w:val="24"/>
          <w:lang w:val="fr-BE"/>
        </w:rPr>
        <w:t>Examen des déci</w:t>
      </w:r>
      <w:r>
        <w:rPr>
          <w:rFonts w:ascii="Times New Roman" w:eastAsiaTheme="minorHAnsi" w:hAnsi="Times New Roman"/>
          <w:b/>
          <w:noProof/>
          <w:sz w:val="24"/>
          <w:lang w:val="fr-BE"/>
        </w:rPr>
        <w:t>sions de publication</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Les juridictions de l’UE ont réaffirmé la politique de publication de la Commission dans les affaires de concurrence, en rendant deux ordonnances rejetant des demandes de mesures provisoires.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Dans les affaires </w:t>
      </w:r>
      <w:r>
        <w:rPr>
          <w:rFonts w:ascii="Times New Roman" w:eastAsiaTheme="minorHAnsi" w:hAnsi="Times New Roman"/>
          <w:i/>
          <w:noProof/>
          <w:sz w:val="24"/>
          <w:lang w:val="fr-BE"/>
        </w:rPr>
        <w:t>Câbles électriques</w:t>
      </w:r>
      <w:r>
        <w:rPr>
          <w:rFonts w:ascii="Times New Roman" w:eastAsiaTheme="minorHAnsi" w:hAnsi="Times New Roman"/>
          <w:noProof/>
          <w:sz w:val="24"/>
          <w:vertAlign w:val="superscript"/>
        </w:rPr>
        <w:footnoteReference w:id="51"/>
      </w:r>
      <w:r>
        <w:rPr>
          <w:rFonts w:ascii="Times New Roman" w:eastAsiaTheme="minorHAnsi" w:hAnsi="Times New Roman"/>
          <w:noProof/>
          <w:sz w:val="24"/>
          <w:lang w:val="fr-BE"/>
        </w:rPr>
        <w:t xml:space="preserve">, le </w:t>
      </w:r>
      <w:r>
        <w:rPr>
          <w:rFonts w:ascii="Times New Roman" w:eastAsiaTheme="minorHAnsi" w:hAnsi="Times New Roman"/>
          <w:noProof/>
          <w:sz w:val="24"/>
          <w:lang w:val="fr-BE"/>
        </w:rPr>
        <w:t>vice-président de la Cour de justice a rendu une ordonnance confirmant l’ordonnance du président du Tribunal, refusant des mesures provisoires contre la décision du conseiller-auditeur de publier une version non confidentielle de la décision Câbles électri</w:t>
      </w:r>
      <w:r>
        <w:rPr>
          <w:rFonts w:ascii="Times New Roman" w:eastAsiaTheme="minorHAnsi" w:hAnsi="Times New Roman"/>
          <w:noProof/>
          <w:sz w:val="24"/>
          <w:lang w:val="fr-BE"/>
        </w:rPr>
        <w:t>ques, avec des modifications mineures. L’ordonnance de la Cour de justice confirme que la Commission n’est pas tenue d’attendre un arrêt définitif sur le fond de sa décision avant de la publier. Le vice-président de la Cour de justice a déclaré que les dro</w:t>
      </w:r>
      <w:r>
        <w:rPr>
          <w:rFonts w:ascii="Times New Roman" w:eastAsiaTheme="minorHAnsi" w:hAnsi="Times New Roman"/>
          <w:noProof/>
          <w:sz w:val="24"/>
          <w:lang w:val="fr-BE"/>
        </w:rPr>
        <w:t>its des requérants à être entendus et à obtenir réparation dans l’affaire au principal ne seraient pas affectés par la publication. Enfin, le vice-président de la Cour de justice a conclu que la publication ne porterait pas atteinte aux droits des requéran</w:t>
      </w:r>
      <w:r>
        <w:rPr>
          <w:rFonts w:ascii="Times New Roman" w:eastAsiaTheme="minorHAnsi" w:hAnsi="Times New Roman"/>
          <w:noProof/>
          <w:sz w:val="24"/>
          <w:lang w:val="fr-BE"/>
        </w:rPr>
        <w:t>ts à un recours effectif dans l’affaire au principal.</w:t>
      </w:r>
    </w:p>
    <w:p w:rsidR="00D9323F" w:rsidRDefault="00F47CDD">
      <w:pPr>
        <w:spacing w:after="120" w:line="240" w:lineRule="auto"/>
        <w:jc w:val="both"/>
        <w:rPr>
          <w:rFonts w:ascii="Times New Roman" w:hAnsi="Times New Roman"/>
          <w:noProof/>
          <w:sz w:val="24"/>
          <w:szCs w:val="24"/>
          <w:lang w:val="fr-BE"/>
        </w:rPr>
      </w:pPr>
      <w:r>
        <w:rPr>
          <w:rFonts w:ascii="Times New Roman" w:eastAsiaTheme="minorHAnsi" w:hAnsi="Times New Roman"/>
          <w:noProof/>
          <w:sz w:val="24"/>
          <w:lang w:val="fr-BE"/>
        </w:rPr>
        <w:t xml:space="preserve">Les ordonnances du président du Tribunal dans l’affaire </w:t>
      </w:r>
      <w:r>
        <w:rPr>
          <w:rFonts w:ascii="Times New Roman" w:eastAsiaTheme="minorHAnsi" w:hAnsi="Times New Roman"/>
          <w:i/>
          <w:noProof/>
          <w:sz w:val="24"/>
          <w:lang w:val="fr-BE"/>
        </w:rPr>
        <w:t>Euribor</w:t>
      </w:r>
      <w:r>
        <w:rPr>
          <w:rFonts w:ascii="Times New Roman" w:eastAsiaTheme="minorHAnsi" w:hAnsi="Times New Roman"/>
          <w:noProof/>
          <w:sz w:val="24"/>
          <w:vertAlign w:val="superscript"/>
        </w:rPr>
        <w:footnoteReference w:id="52"/>
      </w:r>
      <w:r>
        <w:rPr>
          <w:rFonts w:ascii="Times New Roman" w:eastAsiaTheme="minorHAnsi" w:hAnsi="Times New Roman"/>
          <w:noProof/>
          <w:sz w:val="24"/>
          <w:lang w:val="fr-BE"/>
        </w:rPr>
        <w:t xml:space="preserve"> stipulent que la publication d’une décision de la Commission au titre de l’article 101 du TFUE ne peut être suspendue parce que la décisi</w:t>
      </w:r>
      <w:r>
        <w:rPr>
          <w:rFonts w:ascii="Times New Roman" w:eastAsiaTheme="minorHAnsi" w:hAnsi="Times New Roman"/>
          <w:noProof/>
          <w:sz w:val="24"/>
          <w:lang w:val="fr-BE"/>
        </w:rPr>
        <w:t>on est contestée devant la Cour. L’argument des requérants selon lequel la présomption d’innocence empêcherait la Commission de publier une décision reprenant les noms des parties et les détails du comportement jugé anticoncurrentiel a été rejeté, dès lors</w:t>
      </w:r>
      <w:r>
        <w:rPr>
          <w:rFonts w:ascii="Times New Roman" w:eastAsiaTheme="minorHAnsi" w:hAnsi="Times New Roman"/>
          <w:noProof/>
          <w:sz w:val="24"/>
          <w:lang w:val="fr-BE"/>
        </w:rPr>
        <w:t xml:space="preserve"> que les parties peuvent présenter une demande en annulation de la décision en question. Dans l’affaire Câbles électriques</w:t>
      </w:r>
      <w:r>
        <w:rPr>
          <w:rFonts w:ascii="Times New Roman" w:hAnsi="Times New Roman"/>
          <w:noProof/>
          <w:sz w:val="24"/>
          <w:vertAlign w:val="superscript"/>
        </w:rPr>
        <w:footnoteReference w:id="53"/>
      </w:r>
      <w:r>
        <w:rPr>
          <w:rFonts w:ascii="Times New Roman" w:eastAsiaTheme="minorHAnsi" w:hAnsi="Times New Roman"/>
          <w:noProof/>
          <w:sz w:val="24"/>
          <w:lang w:val="fr-BE"/>
        </w:rPr>
        <w:t>, le vice-président de la Cour de justice a confirmé l’ordonnance du président du Tribunal qui rejetait l’argument selon lequel les i</w:t>
      </w:r>
      <w:r>
        <w:rPr>
          <w:rFonts w:ascii="Times New Roman" w:eastAsiaTheme="minorHAnsi" w:hAnsi="Times New Roman"/>
          <w:noProof/>
          <w:sz w:val="24"/>
          <w:lang w:val="fr-BE"/>
        </w:rPr>
        <w:t xml:space="preserve">nformations contenues dans la décision devraient être couvertes par le secret professionnel en raison d’un pourvoi en cours contre cette décision.   </w:t>
      </w:r>
    </w:p>
    <w:p w:rsidR="00D9323F" w:rsidRDefault="00D9323F">
      <w:pPr>
        <w:spacing w:after="0" w:line="240" w:lineRule="auto"/>
        <w:rPr>
          <w:rFonts w:ascii="Times New Roman" w:eastAsia="Times New Roman" w:hAnsi="Times New Roman"/>
          <w:b/>
          <w:bCs/>
          <w:noProof/>
          <w:sz w:val="24"/>
          <w:szCs w:val="24"/>
          <w:lang w:val="fr-BE"/>
        </w:rPr>
      </w:pPr>
      <w:bookmarkStart w:id="15" w:name="_Toc478566428"/>
    </w:p>
    <w:p w:rsidR="00D9323F" w:rsidRDefault="00F47CDD">
      <w:pPr>
        <w:widowControl w:val="0"/>
        <w:spacing w:line="240" w:lineRule="auto"/>
        <w:ind w:firstLine="720"/>
        <w:outlineLvl w:val="2"/>
        <w:rPr>
          <w:rFonts w:ascii="Times New Roman" w:eastAsia="Times New Roman" w:hAnsi="Times New Roman"/>
          <w:b/>
          <w:bCs/>
          <w:noProof/>
          <w:sz w:val="24"/>
          <w:szCs w:val="24"/>
          <w:lang w:val="fr-BE"/>
        </w:rPr>
      </w:pPr>
      <w:bookmarkStart w:id="16" w:name="_Toc19019187"/>
      <w:r>
        <w:rPr>
          <w:rFonts w:ascii="Times New Roman" w:hAnsi="Times New Roman"/>
          <w:b/>
          <w:noProof/>
          <w:sz w:val="24"/>
          <w:lang w:val="fr-BE"/>
        </w:rPr>
        <w:t>1.3 La répression des ententes demeure une priorité absolue</w:t>
      </w:r>
      <w:bookmarkEnd w:id="15"/>
      <w:bookmarkEnd w:id="16"/>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Les ententes sont des accords secrets conclus entre des vendeurs ou des acheteurs d’un même produit ou service. Elles sont constituées en vue de fixer les prix, de limiter la production ou de répartir les clients et les fournisseurs. Les ententes lèsent le</w:t>
      </w:r>
      <w:r>
        <w:rPr>
          <w:rFonts w:ascii="Times New Roman" w:eastAsiaTheme="minorHAnsi" w:hAnsi="Times New Roman"/>
          <w:noProof/>
          <w:sz w:val="24"/>
          <w:lang w:val="fr-BE"/>
        </w:rPr>
        <w:t>s consommateurs à tous les niveaux de la chaîne de valeur et nuisent à l’économie dans son ensemble. Leurs membres gonflent les prix, limitent le choix des consommateurs et entravent l’innovation. Seule une concurrence non faussée garantit l’utilisation la</w:t>
      </w:r>
      <w:r>
        <w:rPr>
          <w:rFonts w:ascii="Times New Roman" w:eastAsiaTheme="minorHAnsi" w:hAnsi="Times New Roman"/>
          <w:noProof/>
          <w:sz w:val="24"/>
          <w:lang w:val="fr-BE"/>
        </w:rPr>
        <w:t xml:space="preserve"> plus efficiente de ressources limitées. L’intervention de la Commission pour mettre un terme aux ententes caractérisées empêche les entreprises de continuer à tirer profit de surcoûts illégaux et contribue ainsi à établir des relations commerciales justes</w:t>
      </w:r>
      <w:r>
        <w:rPr>
          <w:rFonts w:ascii="Times New Roman" w:eastAsiaTheme="minorHAnsi" w:hAnsi="Times New Roman"/>
          <w:noProof/>
          <w:sz w:val="24"/>
          <w:lang w:val="fr-BE"/>
        </w:rPr>
        <w:t xml:space="preserve"> et équilibrées. Les lourdes sanctions infligées par la Commission dissuadent les entreprises de s’associer à des ententes ou de continuer d’en être membres, envoyant un signal clair que la participation à une entente ne sera, en définitive, pas payante.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2018, la Commission a continué d’obtenir de bons résultats dans la lutte contre les ententes caractérisées. Comme les années précédentes, elle a adopté des décisions relatives à des ententes dans des secteurs importants pour l’innovation et l’investisse</w:t>
      </w:r>
      <w:r>
        <w:rPr>
          <w:rFonts w:ascii="Times New Roman" w:eastAsiaTheme="minorHAnsi" w:hAnsi="Times New Roman"/>
          <w:noProof/>
          <w:sz w:val="24"/>
          <w:lang w:val="fr-BE"/>
        </w:rPr>
        <w:t>ment, tels que le marché des composants électroniques et l’industrie automobile. La procédure de transaction reste un outil efficace que la Commission utilise régulièrement dans sa lutte contre les ententes, comme en témoigne le fait qu’elle a été utilisée</w:t>
      </w:r>
      <w:r>
        <w:rPr>
          <w:rFonts w:ascii="Times New Roman" w:eastAsiaTheme="minorHAnsi" w:hAnsi="Times New Roman"/>
          <w:noProof/>
          <w:sz w:val="24"/>
          <w:lang w:val="fr-BE"/>
        </w:rPr>
        <w:t xml:space="preserve"> pour 75 % des décisions adoptées cette année.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La Commission a infligé une amende de 254 millions d’EUR à huit fabricants de condensateurs – </w:t>
      </w:r>
      <w:r>
        <w:rPr>
          <w:rFonts w:ascii="Times New Roman" w:eastAsiaTheme="minorHAnsi" w:hAnsi="Times New Roman"/>
          <w:i/>
          <w:noProof/>
          <w:sz w:val="24"/>
          <w:lang w:val="fr-BE"/>
        </w:rPr>
        <w:t>Elna, Hitachi Chemical, Holy Stone, Matsuo, NEC Tokin, Nichicon, Nippon Chemi-Con, Rubycon</w:t>
      </w:r>
      <w:r>
        <w:rPr>
          <w:rFonts w:ascii="Times New Roman" w:eastAsiaTheme="minorHAnsi" w:hAnsi="Times New Roman"/>
          <w:noProof/>
          <w:sz w:val="24"/>
          <w:lang w:val="fr-BE"/>
        </w:rPr>
        <w:t xml:space="preserve"> (</w:t>
      </w:r>
      <w:r>
        <w:rPr>
          <w:rFonts w:ascii="Times New Roman" w:eastAsiaTheme="minorHAnsi" w:hAnsi="Times New Roman"/>
          <w:i/>
          <w:noProof/>
          <w:sz w:val="24"/>
          <w:lang w:val="fr-BE"/>
        </w:rPr>
        <w:t>Sanyo</w:t>
      </w:r>
      <w:r>
        <w:rPr>
          <w:rFonts w:ascii="Times New Roman" w:eastAsiaTheme="minorHAnsi" w:hAnsi="Times New Roman"/>
          <w:noProof/>
          <w:sz w:val="24"/>
          <w:lang w:val="fr-BE"/>
        </w:rPr>
        <w:t xml:space="preserve"> a bénéficié d’un</w:t>
      </w:r>
      <w:r>
        <w:rPr>
          <w:rFonts w:ascii="Times New Roman" w:eastAsiaTheme="minorHAnsi" w:hAnsi="Times New Roman"/>
          <w:noProof/>
          <w:sz w:val="24"/>
          <w:lang w:val="fr-BE"/>
        </w:rPr>
        <w:t>e immunité) – en raison de leur participation à une entente entre 1998 et 2012</w:t>
      </w:r>
      <w:r>
        <w:rPr>
          <w:rStyle w:val="FootnoteReference"/>
          <w:rFonts w:ascii="Times New Roman" w:eastAsiaTheme="minorHAnsi" w:hAnsi="Times New Roman"/>
          <w:noProof/>
          <w:sz w:val="24"/>
        </w:rPr>
        <w:footnoteReference w:id="54"/>
      </w:r>
      <w:r>
        <w:rPr>
          <w:rFonts w:ascii="Times New Roman" w:eastAsiaTheme="minorHAnsi" w:hAnsi="Times New Roman"/>
          <w:noProof/>
          <w:sz w:val="24"/>
          <w:lang w:val="fr-BE"/>
        </w:rPr>
        <w:t>. Les condensateurs sont des composants électriques qui stockent l’énergie de manière électrostatique, dans un champ électrique, et qui sont utilisés dans un large éventail de p</w:t>
      </w:r>
      <w:r>
        <w:rPr>
          <w:rFonts w:ascii="Times New Roman" w:eastAsiaTheme="minorHAnsi" w:hAnsi="Times New Roman"/>
          <w:noProof/>
          <w:sz w:val="24"/>
          <w:lang w:val="fr-BE"/>
        </w:rPr>
        <w:t xml:space="preserve">roduits électroniques, parmi lesquels des smartphones, des appareils électroménagers et des dispositifs électroniques dans les voitures; l’entente a ainsi porté préjudice à la fois aux fabricants et aux consommateurs. Bien que les réunions et les contacts </w:t>
      </w:r>
      <w:r>
        <w:rPr>
          <w:rFonts w:ascii="Times New Roman" w:eastAsiaTheme="minorHAnsi" w:hAnsi="Times New Roman"/>
          <w:noProof/>
          <w:sz w:val="24"/>
          <w:lang w:val="fr-BE"/>
        </w:rPr>
        <w:t>aient eu lieu en dehors de l’UE, l’entente était mise en œuvre à l’échelle mondiale, y compris au sein de l’EEE. La décision concernant cette entente, contrairement aux autres infractions commises dans le cadre d'une entente en 2018, a été prise selon la p</w:t>
      </w:r>
      <w:r>
        <w:rPr>
          <w:rFonts w:ascii="Times New Roman" w:eastAsiaTheme="minorHAnsi" w:hAnsi="Times New Roman"/>
          <w:noProof/>
          <w:sz w:val="24"/>
          <w:lang w:val="fr-BE"/>
        </w:rPr>
        <w:t>rocédure ordinaire.</w:t>
      </w:r>
      <w:hyperlink r:id="rId19"/>
      <w:r>
        <w:rPr>
          <w:rFonts w:ascii="Times New Roman" w:eastAsiaTheme="minorHAnsi" w:hAnsi="Times New Roman"/>
          <w:noProof/>
          <w:sz w:val="24"/>
          <w:lang w:val="fr-BE"/>
        </w:rPr>
        <w:t xml:space="preserv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Les procédures ordinaires restent importantes, toutes les enquêtes ne pouvant conduire à des discussions en vue d’une transaction. Parmi les éléments pertinents </w:t>
      </w:r>
      <w:r>
        <w:rPr>
          <w:rFonts w:ascii="Times New Roman" w:eastAsiaTheme="minorHAnsi" w:hAnsi="Times New Roman"/>
          <w:noProof/>
          <w:sz w:val="24"/>
          <w:lang w:val="fr-BE"/>
        </w:rPr>
        <w:t xml:space="preserve">à cet égard figurent le nombre de parties, la proportion d’entreprises ayant sollicité la clémence par rapport au nombre de parties total, le degré de contestation, l’existence de divergences de vues entre les parties, de même que la présence de nouvelles </w:t>
      </w:r>
      <w:r>
        <w:rPr>
          <w:rFonts w:ascii="Times New Roman" w:eastAsiaTheme="minorHAnsi" w:hAnsi="Times New Roman"/>
          <w:noProof/>
          <w:sz w:val="24"/>
          <w:lang w:val="fr-BE"/>
        </w:rPr>
        <w:t xml:space="preserve">caractéristiques ou de circonstances aggravantes dans les pratiques examinées. Si les conditions adéquates ne sont pas réunies, comme ce fut le cas dans l’affaire relative aux condensateurs, la Commission applique la procédure ordinaire.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La Commission a p</w:t>
      </w:r>
      <w:r>
        <w:rPr>
          <w:rFonts w:ascii="Times New Roman" w:eastAsiaTheme="minorHAnsi" w:hAnsi="Times New Roman"/>
          <w:noProof/>
          <w:sz w:val="24"/>
          <w:lang w:val="fr-BE"/>
        </w:rPr>
        <w:t xml:space="preserve">oursuivi ses travaux contre les ententes dans les secteurs des services de transport maritime et de l’automobile. En ce qui concerne le secteur du transport maritime, elle a infligé une amende de 395 millions d’EUR à quatre transporteurs maritimes – </w:t>
      </w:r>
      <w:r>
        <w:rPr>
          <w:rFonts w:ascii="Times New Roman" w:eastAsiaTheme="minorHAnsi" w:hAnsi="Times New Roman"/>
          <w:i/>
          <w:noProof/>
          <w:sz w:val="24"/>
          <w:lang w:val="fr-BE"/>
        </w:rPr>
        <w:t xml:space="preserve">CSAV, </w:t>
      </w:r>
      <w:r>
        <w:rPr>
          <w:rFonts w:ascii="Times New Roman" w:eastAsiaTheme="minorHAnsi" w:hAnsi="Times New Roman"/>
          <w:i/>
          <w:noProof/>
          <w:sz w:val="24"/>
          <w:lang w:val="fr-BE"/>
        </w:rPr>
        <w:t>«K» Line, NYK et WWL-EUKOR</w:t>
      </w:r>
      <w:r>
        <w:rPr>
          <w:rFonts w:ascii="Times New Roman" w:eastAsiaTheme="minorHAnsi" w:hAnsi="Times New Roman"/>
          <w:noProof/>
          <w:sz w:val="24"/>
          <w:lang w:val="fr-BE"/>
        </w:rPr>
        <w:t xml:space="preserve"> (</w:t>
      </w:r>
      <w:r>
        <w:rPr>
          <w:rFonts w:ascii="Times New Roman" w:eastAsiaTheme="minorHAnsi" w:hAnsi="Times New Roman"/>
          <w:i/>
          <w:noProof/>
          <w:sz w:val="24"/>
          <w:lang w:val="fr-BE"/>
        </w:rPr>
        <w:t>MOL</w:t>
      </w:r>
      <w:r>
        <w:rPr>
          <w:rFonts w:ascii="Times New Roman" w:eastAsiaTheme="minorHAnsi" w:hAnsi="Times New Roman"/>
          <w:noProof/>
          <w:sz w:val="24"/>
          <w:lang w:val="fr-BE"/>
        </w:rPr>
        <w:t xml:space="preserve"> a bénéficié d’une immunité)</w:t>
      </w:r>
      <w:r>
        <w:rPr>
          <w:rFonts w:ascii="Times New Roman" w:eastAsiaTheme="minorHAnsi" w:hAnsi="Times New Roman"/>
          <w:noProof/>
          <w:sz w:val="24"/>
          <w:vertAlign w:val="superscript"/>
        </w:rPr>
        <w:footnoteReference w:id="55"/>
      </w:r>
      <w:r>
        <w:rPr>
          <w:rFonts w:ascii="Times New Roman" w:eastAsiaTheme="minorHAnsi" w:hAnsi="Times New Roman"/>
          <w:noProof/>
          <w:sz w:val="24"/>
          <w:lang w:val="fr-BE"/>
        </w:rPr>
        <w:t xml:space="preserve"> – en raison de leur participation à une entente. Pendant près de 6 ans, d’octobre 2006 à septembre 2012, ces cinq entreprises de transport ont constitué une entente sur le marché du transport en </w:t>
      </w:r>
      <w:r>
        <w:rPr>
          <w:rFonts w:ascii="Times New Roman" w:eastAsiaTheme="minorHAnsi" w:hAnsi="Times New Roman"/>
          <w:noProof/>
          <w:sz w:val="24"/>
          <w:lang w:val="fr-BE"/>
        </w:rPr>
        <w:t>haute mer de voitures neuves, de camions neufs et d’autres véhicules neufs de grande taille comme des moissonneuses-batteuses et des tracteurs, sur différentes liaisons entre l’Europe et d’autres continents. L’entente a eu une incidence tant sur les import</w:t>
      </w:r>
      <w:r>
        <w:rPr>
          <w:rFonts w:ascii="Times New Roman" w:eastAsiaTheme="minorHAnsi" w:hAnsi="Times New Roman"/>
          <w:noProof/>
          <w:sz w:val="24"/>
          <w:lang w:val="fr-BE"/>
        </w:rPr>
        <w:t>ateurs de voitures et les consommateurs finaux européens, dès lors que les véhicules importés étaient vendus dans l’EEE, que sur les constructeurs automobiles européens, dès lors que leurs véhicules étaient exportés en dehors de l’EEE. En 2016, quelque 3,4</w:t>
      </w:r>
      <w:r>
        <w:rPr>
          <w:rFonts w:ascii="Times New Roman" w:eastAsiaTheme="minorHAnsi" w:hAnsi="Times New Roman"/>
          <w:noProof/>
          <w:sz w:val="24"/>
          <w:lang w:val="fr-BE"/>
        </w:rPr>
        <w:t> millions de véhicules à moteur ont été importés dans l’UE depuis des pays tiers, tandis que plus de 6,3 millions de véhicules ont été exportés de l’UE vers des pays tiers. Près de la moitié de ces véhicules ont été transportés par les entreprises sanction</w:t>
      </w:r>
      <w:r>
        <w:rPr>
          <w:rFonts w:ascii="Times New Roman" w:eastAsiaTheme="minorHAnsi" w:hAnsi="Times New Roman"/>
          <w:noProof/>
          <w:sz w:val="24"/>
          <w:lang w:val="fr-BE"/>
        </w:rPr>
        <w:t>nées par la Commission. Au cours de son enquête, la Commission a coopéré avec plusieurs autorités de concurrence du monde entier, notamment en Australie, au Canada, au Japon et aux États</w:t>
      </w:r>
      <w:r>
        <w:rPr>
          <w:noProof/>
          <w:lang w:val="fr-BE"/>
        </w:rPr>
        <w:noBreakHyphen/>
      </w:r>
      <w:r>
        <w:rPr>
          <w:rFonts w:ascii="Times New Roman" w:eastAsiaTheme="minorHAnsi" w:hAnsi="Times New Roman"/>
          <w:noProof/>
          <w:sz w:val="24"/>
          <w:lang w:val="fr-BE"/>
        </w:rPr>
        <w:t>Unis.</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Dans le secteur automobile, deux autres ententes ont été sancti</w:t>
      </w:r>
      <w:r>
        <w:rPr>
          <w:rFonts w:ascii="Times New Roman" w:eastAsiaTheme="minorHAnsi" w:hAnsi="Times New Roman"/>
          <w:noProof/>
          <w:sz w:val="24"/>
          <w:lang w:val="fr-BE"/>
        </w:rPr>
        <w:t xml:space="preserve">onnées. La Commission a également infligé une amende de 76 millions d’EUR à deux fournisseurs de bougies d’allumage (dispositifs électriques automobiles) – </w:t>
      </w:r>
      <w:r>
        <w:rPr>
          <w:rFonts w:ascii="Times New Roman" w:eastAsiaTheme="minorHAnsi" w:hAnsi="Times New Roman"/>
          <w:i/>
          <w:noProof/>
          <w:sz w:val="24"/>
          <w:lang w:val="fr-BE"/>
        </w:rPr>
        <w:t>Bosch</w:t>
      </w:r>
      <w:r>
        <w:rPr>
          <w:rFonts w:ascii="Times New Roman" w:eastAsiaTheme="minorHAnsi" w:hAnsi="Times New Roman"/>
          <w:noProof/>
          <w:sz w:val="24"/>
          <w:lang w:val="fr-BE"/>
        </w:rPr>
        <w:t xml:space="preserve"> et </w:t>
      </w:r>
      <w:r>
        <w:rPr>
          <w:rFonts w:ascii="Times New Roman" w:eastAsiaTheme="minorHAnsi" w:hAnsi="Times New Roman"/>
          <w:i/>
          <w:noProof/>
          <w:sz w:val="24"/>
          <w:lang w:val="fr-BE"/>
        </w:rPr>
        <w:t>NGK</w:t>
      </w:r>
      <w:r>
        <w:rPr>
          <w:rFonts w:ascii="Times New Roman" w:eastAsiaTheme="minorHAnsi" w:hAnsi="Times New Roman"/>
          <w:noProof/>
          <w:sz w:val="24"/>
          <w:lang w:val="fr-BE"/>
        </w:rPr>
        <w:t xml:space="preserve"> – pour avoir participé à une entente avec Denso, qui a demandé l’immunité. La Commissio</w:t>
      </w:r>
      <w:r>
        <w:rPr>
          <w:rFonts w:ascii="Times New Roman" w:eastAsiaTheme="minorHAnsi" w:hAnsi="Times New Roman"/>
          <w:noProof/>
          <w:sz w:val="24"/>
          <w:lang w:val="fr-BE"/>
        </w:rPr>
        <w:t>n a également décelé deux ententes portant sur les systèmes de freinage. La première concernait la fourniture de systèmes de freinage hydraulique et impliquait TRW (qui a demandé l’immunité; désormais ZF TRW), Bosch et Continental. La seconde concernait la</w:t>
      </w:r>
      <w:r>
        <w:rPr>
          <w:rFonts w:ascii="Times New Roman" w:eastAsiaTheme="minorHAnsi" w:hAnsi="Times New Roman"/>
          <w:noProof/>
          <w:sz w:val="24"/>
          <w:lang w:val="fr-BE"/>
        </w:rPr>
        <w:t xml:space="preserve"> fourniture de systèmes de freinage électronique et impliquait Bosch et Continental (qui a demandé l’immunité); la Commission a infligé des amendes d’un montant total de 75 millions d’EUR. </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La Commission reste déterminée à poursuivre toutes les ententes da</w:t>
      </w:r>
      <w:r>
        <w:rPr>
          <w:rFonts w:ascii="Times New Roman" w:eastAsiaTheme="minorHAnsi" w:hAnsi="Times New Roman"/>
          <w:noProof/>
          <w:sz w:val="24"/>
          <w:lang w:val="fr-BE"/>
        </w:rPr>
        <w:t xml:space="preserve">ns l’ensemble des secteurs lorsqu’elle dispose de suffisamment d’éléments de preuve de l’existence d’une infraction décelée grâce à son programme de clémence ou par son action ex officio (de plus amples informations sur les décisions en matière d’ententes </w:t>
      </w:r>
      <w:r>
        <w:rPr>
          <w:rFonts w:ascii="Times New Roman" w:eastAsiaTheme="minorHAnsi" w:hAnsi="Times New Roman"/>
          <w:noProof/>
          <w:sz w:val="24"/>
          <w:lang w:val="fr-BE"/>
        </w:rPr>
        <w:t>sont fournies dans l’aperçu sectoriel). La lutte de la Commission contre les ententes a été efficace: elle a débouché sur quatre décisions infligeant des amendes pour un montant supérieur à 800 millions d’EUR et sur des économies d’environ 1,6 milliard d’E</w:t>
      </w:r>
      <w:r>
        <w:rPr>
          <w:rFonts w:ascii="Times New Roman" w:eastAsiaTheme="minorHAnsi" w:hAnsi="Times New Roman"/>
          <w:noProof/>
          <w:sz w:val="24"/>
          <w:lang w:val="fr-BE"/>
        </w:rPr>
        <w:t>UR pour les consommateurs (soit trois euros par citoyen européen)</w:t>
      </w:r>
      <w:r>
        <w:rPr>
          <w:rStyle w:val="FootnoteReference"/>
          <w:rFonts w:ascii="Times New Roman" w:eastAsiaTheme="minorHAnsi" w:hAnsi="Times New Roman"/>
          <w:noProof/>
          <w:sz w:val="24"/>
        </w:rPr>
        <w:footnoteReference w:id="56"/>
      </w:r>
      <w:r>
        <w:rPr>
          <w:rFonts w:ascii="Times New Roman" w:eastAsiaTheme="minorHAnsi" w:hAnsi="Times New Roman"/>
          <w:noProof/>
          <w:sz w:val="24"/>
          <w:lang w:val="fr-BE"/>
        </w:rPr>
        <w:t>. Elle devrait rester efficace également à l’avenir en raison des efforts vigoureux déployés pour veiller à l’application des règles en 2018.</w:t>
      </w:r>
    </w:p>
    <w:tbl>
      <w:tblPr>
        <w:tblW w:w="9015" w:type="dxa"/>
        <w:tblInd w:w="108" w:type="dxa"/>
        <w:tblBorders>
          <w:top w:val="single" w:sz="8" w:space="0" w:color="C0504D"/>
          <w:bottom w:val="single" w:sz="8" w:space="0" w:color="C0504D"/>
        </w:tblBorders>
        <w:tblLayout w:type="fixed"/>
        <w:tblLook w:val="04A0" w:firstRow="1" w:lastRow="0" w:firstColumn="1" w:lastColumn="0" w:noHBand="0" w:noVBand="1"/>
      </w:tblPr>
      <w:tblGrid>
        <w:gridCol w:w="2552"/>
        <w:gridCol w:w="1417"/>
        <w:gridCol w:w="1701"/>
        <w:gridCol w:w="1701"/>
        <w:gridCol w:w="1644"/>
      </w:tblGrid>
      <w:tr w:rsidR="00D9323F" w:rsidRPr="00F47CDD">
        <w:trPr>
          <w:trHeight w:val="579"/>
        </w:trPr>
        <w:tc>
          <w:tcPr>
            <w:tcW w:w="2552" w:type="dxa"/>
            <w:tcBorders>
              <w:top w:val="single" w:sz="8" w:space="0" w:color="C0504D"/>
              <w:left w:val="nil"/>
              <w:bottom w:val="single" w:sz="8" w:space="0" w:color="C0504D"/>
              <w:right w:val="nil"/>
            </w:tcBorders>
            <w:hideMark/>
          </w:tcPr>
          <w:p w:rsidR="00D9323F" w:rsidRDefault="00F47CDD">
            <w:pPr>
              <w:widowControl w:val="0"/>
              <w:spacing w:after="0" w:line="240" w:lineRule="auto"/>
              <w:jc w:val="both"/>
              <w:rPr>
                <w:rFonts w:ascii="Times New Roman" w:hAnsi="Times New Roman"/>
                <w:b/>
                <w:bCs/>
                <w:noProof/>
                <w:color w:val="943634"/>
                <w:sz w:val="24"/>
                <w:szCs w:val="24"/>
              </w:rPr>
            </w:pPr>
            <w:r>
              <w:rPr>
                <w:rFonts w:ascii="Times New Roman" w:hAnsi="Times New Roman"/>
                <w:b/>
                <w:noProof/>
                <w:color w:val="943634"/>
                <w:sz w:val="24"/>
              </w:rPr>
              <w:t>Intitulé de l’affaire</w:t>
            </w:r>
          </w:p>
        </w:tc>
        <w:tc>
          <w:tcPr>
            <w:tcW w:w="1417" w:type="dxa"/>
            <w:tcBorders>
              <w:top w:val="single" w:sz="8" w:space="0" w:color="C0504D"/>
              <w:left w:val="nil"/>
              <w:bottom w:val="single" w:sz="8" w:space="0" w:color="C0504D"/>
              <w:right w:val="nil"/>
            </w:tcBorders>
            <w:hideMark/>
          </w:tcPr>
          <w:p w:rsidR="00D9323F" w:rsidRDefault="00F47CDD">
            <w:pPr>
              <w:widowControl w:val="0"/>
              <w:spacing w:after="0" w:line="240" w:lineRule="auto"/>
              <w:jc w:val="both"/>
              <w:rPr>
                <w:rFonts w:ascii="Times New Roman" w:hAnsi="Times New Roman"/>
                <w:b/>
                <w:bCs/>
                <w:noProof/>
                <w:color w:val="943634"/>
                <w:sz w:val="24"/>
                <w:szCs w:val="24"/>
              </w:rPr>
            </w:pPr>
            <w:r>
              <w:rPr>
                <w:rFonts w:ascii="Times New Roman" w:hAnsi="Times New Roman"/>
                <w:b/>
                <w:noProof/>
                <w:color w:val="943634"/>
                <w:sz w:val="24"/>
              </w:rPr>
              <w:t>Date d’adoption</w:t>
            </w:r>
          </w:p>
        </w:tc>
        <w:tc>
          <w:tcPr>
            <w:tcW w:w="1701" w:type="dxa"/>
            <w:tcBorders>
              <w:top w:val="single" w:sz="8" w:space="0" w:color="C0504D"/>
              <w:left w:val="nil"/>
              <w:bottom w:val="single" w:sz="8" w:space="0" w:color="C0504D"/>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 xml:space="preserve">Amende </w:t>
            </w:r>
            <w:r>
              <w:rPr>
                <w:rFonts w:ascii="Times New Roman" w:hAnsi="Times New Roman"/>
                <w:b/>
                <w:noProof/>
                <w:color w:val="943634"/>
                <w:sz w:val="24"/>
              </w:rPr>
              <w:t>infligée</w:t>
            </w:r>
            <w:r>
              <w:rPr>
                <w:rFonts w:ascii="Times New Roman" w:hAnsi="Times New Roman"/>
                <w:b/>
                <w:bCs/>
                <w:noProof/>
                <w:color w:val="943634"/>
                <w:sz w:val="24"/>
                <w:szCs w:val="24"/>
              </w:rPr>
              <w:br/>
            </w:r>
            <w:r>
              <w:rPr>
                <w:rFonts w:ascii="Times New Roman" w:hAnsi="Times New Roman"/>
                <w:b/>
                <w:noProof/>
                <w:color w:val="943634"/>
                <w:sz w:val="24"/>
              </w:rPr>
              <w:t>(en EUR)</w:t>
            </w:r>
          </w:p>
        </w:tc>
        <w:tc>
          <w:tcPr>
            <w:tcW w:w="1701" w:type="dxa"/>
            <w:tcBorders>
              <w:top w:val="single" w:sz="8" w:space="0" w:color="C0504D"/>
              <w:left w:val="nil"/>
              <w:bottom w:val="single" w:sz="8" w:space="0" w:color="C0504D"/>
              <w:right w:val="nil"/>
            </w:tcBorders>
            <w:hideMark/>
          </w:tcPr>
          <w:p w:rsidR="00D9323F" w:rsidRDefault="00F47CDD">
            <w:pPr>
              <w:keepNext/>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Entreprises concernées</w:t>
            </w:r>
          </w:p>
        </w:tc>
        <w:tc>
          <w:tcPr>
            <w:tcW w:w="1644" w:type="dxa"/>
            <w:tcBorders>
              <w:top w:val="single" w:sz="8" w:space="0" w:color="C0504D"/>
              <w:left w:val="nil"/>
              <w:bottom w:val="single" w:sz="8" w:space="0" w:color="C0504D"/>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lang w:val="fr-BE"/>
              </w:rPr>
            </w:pPr>
            <w:r>
              <w:rPr>
                <w:rFonts w:ascii="Times New Roman" w:hAnsi="Times New Roman"/>
                <w:b/>
                <w:noProof/>
                <w:color w:val="943634"/>
                <w:sz w:val="24"/>
                <w:lang w:val="fr-BE"/>
              </w:rPr>
              <w:t>Procédure ayant conduit à l’adoption d’une décision d’interdiction</w:t>
            </w:r>
          </w:p>
        </w:tc>
      </w:tr>
      <w:tr w:rsidR="00D9323F">
        <w:trPr>
          <w:trHeight w:val="560"/>
        </w:trPr>
        <w:tc>
          <w:tcPr>
            <w:tcW w:w="2552" w:type="dxa"/>
            <w:tcBorders>
              <w:top w:val="nil"/>
              <w:left w:val="nil"/>
              <w:bottom w:val="nil"/>
              <w:right w:val="nil"/>
            </w:tcBorders>
            <w:shd w:val="clear" w:color="auto" w:fill="EFD3D2"/>
            <w:hideMark/>
          </w:tcPr>
          <w:p w:rsidR="00D9323F" w:rsidRDefault="00F47CDD">
            <w:pPr>
              <w:widowControl w:val="0"/>
              <w:spacing w:after="0" w:line="240" w:lineRule="auto"/>
              <w:rPr>
                <w:rFonts w:ascii="Times New Roman" w:hAnsi="Times New Roman"/>
                <w:b/>
                <w:bCs/>
                <w:noProof/>
                <w:color w:val="943634"/>
                <w:sz w:val="24"/>
                <w:szCs w:val="24"/>
                <w:lang w:val="fr-BE"/>
              </w:rPr>
            </w:pPr>
            <w:r>
              <w:rPr>
                <w:rFonts w:ascii="Times New Roman" w:hAnsi="Times New Roman"/>
                <w:b/>
                <w:noProof/>
                <w:color w:val="943634"/>
                <w:sz w:val="24"/>
                <w:lang w:val="fr-BE"/>
              </w:rPr>
              <w:t>Transporteurs maritimes de véhicules automobiles</w:t>
            </w:r>
          </w:p>
        </w:tc>
        <w:tc>
          <w:tcPr>
            <w:tcW w:w="1417"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21.2.2018</w:t>
            </w:r>
          </w:p>
        </w:tc>
        <w:tc>
          <w:tcPr>
            <w:tcW w:w="1701"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395 288 000</w:t>
            </w:r>
          </w:p>
        </w:tc>
        <w:tc>
          <w:tcPr>
            <w:tcW w:w="1701"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4</w:t>
            </w:r>
          </w:p>
        </w:tc>
        <w:tc>
          <w:tcPr>
            <w:tcW w:w="1644"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Transaction</w:t>
            </w:r>
          </w:p>
        </w:tc>
      </w:tr>
      <w:tr w:rsidR="00D9323F">
        <w:trPr>
          <w:trHeight w:val="427"/>
        </w:trPr>
        <w:tc>
          <w:tcPr>
            <w:tcW w:w="2552" w:type="dxa"/>
            <w:tcBorders>
              <w:top w:val="nil"/>
              <w:left w:val="nil"/>
              <w:bottom w:val="nil"/>
              <w:right w:val="nil"/>
            </w:tcBorders>
            <w:shd w:val="clear" w:color="auto" w:fill="FFFFFF"/>
            <w:hideMark/>
          </w:tcPr>
          <w:p w:rsidR="00D9323F" w:rsidRDefault="00F47CDD">
            <w:pPr>
              <w:widowControl w:val="0"/>
              <w:spacing w:after="0" w:line="240" w:lineRule="auto"/>
              <w:rPr>
                <w:rFonts w:ascii="Times New Roman" w:hAnsi="Times New Roman"/>
                <w:b/>
                <w:bCs/>
                <w:noProof/>
                <w:color w:val="943634"/>
                <w:sz w:val="24"/>
                <w:szCs w:val="24"/>
              </w:rPr>
            </w:pPr>
            <w:r>
              <w:rPr>
                <w:rFonts w:ascii="Times New Roman" w:hAnsi="Times New Roman"/>
                <w:b/>
                <w:noProof/>
                <w:color w:val="943634"/>
                <w:sz w:val="24"/>
              </w:rPr>
              <w:t>Systèmes de freinage</w:t>
            </w:r>
          </w:p>
        </w:tc>
        <w:tc>
          <w:tcPr>
            <w:tcW w:w="1417" w:type="dxa"/>
            <w:tcBorders>
              <w:top w:val="nil"/>
              <w:left w:val="nil"/>
              <w:bottom w:val="nil"/>
              <w:right w:val="nil"/>
            </w:tcBorders>
            <w:shd w:val="clear" w:color="auto" w:fill="FFFFFF"/>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21.2.2018</w:t>
            </w:r>
          </w:p>
        </w:tc>
        <w:tc>
          <w:tcPr>
            <w:tcW w:w="1701" w:type="dxa"/>
            <w:tcBorders>
              <w:top w:val="nil"/>
              <w:left w:val="nil"/>
              <w:bottom w:val="nil"/>
              <w:right w:val="nil"/>
            </w:tcBorders>
            <w:shd w:val="clear" w:color="auto" w:fill="FFFFFF"/>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75 426 000</w:t>
            </w:r>
          </w:p>
        </w:tc>
        <w:tc>
          <w:tcPr>
            <w:tcW w:w="1701" w:type="dxa"/>
            <w:tcBorders>
              <w:top w:val="nil"/>
              <w:left w:val="nil"/>
              <w:bottom w:val="nil"/>
              <w:right w:val="nil"/>
            </w:tcBorders>
            <w:shd w:val="clear" w:color="auto" w:fill="FFFFFF"/>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3</w:t>
            </w:r>
          </w:p>
        </w:tc>
        <w:tc>
          <w:tcPr>
            <w:tcW w:w="1644" w:type="dxa"/>
            <w:tcBorders>
              <w:top w:val="nil"/>
              <w:left w:val="nil"/>
              <w:bottom w:val="nil"/>
              <w:right w:val="nil"/>
            </w:tcBorders>
            <w:shd w:val="clear" w:color="auto" w:fill="FFFFFF"/>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Transaction</w:t>
            </w:r>
          </w:p>
        </w:tc>
      </w:tr>
      <w:tr w:rsidR="00D9323F">
        <w:trPr>
          <w:trHeight w:val="427"/>
        </w:trPr>
        <w:tc>
          <w:tcPr>
            <w:tcW w:w="2552" w:type="dxa"/>
            <w:tcBorders>
              <w:top w:val="nil"/>
              <w:left w:val="nil"/>
              <w:bottom w:val="nil"/>
              <w:right w:val="nil"/>
            </w:tcBorders>
            <w:shd w:val="clear" w:color="auto" w:fill="EFD3D2"/>
            <w:hideMark/>
          </w:tcPr>
          <w:p w:rsidR="00D9323F" w:rsidRDefault="00F47CDD">
            <w:pPr>
              <w:widowControl w:val="0"/>
              <w:spacing w:after="0" w:line="240" w:lineRule="auto"/>
              <w:rPr>
                <w:rFonts w:ascii="Times New Roman" w:hAnsi="Times New Roman"/>
                <w:b/>
                <w:bCs/>
                <w:noProof/>
                <w:color w:val="943634"/>
                <w:sz w:val="24"/>
                <w:szCs w:val="24"/>
              </w:rPr>
            </w:pPr>
            <w:r>
              <w:rPr>
                <w:rFonts w:ascii="Times New Roman" w:hAnsi="Times New Roman"/>
                <w:b/>
                <w:noProof/>
                <w:color w:val="943634"/>
                <w:sz w:val="24"/>
              </w:rPr>
              <w:t>Bougies d’allumage</w:t>
            </w:r>
          </w:p>
        </w:tc>
        <w:tc>
          <w:tcPr>
            <w:tcW w:w="1417"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21.2.2018</w:t>
            </w:r>
          </w:p>
        </w:tc>
        <w:tc>
          <w:tcPr>
            <w:tcW w:w="1701"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76 099 000</w:t>
            </w:r>
          </w:p>
        </w:tc>
        <w:tc>
          <w:tcPr>
            <w:tcW w:w="1701"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3</w:t>
            </w:r>
          </w:p>
        </w:tc>
        <w:tc>
          <w:tcPr>
            <w:tcW w:w="1644" w:type="dxa"/>
            <w:tcBorders>
              <w:top w:val="nil"/>
              <w:left w:val="nil"/>
              <w:bottom w:val="nil"/>
              <w:right w:val="nil"/>
            </w:tcBorders>
            <w:shd w:val="clear" w:color="auto" w:fill="EFD3D2"/>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Transaction</w:t>
            </w:r>
          </w:p>
        </w:tc>
      </w:tr>
      <w:tr w:rsidR="00D9323F">
        <w:trPr>
          <w:trHeight w:val="414"/>
        </w:trPr>
        <w:tc>
          <w:tcPr>
            <w:tcW w:w="2552" w:type="dxa"/>
            <w:tcBorders>
              <w:top w:val="nil"/>
              <w:left w:val="nil"/>
              <w:bottom w:val="nil"/>
              <w:right w:val="nil"/>
            </w:tcBorders>
            <w:hideMark/>
          </w:tcPr>
          <w:p w:rsidR="00D9323F" w:rsidRDefault="00F47CDD">
            <w:pPr>
              <w:widowControl w:val="0"/>
              <w:spacing w:after="0" w:line="240" w:lineRule="auto"/>
              <w:rPr>
                <w:rFonts w:ascii="Times New Roman" w:hAnsi="Times New Roman"/>
                <w:b/>
                <w:bCs/>
                <w:noProof/>
                <w:color w:val="943634"/>
                <w:sz w:val="24"/>
                <w:szCs w:val="24"/>
              </w:rPr>
            </w:pPr>
            <w:r>
              <w:rPr>
                <w:rFonts w:ascii="Times New Roman" w:hAnsi="Times New Roman"/>
                <w:b/>
                <w:noProof/>
                <w:color w:val="943634"/>
                <w:sz w:val="24"/>
              </w:rPr>
              <w:t>Condensateurs</w:t>
            </w:r>
          </w:p>
        </w:tc>
        <w:tc>
          <w:tcPr>
            <w:tcW w:w="1417" w:type="dxa"/>
            <w:tcBorders>
              <w:top w:val="nil"/>
              <w:left w:val="nil"/>
              <w:bottom w:val="nil"/>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21.3.2018</w:t>
            </w:r>
          </w:p>
        </w:tc>
        <w:tc>
          <w:tcPr>
            <w:tcW w:w="1701" w:type="dxa"/>
            <w:tcBorders>
              <w:top w:val="nil"/>
              <w:left w:val="nil"/>
              <w:bottom w:val="nil"/>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253 935 000</w:t>
            </w:r>
          </w:p>
        </w:tc>
        <w:tc>
          <w:tcPr>
            <w:tcW w:w="1701" w:type="dxa"/>
            <w:tcBorders>
              <w:top w:val="nil"/>
              <w:left w:val="nil"/>
              <w:bottom w:val="nil"/>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9</w:t>
            </w:r>
          </w:p>
        </w:tc>
        <w:tc>
          <w:tcPr>
            <w:tcW w:w="1644" w:type="dxa"/>
            <w:tcBorders>
              <w:top w:val="nil"/>
              <w:left w:val="nil"/>
              <w:bottom w:val="nil"/>
              <w:right w:val="nil"/>
            </w:tcBorders>
            <w:hideMark/>
          </w:tcPr>
          <w:p w:rsidR="00D9323F" w:rsidRDefault="00F47CDD">
            <w:pPr>
              <w:widowControl w:val="0"/>
              <w:spacing w:after="0" w:line="240" w:lineRule="auto"/>
              <w:jc w:val="center"/>
              <w:rPr>
                <w:rFonts w:ascii="Times New Roman" w:hAnsi="Times New Roman"/>
                <w:b/>
                <w:bCs/>
                <w:noProof/>
                <w:color w:val="943634"/>
                <w:sz w:val="24"/>
                <w:szCs w:val="24"/>
              </w:rPr>
            </w:pPr>
            <w:r>
              <w:rPr>
                <w:rFonts w:ascii="Times New Roman" w:hAnsi="Times New Roman"/>
                <w:b/>
                <w:noProof/>
                <w:color w:val="943634"/>
                <w:sz w:val="24"/>
              </w:rPr>
              <w:t>Interdiction</w:t>
            </w:r>
          </w:p>
        </w:tc>
      </w:tr>
    </w:tbl>
    <w:p w:rsidR="00D9323F" w:rsidRDefault="00D9323F">
      <w:pPr>
        <w:pStyle w:val="ManualHeading1"/>
        <w:keepNext w:val="0"/>
        <w:widowControl w:val="0"/>
        <w:spacing w:before="0" w:after="0" w:line="360" w:lineRule="auto"/>
        <w:rPr>
          <w:noProof/>
          <w:lang w:eastAsia="en-GB"/>
        </w:rPr>
      </w:pPr>
    </w:p>
    <w:p w:rsidR="00D9323F" w:rsidRDefault="00F47CDD">
      <w:pPr>
        <w:widowControl w:val="0"/>
        <w:spacing w:line="240" w:lineRule="auto"/>
        <w:ind w:left="360"/>
        <w:outlineLvl w:val="2"/>
        <w:rPr>
          <w:rFonts w:ascii="Times New Roman" w:eastAsia="Times New Roman" w:hAnsi="Times New Roman"/>
          <w:b/>
          <w:bCs/>
          <w:noProof/>
          <w:sz w:val="24"/>
          <w:szCs w:val="24"/>
          <w:lang w:val="fr-BE"/>
        </w:rPr>
      </w:pPr>
      <w:bookmarkStart w:id="17" w:name="_Toc478566429"/>
      <w:bookmarkStart w:id="18" w:name="_Toc19019188"/>
      <w:r>
        <w:rPr>
          <w:rFonts w:ascii="Times New Roman" w:hAnsi="Times New Roman"/>
          <w:b/>
          <w:noProof/>
          <w:sz w:val="24"/>
          <w:lang w:val="fr-BE"/>
        </w:rPr>
        <w:t>1.4 Poursuite de l’étroite coopération au sein du réseau européen de la concurrence ainsi qu’avec les juridictions nationales</w:t>
      </w:r>
      <w:bookmarkEnd w:id="17"/>
      <w:bookmarkEnd w:id="18"/>
      <w:r>
        <w:rPr>
          <w:rFonts w:ascii="Times New Roman" w:hAnsi="Times New Roman"/>
          <w:b/>
          <w:noProof/>
          <w:sz w:val="24"/>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Les autorités nationales de concurrence (ANC) jouent un rôle capital dans l’application des règles de concurrence de l’Union européenne, aux côtés de la Commission. Les actions des ANC représentent 85 % de la mise en œuvre des règles anticoncurrentielles d</w:t>
      </w:r>
      <w:r>
        <w:rPr>
          <w:rFonts w:ascii="Times New Roman" w:hAnsi="Times New Roman"/>
          <w:noProof/>
          <w:sz w:val="24"/>
          <w:lang w:val="fr-BE"/>
        </w:rPr>
        <w:t xml:space="preserve">e l’Union par la sphère publique. Elles contribuent de manière importante à stimuler davantage la croissance économique et à garantir que les marchés fonctionnent bien, en donnant les moyens d’agir tant aux consommateurs qu’aux entreprises.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Des améliorati</w:t>
      </w:r>
      <w:r>
        <w:rPr>
          <w:rFonts w:ascii="Times New Roman" w:hAnsi="Times New Roman"/>
          <w:noProof/>
          <w:sz w:val="24"/>
          <w:lang w:val="fr-BE"/>
        </w:rPr>
        <w:t xml:space="preserve">ons restent toutefois possibles. Dans sa </w:t>
      </w:r>
      <w:r>
        <w:rPr>
          <w:rFonts w:ascii="Times New Roman" w:hAnsi="Times New Roman"/>
          <w:i/>
          <w:noProof/>
          <w:sz w:val="24"/>
          <w:lang w:val="fr-BE"/>
        </w:rPr>
        <w:t>communication sur les Dix ans du règlement nº 1/2003</w:t>
      </w:r>
      <w:r>
        <w:rPr>
          <w:rFonts w:ascii="Times New Roman" w:hAnsi="Times New Roman"/>
          <w:noProof/>
          <w:sz w:val="24"/>
          <w:vertAlign w:val="superscript"/>
        </w:rPr>
        <w:footnoteReference w:id="57"/>
      </w:r>
      <w:r>
        <w:rPr>
          <w:rFonts w:ascii="Times New Roman" w:hAnsi="Times New Roman"/>
          <w:noProof/>
          <w:sz w:val="24"/>
          <w:lang w:val="fr-BE"/>
        </w:rPr>
        <w:t>, la Commission a recensé un certain nombre de domaines d’action pour rendre la mise en œuvre des règles par les ANC plus effective, notamment en leur octroyant d</w:t>
      </w:r>
      <w:r>
        <w:rPr>
          <w:rFonts w:ascii="Times New Roman" w:hAnsi="Times New Roman"/>
          <w:noProof/>
          <w:sz w:val="24"/>
          <w:lang w:val="fr-BE"/>
        </w:rPr>
        <w:t>es pouvoirs effectifs en matière de mise en œuvre des règles et d’amendes, et en leur assurant des ressources adéquates et une indépendance suffisante lorsqu’elles mettent en œuvre la législation de l’Union européenne en matière de concurrence. En guise de</w:t>
      </w:r>
      <w:r>
        <w:rPr>
          <w:rFonts w:ascii="Times New Roman" w:hAnsi="Times New Roman"/>
          <w:noProof/>
          <w:sz w:val="24"/>
          <w:lang w:val="fr-BE"/>
        </w:rPr>
        <w:t xml:space="preserve"> suivi, la Commission a réalisé une consultation publique</w:t>
      </w:r>
      <w:r>
        <w:rPr>
          <w:rFonts w:ascii="Times New Roman" w:hAnsi="Times New Roman"/>
          <w:noProof/>
          <w:sz w:val="24"/>
          <w:vertAlign w:val="superscript"/>
        </w:rPr>
        <w:footnoteReference w:id="58"/>
      </w:r>
      <w:r>
        <w:rPr>
          <w:rFonts w:ascii="Times New Roman" w:hAnsi="Times New Roman"/>
          <w:noProof/>
          <w:sz w:val="24"/>
          <w:lang w:val="fr-BE"/>
        </w:rPr>
        <w:t xml:space="preserve"> entre novembre 2015 et février 2016 et a sondé les options concernant des mesures concrètes tant avec les ANC qu’avec les ministères des États membres. Lors de la consultation publique, 80 % des pa</w:t>
      </w:r>
      <w:r>
        <w:rPr>
          <w:rFonts w:ascii="Times New Roman" w:hAnsi="Times New Roman"/>
          <w:noProof/>
          <w:sz w:val="24"/>
          <w:lang w:val="fr-BE"/>
        </w:rPr>
        <w:t>rties prenantes ont estimé que des mesures devraient être prises pour que les ANC disposent des moyens et des instruments dont elles ont besoin</w:t>
      </w:r>
      <w:r>
        <w:rPr>
          <w:rFonts w:ascii="Times New Roman" w:hAnsi="Times New Roman"/>
          <w:noProof/>
          <w:sz w:val="24"/>
          <w:vertAlign w:val="superscript"/>
        </w:rPr>
        <w:footnoteReference w:id="59"/>
      </w:r>
      <w:r>
        <w:rPr>
          <w:rFonts w:ascii="Times New Roman" w:hAnsi="Times New Roman"/>
          <w:noProof/>
          <w:sz w:val="24"/>
          <w:lang w:val="fr-BE"/>
        </w:rPr>
        <w:t>. Le 22 mars 2017, la Commission a proposé une directive visant à doter les ANC des moyens de mettre en œuvre pl</w:t>
      </w:r>
      <w:r>
        <w:rPr>
          <w:rFonts w:ascii="Times New Roman" w:hAnsi="Times New Roman"/>
          <w:noProof/>
          <w:sz w:val="24"/>
          <w:lang w:val="fr-BE"/>
        </w:rPr>
        <w:t>us efficacement les règles de concurrence</w:t>
      </w:r>
      <w:r>
        <w:rPr>
          <w:rFonts w:ascii="Times New Roman" w:hAnsi="Times New Roman"/>
          <w:noProof/>
          <w:sz w:val="24"/>
          <w:vertAlign w:val="superscript"/>
        </w:rPr>
        <w:footnoteReference w:id="60"/>
      </w:r>
      <w:r>
        <w:rPr>
          <w:rFonts w:ascii="Times New Roman" w:hAnsi="Times New Roman"/>
          <w:noProof/>
          <w:sz w:val="24"/>
          <w:lang w:val="fr-BE"/>
        </w:rPr>
        <w:t>. Les colégislateurs ont adopté la directive le 11 décembre 2018 et celle-ci a été publiée au Journal officiel le 14 janvier 2019</w:t>
      </w:r>
      <w:r>
        <w:rPr>
          <w:rFonts w:ascii="Times New Roman" w:hAnsi="Times New Roman"/>
          <w:noProof/>
          <w:sz w:val="24"/>
          <w:vertAlign w:val="superscript"/>
        </w:rPr>
        <w:footnoteReference w:id="61"/>
      </w:r>
      <w:r>
        <w:rPr>
          <w:rFonts w:ascii="Times New Roman" w:hAnsi="Times New Roman"/>
          <w:noProof/>
          <w:sz w:val="24"/>
          <w:lang w:val="fr-BE"/>
        </w:rPr>
        <w:t>.</w:t>
      </w:r>
      <w:r>
        <w:rPr>
          <w:rFonts w:ascii="Times New Roman" w:hAnsi="Times New Roman"/>
          <w:noProof/>
          <w:sz w:val="24"/>
          <w:vertAlign w:val="superscript"/>
          <w:lang w:val="fr-BE"/>
        </w:rPr>
        <w:t xml:space="preserve"> </w:t>
      </w:r>
      <w:r>
        <w:rPr>
          <w:rFonts w:ascii="Times New Roman" w:hAnsi="Times New Roman"/>
          <w:noProof/>
          <w:sz w:val="24"/>
          <w:lang w:val="fr-BE"/>
        </w:rPr>
        <w:t>Les États membres mettent en vigueur les dispositions législatives, réglementaires</w:t>
      </w:r>
      <w:r>
        <w:rPr>
          <w:rFonts w:ascii="Times New Roman" w:hAnsi="Times New Roman"/>
          <w:noProof/>
          <w:sz w:val="24"/>
          <w:lang w:val="fr-BE"/>
        </w:rPr>
        <w:t xml:space="preserve"> et administratives nécessaires pour se conformer à la directive au plus tard le 4 février 2021.</w:t>
      </w:r>
    </w:p>
    <w:p w:rsidR="00D9323F" w:rsidRDefault="00D9323F">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line="240" w:lineRule="auto"/>
        <w:jc w:val="both"/>
        <w:rPr>
          <w:rFonts w:ascii="Times New Roman" w:eastAsia="ヒラギノ角ゴ Pro W3" w:hAnsi="Times New Roman"/>
          <w:b/>
          <w:noProof/>
          <w:sz w:val="20"/>
          <w:szCs w:val="20"/>
          <w:lang w:val="fr-BE"/>
        </w:rPr>
      </w:pPr>
      <w:r>
        <w:rPr>
          <w:rFonts w:ascii="Times New Roman" w:hAnsi="Times New Roman"/>
          <w:b/>
          <w:noProof/>
          <w:sz w:val="20"/>
          <w:lang w:val="fr-BE"/>
        </w:rPr>
        <w:t>Fournir aux ANC des moyens de mettre en œuvre plus efficacement les règles de concurrence</w:t>
      </w:r>
    </w:p>
    <w:p w:rsidR="00D9323F" w:rsidRDefault="00F47CDD">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0"/>
          <w:szCs w:val="20"/>
          <w:lang w:val="fr-BE"/>
        </w:rPr>
      </w:pPr>
      <w:r>
        <w:rPr>
          <w:rFonts w:ascii="Times New Roman" w:hAnsi="Times New Roman"/>
          <w:noProof/>
          <w:sz w:val="20"/>
          <w:lang w:val="fr-BE"/>
        </w:rPr>
        <w:t xml:space="preserve">Une fois transposée en droit national par les États membres, la </w:t>
      </w:r>
      <w:r>
        <w:rPr>
          <w:rFonts w:ascii="Times New Roman" w:hAnsi="Times New Roman"/>
          <w:noProof/>
          <w:sz w:val="20"/>
          <w:lang w:val="fr-BE"/>
        </w:rPr>
        <w:t>directive visant à doter les ANC des moyens de mettre en œuvre plus efficacement les règles de concurrence veillera à ce que toutes les ANC:</w:t>
      </w: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disposent des garanties d’indépendance lorsqu’elles appliquent les règles de concurrence de l’UE;</w:t>
      </w: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5" w:hanging="705"/>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 xml:space="preserve">aient la </w:t>
      </w:r>
      <w:r>
        <w:rPr>
          <w:rFonts w:ascii="Times New Roman" w:hAnsi="Times New Roman"/>
          <w:noProof/>
          <w:sz w:val="20"/>
          <w:lang w:val="fr-BE"/>
        </w:rPr>
        <w:t>garantie de base de disposer des ressources humaines et financières dont elles ont besoin pour s’acquitter de leurs tâches;</w:t>
      </w: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 xml:space="preserve">disposent d’outils d’enquête et de prise de décision efficaces, y compris pour recueillir des preuves numériques stockées sur des </w:t>
      </w:r>
      <w:r>
        <w:rPr>
          <w:rFonts w:ascii="Times New Roman" w:hAnsi="Times New Roman"/>
          <w:noProof/>
          <w:sz w:val="20"/>
          <w:lang w:val="fr-BE"/>
        </w:rPr>
        <w:t>appareils mobiles;</w:t>
      </w: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5" w:hanging="705"/>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soient en mesure d’imposer des amendes dissuasives</w:t>
      </w:r>
      <w:r>
        <w:rPr>
          <w:noProof/>
          <w:lang w:val="fr-BE"/>
        </w:rPr>
        <w:t xml:space="preserve"> </w:t>
      </w:r>
      <w:r>
        <w:rPr>
          <w:rFonts w:ascii="Times New Roman" w:hAnsi="Times New Roman"/>
          <w:noProof/>
          <w:sz w:val="20"/>
          <w:szCs w:val="20"/>
          <w:lang w:val="fr-BE"/>
        </w:rPr>
        <w:t>afin que, par exemple, les entreprises ne puissent plus échapper aux amendes en procédant à une restructuration</w:t>
      </w:r>
      <w:r>
        <w:rPr>
          <w:noProof/>
          <w:lang w:val="fr-BE"/>
        </w:rPr>
        <w:t>;</w:t>
      </w:r>
    </w:p>
    <w:p w:rsidR="00D9323F" w:rsidRDefault="00F47CDD">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disposent de programmes de clémence efficaces qui encouragent les ent</w:t>
      </w:r>
      <w:r>
        <w:rPr>
          <w:rFonts w:ascii="Times New Roman" w:hAnsi="Times New Roman"/>
          <w:noProof/>
          <w:sz w:val="20"/>
          <w:lang w:val="fr-BE"/>
        </w:rPr>
        <w:t>reprises à signaler les ententes dans l’ensemble de l’UE;</w:t>
      </w:r>
    </w:p>
    <w:p w:rsidR="00D9323F" w:rsidRDefault="00F47CDD">
      <w:pPr>
        <w:widowControl w:val="0"/>
        <w:pBdr>
          <w:top w:val="single" w:sz="4" w:space="1" w:color="auto"/>
          <w:left w:val="single" w:sz="4" w:space="4" w:color="auto"/>
          <w:bottom w:val="single" w:sz="4" w:space="1" w:color="auto"/>
          <w:right w:val="single" w:sz="4" w:space="4" w:color="auto"/>
        </w:pBdr>
        <w:tabs>
          <w:tab w:val="left" w:pos="284"/>
          <w:tab w:val="left" w:pos="709"/>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left="705" w:hanging="705"/>
        <w:jc w:val="both"/>
        <w:rPr>
          <w:rFonts w:ascii="Times New Roman" w:hAnsi="Times New Roman"/>
          <w:noProof/>
          <w:sz w:val="20"/>
          <w:szCs w:val="20"/>
          <w:lang w:val="fr-BE"/>
        </w:rPr>
      </w:pPr>
      <w:r>
        <w:rPr>
          <w:rFonts w:ascii="Times New Roman" w:hAnsi="Times New Roman"/>
          <w:noProof/>
          <w:sz w:val="20"/>
          <w:lang w:val="fr-BE"/>
        </w:rPr>
        <w:t>•</w:t>
      </w:r>
      <w:r>
        <w:rPr>
          <w:noProof/>
          <w:lang w:val="fr-BE"/>
        </w:rPr>
        <w:tab/>
      </w:r>
      <w:r>
        <w:rPr>
          <w:noProof/>
          <w:lang w:val="fr-BE"/>
        </w:rPr>
        <w:tab/>
      </w:r>
      <w:r>
        <w:rPr>
          <w:noProof/>
          <w:lang w:val="fr-BE"/>
        </w:rPr>
        <w:tab/>
      </w:r>
      <w:r>
        <w:rPr>
          <w:rFonts w:ascii="Times New Roman" w:hAnsi="Times New Roman"/>
          <w:noProof/>
          <w:sz w:val="20"/>
          <w:lang w:val="fr-BE"/>
        </w:rPr>
        <w:t>se prêtent mutuellement assistance afin que, par exemple, les entreprises ayant des actifs dans d’autres États membres ne puissent échapper aux amendes.</w:t>
      </w:r>
    </w:p>
    <w:p w:rsidR="00D9323F" w:rsidRDefault="00F47CDD">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bCs/>
          <w:noProof/>
          <w:sz w:val="20"/>
          <w:szCs w:val="20"/>
          <w:lang w:val="fr-BE"/>
        </w:rPr>
      </w:pPr>
      <w:r>
        <w:rPr>
          <w:rFonts w:ascii="Times New Roman" w:hAnsi="Times New Roman"/>
          <w:noProof/>
          <w:sz w:val="20"/>
          <w:lang w:val="fr-BE"/>
        </w:rPr>
        <w:t xml:space="preserve">L’importance des droits fondamentaux des </w:t>
      </w:r>
      <w:r>
        <w:rPr>
          <w:rFonts w:ascii="Times New Roman" w:hAnsi="Times New Roman"/>
          <w:noProof/>
          <w:sz w:val="20"/>
          <w:lang w:val="fr-BE"/>
        </w:rPr>
        <w:t>entreprises est soulignée. Des garanties appropriées seront mises en place pour l’exercice des pouvoirs des ANC, conformément à la Charte des droits fondamentaux de l’Union européenne et aux principes généraux du droit de l’Union.</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Coopération avec les juri</w:t>
      </w:r>
      <w:r>
        <w:rPr>
          <w:rFonts w:ascii="Times New Roman" w:hAnsi="Times New Roman"/>
          <w:i/>
          <w:noProof/>
          <w:sz w:val="24"/>
          <w:lang w:val="fr-BE"/>
        </w:rPr>
        <w:t>dictions nationales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La mise en œuvre globale effective des règles anticoncurrentielles au sein de l’Union, dans l’intérêt tant des ménages que des entreprises de l’Union, nécessite une interaction entre la mise en œuvre des règles par la sphère privée et l</w:t>
      </w:r>
      <w:r>
        <w:rPr>
          <w:rFonts w:ascii="Times New Roman" w:hAnsi="Times New Roman"/>
          <w:noProof/>
          <w:sz w:val="24"/>
          <w:lang w:val="fr-BE"/>
        </w:rPr>
        <w:t>eur mise en œuvre par la sphère publique. Outre sa coopération avec les ANC dans le cadre du Réseau européen de la concurrence (REC), la Commission a aussi poursuivi sa coopération avec les juridictions nationales conformément à l’article 15 du règlement (</w:t>
      </w:r>
      <w:r>
        <w:rPr>
          <w:rFonts w:ascii="Times New Roman" w:hAnsi="Times New Roman"/>
          <w:noProof/>
          <w:sz w:val="24"/>
          <w:lang w:val="fr-BE"/>
        </w:rPr>
        <w:t>CE) nº 1/2003. Elle aide les juridictions nationales à faire respecter les règles de concurrence de l’Union de manière efficace et cohérente en fournissant des informations relatives aux dossiers, en leur faisant part de son avis sur des questions de fond,</w:t>
      </w:r>
      <w:r>
        <w:rPr>
          <w:rFonts w:ascii="Times New Roman" w:hAnsi="Times New Roman"/>
          <w:noProof/>
          <w:sz w:val="24"/>
          <w:lang w:val="fr-BE"/>
        </w:rPr>
        <w:t xml:space="preserve"> ou encore en intervenant en qualité d’</w:t>
      </w:r>
      <w:r>
        <w:rPr>
          <w:rFonts w:ascii="Times New Roman" w:hAnsi="Times New Roman"/>
          <w:i/>
          <w:noProof/>
          <w:sz w:val="24"/>
          <w:lang w:val="fr-BE"/>
        </w:rPr>
        <w:t>amicus curiae</w:t>
      </w:r>
      <w:r>
        <w:rPr>
          <w:rFonts w:ascii="Times New Roman" w:hAnsi="Times New Roman"/>
          <w:noProof/>
          <w:sz w:val="24"/>
          <w:lang w:val="fr-BE"/>
        </w:rPr>
        <w:t xml:space="preserve"> dans les procédures pendantes devant lesdites juridictions.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lang w:val="fr-BE"/>
        </w:rPr>
      </w:pPr>
      <w:r>
        <w:rPr>
          <w:rFonts w:ascii="Times New Roman" w:hAnsi="Times New Roman"/>
          <w:noProof/>
          <w:sz w:val="24"/>
          <w:lang w:val="fr-BE"/>
        </w:rPr>
        <w:t>Lorsque les juridictions concernées ont donné leur accord, la Commission publie ses avis et observations en tant qu’</w:t>
      </w:r>
      <w:r>
        <w:rPr>
          <w:rFonts w:ascii="Times New Roman" w:hAnsi="Times New Roman"/>
          <w:i/>
          <w:noProof/>
          <w:sz w:val="24"/>
          <w:lang w:val="fr-BE"/>
        </w:rPr>
        <w:t>amicus curiae</w:t>
      </w:r>
      <w:r>
        <w:rPr>
          <w:rFonts w:ascii="Times New Roman" w:hAnsi="Times New Roman"/>
          <w:noProof/>
          <w:sz w:val="24"/>
          <w:lang w:val="fr-BE"/>
        </w:rPr>
        <w:t xml:space="preserve"> sur son site </w:t>
      </w:r>
      <w:r>
        <w:rPr>
          <w:rFonts w:ascii="Times New Roman" w:hAnsi="Times New Roman"/>
          <w:noProof/>
          <w:sz w:val="24"/>
          <w:lang w:val="fr-BE"/>
        </w:rPr>
        <w:t>internet.</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lang w:val="fr-BE"/>
        </w:rPr>
      </w:pPr>
      <w:r>
        <w:rPr>
          <w:rFonts w:ascii="Times New Roman" w:hAnsi="Times New Roman"/>
          <w:i/>
          <w:noProof/>
          <w:sz w:val="24"/>
          <w:lang w:val="fr-BE"/>
        </w:rPr>
        <w:t>Mise en œuvre des règles de concurrence par la sphère privée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directive 2014/104/UE sur les actions en dommages et intérêts</w:t>
      </w:r>
      <w:r>
        <w:rPr>
          <w:rFonts w:ascii="Times New Roman" w:hAnsi="Times New Roman"/>
          <w:noProof/>
          <w:sz w:val="24"/>
          <w:vertAlign w:val="superscript"/>
        </w:rPr>
        <w:footnoteReference w:id="62"/>
      </w:r>
      <w:r>
        <w:rPr>
          <w:rFonts w:ascii="Times New Roman" w:hAnsi="Times New Roman"/>
          <w:noProof/>
          <w:sz w:val="24"/>
          <w:lang w:val="fr-BE"/>
        </w:rPr>
        <w:t xml:space="preserve"> vise à garantir que toute personne lésée par une infraction aux règles de concurrence de l’Union peut effectivement bén</w:t>
      </w:r>
      <w:r>
        <w:rPr>
          <w:rFonts w:ascii="Times New Roman" w:hAnsi="Times New Roman"/>
          <w:noProof/>
          <w:sz w:val="24"/>
          <w:lang w:val="fr-BE"/>
        </w:rPr>
        <w:t>éficier du droit à réparation devant les juridictions nationales. Le délai de mise en œuvre de la directive sur les actions en dommages et intérêts au sein des systèmes juridiques des États membres a expiré le 27 décembre 2016.</w:t>
      </w:r>
      <w:r>
        <w:rPr>
          <w:noProof/>
          <w:lang w:val="fr-BE"/>
        </w:rPr>
        <w:t xml:space="preserve"> </w:t>
      </w:r>
      <w:r>
        <w:rPr>
          <w:rFonts w:ascii="Times New Roman" w:hAnsi="Times New Roman"/>
          <w:noProof/>
          <w:sz w:val="24"/>
          <w:lang w:val="fr-BE"/>
        </w:rPr>
        <w:t>Sept États membres l’ont tra</w:t>
      </w:r>
      <w:r>
        <w:rPr>
          <w:rFonts w:ascii="Times New Roman" w:hAnsi="Times New Roman"/>
          <w:noProof/>
          <w:sz w:val="24"/>
          <w:lang w:val="fr-BE"/>
        </w:rPr>
        <w:t>nsposée avant l’expiration du délai. Le 18 janvier 2017, la Commission a adressé à 21 États membres des lettres de mise en demeure ouvrant des procédures d’infraction pour absence de communication des mesures de transposition dans les délais impartis. Dix-</w:t>
      </w:r>
      <w:r>
        <w:rPr>
          <w:rFonts w:ascii="Times New Roman" w:hAnsi="Times New Roman"/>
          <w:noProof/>
          <w:sz w:val="24"/>
          <w:lang w:val="fr-BE"/>
        </w:rPr>
        <w:t>huit de ces États ont intégralement transposé la directive en 2017 et les procédures d’infraction correspondantes ont été clôturées. La Bulgarie, la Grèce et le Portugal ont adopté des mesures de transposition au cours des premiers mois de l’année 2018. La</w:t>
      </w:r>
      <w:r>
        <w:rPr>
          <w:rFonts w:ascii="Times New Roman" w:hAnsi="Times New Roman"/>
          <w:noProof/>
          <w:sz w:val="24"/>
          <w:lang w:val="fr-BE"/>
        </w:rPr>
        <w:t xml:space="preserve"> Commission est en train de finaliser les contrôles du caractère complet de leurs mesures de transposition avant la clôture des trois procédures d’infraction respectives. La Commission procède également à un contrôle de conformité de l’ensemble des 28 tran</w:t>
      </w:r>
      <w:r>
        <w:rPr>
          <w:rFonts w:ascii="Times New Roman" w:hAnsi="Times New Roman"/>
          <w:noProof/>
          <w:sz w:val="24"/>
          <w:lang w:val="fr-BE"/>
        </w:rPr>
        <w:t xml:space="preserve">spositions nationales.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En outre, à la suite de la publication, en octobre 2016, d’une «Étude sur la quantification des effets de répercussion dans les actions en dommages et intérêts pour infraction aux règles de concurrence», la Commission a lancé, en </w:t>
      </w:r>
      <w:r>
        <w:rPr>
          <w:rFonts w:ascii="Times New Roman" w:hAnsi="Times New Roman"/>
          <w:noProof/>
          <w:sz w:val="24"/>
          <w:szCs w:val="24"/>
          <w:lang w:val="fr-BE"/>
        </w:rPr>
        <w:t>juillet 2018, une consultation publique ciblée sur un projet de lignes directrices afin d’estimer la part du surcoût répercutée sur les clients indirects. La Commission a l’intention d’en adopter une version finale en 2019</w:t>
      </w:r>
      <w:r>
        <w:rPr>
          <w:rFonts w:ascii="Times New Roman" w:hAnsi="Times New Roman"/>
          <w:noProof/>
          <w:sz w:val="24"/>
          <w:szCs w:val="24"/>
          <w:vertAlign w:val="superscript"/>
        </w:rPr>
        <w:footnoteReference w:id="63"/>
      </w:r>
      <w:r>
        <w:rPr>
          <w:rFonts w:ascii="Times New Roman" w:hAnsi="Times New Roman"/>
          <w:noProof/>
          <w:sz w:val="24"/>
          <w:szCs w:val="24"/>
          <w:vertAlign w:val="superscript"/>
          <w:lang w:val="fr-BE"/>
        </w:rPr>
        <w:t xml:space="preserve"> </w:t>
      </w:r>
      <w:r>
        <w:rPr>
          <w:rFonts w:ascii="Times New Roman" w:hAnsi="Times New Roman"/>
          <w:noProof/>
          <w:sz w:val="24"/>
          <w:szCs w:val="24"/>
          <w:vertAlign w:val="superscript"/>
        </w:rPr>
        <w:footnoteReference w:id="64"/>
      </w:r>
      <w:r>
        <w:rPr>
          <w:rFonts w:ascii="Times New Roman" w:hAnsi="Times New Roman"/>
          <w:noProof/>
          <w:sz w:val="24"/>
          <w:szCs w:val="24"/>
          <w:lang w:val="fr-BE"/>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9323F">
        <w:trPr>
          <w:trHeight w:val="360"/>
        </w:trPr>
        <w:tc>
          <w:tcPr>
            <w:tcW w:w="9120" w:type="dxa"/>
          </w:tcPr>
          <w:p w:rsidR="00D9323F" w:rsidRDefault="00F47CDD">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19" w:name="_Toc478566430"/>
            <w:bookmarkStart w:id="20" w:name="_Toc19019189"/>
            <w:r>
              <w:rPr>
                <w:rFonts w:ascii="Times New Roman" w:hAnsi="Times New Roman"/>
                <w:b/>
                <w:smallCaps/>
                <w:noProof/>
                <w:sz w:val="24"/>
              </w:rPr>
              <w:t>Contrôle des concentrations</w:t>
            </w:r>
            <w:bookmarkEnd w:id="19"/>
            <w:bookmarkEnd w:id="20"/>
          </w:p>
        </w:tc>
      </w:tr>
    </w:tbl>
    <w:p w:rsidR="00D9323F" w:rsidRDefault="00D9323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hAnsi="Times New Roman"/>
          <w:noProof/>
          <w:sz w:val="20"/>
          <w:szCs w:val="20"/>
        </w:rPr>
      </w:pPr>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lang w:val="fr-BE"/>
        </w:rPr>
      </w:pPr>
      <w:r>
        <w:rPr>
          <w:rFonts w:ascii="Times New Roman" w:hAnsi="Times New Roman"/>
          <w:b/>
          <w:noProof/>
          <w:sz w:val="20"/>
          <w:lang w:val="fr-BE"/>
        </w:rPr>
        <w:t xml:space="preserve">Le contrôle des concentrations de l’UE </w:t>
      </w:r>
    </w:p>
    <w:p w:rsidR="00D9323F" w:rsidRDefault="00F47CDD">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L’objectif du contrôle des concentrations effectué par l’UE est de veiller à ce que les structures de marché demeurent concurrentielles tout en permettant une restructuration sans heurts de l’industrie, et ce non se</w:t>
      </w:r>
      <w:r>
        <w:rPr>
          <w:rFonts w:ascii="Times New Roman" w:hAnsi="Times New Roman"/>
          <w:noProof/>
          <w:sz w:val="20"/>
          <w:lang w:val="fr-BE"/>
        </w:rPr>
        <w:t>ulement pour les entreprises établies dans l’UE, mais aussi pour toutes les entreprises présentes sur les marchés de l’UE. La restructuration industrielle constitue un moyen important de favoriser la répartition efficace des actifs de production. Toutefois</w:t>
      </w:r>
      <w:r>
        <w:rPr>
          <w:rFonts w:ascii="Times New Roman" w:hAnsi="Times New Roman"/>
          <w:noProof/>
          <w:sz w:val="20"/>
          <w:lang w:val="fr-BE"/>
        </w:rPr>
        <w:t>, dans certains cas, la consolidation de l’industrie peut entraîner des effets dommageables sur la concurrence, compte tenu du degré de pouvoir de marché des entreprises parties à la concentration et d’autres caractéristiques du marché. Le contrôle des con</w:t>
      </w:r>
      <w:r>
        <w:rPr>
          <w:rFonts w:ascii="Times New Roman" w:hAnsi="Times New Roman"/>
          <w:noProof/>
          <w:sz w:val="20"/>
          <w:lang w:val="fr-BE"/>
        </w:rPr>
        <w:t xml:space="preserve">centrations dans l’UE permet d’éviter les modifications de la structure des marchés qui entraînent des effets dommageables sur la concurrence. </w:t>
      </w:r>
    </w:p>
    <w:p w:rsidR="00D9323F" w:rsidRDefault="00F47CDD">
      <w:pPr>
        <w:widowControl w:val="0"/>
        <w:spacing w:line="240" w:lineRule="auto"/>
        <w:jc w:val="both"/>
        <w:rPr>
          <w:rFonts w:ascii="Times New Roman" w:hAnsi="Times New Roman"/>
          <w:noProof/>
          <w:sz w:val="24"/>
          <w:szCs w:val="24"/>
          <w:lang w:val="fr-BE"/>
        </w:rPr>
      </w:pPr>
      <w:bookmarkStart w:id="21" w:name="_Toc478566431"/>
      <w:r>
        <w:rPr>
          <w:rFonts w:ascii="Times New Roman" w:hAnsi="Times New Roman"/>
          <w:noProof/>
          <w:sz w:val="24"/>
          <w:lang w:val="fr-BE"/>
        </w:rPr>
        <w:t>Le contrôle des concentrations dans l’UE vise à préserver l’ouverture et le caractère concurrentiel des marchés,</w:t>
      </w:r>
      <w:r>
        <w:rPr>
          <w:rFonts w:ascii="Times New Roman" w:hAnsi="Times New Roman"/>
          <w:noProof/>
          <w:sz w:val="24"/>
          <w:lang w:val="fr-BE"/>
        </w:rPr>
        <w:t xml:space="preserve"> ce qui constitue le meilleur moyen de garantir que les entreprises et les consommateurs bénéficient de solutions équitables. En s’attachant à protéger tous les aspects de la concurrence, il aide à préserver des structures de marché dans lesquelles les ent</w:t>
      </w:r>
      <w:r>
        <w:rPr>
          <w:rFonts w:ascii="Times New Roman" w:hAnsi="Times New Roman"/>
          <w:noProof/>
          <w:sz w:val="24"/>
          <w:lang w:val="fr-BE"/>
        </w:rPr>
        <w:t>reprises se livrent concurrence non seulement sur les prix, mais également sur d’autres paramètres concurrentiels tels que l’innovation. La pratique suivie par la Commission en 2018 en matière de mise en œuvre des règles sur les concentrations dans les sec</w:t>
      </w:r>
      <w:r>
        <w:rPr>
          <w:rFonts w:ascii="Times New Roman" w:hAnsi="Times New Roman"/>
          <w:noProof/>
          <w:sz w:val="24"/>
          <w:lang w:val="fr-BE"/>
        </w:rPr>
        <w:t>teurs de l’agrochimie</w:t>
      </w:r>
      <w:r>
        <w:rPr>
          <w:rFonts w:ascii="Times New Roman" w:hAnsi="Times New Roman"/>
          <w:noProof/>
          <w:sz w:val="24"/>
          <w:vertAlign w:val="superscript"/>
        </w:rPr>
        <w:footnoteReference w:id="65"/>
      </w:r>
      <w:r>
        <w:rPr>
          <w:rFonts w:ascii="Times New Roman" w:hAnsi="Times New Roman"/>
          <w:noProof/>
          <w:sz w:val="24"/>
          <w:lang w:val="fr-BE"/>
        </w:rPr>
        <w:t>, de l’industrie pharmaceutique</w:t>
      </w:r>
      <w:r>
        <w:rPr>
          <w:rFonts w:ascii="Times New Roman" w:hAnsi="Times New Roman"/>
          <w:noProof/>
          <w:sz w:val="24"/>
          <w:vertAlign w:val="superscript"/>
        </w:rPr>
        <w:footnoteReference w:id="66"/>
      </w:r>
      <w:r>
        <w:rPr>
          <w:rFonts w:ascii="Times New Roman" w:hAnsi="Times New Roman"/>
          <w:noProof/>
          <w:sz w:val="24"/>
          <w:lang w:val="fr-BE"/>
        </w:rPr>
        <w:t xml:space="preserve"> et des circuits oxygène</w:t>
      </w:r>
      <w:r>
        <w:rPr>
          <w:rFonts w:ascii="Times New Roman" w:hAnsi="Times New Roman"/>
          <w:noProof/>
          <w:sz w:val="24"/>
          <w:vertAlign w:val="superscript"/>
        </w:rPr>
        <w:footnoteReference w:id="67"/>
      </w:r>
      <w:r>
        <w:rPr>
          <w:rFonts w:ascii="Times New Roman" w:hAnsi="Times New Roman"/>
          <w:noProof/>
          <w:sz w:val="24"/>
          <w:lang w:val="fr-BE"/>
        </w:rPr>
        <w:t xml:space="preserve"> montre que la Commission considère l’innovation et les investissements comme des aspects importants de la concurrence. La Commission continuera d’évaluer les effets sur l’innov</w:t>
      </w:r>
      <w:r>
        <w:rPr>
          <w:rFonts w:ascii="Times New Roman" w:hAnsi="Times New Roman"/>
          <w:noProof/>
          <w:sz w:val="24"/>
          <w:lang w:val="fr-BE"/>
        </w:rPr>
        <w:t>ation dans le cadre d’affaires futures.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contrôle des concentrations dans l’UE garantit que toutes les entreprises actives sur les marchés de l’UE puissent exercer leurs activités dans des conditions de concurrence loyales et équitables. Les projets d’op</w:t>
      </w:r>
      <w:r>
        <w:rPr>
          <w:rFonts w:ascii="Times New Roman" w:hAnsi="Times New Roman"/>
          <w:noProof/>
          <w:sz w:val="24"/>
          <w:lang w:val="fr-BE"/>
        </w:rPr>
        <w:t>érations susceptibles de fausser la concurrence font l’objet d’une surveillance étroite par la Commission. Si cela est nécessaire pour protéger la concurrence, la Commission peut donner aux entreprises qui fusionnent la possibilité de lever les inquiétudes</w:t>
      </w:r>
      <w:r>
        <w:rPr>
          <w:rFonts w:ascii="Times New Roman" w:hAnsi="Times New Roman"/>
          <w:noProof/>
          <w:sz w:val="24"/>
          <w:lang w:val="fr-BE"/>
        </w:rPr>
        <w:t xml:space="preserve"> au sujet de la concurrence en offrant des engagements. Si des engagements suffisants ne peuvent être trouvés ou convenus, la Commission peut interdire l’opération.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ses évaluations, la Commission tient compte des gains d’efficacité qui pourraient résulter des concentrations. Les gains d’efficacité peuvent avoir des effets positifs sur les coûts et l’innovation, par exemple, à condition qu’ils soient vérifiables, </w:t>
      </w:r>
      <w:r>
        <w:rPr>
          <w:rFonts w:ascii="Times New Roman" w:hAnsi="Times New Roman"/>
          <w:noProof/>
          <w:sz w:val="24"/>
          <w:lang w:val="fr-BE"/>
        </w:rPr>
        <w:t xml:space="preserve">spécifiques aux concentrations et susceptibles d’être répercutés sur les consommateurs.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Comme souligné dans les précédents rapports sur la politique de concurrence, la Commission évalue en permanence les règles de fond et de procédure qui constituent le c</w:t>
      </w:r>
      <w:r>
        <w:rPr>
          <w:rFonts w:ascii="Times New Roman" w:hAnsi="Times New Roman"/>
          <w:noProof/>
          <w:sz w:val="24"/>
          <w:lang w:val="fr-BE"/>
        </w:rPr>
        <w:t>adre juridique pour le contrôle des concentrations. Ces réflexions sont menées à la fois au niveau interne, sur la base de l’expérience acquise, et en exploitant des contributions externes. Dans ce contexte, la Commission évalue régulièrement les préoccupa</w:t>
      </w:r>
      <w:r>
        <w:rPr>
          <w:rFonts w:ascii="Times New Roman" w:hAnsi="Times New Roman"/>
          <w:noProof/>
          <w:sz w:val="24"/>
          <w:lang w:val="fr-BE"/>
        </w:rPr>
        <w:t>tions et les suggestions d’amélioration formulées par les parties prenantes. Elle examine également les besoins de réformes et de changements politiques dans des domaines spécifiques et vérifie que ses politiques et ses pratiques en matière de mise en œuvr</w:t>
      </w:r>
      <w:r>
        <w:rPr>
          <w:rFonts w:ascii="Times New Roman" w:hAnsi="Times New Roman"/>
          <w:noProof/>
          <w:sz w:val="24"/>
          <w:lang w:val="fr-BE"/>
        </w:rPr>
        <w:t>e n’imposent pas des coûts de mise en conformité trop élevés pour les entreprises parties à une concentration, ce qui nuirait à l’innovation et à l’investissement.</w:t>
      </w:r>
    </w:p>
    <w:p w:rsidR="00D9323F" w:rsidRDefault="00D9323F">
      <w:pPr>
        <w:widowControl w:val="0"/>
        <w:spacing w:line="240" w:lineRule="auto"/>
        <w:jc w:val="both"/>
        <w:rPr>
          <w:rFonts w:ascii="Times New Roman" w:hAnsi="Times New Roman"/>
          <w:noProof/>
          <w:sz w:val="24"/>
          <w:szCs w:val="24"/>
          <w:lang w:val="fr-BE"/>
        </w:rPr>
      </w:pPr>
    </w:p>
    <w:p w:rsidR="00D9323F" w:rsidRDefault="00F47CDD">
      <w:pPr>
        <w:widowControl w:val="0"/>
        <w:spacing w:line="240" w:lineRule="auto"/>
        <w:ind w:left="360"/>
        <w:outlineLvl w:val="2"/>
        <w:rPr>
          <w:rFonts w:ascii="Times New Roman" w:eastAsia="Times New Roman" w:hAnsi="Times New Roman"/>
          <w:bCs/>
          <w:noProof/>
          <w:sz w:val="24"/>
          <w:szCs w:val="24"/>
          <w:lang w:val="fr-BE"/>
        </w:rPr>
      </w:pPr>
      <w:bookmarkStart w:id="22" w:name="_Toc19019190"/>
      <w:r>
        <w:rPr>
          <w:rFonts w:ascii="Times New Roman" w:hAnsi="Times New Roman"/>
          <w:b/>
          <w:noProof/>
          <w:sz w:val="24"/>
          <w:lang w:val="fr-BE"/>
        </w:rPr>
        <w:t>2.1 Les tendances récentes en matière de mise en œuvre</w:t>
      </w:r>
      <w:bookmarkEnd w:id="22"/>
      <w:r>
        <w:rPr>
          <w:rFonts w:ascii="Times New Roman" w:hAnsi="Times New Roman"/>
          <w:b/>
          <w:noProof/>
          <w:sz w:val="24"/>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2018, 414 concentrations ont été</w:t>
      </w:r>
      <w:r>
        <w:rPr>
          <w:rFonts w:ascii="Times New Roman" w:hAnsi="Times New Roman"/>
          <w:noProof/>
          <w:sz w:val="24"/>
          <w:lang w:val="fr-BE"/>
        </w:rPr>
        <w:t xml:space="preserve"> notifiées à la Commission, soit le plus grand nombre dans l’histoire du contrôle des concentrations de l’UE, ce qui représente une hausse considérable par rapport aux années précédentes.</w:t>
      </w:r>
      <w:r>
        <w:rPr>
          <w:noProof/>
          <w:lang w:val="fr-BE"/>
        </w:rPr>
        <w:t xml:space="preserve"> </w:t>
      </w:r>
      <w:r>
        <w:rPr>
          <w:rFonts w:ascii="Times New Roman" w:hAnsi="Times New Roman"/>
          <w:noProof/>
          <w:sz w:val="24"/>
          <w:lang w:val="fr-BE"/>
        </w:rPr>
        <w:t>Le nombre total de notifications reçues en 2018 est de 9 % plus élev</w:t>
      </w:r>
      <w:r>
        <w:rPr>
          <w:rFonts w:ascii="Times New Roman" w:hAnsi="Times New Roman"/>
          <w:noProof/>
          <w:sz w:val="24"/>
          <w:lang w:val="fr-BE"/>
        </w:rPr>
        <w:t xml:space="preserve">é qu’en 2017 et de près de 50 % plus élevé qu’en 2013. En outre, la Commission a reçu 23 mémoires motivés préalables à la notification soumis par les parties notifiantes afin de demander le renvoi d’un projet de concentration de la Commission vers un État </w:t>
      </w:r>
      <w:r>
        <w:rPr>
          <w:rFonts w:ascii="Times New Roman" w:hAnsi="Times New Roman"/>
          <w:noProof/>
          <w:sz w:val="24"/>
          <w:lang w:val="fr-BE"/>
        </w:rPr>
        <w:t>membre ou inversement.</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Comme les années précédentes, la plupart des concentrations notifiées n’ont soulevé aucun problème de concurrence et ont pu être rapidement traitées. La procédure simplifiée a été utilisée dans 75 % des opérations notifiées en 2018, </w:t>
      </w:r>
      <w:r>
        <w:rPr>
          <w:rFonts w:ascii="Times New Roman" w:hAnsi="Times New Roman"/>
          <w:noProof/>
          <w:sz w:val="24"/>
          <w:szCs w:val="24"/>
          <w:lang w:val="fr-BE"/>
        </w:rPr>
        <w:t>ce qui illustre les répercussions des mesures de simplification adoptées par la Commission en décembre 2013. La proportion de dossiers simplifiés au cours de la période 2004-2013 a été considérablement plus faible (59 %).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a dû faire face à un</w:t>
      </w:r>
      <w:r>
        <w:rPr>
          <w:rFonts w:ascii="Times New Roman" w:hAnsi="Times New Roman"/>
          <w:noProof/>
          <w:sz w:val="24"/>
          <w:szCs w:val="24"/>
          <w:lang w:val="fr-BE"/>
        </w:rPr>
        <w:t>e charge de travail importante en 2018, en raison du nombre considérable d’opérations notifiées et de la complexité d’un grand nombre d’affaires. Un nombre croissant d’opérations notifiées concernaient des secteurs déjà caractérisés par une importante conc</w:t>
      </w:r>
      <w:r>
        <w:rPr>
          <w:rFonts w:ascii="Times New Roman" w:hAnsi="Times New Roman"/>
          <w:noProof/>
          <w:sz w:val="24"/>
          <w:szCs w:val="24"/>
          <w:lang w:val="fr-BE"/>
        </w:rPr>
        <w:t>entration, tels que l’agrochimie et la sidérurgie. Cette évolution a contraint la Commission à évaluer soigneusement l’incidence potentielle des projets de concentration sur la concurrence, en utilisant des techniques quantitatives sophistiquées et en mena</w:t>
      </w:r>
      <w:r>
        <w:rPr>
          <w:rFonts w:ascii="Times New Roman" w:hAnsi="Times New Roman"/>
          <w:noProof/>
          <w:sz w:val="24"/>
          <w:szCs w:val="24"/>
          <w:lang w:val="fr-BE"/>
        </w:rPr>
        <w:t>nt des enquêtes qualitatives approfondies.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ouvert une enquête approfondie (deuxième phase) dans douze cas. Ces affaires portaient sur des secteurs tels que les télécommunications, l’acier, les gaz industriels et le transport ferrov</w:t>
      </w:r>
      <w:r>
        <w:rPr>
          <w:rFonts w:ascii="Times New Roman" w:hAnsi="Times New Roman"/>
          <w:noProof/>
          <w:sz w:val="24"/>
          <w:lang w:val="fr-BE"/>
        </w:rPr>
        <w:t>iaire.</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a adopté 393 décisions relatives à des concentrations en 2018</w:t>
      </w:r>
      <w:r>
        <w:rPr>
          <w:rFonts w:ascii="Times New Roman" w:hAnsi="Times New Roman"/>
          <w:noProof/>
          <w:sz w:val="24"/>
          <w:szCs w:val="24"/>
          <w:vertAlign w:val="superscript"/>
        </w:rPr>
        <w:footnoteReference w:id="68"/>
      </w:r>
      <w:r>
        <w:rPr>
          <w:rFonts w:ascii="Times New Roman" w:hAnsi="Times New Roman"/>
          <w:noProof/>
          <w:sz w:val="24"/>
          <w:szCs w:val="24"/>
          <w:lang w:val="fr-BE"/>
        </w:rPr>
        <w:t xml:space="preserve"> et est intervenue dans 25 cas, ce qui a permis aux consommateurs d’économiser environ 20 milliards d’EUR (soit 39 EUR par citoyen européen)</w:t>
      </w:r>
      <w:r>
        <w:rPr>
          <w:rStyle w:val="FootnoteReference"/>
          <w:rFonts w:ascii="Times New Roman" w:hAnsi="Times New Roman"/>
          <w:noProof/>
          <w:sz w:val="24"/>
          <w:szCs w:val="24"/>
        </w:rPr>
        <w:footnoteReference w:id="69"/>
      </w:r>
      <w:r>
        <w:rPr>
          <w:rFonts w:ascii="Times New Roman" w:hAnsi="Times New Roman"/>
          <w:noProof/>
          <w:sz w:val="24"/>
          <w:szCs w:val="24"/>
          <w:lang w:val="fr-BE"/>
        </w:rPr>
        <w:t>. Ce nombre d’interventions étai</w:t>
      </w:r>
      <w:r>
        <w:rPr>
          <w:rFonts w:ascii="Times New Roman" w:hAnsi="Times New Roman"/>
          <w:noProof/>
          <w:sz w:val="24"/>
          <w:szCs w:val="24"/>
          <w:lang w:val="fr-BE"/>
        </w:rPr>
        <w:t>t légèrement supérieur à la moyenne des sept dernières années, qui se monte à environ 20 interventions par année</w:t>
      </w:r>
      <w:r>
        <w:rPr>
          <w:rFonts w:ascii="Times New Roman" w:hAnsi="Times New Roman"/>
          <w:noProof/>
          <w:sz w:val="24"/>
          <w:szCs w:val="24"/>
          <w:vertAlign w:val="superscript"/>
        </w:rPr>
        <w:footnoteReference w:id="70"/>
      </w:r>
      <w:r>
        <w:rPr>
          <w:rFonts w:ascii="Times New Roman" w:hAnsi="Times New Roman"/>
          <w:noProof/>
          <w:sz w:val="24"/>
          <w:szCs w:val="24"/>
          <w:lang w:val="fr-BE"/>
        </w:rPr>
        <w:t>. En 2018, 17 concentrations ont été autorisées sous réserve d’engagements lors de la première phase, quatre sans mesures correctives à l’issue</w:t>
      </w:r>
      <w:r>
        <w:rPr>
          <w:rFonts w:ascii="Times New Roman" w:hAnsi="Times New Roman"/>
          <w:noProof/>
          <w:sz w:val="24"/>
          <w:szCs w:val="24"/>
          <w:lang w:val="fr-BE"/>
        </w:rPr>
        <w:t xml:space="preserve"> de la deuxième phase et six sous réserve de mesures correctives à l’issue de la deuxième phase. Dans deux affaires, les parties ont renoncé à l’opération au cours de l’enquête approfondie</w:t>
      </w:r>
      <w:r>
        <w:rPr>
          <w:rFonts w:ascii="Times New Roman" w:hAnsi="Times New Roman"/>
          <w:noProof/>
          <w:sz w:val="24"/>
          <w:szCs w:val="24"/>
          <w:vertAlign w:val="superscript"/>
        </w:rPr>
        <w:footnoteReference w:id="71"/>
      </w:r>
      <w:r>
        <w:rPr>
          <w:rFonts w:ascii="Times New Roman" w:hAnsi="Times New Roman"/>
          <w:noProof/>
          <w:sz w:val="24"/>
          <w:szCs w:val="24"/>
          <w:lang w:val="fr-BE"/>
        </w:rPr>
        <w:t xml:space="preserve">. La Commission n’a interdit aucune opération en 2018. </w:t>
      </w:r>
    </w:p>
    <w:p w:rsidR="00D9323F" w:rsidRDefault="00F47CDD">
      <w:pPr>
        <w:keepNext/>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Au moment d</w:t>
      </w:r>
      <w:r>
        <w:rPr>
          <w:rFonts w:ascii="Times New Roman" w:hAnsi="Times New Roman"/>
          <w:noProof/>
          <w:sz w:val="24"/>
          <w:lang w:val="fr-BE"/>
        </w:rPr>
        <w:t>’examiner les concentrations proposées, la Commission évalue leurs répercussions sur tous les aspects de la concurrence. En 2018, la Commission est intervenue dans plusieurs projets de concentration qui, outre des préoccupations liées aux prix, à la qualit</w:t>
      </w:r>
      <w:r>
        <w:rPr>
          <w:rFonts w:ascii="Times New Roman" w:hAnsi="Times New Roman"/>
          <w:noProof/>
          <w:sz w:val="24"/>
          <w:lang w:val="fr-BE"/>
        </w:rPr>
        <w:t xml:space="preserve">é et au choix, risquaient d’entraver l’innovation. Dans les affaires </w:t>
      </w:r>
      <w:r>
        <w:rPr>
          <w:rFonts w:ascii="Times New Roman" w:hAnsi="Times New Roman"/>
          <w:noProof/>
          <w:sz w:val="24"/>
          <w:szCs w:val="24"/>
          <w:lang w:val="fr-BE"/>
        </w:rPr>
        <w:t>Bayer/Monsanto</w:t>
      </w:r>
      <w:r>
        <w:rPr>
          <w:rFonts w:ascii="Times New Roman" w:hAnsi="Times New Roman"/>
          <w:noProof/>
          <w:sz w:val="24"/>
          <w:szCs w:val="24"/>
          <w:vertAlign w:val="superscript"/>
        </w:rPr>
        <w:footnoteReference w:id="72"/>
      </w:r>
      <w:r>
        <w:rPr>
          <w:rFonts w:ascii="Times New Roman" w:hAnsi="Times New Roman"/>
          <w:noProof/>
          <w:sz w:val="24"/>
          <w:szCs w:val="24"/>
          <w:lang w:val="fr-BE"/>
        </w:rPr>
        <w:t xml:space="preserve"> et BASF/activités cédées de Bayer</w:t>
      </w:r>
      <w:r>
        <w:rPr>
          <w:rFonts w:ascii="Times New Roman" w:hAnsi="Times New Roman"/>
          <w:noProof/>
          <w:sz w:val="24"/>
          <w:szCs w:val="24"/>
          <w:vertAlign w:val="superscript"/>
        </w:rPr>
        <w:footnoteReference w:id="73"/>
      </w:r>
      <w:r>
        <w:rPr>
          <w:rFonts w:ascii="Times New Roman" w:hAnsi="Times New Roman"/>
          <w:noProof/>
          <w:sz w:val="24"/>
          <w:szCs w:val="24"/>
          <w:lang w:val="fr-BE"/>
        </w:rPr>
        <w:t>, la Commission a identifié des préoccupations liées à l’innovation. La Commission a autorisé l’opération Bayer/Monsanto après que les pa</w:t>
      </w:r>
      <w:r>
        <w:rPr>
          <w:rFonts w:ascii="Times New Roman" w:hAnsi="Times New Roman"/>
          <w:noProof/>
          <w:sz w:val="24"/>
          <w:szCs w:val="24"/>
          <w:lang w:val="fr-BE"/>
        </w:rPr>
        <w:t>rties ont présenté un ensemble important de cessions, comprenant notamment l’ensemble de l’activité de Bayer dans le secteur des semences potagères et des semences et caractères de grande culture (y compris la R&amp;D) et son activité dans les domaines du gluf</w:t>
      </w:r>
      <w:r>
        <w:rPr>
          <w:rFonts w:ascii="Times New Roman" w:hAnsi="Times New Roman"/>
          <w:noProof/>
          <w:sz w:val="24"/>
          <w:szCs w:val="24"/>
          <w:lang w:val="fr-BE"/>
        </w:rPr>
        <w:t>osinate et de l’agriculture numérique. Ces cessions ont permis de répondre aux préoccupations de la Commission en matière de concurrence, y compris celles liées à l’innovation. Les activités cédées ont été vendues à BASF. Ces acquisitions permettraient à l</w:t>
      </w:r>
      <w:r>
        <w:rPr>
          <w:rFonts w:ascii="Times New Roman" w:hAnsi="Times New Roman"/>
          <w:noProof/>
          <w:sz w:val="24"/>
          <w:szCs w:val="24"/>
          <w:lang w:val="fr-BE"/>
        </w:rPr>
        <w:t xml:space="preserve">’entreprise d’exercer une concurrence et d’innover aussi activement et efficacement que les entreprises parties à la concentration, dans l’intérêt des agriculteurs et des consommateurs européens.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La plupart des mesures correctives acceptées par la Commiss</w:t>
      </w:r>
      <w:r>
        <w:rPr>
          <w:rFonts w:ascii="Times New Roman" w:hAnsi="Times New Roman"/>
          <w:noProof/>
          <w:sz w:val="24"/>
          <w:szCs w:val="24"/>
          <w:lang w:val="fr-BE"/>
        </w:rPr>
        <w:t>ion en 2018 étaient des cessions d’actifs corporels ou incorporels</w:t>
      </w:r>
      <w:r>
        <w:rPr>
          <w:rFonts w:ascii="Times New Roman" w:hAnsi="Times New Roman"/>
          <w:noProof/>
          <w:sz w:val="24"/>
          <w:szCs w:val="24"/>
          <w:vertAlign w:val="superscript"/>
        </w:rPr>
        <w:footnoteReference w:id="74"/>
      </w:r>
      <w:r>
        <w:rPr>
          <w:rFonts w:ascii="Times New Roman" w:hAnsi="Times New Roman"/>
          <w:noProof/>
          <w:sz w:val="24"/>
          <w:szCs w:val="24"/>
          <w:lang w:val="fr-BE"/>
        </w:rPr>
        <w:t>, conformément à la préférence générale de la Commission pour les mesures correctives structurelles dans les affaires de concentration. Dans quelques cas, en 2018, la Commission a accepté d</w:t>
      </w:r>
      <w:r>
        <w:rPr>
          <w:rFonts w:ascii="Times New Roman" w:hAnsi="Times New Roman"/>
          <w:noProof/>
          <w:sz w:val="24"/>
          <w:szCs w:val="24"/>
          <w:lang w:val="fr-BE"/>
        </w:rPr>
        <w:t>es mesures correctives autres que la cession</w:t>
      </w:r>
      <w:r>
        <w:rPr>
          <w:rFonts w:ascii="Times New Roman" w:hAnsi="Times New Roman"/>
          <w:noProof/>
          <w:sz w:val="24"/>
          <w:szCs w:val="24"/>
          <w:vertAlign w:val="superscript"/>
        </w:rPr>
        <w:footnoteReference w:id="75"/>
      </w:r>
      <w:r>
        <w:rPr>
          <w:rFonts w:ascii="Times New Roman" w:hAnsi="Times New Roman"/>
          <w:noProof/>
          <w:sz w:val="24"/>
          <w:szCs w:val="24"/>
          <w:lang w:val="fr-BE"/>
        </w:rPr>
        <w:t>, lorsqu’elles étaient jugées de nature à résoudre les préoccupations sous-jacentes liées à la concurrence.</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lang w:val="fr-BE"/>
        </w:rPr>
      </w:pPr>
      <w:r>
        <w:rPr>
          <w:rFonts w:ascii="Times New Roman" w:hAnsi="Times New Roman"/>
          <w:noProof/>
          <w:sz w:val="24"/>
          <w:lang w:val="fr-BE"/>
        </w:rPr>
        <w:t>En outre, en 2018, la Commission a continué à déployer des efforts considérables en vue de faire respec</w:t>
      </w:r>
      <w:r>
        <w:rPr>
          <w:rFonts w:ascii="Times New Roman" w:hAnsi="Times New Roman"/>
          <w:noProof/>
          <w:sz w:val="24"/>
          <w:lang w:val="fr-BE"/>
        </w:rPr>
        <w:t>ter les obligations de procédures prévues par le règlement de l’UE sur les concentrations</w:t>
      </w:r>
      <w:r>
        <w:rPr>
          <w:rFonts w:ascii="Times New Roman" w:hAnsi="Times New Roman"/>
          <w:noProof/>
          <w:sz w:val="24"/>
          <w:vertAlign w:val="superscript"/>
        </w:rPr>
        <w:footnoteReference w:id="76"/>
      </w:r>
      <w:r>
        <w:rPr>
          <w:rFonts w:ascii="Times New Roman" w:hAnsi="Times New Roman"/>
          <w:noProof/>
          <w:sz w:val="24"/>
          <w:lang w:val="fr-BE"/>
        </w:rPr>
        <w:t>. Après l’amende de 110 millions d’EUR infligée à Facebook en 2017 pour avoir fourni des renseignements dénaturés lors de l’examen de son acquisition de WhatsApp</w:t>
      </w:r>
      <w:r>
        <w:rPr>
          <w:rFonts w:ascii="Times New Roman" w:hAnsi="Times New Roman"/>
          <w:noProof/>
          <w:sz w:val="24"/>
          <w:vertAlign w:val="superscript"/>
        </w:rPr>
        <w:footnoteReference w:id="77"/>
      </w:r>
      <w:r>
        <w:rPr>
          <w:rFonts w:ascii="Times New Roman" w:hAnsi="Times New Roman"/>
          <w:noProof/>
          <w:sz w:val="24"/>
          <w:lang w:val="fr-BE"/>
        </w:rPr>
        <w:t>, la</w:t>
      </w:r>
      <w:r>
        <w:rPr>
          <w:rFonts w:ascii="Times New Roman" w:hAnsi="Times New Roman"/>
          <w:noProof/>
          <w:sz w:val="24"/>
          <w:lang w:val="fr-BE"/>
        </w:rPr>
        <w:t xml:space="preserve"> Commission a infligé en 2018 une amende de 124,5 millions d’EUR à </w:t>
      </w:r>
      <w:r>
        <w:rPr>
          <w:rFonts w:ascii="Times New Roman" w:hAnsi="Times New Roman"/>
          <w:i/>
          <w:noProof/>
          <w:sz w:val="24"/>
          <w:lang w:val="fr-BE"/>
        </w:rPr>
        <w:t>Altice</w:t>
      </w:r>
      <w:r>
        <w:rPr>
          <w:rFonts w:ascii="Times New Roman" w:hAnsi="Times New Roman"/>
          <w:noProof/>
          <w:sz w:val="24"/>
          <w:vertAlign w:val="superscript"/>
        </w:rPr>
        <w:footnoteReference w:id="78"/>
      </w:r>
      <w:r>
        <w:rPr>
          <w:rFonts w:ascii="Times New Roman" w:hAnsi="Times New Roman"/>
          <w:noProof/>
          <w:sz w:val="24"/>
          <w:lang w:val="fr-BE"/>
        </w:rPr>
        <w:t xml:space="preserve"> pour avoir réalisé son acquisition de l’opérateur de télécommunications portugais PT Portugal avant de l’avoir notifiée à la Commission ou d’avoir obtenu son autorisation (une pratique appelée «gun jumping»). Trois autres procédures d’infraction étaient e</w:t>
      </w:r>
      <w:r>
        <w:rPr>
          <w:rFonts w:ascii="Times New Roman" w:hAnsi="Times New Roman"/>
          <w:noProof/>
          <w:sz w:val="24"/>
          <w:lang w:val="fr-BE"/>
        </w:rPr>
        <w:t xml:space="preserve">n cours d’instruction en 2018; deux contre </w:t>
      </w:r>
      <w:r>
        <w:rPr>
          <w:rFonts w:ascii="Times New Roman" w:hAnsi="Times New Roman"/>
          <w:i/>
          <w:noProof/>
          <w:sz w:val="24"/>
          <w:lang w:val="fr-BE"/>
        </w:rPr>
        <w:t>General Electric</w:t>
      </w:r>
      <w:r>
        <w:rPr>
          <w:rFonts w:ascii="Times New Roman" w:hAnsi="Times New Roman"/>
          <w:noProof/>
          <w:sz w:val="24"/>
          <w:lang w:val="fr-BE"/>
        </w:rPr>
        <w:t xml:space="preserve"> et </w:t>
      </w:r>
      <w:r>
        <w:rPr>
          <w:rFonts w:ascii="Times New Roman" w:hAnsi="Times New Roman"/>
          <w:i/>
          <w:noProof/>
          <w:sz w:val="24"/>
          <w:lang w:val="fr-BE"/>
        </w:rPr>
        <w:t>Merck GmbH</w:t>
      </w:r>
      <w:r>
        <w:rPr>
          <w:rFonts w:ascii="Times New Roman" w:hAnsi="Times New Roman"/>
          <w:noProof/>
          <w:sz w:val="24"/>
          <w:lang w:val="fr-BE"/>
        </w:rPr>
        <w:t xml:space="preserve"> (y compris </w:t>
      </w:r>
      <w:r>
        <w:rPr>
          <w:rFonts w:ascii="Times New Roman" w:hAnsi="Times New Roman"/>
          <w:i/>
          <w:noProof/>
          <w:sz w:val="24"/>
          <w:lang w:val="fr-BE"/>
        </w:rPr>
        <w:t>Sigma-Aldrich</w:t>
      </w:r>
      <w:r>
        <w:rPr>
          <w:rFonts w:ascii="Times New Roman" w:hAnsi="Times New Roman"/>
          <w:noProof/>
          <w:sz w:val="24"/>
          <w:lang w:val="fr-BE"/>
        </w:rPr>
        <w:t>) pour avoir prétendument fourni des renseignements inexacts et/ou dénaturés lors de l’examen de la concentration par la Commission. En outre, la Commission a</w:t>
      </w:r>
      <w:r>
        <w:rPr>
          <w:rFonts w:ascii="Times New Roman" w:hAnsi="Times New Roman"/>
          <w:noProof/>
          <w:sz w:val="24"/>
          <w:lang w:val="fr-BE"/>
        </w:rPr>
        <w:t xml:space="preserve"> engagé une procédure contre </w:t>
      </w:r>
      <w:r>
        <w:rPr>
          <w:rFonts w:ascii="Times New Roman" w:hAnsi="Times New Roman"/>
          <w:i/>
          <w:noProof/>
          <w:sz w:val="24"/>
          <w:lang w:val="fr-BE"/>
        </w:rPr>
        <w:t>Canon</w:t>
      </w:r>
      <w:r>
        <w:rPr>
          <w:rFonts w:ascii="Times New Roman" w:hAnsi="Times New Roman"/>
          <w:noProof/>
          <w:sz w:val="24"/>
          <w:lang w:val="fr-BE"/>
        </w:rPr>
        <w:t xml:space="preserve"> pour mise en œuvre présumée d’une concentration avant notification et autorisation.</w:t>
      </w:r>
    </w:p>
    <w:p w:rsidR="00D9323F" w:rsidRDefault="00F47CDD">
      <w:pPr>
        <w:keepNext/>
        <w:widowControl w:val="0"/>
        <w:spacing w:line="240" w:lineRule="auto"/>
        <w:rPr>
          <w:rFonts w:ascii="Times New Roman" w:hAnsi="Times New Roman"/>
          <w:noProof/>
        </w:rPr>
      </w:pPr>
      <w:r>
        <w:rPr>
          <w:rFonts w:ascii="Times New Roman" w:hAnsi="Times New Roman"/>
          <w:b/>
          <w:noProof/>
          <w:sz w:val="24"/>
        </w:rPr>
        <w:t xml:space="preserve">Décisions relatives aux concentrations 2010-2018: </w:t>
      </w:r>
    </w:p>
    <w:p w:rsidR="00D9323F" w:rsidRDefault="00F47CDD">
      <w:pPr>
        <w:widowControl w:val="0"/>
        <w:spacing w:line="240" w:lineRule="auto"/>
        <w:rPr>
          <w:rFonts w:ascii="Times New Roman" w:eastAsia="Times New Roman" w:hAnsi="Times New Roman"/>
          <w:b/>
          <w:bCs/>
          <w:noProof/>
          <w:sz w:val="24"/>
          <w:szCs w:val="24"/>
        </w:rPr>
      </w:pPr>
      <w:r>
        <w:rPr>
          <w:noProof/>
          <w:lang w:eastAsia="en-GB"/>
        </w:rPr>
        <w:drawing>
          <wp:inline distT="0" distB="0" distL="0" distR="0">
            <wp:extent cx="5759450" cy="397611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976113"/>
                    </a:xfrm>
                    <a:prstGeom prst="rect">
                      <a:avLst/>
                    </a:prstGeom>
                    <a:noFill/>
                    <a:ln>
                      <a:noFill/>
                    </a:ln>
                  </pic:spPr>
                </pic:pic>
              </a:graphicData>
            </a:graphic>
          </wp:inline>
        </w:drawing>
      </w:r>
    </w:p>
    <w:p w:rsidR="00D9323F" w:rsidRDefault="00F47CDD">
      <w:pPr>
        <w:widowControl w:val="0"/>
        <w:spacing w:line="240" w:lineRule="auto"/>
        <w:ind w:left="360"/>
        <w:outlineLvl w:val="2"/>
        <w:rPr>
          <w:rFonts w:ascii="Times New Roman" w:eastAsia="Times New Roman" w:hAnsi="Times New Roman"/>
          <w:b/>
          <w:bCs/>
          <w:noProof/>
          <w:sz w:val="24"/>
          <w:szCs w:val="24"/>
          <w:lang w:val="fr-BE"/>
        </w:rPr>
      </w:pPr>
      <w:bookmarkStart w:id="23" w:name="_Toc19019191"/>
      <w:r>
        <w:rPr>
          <w:rFonts w:ascii="Times New Roman" w:hAnsi="Times New Roman"/>
          <w:b/>
          <w:noProof/>
          <w:sz w:val="24"/>
          <w:lang w:val="fr-BE"/>
        </w:rPr>
        <w:t>2.2 L’évaluation en cours du contrôle des concentrations de l’UE</w:t>
      </w:r>
      <w:bookmarkEnd w:id="23"/>
    </w:p>
    <w:p w:rsidR="00D9323F" w:rsidRDefault="00F47CDD">
      <w:pPr>
        <w:widowControl w:val="0"/>
        <w:spacing w:line="240" w:lineRule="auto"/>
        <w:jc w:val="both"/>
        <w:rPr>
          <w:rFonts w:ascii="Times New Roman" w:hAnsi="Times New Roman"/>
          <w:noProof/>
          <w:sz w:val="24"/>
          <w:lang w:val="fr-BE"/>
        </w:rPr>
      </w:pPr>
      <w:r>
        <w:rPr>
          <w:rFonts w:ascii="Times New Roman" w:hAnsi="Times New Roman"/>
          <w:noProof/>
          <w:sz w:val="24"/>
          <w:lang w:val="fr-BE"/>
        </w:rPr>
        <w:t>En 2016, la Commiss</w:t>
      </w:r>
      <w:r>
        <w:rPr>
          <w:rFonts w:ascii="Times New Roman" w:hAnsi="Times New Roman"/>
          <w:noProof/>
          <w:sz w:val="24"/>
          <w:lang w:val="fr-BE"/>
        </w:rPr>
        <w:t xml:space="preserve">ion européenne a lancé une consultation publique concernant l’évaluation de certains aspects procéduraux et juridictionnels du contrôle des concentrations dans l’UE. Cette évaluation s’appuie sur les résultats de la consultation publique relative au livre </w:t>
      </w:r>
      <w:r>
        <w:rPr>
          <w:rFonts w:ascii="Times New Roman" w:hAnsi="Times New Roman"/>
          <w:noProof/>
          <w:sz w:val="24"/>
          <w:lang w:val="fr-BE"/>
        </w:rPr>
        <w:t>blanc publié en 2014 par la Commission «</w:t>
      </w:r>
      <w:r>
        <w:rPr>
          <w:rFonts w:ascii="Times New Roman" w:hAnsi="Times New Roman"/>
          <w:i/>
          <w:noProof/>
          <w:sz w:val="24"/>
          <w:lang w:val="fr-BE"/>
        </w:rPr>
        <w:t>Vers un contrôle plus efficace des concentrations dans l’UE</w:t>
      </w:r>
      <w:r>
        <w:rPr>
          <w:rFonts w:ascii="Times New Roman" w:hAnsi="Times New Roman"/>
          <w:noProof/>
          <w:sz w:val="24"/>
          <w:lang w:val="fr-BE"/>
        </w:rPr>
        <w:t>»</w:t>
      </w:r>
      <w:r>
        <w:rPr>
          <w:rFonts w:ascii="Times New Roman" w:hAnsi="Times New Roman"/>
          <w:noProof/>
          <w:sz w:val="24"/>
          <w:vertAlign w:val="superscript"/>
        </w:rPr>
        <w:footnoteReference w:id="79"/>
      </w:r>
      <w:r>
        <w:rPr>
          <w:rFonts w:ascii="Times New Roman" w:hAnsi="Times New Roman"/>
          <w:noProof/>
          <w:sz w:val="24"/>
          <w:lang w:val="fr-BE"/>
        </w:rPr>
        <w:t>. L’évaluation est axée sur quatre thèmes, à savoir i) la possibilité de simplifier encore le contrôle des concentrations de l’UE, ii) le fonctionnement de</w:t>
      </w:r>
      <w:r>
        <w:rPr>
          <w:rFonts w:ascii="Times New Roman" w:hAnsi="Times New Roman"/>
          <w:noProof/>
          <w:sz w:val="24"/>
          <w:lang w:val="fr-BE"/>
        </w:rPr>
        <w:t xml:space="preserve">s seuils de compétence, iii) le fonctionnement du système de renvoi et iv) des aspects techniques spécifiques.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consultation publique a pris fin à la mi-février 2017 et a suscité un vif intérêt. Un résumé des réponses reçues au cours de la consultation </w:t>
      </w:r>
      <w:r>
        <w:rPr>
          <w:rFonts w:ascii="Times New Roman" w:hAnsi="Times New Roman"/>
          <w:noProof/>
          <w:sz w:val="24"/>
          <w:lang w:val="fr-BE"/>
        </w:rPr>
        <w:t>publique, accompagné de leurs versions non confidentielles, a été publié sur le site web de la DG Concurrence le 28 juillet 2017</w:t>
      </w:r>
      <w:r>
        <w:rPr>
          <w:rFonts w:ascii="Times New Roman" w:hAnsi="Times New Roman"/>
          <w:noProof/>
          <w:sz w:val="24"/>
          <w:vertAlign w:val="superscript"/>
        </w:rPr>
        <w:footnoteReference w:id="80"/>
      </w:r>
      <w:r>
        <w:rPr>
          <w:rFonts w:ascii="Times New Roman" w:hAnsi="Times New Roman"/>
          <w:noProof/>
          <w:sz w:val="24"/>
          <w:lang w:val="fr-BE"/>
        </w:rPr>
        <w:t>. La Commission poursuit ses recherches sur les sujets couverts par l’évaluation et réfléchira à la nécessité de prendre d’autr</w:t>
      </w:r>
      <w:r>
        <w:rPr>
          <w:rFonts w:ascii="Times New Roman" w:hAnsi="Times New Roman"/>
          <w:noProof/>
          <w:sz w:val="24"/>
          <w:lang w:val="fr-BE"/>
        </w:rPr>
        <w:t>es mesures.</w:t>
      </w:r>
    </w:p>
    <w:p w:rsidR="00D9323F" w:rsidRDefault="00F47CDD">
      <w:pPr>
        <w:keepNext/>
        <w:spacing w:line="240" w:lineRule="auto"/>
        <w:ind w:left="357"/>
        <w:outlineLvl w:val="2"/>
        <w:rPr>
          <w:rFonts w:ascii="Times New Roman" w:eastAsia="Times New Roman" w:hAnsi="Times New Roman"/>
          <w:b/>
          <w:bCs/>
          <w:noProof/>
          <w:sz w:val="24"/>
          <w:szCs w:val="24"/>
          <w:lang w:val="fr-BE"/>
        </w:rPr>
      </w:pPr>
      <w:bookmarkStart w:id="24" w:name="_Toc19019192"/>
      <w:r>
        <w:rPr>
          <w:rFonts w:ascii="Times New Roman" w:hAnsi="Times New Roman"/>
          <w:b/>
          <w:noProof/>
          <w:sz w:val="24"/>
          <w:lang w:val="fr-BE"/>
        </w:rPr>
        <w:t>2.3 Arrêts importants rendus par les tribunaux de l’Union européenne dans le domaine du contrôle des concentrations</w:t>
      </w:r>
      <w:bookmarkEnd w:id="24"/>
      <w:r>
        <w:rPr>
          <w:rFonts w:ascii="Times New Roman" w:hAnsi="Times New Roman"/>
          <w:b/>
          <w:noProof/>
          <w:sz w:val="24"/>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2018, les tribunaux de l’UE ont rendu cinq arrêts dans le domaine du contrôle des concentrations.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lang w:val="fr-BE"/>
        </w:rPr>
      </w:pPr>
      <w:r>
        <w:rPr>
          <w:rFonts w:ascii="Times New Roman" w:hAnsi="Times New Roman"/>
          <w:noProof/>
          <w:sz w:val="24"/>
          <w:lang w:val="fr-BE"/>
        </w:rPr>
        <w:t xml:space="preserve">Dans son arrêt du </w:t>
      </w:r>
      <w:r>
        <w:rPr>
          <w:rFonts w:ascii="Times New Roman" w:hAnsi="Times New Roman"/>
          <w:noProof/>
          <w:sz w:val="24"/>
          <w:lang w:val="fr-BE"/>
        </w:rPr>
        <w:t>16 mai 2018</w:t>
      </w:r>
      <w:r>
        <w:rPr>
          <w:rFonts w:ascii="Times New Roman" w:hAnsi="Times New Roman"/>
          <w:noProof/>
          <w:sz w:val="24"/>
          <w:vertAlign w:val="superscript"/>
        </w:rPr>
        <w:footnoteReference w:id="81"/>
      </w:r>
      <w:r>
        <w:rPr>
          <w:rFonts w:ascii="Times New Roman" w:hAnsi="Times New Roman"/>
          <w:noProof/>
          <w:sz w:val="24"/>
          <w:lang w:val="fr-BE"/>
        </w:rPr>
        <w:t>, le Tribunal a partiellement annulé la décision de la Commission du 25 juillet 2016</w:t>
      </w:r>
      <w:r>
        <w:rPr>
          <w:rFonts w:ascii="Times New Roman" w:hAnsi="Times New Roman"/>
          <w:noProof/>
          <w:sz w:val="24"/>
          <w:vertAlign w:val="superscript"/>
        </w:rPr>
        <w:footnoteReference w:id="82"/>
      </w:r>
      <w:r>
        <w:rPr>
          <w:rFonts w:ascii="Times New Roman" w:hAnsi="Times New Roman"/>
          <w:noProof/>
          <w:sz w:val="24"/>
          <w:lang w:val="fr-BE"/>
        </w:rPr>
        <w:t xml:space="preserve">, qui rejetait la demande de Lufthansa de renoncer aux engagements rendus obligatoires par la Commission dans sa décision </w:t>
      </w:r>
      <w:r>
        <w:rPr>
          <w:rFonts w:ascii="Times New Roman" w:hAnsi="Times New Roman"/>
          <w:i/>
          <w:noProof/>
          <w:sz w:val="24"/>
          <w:lang w:val="fr-BE"/>
        </w:rPr>
        <w:t>Lufthansa/Swiss</w:t>
      </w:r>
      <w:r>
        <w:rPr>
          <w:rFonts w:ascii="Times New Roman" w:hAnsi="Times New Roman"/>
          <w:noProof/>
          <w:sz w:val="24"/>
          <w:lang w:val="fr-BE"/>
        </w:rPr>
        <w:t xml:space="preserve"> de 2005</w:t>
      </w:r>
      <w:r>
        <w:rPr>
          <w:rFonts w:ascii="Times New Roman" w:hAnsi="Times New Roman"/>
          <w:noProof/>
          <w:sz w:val="24"/>
          <w:vertAlign w:val="superscript"/>
        </w:rPr>
        <w:footnoteReference w:id="83"/>
      </w:r>
      <w:r>
        <w:rPr>
          <w:rFonts w:ascii="Times New Roman" w:hAnsi="Times New Roman"/>
          <w:noProof/>
          <w:sz w:val="24"/>
          <w:lang w:val="fr-BE"/>
        </w:rPr>
        <w:t>.</w:t>
      </w:r>
      <w:r>
        <w:rPr>
          <w:rFonts w:ascii="Times New Roman" w:hAnsi="Times New Roman"/>
          <w:noProof/>
          <w:sz w:val="24"/>
          <w:vertAlign w:val="superscript"/>
          <w:lang w:val="fr-BE"/>
        </w:rPr>
        <w:t xml:space="preserve"> </w:t>
      </w:r>
      <w:r>
        <w:rPr>
          <w:rFonts w:ascii="Times New Roman" w:hAnsi="Times New Roman"/>
          <w:noProof/>
          <w:sz w:val="24"/>
          <w:lang w:val="fr-BE"/>
        </w:rPr>
        <w:t>Le Tribunal</w:t>
      </w:r>
      <w:r>
        <w:rPr>
          <w:rFonts w:ascii="Times New Roman" w:hAnsi="Times New Roman"/>
          <w:noProof/>
          <w:sz w:val="24"/>
          <w:lang w:val="fr-BE"/>
        </w:rPr>
        <w:t xml:space="preserve"> a annulé la décision de la Commission de rejeter la demande d’exemption pour la ligne Zurich-Stockholm. Le Tribunal a estimé que la Commission a</w:t>
      </w:r>
      <w:r>
        <w:rPr>
          <w:noProof/>
          <w:lang w:val="fr-BE"/>
        </w:rPr>
        <w:t xml:space="preserve">vait </w:t>
      </w:r>
      <w:r>
        <w:rPr>
          <w:rFonts w:ascii="Times New Roman" w:hAnsi="Times New Roman"/>
          <w:noProof/>
          <w:sz w:val="24"/>
          <w:lang w:val="fr-BE"/>
        </w:rPr>
        <w:t xml:space="preserve">commis une erreur manifeste d’appréciation en ne tenant pas compte de toutes les informations pertinentes </w:t>
      </w:r>
      <w:r>
        <w:rPr>
          <w:rFonts w:ascii="Times New Roman" w:hAnsi="Times New Roman"/>
          <w:noProof/>
          <w:sz w:val="24"/>
          <w:lang w:val="fr-BE"/>
        </w:rPr>
        <w:t>et en ne les examinant pas avec soin. Le Tribunal a conclu que la Commission n’était pas tenue de réexaminer les engagements à long terme de sa propre initiative. Il appartient aux parties liées par les engagements de présenter une demande d’exemption et d</w:t>
      </w:r>
      <w:r>
        <w:rPr>
          <w:rFonts w:ascii="Times New Roman" w:hAnsi="Times New Roman"/>
          <w:noProof/>
          <w:sz w:val="24"/>
          <w:lang w:val="fr-BE"/>
        </w:rPr>
        <w:t>e fournir les preuves nécessaires. Toutefois, la Commission doit compléter ou réfuter ces éléments de preuve au moyen d’une enquête. Selon le Tribunal, la Commission n’a pas suffisamment examiné l’évolution des conditions concurrentielles qui s’est produit</w:t>
      </w:r>
      <w:r>
        <w:rPr>
          <w:rFonts w:ascii="Times New Roman" w:hAnsi="Times New Roman"/>
          <w:noProof/>
          <w:sz w:val="24"/>
          <w:lang w:val="fr-BE"/>
        </w:rPr>
        <w:t>e sur cette liaison depuis l’adoption de sa décision. Toutefois, le Tribunal a rejeté le pourvoi relatif à la ligne Zurich-Varsovie.</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lang w:val="fr-BE"/>
        </w:rPr>
      </w:pPr>
      <w:r>
        <w:rPr>
          <w:rFonts w:ascii="Times New Roman" w:hAnsi="Times New Roman"/>
          <w:noProof/>
          <w:sz w:val="24"/>
          <w:lang w:val="fr-BE"/>
        </w:rPr>
        <w:t>Le 31 mai 2018, la Cour de justice de l’Union européenne a rendu sa décision préjudicielle sur une question qui lui a été s</w:t>
      </w:r>
      <w:r>
        <w:rPr>
          <w:rFonts w:ascii="Times New Roman" w:hAnsi="Times New Roman"/>
          <w:noProof/>
          <w:sz w:val="24"/>
          <w:lang w:val="fr-BE"/>
        </w:rPr>
        <w:t>oumise par un tribunal danois concernant l’interprétation de l’article 7, paragraphe 1, du règlement sur les concentrations, qui interdit aux entreprises de réaliser une concentration avant que la Commission ait donné son autorisation</w:t>
      </w:r>
      <w:r>
        <w:rPr>
          <w:rFonts w:ascii="Times New Roman" w:hAnsi="Times New Roman"/>
          <w:noProof/>
          <w:sz w:val="24"/>
          <w:vertAlign w:val="superscript"/>
        </w:rPr>
        <w:footnoteReference w:id="84"/>
      </w:r>
      <w:r>
        <w:rPr>
          <w:rFonts w:ascii="Times New Roman" w:hAnsi="Times New Roman"/>
          <w:noProof/>
          <w:sz w:val="24"/>
          <w:lang w:val="fr-BE"/>
        </w:rPr>
        <w:t>.L’enjeu de la procéd</w:t>
      </w:r>
      <w:r>
        <w:rPr>
          <w:rFonts w:ascii="Times New Roman" w:hAnsi="Times New Roman"/>
          <w:noProof/>
          <w:sz w:val="24"/>
          <w:lang w:val="fr-BE"/>
        </w:rPr>
        <w:t>ure nationale était de savoir si la résiliation par KPMG de son accord de coopération avec le réseau international KPMG avant l’approbation de sa fusion avec Ernst &amp; Young par l’autorité de concurrence danoise équivalait ou non à un gun jumping. Dans son a</w:t>
      </w:r>
      <w:r>
        <w:rPr>
          <w:rFonts w:ascii="Times New Roman" w:hAnsi="Times New Roman"/>
          <w:noProof/>
          <w:sz w:val="24"/>
          <w:lang w:val="fr-BE"/>
        </w:rPr>
        <w:t>rrêt, la Cour de justice a conclu que l’article 7, paragraphe 1, du règlement sur les concentrations devait être interprété en ce sens qu’une concentration n’est réalisée que par une opération qui, en tout ou en partie, en fait ou en droit, contribue au ch</w:t>
      </w:r>
      <w:r>
        <w:rPr>
          <w:rFonts w:ascii="Times New Roman" w:hAnsi="Times New Roman"/>
          <w:noProof/>
          <w:sz w:val="24"/>
          <w:lang w:val="fr-BE"/>
        </w:rPr>
        <w:t>angement de contrôle de l’entreprise cible. La Cour de justice a appliqué ce critère aux circonstances spécifiques de la procédure danoise et a conclu que la résiliation de l’accord de coopération ne constituait pas un gun jumping, même si elle avait un li</w:t>
      </w:r>
      <w:r>
        <w:rPr>
          <w:rFonts w:ascii="Times New Roman" w:hAnsi="Times New Roman"/>
          <w:noProof/>
          <w:sz w:val="24"/>
          <w:lang w:val="fr-BE"/>
        </w:rPr>
        <w:t>en conditionnel avec la concentration et était susceptible d’avoir un caractère accessoire et préparatoire.</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lang w:val="fr-BE"/>
        </w:rPr>
        <w:t>Le 9 octobre 2018, le Tribunal a rendu des arrêts dans trois affaires</w:t>
      </w:r>
      <w:r>
        <w:rPr>
          <w:rFonts w:ascii="Times New Roman" w:hAnsi="Times New Roman"/>
          <w:noProof/>
          <w:sz w:val="24"/>
          <w:vertAlign w:val="superscript"/>
        </w:rPr>
        <w:footnoteReference w:id="85"/>
      </w:r>
      <w:r>
        <w:rPr>
          <w:rFonts w:ascii="Times New Roman" w:hAnsi="Times New Roman"/>
          <w:noProof/>
          <w:sz w:val="24"/>
          <w:lang w:val="fr-BE"/>
        </w:rPr>
        <w:t xml:space="preserve"> concernant la mise en œuvre de mesures correctives dans l’affaire </w:t>
      </w:r>
      <w:r>
        <w:rPr>
          <w:rFonts w:ascii="Times New Roman" w:hAnsi="Times New Roman"/>
          <w:i/>
          <w:noProof/>
          <w:sz w:val="24"/>
          <w:lang w:val="fr-BE"/>
        </w:rPr>
        <w:t xml:space="preserve">Telefónica </w:t>
      </w:r>
      <w:r>
        <w:rPr>
          <w:rFonts w:ascii="Times New Roman" w:hAnsi="Times New Roman"/>
          <w:i/>
          <w:noProof/>
          <w:sz w:val="24"/>
          <w:lang w:val="fr-BE"/>
        </w:rPr>
        <w:t>Deutschland/E-Plus</w:t>
      </w:r>
      <w:r>
        <w:rPr>
          <w:rFonts w:ascii="Times New Roman" w:hAnsi="Times New Roman"/>
          <w:i/>
          <w:noProof/>
          <w:sz w:val="24"/>
          <w:vertAlign w:val="superscript"/>
        </w:rPr>
        <w:footnoteReference w:id="86"/>
      </w:r>
      <w:r>
        <w:rPr>
          <w:rFonts w:ascii="Times New Roman" w:hAnsi="Times New Roman"/>
          <w:noProof/>
          <w:sz w:val="24"/>
          <w:lang w:val="fr-BE"/>
        </w:rPr>
        <w:t xml:space="preserve"> qui avaient été autorisées sous certaines conditions en 2014. Chacun des trois requérants </w:t>
      </w:r>
      <w:r>
        <w:rPr>
          <w:rFonts w:ascii="Times New Roman" w:hAnsi="Times New Roman"/>
          <w:i/>
          <w:noProof/>
          <w:sz w:val="24"/>
          <w:lang w:val="fr-BE"/>
        </w:rPr>
        <w:t>1&amp;1 Telecom</w:t>
      </w:r>
      <w:r>
        <w:rPr>
          <w:rFonts w:ascii="Times New Roman" w:hAnsi="Times New Roman"/>
          <w:noProof/>
          <w:sz w:val="24"/>
          <w:lang w:val="fr-BE"/>
        </w:rPr>
        <w:t>, Mass Response et Multiconnect avait fait valoir que la Commission avait mal interprété la portée des obligations de Telefónica au tit</w:t>
      </w:r>
      <w:r>
        <w:rPr>
          <w:rFonts w:ascii="Times New Roman" w:hAnsi="Times New Roman"/>
          <w:noProof/>
          <w:sz w:val="24"/>
          <w:lang w:val="fr-BE"/>
        </w:rPr>
        <w:t>re de ses engagements. Le Tribunal a déclaré les pourvois irrecevables.</w:t>
      </w:r>
      <w:r>
        <w:rPr>
          <w:noProof/>
        </w:rPr>
        <w:t xml:space="preserve"> </w:t>
      </w:r>
    </w:p>
    <w:p w:rsidR="00D9323F" w:rsidRDefault="00F47CDD">
      <w:pPr>
        <w:rPr>
          <w:noProof/>
        </w:rPr>
      </w:pPr>
      <w:bookmarkStart w:id="25" w:name="_Toc478566433"/>
      <w:bookmarkEnd w:id="21"/>
      <w:r>
        <w:rPr>
          <w:noProof/>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D9323F">
        <w:trPr>
          <w:trHeight w:val="540"/>
        </w:trPr>
        <w:tc>
          <w:tcPr>
            <w:tcW w:w="9214" w:type="dxa"/>
            <w:vAlign w:val="center"/>
          </w:tcPr>
          <w:p w:rsidR="00D9323F" w:rsidRDefault="00F47CDD">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26" w:name="_Toc19019193"/>
            <w:r>
              <w:rPr>
                <w:rFonts w:ascii="Times New Roman" w:hAnsi="Times New Roman"/>
                <w:b/>
                <w:smallCaps/>
                <w:noProof/>
                <w:sz w:val="24"/>
              </w:rPr>
              <w:t>Contrôle des aides d’État</w:t>
            </w:r>
            <w:bookmarkEnd w:id="25"/>
            <w:bookmarkEnd w:id="26"/>
          </w:p>
        </w:tc>
      </w:tr>
    </w:tbl>
    <w:p w:rsidR="00D9323F" w:rsidRDefault="00D9323F">
      <w:pPr>
        <w:widowControl w:val="0"/>
        <w:spacing w:after="0" w:line="240" w:lineRule="auto"/>
        <w:jc w:val="both"/>
        <w:rPr>
          <w:rFonts w:ascii="Times New Roman" w:hAnsi="Times New Roman"/>
          <w:noProof/>
          <w:sz w:val="24"/>
          <w:szCs w:val="24"/>
        </w:rPr>
      </w:pPr>
    </w:p>
    <w:p w:rsidR="00D9323F" w:rsidRDefault="00F47CDD">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b/>
          <w:noProof/>
          <w:sz w:val="20"/>
          <w:lang w:val="fr-BE"/>
        </w:rPr>
        <w:t>Le contrôle des aides d’État</w:t>
      </w:r>
      <w:r>
        <w:rPr>
          <w:rFonts w:ascii="Times New Roman" w:hAnsi="Times New Roman"/>
          <w:noProof/>
          <w:sz w:val="20"/>
          <w:lang w:val="fr-BE"/>
        </w:rPr>
        <w:t xml:space="preserve"> fait partie intégrante de la politique de la concurrence de l’UE et constitue un garde-fou indispensable pour préserver le b</w:t>
      </w:r>
      <w:r>
        <w:rPr>
          <w:rFonts w:ascii="Times New Roman" w:hAnsi="Times New Roman"/>
          <w:noProof/>
          <w:sz w:val="20"/>
          <w:lang w:val="fr-BE"/>
        </w:rPr>
        <w:t>on fonctionnement de la concurrence et du libre-échange au sein du marché unique.</w:t>
      </w:r>
    </w:p>
    <w:p w:rsidR="00D9323F" w:rsidRDefault="00F47CDD">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 xml:space="preserve">Le traité pose le principe que les aides d’État qui faussent ou menacent de fausser la concurrence sont interdites dans la mesure où elles affectent les échanges entre États </w:t>
      </w:r>
      <w:r>
        <w:rPr>
          <w:rFonts w:ascii="Times New Roman" w:hAnsi="Times New Roman"/>
          <w:noProof/>
          <w:sz w:val="20"/>
          <w:lang w:val="fr-BE"/>
        </w:rPr>
        <w:t>membres (article 107, paragraphe 1, TFUE). Cependant, les aides d’État qui contribuent à des objectifs d’intérêt commun clairement définis sans fausser indûment la concurrence entre les entreprises ni les échanges entre États membres peuvent être considéré</w:t>
      </w:r>
      <w:r>
        <w:rPr>
          <w:rFonts w:ascii="Times New Roman" w:hAnsi="Times New Roman"/>
          <w:noProof/>
          <w:sz w:val="20"/>
          <w:lang w:val="fr-BE"/>
        </w:rPr>
        <w:t>es comme compatibles avec le marché intérieur (en vertu de l’article 107, paragraphe 3, TFUE).</w:t>
      </w:r>
      <w:r>
        <w:rPr>
          <w:rFonts w:ascii="Times New Roman" w:hAnsi="Times New Roman"/>
          <w:noProof/>
          <w:sz w:val="18"/>
          <w:lang w:val="fr-BE"/>
        </w:rPr>
        <w:t xml:space="preserve"> </w:t>
      </w:r>
    </w:p>
    <w:p w:rsidR="00D9323F" w:rsidRDefault="00F47CDD">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Les objectifs des activités de la Commission en matière de contrôle des aides d’État consistent à veiller à ce que l’aide favorise la croissance, soit efficace,</w:t>
      </w:r>
      <w:r>
        <w:rPr>
          <w:rFonts w:ascii="Times New Roman" w:hAnsi="Times New Roman"/>
          <w:noProof/>
          <w:sz w:val="20"/>
          <w:lang w:val="fr-BE"/>
        </w:rPr>
        <w:t xml:space="preserve"> effective et mieux ciblée en période de contraintes budgétaires, et à ce qu’elle ne restreigne pas la concurrence, mais remédie aux défaillances du marché dans l’intérêt de l’ensemble de la société. En outre, la Commission agit pour prévenir et récupérer </w:t>
      </w:r>
      <w:r>
        <w:rPr>
          <w:rFonts w:ascii="Times New Roman" w:hAnsi="Times New Roman"/>
          <w:noProof/>
          <w:sz w:val="20"/>
          <w:lang w:val="fr-BE"/>
        </w:rPr>
        <w:t>les aides d’État incompatibles avec le marché intérieur.</w:t>
      </w:r>
    </w:p>
    <w:p w:rsidR="00D9323F" w:rsidRDefault="00F47CDD">
      <w:pPr>
        <w:widowControl w:val="0"/>
        <w:spacing w:line="240" w:lineRule="auto"/>
        <w:ind w:left="720"/>
        <w:outlineLvl w:val="2"/>
        <w:rPr>
          <w:rFonts w:ascii="Times New Roman" w:eastAsia="Times New Roman" w:hAnsi="Times New Roman"/>
          <w:b/>
          <w:bCs/>
          <w:noProof/>
          <w:sz w:val="24"/>
          <w:szCs w:val="24"/>
          <w:lang w:val="fr-BE"/>
        </w:rPr>
      </w:pPr>
      <w:bookmarkStart w:id="27" w:name="_Toc19019194"/>
      <w:r>
        <w:rPr>
          <w:rFonts w:ascii="Times New Roman" w:hAnsi="Times New Roman"/>
          <w:b/>
          <w:noProof/>
          <w:sz w:val="24"/>
          <w:lang w:val="fr-BE"/>
        </w:rPr>
        <w:t>3.1 Mise en œuvre de la modernisation des aides d’État</w:t>
      </w:r>
      <w:bookmarkEnd w:id="27"/>
      <w:r>
        <w:rPr>
          <w:rFonts w:ascii="Times New Roman" w:hAnsi="Times New Roman"/>
          <w:b/>
          <w:noProof/>
          <w:sz w:val="24"/>
          <w:lang w:val="fr-BE"/>
        </w:rPr>
        <w:t xml:space="preserve"> </w:t>
      </w:r>
    </w:p>
    <w:p w:rsidR="00D9323F" w:rsidRDefault="00F47CDD">
      <w:pPr>
        <w:widowControl w:val="0"/>
        <w:spacing w:line="240" w:lineRule="auto"/>
        <w:jc w:val="both"/>
        <w:rPr>
          <w:rFonts w:ascii="Times New Roman" w:hAnsi="Times New Roman"/>
          <w:noProof/>
          <w:sz w:val="24"/>
          <w:lang w:val="fr-BE"/>
        </w:rPr>
      </w:pPr>
      <w:r>
        <w:rPr>
          <w:rFonts w:ascii="Times New Roman" w:hAnsi="Times New Roman"/>
          <w:noProof/>
          <w:sz w:val="24"/>
          <w:lang w:val="fr-BE"/>
        </w:rPr>
        <w:t>Depuis 2014, dans le cadre de la modernisation des aides d’État (SAM), on a constaté une forte hausse des aides d’État octroyées sans notificat</w:t>
      </w:r>
      <w:r>
        <w:rPr>
          <w:rFonts w:ascii="Times New Roman" w:hAnsi="Times New Roman"/>
          <w:noProof/>
          <w:sz w:val="24"/>
          <w:lang w:val="fr-BE"/>
        </w:rPr>
        <w:t>ion préalable à la Commission, ce qui traduit une réduction importante des formalités administratives. Le tableau de bord des aides d’État de 2018</w:t>
      </w:r>
      <w:r>
        <w:rPr>
          <w:rFonts w:ascii="Times New Roman" w:hAnsi="Times New Roman"/>
          <w:noProof/>
          <w:sz w:val="24"/>
          <w:vertAlign w:val="superscript"/>
        </w:rPr>
        <w:footnoteReference w:id="87"/>
      </w:r>
      <w:r>
        <w:rPr>
          <w:rFonts w:ascii="Times New Roman" w:hAnsi="Times New Roman"/>
          <w:noProof/>
          <w:sz w:val="24"/>
          <w:lang w:val="fr-BE"/>
        </w:rPr>
        <w:t xml:space="preserve"> confirme que la modernisation a permis une mise en œuvre plus rapide des aides publiques par les États membr</w:t>
      </w:r>
      <w:r>
        <w:rPr>
          <w:rFonts w:ascii="Times New Roman" w:hAnsi="Times New Roman"/>
          <w:noProof/>
          <w:sz w:val="24"/>
          <w:lang w:val="fr-BE"/>
        </w:rPr>
        <w:t xml:space="preserve">es, </w:t>
      </w:r>
      <w:r>
        <w:rPr>
          <w:rFonts w:ascii="Times New Roman" w:hAnsi="Times New Roman"/>
          <w:noProof/>
          <w:sz w:val="24"/>
          <w:szCs w:val="24"/>
          <w:lang w:val="fr-BE"/>
        </w:rPr>
        <w:t>grâce au règlement général d’exemption par catégorie (le «RGEC»)</w:t>
      </w:r>
      <w:r>
        <w:rPr>
          <w:rFonts w:ascii="Times New Roman" w:hAnsi="Times New Roman"/>
          <w:noProof/>
          <w:sz w:val="24"/>
          <w:vertAlign w:val="superscript"/>
        </w:rPr>
        <w:footnoteReference w:id="88"/>
      </w:r>
      <w:r>
        <w:rPr>
          <w:noProof/>
          <w:lang w:val="fr-BE"/>
        </w:rPr>
        <w:t xml:space="preserve">, </w:t>
      </w:r>
      <w:r>
        <w:rPr>
          <w:rFonts w:ascii="Times New Roman" w:hAnsi="Times New Roman"/>
          <w:noProof/>
          <w:sz w:val="24"/>
          <w:lang w:val="fr-BE"/>
        </w:rPr>
        <w:t>adopté dans le cadre de la réforme des aides d’État et qui simplifie les procédures d’octroi d’aides pour les États membres en autorisant, sans notification préalable, un large éventail</w:t>
      </w:r>
      <w:r>
        <w:rPr>
          <w:rFonts w:ascii="Times New Roman" w:hAnsi="Times New Roman"/>
          <w:noProof/>
          <w:sz w:val="24"/>
          <w:lang w:val="fr-BE"/>
        </w:rPr>
        <w:t xml:space="preserve"> de mesures répondant à certains critères et visant des objectifs européens d’intérêt commun. Pour les catégories d’aides couvertes par le RGEC, seuls les cas présentant le plus gros potentiel de distorsion de la concurrence au sein du marché unique doiven</w:t>
      </w:r>
      <w:r>
        <w:rPr>
          <w:rFonts w:ascii="Times New Roman" w:hAnsi="Times New Roman"/>
          <w:noProof/>
          <w:sz w:val="24"/>
          <w:lang w:val="fr-BE"/>
        </w:rPr>
        <w:t xml:space="preserve">t être notifiés. </w:t>
      </w:r>
    </w:p>
    <w:p w:rsidR="00D9323F" w:rsidRDefault="00F47CDD">
      <w:pPr>
        <w:spacing w:after="0" w:line="240" w:lineRule="auto"/>
        <w:jc w:val="both"/>
        <w:rPr>
          <w:rFonts w:ascii="Times New Roman" w:hAnsi="Times New Roman"/>
          <w:noProof/>
          <w:sz w:val="24"/>
          <w:szCs w:val="24"/>
          <w:lang w:val="fr-BE"/>
        </w:rPr>
      </w:pPr>
      <w:r>
        <w:rPr>
          <w:rFonts w:ascii="Times New Roman" w:hAnsi="Times New Roman"/>
          <w:noProof/>
          <w:sz w:val="24"/>
          <w:lang w:val="fr-BE"/>
        </w:rPr>
        <w:t>Comme le montre le graphique ci-dessous</w:t>
      </w:r>
      <w:r>
        <w:rPr>
          <w:rFonts w:ascii="Times New Roman" w:hAnsi="Times New Roman"/>
          <w:noProof/>
          <w:sz w:val="24"/>
          <w:vertAlign w:val="superscript"/>
        </w:rPr>
        <w:footnoteReference w:id="89"/>
      </w:r>
      <w:r>
        <w:rPr>
          <w:rFonts w:ascii="Times New Roman" w:hAnsi="Times New Roman"/>
          <w:noProof/>
          <w:sz w:val="24"/>
          <w:lang w:val="fr-BE"/>
        </w:rPr>
        <w:t>, depuis 2015, plus de 96 % des nouvelles mesures pour lesquelles des dépenses ont été déclarées pour la première fois ont été couvertes par le RGEC, soit une augmentation de quelque 28 points de po</w:t>
      </w:r>
      <w:r>
        <w:rPr>
          <w:rFonts w:ascii="Times New Roman" w:hAnsi="Times New Roman"/>
          <w:noProof/>
          <w:sz w:val="24"/>
          <w:lang w:val="fr-BE"/>
        </w:rPr>
        <w:t xml:space="preserve">urcentage par rapport à 2013. Environ 82 % de l’ensemble des mesures pour lesquelles des dépenses ont été déclarées (c’est-à-dire pas uniquement les nouvelles mesures) consistaient en des mesures couvertes par une exemption par catégorie en 2017. </w:t>
      </w:r>
      <w:r>
        <w:rPr>
          <w:rFonts w:ascii="Times New Roman" w:hAnsi="Times New Roman"/>
          <w:noProof/>
          <w:color w:val="000000"/>
          <w:sz w:val="24"/>
          <w:szCs w:val="24"/>
          <w:lang w:val="fr-BE"/>
        </w:rPr>
        <w:t>Les dépen</w:t>
      </w:r>
      <w:r>
        <w:rPr>
          <w:rFonts w:ascii="Times New Roman" w:hAnsi="Times New Roman"/>
          <w:noProof/>
          <w:color w:val="000000"/>
          <w:sz w:val="24"/>
          <w:szCs w:val="24"/>
          <w:lang w:val="fr-BE"/>
        </w:rPr>
        <w:t>ses concernant des mesures couvertes par le RGEC dans l’UE représentaient approximativement 41,7 milliards d’EUR en 2017, soit environ 38 % du total des dépenses.</w:t>
      </w:r>
      <w:r>
        <w:rPr>
          <w:rFonts w:ascii="Times New Roman" w:hAnsi="Times New Roman"/>
          <w:noProof/>
          <w:sz w:val="24"/>
          <w:szCs w:val="24"/>
          <w:lang w:val="fr-BE"/>
        </w:rPr>
        <w:t xml:space="preserve"> T</w:t>
      </w:r>
      <w:r>
        <w:rPr>
          <w:rFonts w:ascii="Times New Roman" w:hAnsi="Times New Roman"/>
          <w:noProof/>
          <w:color w:val="000000"/>
          <w:sz w:val="24"/>
          <w:szCs w:val="24"/>
          <w:lang w:val="fr-BE"/>
        </w:rPr>
        <w:t>outefois, si l’on considère la moyenne des dépenses individuelles des États membres, en 2017</w:t>
      </w:r>
      <w:r>
        <w:rPr>
          <w:rFonts w:ascii="Times New Roman" w:hAnsi="Times New Roman"/>
          <w:noProof/>
          <w:color w:val="000000"/>
          <w:sz w:val="24"/>
          <w:szCs w:val="24"/>
          <w:lang w:val="fr-BE"/>
        </w:rPr>
        <w:t>, ces derniers ont consacré environ 48 % de leurs dépenses totales aux mesures couvertes par le RGEC, soit une augmentation d’environ 14 points de pourcentage par rapport à 2013.</w:t>
      </w:r>
    </w:p>
    <w:p w:rsidR="00D9323F" w:rsidRDefault="00D9323F">
      <w:pPr>
        <w:spacing w:after="0" w:line="240" w:lineRule="auto"/>
        <w:jc w:val="both"/>
        <w:rPr>
          <w:rFonts w:ascii="Times New Roman" w:hAnsi="Times New Roman"/>
          <w:noProof/>
          <w:sz w:val="24"/>
          <w:szCs w:val="24"/>
          <w:lang w:val="fr-BE"/>
        </w:rPr>
      </w:pPr>
    </w:p>
    <w:p w:rsidR="00D9323F" w:rsidRDefault="00F47CDD">
      <w:pPr>
        <w:widowControl w:val="0"/>
        <w:spacing w:line="240" w:lineRule="auto"/>
        <w:jc w:val="both"/>
        <w:rPr>
          <w:rFonts w:ascii="Times New Roman" w:hAnsi="Times New Roman"/>
          <w:noProof/>
          <w:sz w:val="24"/>
          <w:szCs w:val="24"/>
        </w:rPr>
      </w:pPr>
      <w:r>
        <w:rPr>
          <w:noProof/>
          <w:lang w:eastAsia="en-GB"/>
        </w:rPr>
        <w:drawing>
          <wp:inline distT="0" distB="0" distL="0" distR="0">
            <wp:extent cx="5759450" cy="3646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646625"/>
                    </a:xfrm>
                    <a:prstGeom prst="rect">
                      <a:avLst/>
                    </a:prstGeom>
                    <a:noFill/>
                    <a:ln>
                      <a:noFill/>
                    </a:ln>
                  </pic:spPr>
                </pic:pic>
              </a:graphicData>
            </a:graphic>
          </wp:inline>
        </w:drawing>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RGEC de 2014 a introduit de nouvelles catégories d’aide</w:t>
      </w:r>
      <w:r>
        <w:rPr>
          <w:rFonts w:ascii="Times New Roman" w:hAnsi="Times New Roman"/>
          <w:noProof/>
          <w:sz w:val="24"/>
          <w:vertAlign w:val="superscript"/>
        </w:rPr>
        <w:footnoteReference w:id="90"/>
      </w:r>
      <w:r>
        <w:rPr>
          <w:rFonts w:ascii="Times New Roman" w:hAnsi="Times New Roman"/>
          <w:noProof/>
          <w:sz w:val="24"/>
          <w:lang w:val="fr-BE"/>
        </w:rPr>
        <w:t xml:space="preserve"> et, dans une large mesure, la hausse constatée dans les dépenses consenties pour des mesures couvertes par le RGEC reflète déjà l’incidence du nouveau règlement. Par rapport à 2014, le total des dépenses couvertes par le RGEC au titre des aides en faveur </w:t>
      </w:r>
      <w:r>
        <w:rPr>
          <w:rFonts w:ascii="Times New Roman" w:hAnsi="Times New Roman"/>
          <w:noProof/>
          <w:sz w:val="24"/>
          <w:lang w:val="fr-BE"/>
        </w:rPr>
        <w:t>de la culture et de la conservation du patrimoine et des aides en faveur des infrastructures à haut débit et des infrastructures locales a considérablement augmenté en 2017</w:t>
      </w:r>
      <w:r>
        <w:rPr>
          <w:noProof/>
          <w:lang w:val="fr-BE"/>
        </w:rPr>
        <w:t xml:space="preserve"> </w:t>
      </w:r>
      <w:r>
        <w:rPr>
          <w:rFonts w:ascii="Times New Roman" w:hAnsi="Times New Roman"/>
          <w:noProof/>
          <w:sz w:val="24"/>
          <w:lang w:val="fr-BE"/>
        </w:rPr>
        <w:t>et a plus que doublé pour les PME, y compris pour le financement des risques. Des h</w:t>
      </w:r>
      <w:r>
        <w:rPr>
          <w:rFonts w:ascii="Times New Roman" w:hAnsi="Times New Roman"/>
          <w:noProof/>
          <w:sz w:val="24"/>
          <w:lang w:val="fr-BE"/>
        </w:rPr>
        <w:t>ausses importantes ont également été constatées dans le domaine de la protection de l’environnement et des économies d’énergie (+ 80 %), dans le secteur de la recherche, du développement et de l’innovation (+ 104 %) et en ce qui concerne les aides destinée</w:t>
      </w:r>
      <w:r>
        <w:rPr>
          <w:rFonts w:ascii="Times New Roman" w:hAnsi="Times New Roman"/>
          <w:noProof/>
          <w:sz w:val="24"/>
          <w:lang w:val="fr-BE"/>
        </w:rPr>
        <w:t>s à remédier aux dommages causés par des calamités naturelles (+ 50 %). Le RGEC a une nouvelle fois été étendu en 2017, notamment aux aides en faveur des ports et des aéroports</w:t>
      </w:r>
      <w:r>
        <w:rPr>
          <w:rFonts w:ascii="Times New Roman" w:hAnsi="Times New Roman"/>
          <w:noProof/>
          <w:sz w:val="24"/>
          <w:vertAlign w:val="superscript"/>
          <w:lang w:val="fr-BE"/>
        </w:rPr>
        <w:footnoteReference w:id="91"/>
      </w:r>
      <w:r>
        <w:rPr>
          <w:rFonts w:ascii="Times New Roman" w:hAnsi="Times New Roman"/>
          <w:noProof/>
          <w:sz w:val="24"/>
          <w:lang w:val="fr-BE"/>
        </w:rPr>
        <w:t>. On peut donc s’attendre à ce que la part des aides bénéficiant d’une exemptio</w:t>
      </w:r>
      <w:r>
        <w:rPr>
          <w:rFonts w:ascii="Times New Roman" w:hAnsi="Times New Roman"/>
          <w:noProof/>
          <w:sz w:val="24"/>
          <w:lang w:val="fr-BE"/>
        </w:rPr>
        <w:t xml:space="preserve">n par catégorie dans le total des aides octroyées par les États membres continue encore d’augmenter dans les années à venir. </w:t>
      </w:r>
    </w:p>
    <w:p w:rsidR="00D9323F" w:rsidRDefault="00F47CDD">
      <w:pPr>
        <w:widowControl w:val="0"/>
        <w:spacing w:line="240" w:lineRule="auto"/>
        <w:jc w:val="both"/>
        <w:rPr>
          <w:rFonts w:ascii="Times New Roman" w:hAnsi="Times New Roman"/>
          <w:i/>
          <w:noProof/>
          <w:sz w:val="24"/>
          <w:szCs w:val="24"/>
        </w:rPr>
      </w:pPr>
      <w:r>
        <w:rPr>
          <w:noProof/>
          <w:lang w:eastAsia="en-GB"/>
        </w:rPr>
        <w:drawing>
          <wp:inline distT="0" distB="0" distL="0" distR="0">
            <wp:extent cx="5759450" cy="27542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2754200"/>
                    </a:xfrm>
                    <a:prstGeom prst="rect">
                      <a:avLst/>
                    </a:prstGeom>
                  </pic:spPr>
                </pic:pic>
              </a:graphicData>
            </a:graphic>
          </wp:inline>
        </w:drawing>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L’augmentation de la part des dépenses relevant du RGEC suppose qu’en moyenne, les mesures d’aide d’État qui sont enregistrées p</w:t>
      </w:r>
      <w:r>
        <w:rPr>
          <w:rFonts w:ascii="Times New Roman" w:hAnsi="Times New Roman"/>
          <w:noProof/>
          <w:sz w:val="24"/>
          <w:lang w:val="fr-BE"/>
        </w:rPr>
        <w:t>ar la Commission sont mises en œuvre par les États membres beaucoup plus rapidement que dans le passé. Par rapport à 2013, le délai moyen nécessaire aux fins de la mise en œuvre des mesures d’aide d’État a été réduit de 15 %.</w:t>
      </w:r>
      <w:r>
        <w:rPr>
          <w:noProof/>
          <w:lang w:val="fr-BE"/>
        </w:rPr>
        <w:t xml:space="preserve"> </w:t>
      </w:r>
      <w:r>
        <w:rPr>
          <w:rFonts w:ascii="Times New Roman" w:hAnsi="Times New Roman"/>
          <w:noProof/>
          <w:sz w:val="24"/>
          <w:lang w:val="fr-BE"/>
        </w:rPr>
        <w:t>Toutefois, les mesures notifié</w:t>
      </w:r>
      <w:r>
        <w:rPr>
          <w:rFonts w:ascii="Times New Roman" w:hAnsi="Times New Roman"/>
          <w:noProof/>
          <w:sz w:val="24"/>
          <w:lang w:val="fr-BE"/>
        </w:rPr>
        <w:t>es qui restent soumises à un contrôle minutieux couvrent généralement des dépenses et des budgets plus importants que par le passé, ce qui va dans le sens de l’approche de la Commission consistant à se montrer «très visible sur les grands enjeux, mais plus</w:t>
      </w:r>
      <w:r>
        <w:rPr>
          <w:rFonts w:ascii="Times New Roman" w:hAnsi="Times New Roman"/>
          <w:noProof/>
          <w:sz w:val="24"/>
          <w:lang w:val="fr-BE"/>
        </w:rPr>
        <w:t xml:space="preserve"> discrète sur les questions de moindre importance»</w:t>
      </w:r>
      <w:r>
        <w:rPr>
          <w:rFonts w:ascii="Times New Roman" w:hAnsi="Times New Roman"/>
          <w:noProof/>
          <w:sz w:val="24"/>
          <w:vertAlign w:val="superscript"/>
        </w:rPr>
        <w:footnoteReference w:id="92"/>
      </w:r>
      <w:r>
        <w:rPr>
          <w:rFonts w:ascii="Times New Roman" w:hAnsi="Times New Roman"/>
          <w:noProof/>
          <w:sz w:val="24"/>
          <w:lang w:val="fr-BE"/>
        </w:rPr>
        <w:t>. En 2017, le budget annuel moyen des mesures notifiées mises en œuvre s’élevait à quelque 230 millions d’EUR, soit une augmentation absolue d’environ 126 % par rapport à 2013.</w:t>
      </w:r>
    </w:p>
    <w:p w:rsidR="00D9323F" w:rsidRDefault="00F47CDD">
      <w:pPr>
        <w:keepNext/>
        <w:widowControl w:val="0"/>
        <w:spacing w:line="240" w:lineRule="auto"/>
        <w:jc w:val="both"/>
        <w:rPr>
          <w:rFonts w:ascii="Times New Roman" w:hAnsi="Times New Roman"/>
          <w:b/>
          <w:noProof/>
          <w:sz w:val="24"/>
          <w:szCs w:val="24"/>
          <w:lang w:val="fr-BE"/>
        </w:rPr>
      </w:pPr>
      <w:r>
        <w:rPr>
          <w:rFonts w:ascii="Times New Roman" w:hAnsi="Times New Roman"/>
          <w:b/>
          <w:noProof/>
          <w:sz w:val="24"/>
          <w:lang w:val="fr-BE"/>
        </w:rPr>
        <w:t>Application des règles relat</w:t>
      </w:r>
      <w:r>
        <w:rPr>
          <w:rFonts w:ascii="Times New Roman" w:hAnsi="Times New Roman"/>
          <w:b/>
          <w:noProof/>
          <w:sz w:val="24"/>
          <w:lang w:val="fr-BE"/>
        </w:rPr>
        <w:t>ives aux aides d’État (décisions de la Commission, suivi et plans d’évaluation des États membres) 2010-2018</w:t>
      </w:r>
    </w:p>
    <w:p w:rsidR="00D9323F" w:rsidRDefault="00F47CDD">
      <w:pPr>
        <w:widowControl w:val="0"/>
        <w:spacing w:line="240" w:lineRule="auto"/>
        <w:jc w:val="both"/>
        <w:rPr>
          <w:rFonts w:ascii="Times New Roman" w:hAnsi="Times New Roman"/>
          <w:noProof/>
          <w:sz w:val="24"/>
          <w:szCs w:val="24"/>
        </w:rPr>
      </w:pPr>
      <w:r>
        <w:rPr>
          <w:noProof/>
          <w:lang w:eastAsia="en-GB"/>
        </w:rPr>
        <w:drawing>
          <wp:inline distT="0" distB="0" distL="0" distR="0">
            <wp:extent cx="5759450" cy="323379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3233790"/>
                    </a:xfrm>
                    <a:prstGeom prst="rect">
                      <a:avLst/>
                    </a:prstGeom>
                    <a:noFill/>
                    <a:ln>
                      <a:noFill/>
                    </a:ln>
                  </pic:spPr>
                </pic:pic>
              </a:graphicData>
            </a:graphic>
          </wp:inline>
        </w:drawing>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Coopération avec les États membres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Pour faciliter la mise en œuvre de la modernisation des aides d’État, la Commission soutient les États membres </w:t>
      </w:r>
      <w:r>
        <w:rPr>
          <w:rFonts w:ascii="Times New Roman" w:hAnsi="Times New Roman"/>
          <w:noProof/>
          <w:sz w:val="24"/>
          <w:lang w:val="fr-BE"/>
        </w:rPr>
        <w:t>de plusieurs manières dans le cadre d’un partenariat multilatéral. Le groupe de travail des États membres sur la mise en œuvre de la modernisation des aides d’État (GT SAM) est une enceinte dans laquelle les États membres peuvent échanger des bonnes pratiq</w:t>
      </w:r>
      <w:r>
        <w:rPr>
          <w:rFonts w:ascii="Times New Roman" w:hAnsi="Times New Roman"/>
          <w:noProof/>
          <w:sz w:val="24"/>
          <w:lang w:val="fr-BE"/>
        </w:rPr>
        <w:t>ues sur leurs systèmes de contrôle des aides d’État, créant ainsi un réseau efficace permettant d’aborder de manière informelle les questions concernant la mise en œuvre des règles relatives aux aides d’État entre les États membres et avec la Commission. D</w:t>
      </w:r>
      <w:r>
        <w:rPr>
          <w:rFonts w:ascii="Times New Roman" w:hAnsi="Times New Roman"/>
          <w:noProof/>
          <w:sz w:val="24"/>
          <w:lang w:val="fr-BE"/>
        </w:rPr>
        <w:t>’autres groupes de travail ou ateliers spécialisés traitent d’aspects spécifiques de la mise en œuvre de la modernisation des aides d’État, notamment des exigences en matière de transparence et d’évaluation (voir les sections correspondantes ci-après) ou d</w:t>
      </w:r>
      <w:r>
        <w:rPr>
          <w:rFonts w:ascii="Times New Roman" w:hAnsi="Times New Roman"/>
          <w:noProof/>
          <w:sz w:val="24"/>
          <w:lang w:val="fr-BE"/>
        </w:rPr>
        <w:t>e questions relatives à la politique internationale en matière de subventions et aux aides d’État en faveur des infrastructures. Une fois par an, tous ces groupes de travail font rapport à un forum de haut niveau, qui se tient à Bruxelles. Le forum de haut</w:t>
      </w:r>
      <w:r>
        <w:rPr>
          <w:rFonts w:ascii="Times New Roman" w:hAnsi="Times New Roman"/>
          <w:noProof/>
          <w:sz w:val="24"/>
          <w:lang w:val="fr-BE"/>
        </w:rPr>
        <w:t xml:space="preserve"> niveau donne des orientations sur les travaux futurs du GT SAM et constitue également l’occasion pour la Commission et les États membres de discuter plus généralement de la politique des aides d’État.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GT SAM s’est réuni trois fois en 2018, sous la pr</w:t>
      </w:r>
      <w:r>
        <w:rPr>
          <w:rFonts w:ascii="Times New Roman" w:hAnsi="Times New Roman"/>
          <w:noProof/>
          <w:sz w:val="24"/>
          <w:lang w:val="fr-BE"/>
        </w:rPr>
        <w:t>ésidence de la France, et a traité plusieurs dossiers de politique et de conformité liés à la mise en œuvre de la modernisation des aides d’État, tels que des aspects spécifiques de la notion d’aide et l’interaction entre les règles relatives aux aides d’É</w:t>
      </w:r>
      <w:r>
        <w:rPr>
          <w:rFonts w:ascii="Times New Roman" w:hAnsi="Times New Roman"/>
          <w:noProof/>
          <w:sz w:val="24"/>
          <w:lang w:val="fr-BE"/>
        </w:rPr>
        <w:t>tat et la mise en œuvre des Fonds structurels. Il a rendu compte des principaux sujets examinés au cours de l’année écoulée et fait rapport sur le suivi des recommandations formulées par les présidences précédentes (Finlande, Suède et Royaume-Uni) au forum</w:t>
      </w:r>
      <w:r>
        <w:rPr>
          <w:rFonts w:ascii="Times New Roman" w:hAnsi="Times New Roman"/>
          <w:noProof/>
          <w:sz w:val="24"/>
          <w:lang w:val="fr-BE"/>
        </w:rPr>
        <w:t xml:space="preserve"> de haut niveau réuni le 19 juin à Bruxelles. À cette occasion, le forum de haut niveau a également approuvé le plan de travail présenté par la présidence pour la période 2018-2019.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par ailleurs poursuivi sa coopération bilatérale</w:t>
      </w:r>
      <w:r>
        <w:rPr>
          <w:rFonts w:ascii="Times New Roman" w:hAnsi="Times New Roman"/>
          <w:noProof/>
          <w:sz w:val="24"/>
          <w:lang w:val="fr-BE"/>
        </w:rPr>
        <w:t xml:space="preserve"> avec les États membres. Lancé en 2015, ce processus a pour objectif général de parvenir à la fois à une bonne politique en matière d’aides d’État et à un contrôle efficace des aides d’État au niveau national. Adaptées aux besoins spécifiques de chaque Éta</w:t>
      </w:r>
      <w:r>
        <w:rPr>
          <w:rFonts w:ascii="Times New Roman" w:hAnsi="Times New Roman"/>
          <w:noProof/>
          <w:sz w:val="24"/>
          <w:lang w:val="fr-BE"/>
        </w:rPr>
        <w:t>t membre, les coopérations bilatérales ont pris diverses dimensions, allant de processus de coopération structurés (avec l’Italie, la Bulgarie et la Roumanie) à des interactions bilatérales informelles plus spécifiques (avec la Belgique, la Croatie, la Grè</w:t>
      </w:r>
      <w:r>
        <w:rPr>
          <w:rFonts w:ascii="Times New Roman" w:hAnsi="Times New Roman"/>
          <w:noProof/>
          <w:sz w:val="24"/>
          <w:lang w:val="fr-BE"/>
        </w:rPr>
        <w:t>ce, la Hongrie, les Pays-Bas, la Pologne, le Portugal, la Slovénie et l’Espagne). Ces divers processus de coopération portent généralement sur des questions transversales horizontales relatives aux aides d’État, telles que les questions de mise en conformi</w:t>
      </w:r>
      <w:r>
        <w:rPr>
          <w:rFonts w:ascii="Times New Roman" w:hAnsi="Times New Roman"/>
          <w:noProof/>
          <w:sz w:val="24"/>
          <w:lang w:val="fr-BE"/>
        </w:rPr>
        <w:t>té et de mise en œuvre propres à chaque pays, les questions de gouvernance et les questions concernant les entreprises publiques, ainsi que les cas touchant à des secteurs problématiques. Chaque État membre dispose également d’un coordinateur des aides d’É</w:t>
      </w:r>
      <w:r>
        <w:rPr>
          <w:rFonts w:ascii="Times New Roman" w:hAnsi="Times New Roman"/>
          <w:noProof/>
          <w:sz w:val="24"/>
          <w:lang w:val="fr-BE"/>
        </w:rPr>
        <w:t>tat à la Commission, qui sert de premier point d’entrée pour les questions horizontales relatives aux aides d’État de cet État membre. Après plusieurs années de fonctionnement, les travaux se poursuivent en vue d’affiner les différents processus de coopéra</w:t>
      </w:r>
      <w:r>
        <w:rPr>
          <w:rFonts w:ascii="Times New Roman" w:hAnsi="Times New Roman"/>
          <w:noProof/>
          <w:sz w:val="24"/>
          <w:lang w:val="fr-BE"/>
        </w:rPr>
        <w:t>tion bilatérale avec tous les États membres.</w:t>
      </w:r>
      <w:r>
        <w:rPr>
          <w:noProof/>
          <w:lang w:val="fr-BE"/>
        </w:rPr>
        <w:t xml:space="preserve"> </w:t>
      </w:r>
    </w:p>
    <w:p w:rsidR="00D9323F" w:rsidRDefault="00F47CDD">
      <w:pPr>
        <w:widowControl w:val="0"/>
        <w:jc w:val="both"/>
        <w:rPr>
          <w:rFonts w:ascii="Times New Roman" w:hAnsi="Times New Roman"/>
          <w:i/>
          <w:noProof/>
          <w:sz w:val="24"/>
          <w:szCs w:val="24"/>
          <w:lang w:val="fr-BE"/>
        </w:rPr>
      </w:pPr>
      <w:r>
        <w:rPr>
          <w:rFonts w:ascii="Times New Roman" w:hAnsi="Times New Roman"/>
          <w:i/>
          <w:noProof/>
          <w:sz w:val="24"/>
          <w:lang w:val="fr-BE"/>
        </w:rPr>
        <w:t>Transparency Award Module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dispositions en matière de transparence qui font actuellement partie de la modernisation des aides d’État sont en vigueur depuis le 1</w:t>
      </w:r>
      <w:r>
        <w:rPr>
          <w:rFonts w:ascii="Times New Roman" w:hAnsi="Times New Roman"/>
          <w:noProof/>
          <w:sz w:val="24"/>
          <w:vertAlign w:val="superscript"/>
          <w:lang w:val="fr-BE"/>
        </w:rPr>
        <w:t>er</w:t>
      </w:r>
      <w:r>
        <w:rPr>
          <w:rFonts w:ascii="Times New Roman" w:hAnsi="Times New Roman"/>
          <w:noProof/>
          <w:sz w:val="24"/>
          <w:lang w:val="fr-BE"/>
        </w:rPr>
        <w:t> juillet 2016 et obligent les États membres à</w:t>
      </w:r>
      <w:r>
        <w:rPr>
          <w:rFonts w:ascii="Times New Roman" w:hAnsi="Times New Roman"/>
          <w:noProof/>
          <w:sz w:val="24"/>
          <w:lang w:val="fr-BE"/>
        </w:rPr>
        <w:t xml:space="preserve"> publier des informations sur les bénéficiaires d’aides supérieures à 500 000 EUR</w:t>
      </w:r>
      <w:r>
        <w:rPr>
          <w:rFonts w:ascii="Times New Roman" w:hAnsi="Times New Roman"/>
          <w:noProof/>
          <w:sz w:val="24"/>
          <w:vertAlign w:val="superscript"/>
        </w:rPr>
        <w:footnoteReference w:id="93"/>
      </w:r>
      <w:r>
        <w:rPr>
          <w:rFonts w:ascii="Times New Roman" w:hAnsi="Times New Roman"/>
          <w:noProof/>
          <w:sz w:val="24"/>
          <w:lang w:val="fr-BE"/>
        </w:rPr>
        <w:t>. Les États membres disposent d’un délai de six mois à compter de la date d’octroi de l’aide pour fournir les données requises sur celle-ci, sauf dans le cas d’aides fiscales</w:t>
      </w:r>
      <w:r>
        <w:rPr>
          <w:rFonts w:ascii="Times New Roman" w:hAnsi="Times New Roman"/>
          <w:noProof/>
          <w:sz w:val="24"/>
          <w:lang w:val="fr-BE"/>
        </w:rPr>
        <w:t>, pour lesquelles les informations doivent être fournies dans un délai d’un an à compter de la date d’octroi. Les services de la Commission ont facilité le respect de cette obligation en développant, en coopération avec les États membres, le Transparency A</w:t>
      </w:r>
      <w:r>
        <w:rPr>
          <w:rFonts w:ascii="Times New Roman" w:hAnsi="Times New Roman"/>
          <w:noProof/>
          <w:sz w:val="24"/>
          <w:lang w:val="fr-BE"/>
        </w:rPr>
        <w:t>ward Module (TAM), un outil informatique permettant de transmettre et de publier les données demandées au titre de la transparence</w:t>
      </w:r>
      <w:r>
        <w:rPr>
          <w:rFonts w:ascii="Times New Roman" w:hAnsi="Times New Roman"/>
          <w:noProof/>
          <w:sz w:val="24"/>
          <w:vertAlign w:val="superscript"/>
        </w:rPr>
        <w:footnoteReference w:id="94"/>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TAM permet de garantir la cohérence et la comparabilité entre États membres des informations soumises par les autorités</w:t>
      </w:r>
      <w:r>
        <w:rPr>
          <w:rFonts w:ascii="Times New Roman" w:hAnsi="Times New Roman"/>
          <w:noProof/>
          <w:sz w:val="24"/>
          <w:lang w:val="fr-BE"/>
        </w:rPr>
        <w:t xml:space="preserve"> qui octroient les aides. En outre, la page de recherche publique associée sur la transparence offre à toutes les parties intéressées, à savoir les citoyens, les concurrents et les chercheurs, un point d’accès unique qui leur permet d’effectuer des extract</w:t>
      </w:r>
      <w:r>
        <w:rPr>
          <w:rFonts w:ascii="Times New Roman" w:hAnsi="Times New Roman"/>
          <w:noProof/>
          <w:sz w:val="24"/>
          <w:lang w:val="fr-BE"/>
        </w:rPr>
        <w:t>ions et des analyses comparables. C’est pourquoi la Commission poursuit ses efforts en vue d’améliorer la convivialité d’utilisation et les capacités d’interopérabilité des outils et d’inciter les États membres qui disposent déjà de registres nationaux des</w:t>
      </w:r>
      <w:r>
        <w:rPr>
          <w:rFonts w:ascii="Times New Roman" w:hAnsi="Times New Roman"/>
          <w:noProof/>
          <w:sz w:val="24"/>
          <w:lang w:val="fr-BE"/>
        </w:rPr>
        <w:t xml:space="preserve"> aides d’État à utiliser également le TAM.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Fin 2018, 25 États membres avaient rejoint le TAM et plus de 43 000 aides octroyées avaient été publiées par 25 États membres ainsi que l’Islande. Les services de la Commission appuient la mise en œuvre du TAM en</w:t>
      </w:r>
      <w:r>
        <w:rPr>
          <w:rFonts w:ascii="Times New Roman" w:hAnsi="Times New Roman"/>
          <w:noProof/>
          <w:sz w:val="24"/>
          <w:szCs w:val="24"/>
          <w:lang w:val="fr-BE"/>
        </w:rPr>
        <w:t xml:space="preserve"> animant, en collaboration avec les représentants des États membres, le groupe de pilotage sur la transparence (une réunion en 2018) et en organisant des formations spécialisées sur demande. En outre, la Commission a effectué les premiers contrôles de conf</w:t>
      </w:r>
      <w:r>
        <w:rPr>
          <w:rFonts w:ascii="Times New Roman" w:hAnsi="Times New Roman"/>
          <w:noProof/>
          <w:sz w:val="24"/>
          <w:szCs w:val="24"/>
          <w:lang w:val="fr-BE"/>
        </w:rPr>
        <w:t>ormité début 2018 afin de vérifier l’exhaustivité et l’exactitude des informations publiées par les États membres conformément aux exigences de transparence, soit par l’intermédiaire du TAM, soit par l’intermédiaire des registres nationaux des aides d’État</w:t>
      </w:r>
      <w:r>
        <w:rPr>
          <w:rFonts w:ascii="Times New Roman" w:hAnsi="Times New Roman"/>
          <w:noProof/>
          <w:sz w:val="24"/>
          <w:szCs w:val="24"/>
          <w:lang w:val="fr-BE"/>
        </w:rPr>
        <w:t>. Cette première série de contrôles de conformité s’est révélée très efficace pour améliorer le respect des obligations de transparence. La portée des contrôles de conformité sera considérablement élargie en 2019.</w:t>
      </w:r>
    </w:p>
    <w:p w:rsidR="00D9323F" w:rsidRDefault="00F47CDD">
      <w:pPr>
        <w:widowControl w:val="0"/>
        <w:jc w:val="both"/>
        <w:rPr>
          <w:rFonts w:ascii="Times New Roman" w:hAnsi="Times New Roman"/>
          <w:i/>
          <w:noProof/>
          <w:sz w:val="24"/>
          <w:szCs w:val="24"/>
          <w:lang w:val="fr-BE"/>
        </w:rPr>
      </w:pPr>
      <w:r>
        <w:rPr>
          <w:rFonts w:ascii="Times New Roman" w:hAnsi="Times New Roman"/>
          <w:i/>
          <w:noProof/>
          <w:sz w:val="24"/>
          <w:szCs w:val="24"/>
          <w:lang w:val="fr-BE"/>
        </w:rPr>
        <w:t>Évaluation des régimes d’aide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L’évaluation</w:t>
      </w:r>
      <w:r>
        <w:rPr>
          <w:rFonts w:ascii="Times New Roman" w:hAnsi="Times New Roman"/>
          <w:noProof/>
          <w:sz w:val="24"/>
          <w:lang w:val="fr-BE"/>
        </w:rPr>
        <w:t xml:space="preserve"> des régimes d’aides est une autre exigence introduite par la modernisation des aides d’État. L’objectif est de recueillir les éléments nécessaires pour mieux comprendre les effets, tant positifs que négatifs, de l’aide et d’apporter une contribution à l’é</w:t>
      </w:r>
      <w:r>
        <w:rPr>
          <w:rFonts w:ascii="Times New Roman" w:hAnsi="Times New Roman"/>
          <w:noProof/>
          <w:sz w:val="24"/>
          <w:lang w:val="fr-BE"/>
        </w:rPr>
        <w:t xml:space="preserve">laboration future des politiques par les États membres et la Commission.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Depuis le 1</w:t>
      </w:r>
      <w:r>
        <w:rPr>
          <w:rFonts w:ascii="Times New Roman" w:hAnsi="Times New Roman"/>
          <w:noProof/>
          <w:sz w:val="24"/>
          <w:vertAlign w:val="superscript"/>
          <w:lang w:val="fr-BE"/>
        </w:rPr>
        <w:t>er</w:t>
      </w:r>
      <w:r>
        <w:rPr>
          <w:rFonts w:ascii="Times New Roman" w:hAnsi="Times New Roman"/>
          <w:noProof/>
          <w:sz w:val="24"/>
          <w:lang w:val="fr-BE"/>
        </w:rPr>
        <w:t> juillet 2014, l’évaluation est exigée pour les régimes RGEC de grande ampleur dans certaines catégories d’aide</w:t>
      </w:r>
      <w:r>
        <w:rPr>
          <w:rFonts w:ascii="Times New Roman" w:hAnsi="Times New Roman"/>
          <w:noProof/>
          <w:sz w:val="24"/>
          <w:vertAlign w:val="superscript"/>
        </w:rPr>
        <w:footnoteReference w:id="95"/>
      </w:r>
      <w:r>
        <w:rPr>
          <w:rFonts w:ascii="Times New Roman" w:hAnsi="Times New Roman"/>
          <w:noProof/>
          <w:sz w:val="24"/>
          <w:lang w:val="fr-BE"/>
        </w:rPr>
        <w:t>, ainsi que pour une sélection de régimes notifiés releva</w:t>
      </w:r>
      <w:r>
        <w:rPr>
          <w:rFonts w:ascii="Times New Roman" w:hAnsi="Times New Roman"/>
          <w:noProof/>
          <w:sz w:val="24"/>
          <w:lang w:val="fr-BE"/>
        </w:rPr>
        <w:t>nt de la nouvelle génération de lignes directrices relatives aux aides d’État</w:t>
      </w:r>
      <w:r>
        <w:rPr>
          <w:rFonts w:ascii="Times New Roman" w:hAnsi="Times New Roman"/>
          <w:noProof/>
          <w:sz w:val="24"/>
          <w:vertAlign w:val="superscript"/>
        </w:rPr>
        <w:footnoteReference w:id="96"/>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Fin 2018, la Commission avait approuvé des plans d’évaluation couvrant 40 régimes d’aides d’État. Cinq autres régimes sont actuellement à l’étude, couvrant au total 15 États m</w:t>
      </w:r>
      <w:r>
        <w:rPr>
          <w:rFonts w:ascii="Times New Roman" w:hAnsi="Times New Roman"/>
          <w:noProof/>
          <w:sz w:val="24"/>
          <w:lang w:val="fr-BE"/>
        </w:rPr>
        <w:t>embres</w:t>
      </w:r>
      <w:r>
        <w:rPr>
          <w:rFonts w:ascii="Times New Roman" w:hAnsi="Times New Roman"/>
          <w:noProof/>
          <w:sz w:val="24"/>
          <w:vertAlign w:val="superscript"/>
        </w:rPr>
        <w:footnoteReference w:id="97"/>
      </w:r>
      <w:r>
        <w:rPr>
          <w:rFonts w:ascii="Times New Roman" w:hAnsi="Times New Roman"/>
          <w:noProof/>
          <w:sz w:val="24"/>
          <w:lang w:val="fr-BE"/>
        </w:rPr>
        <w:t>. La plupart de ces décisions concernaient soit des régimes d’aides de grande ampleur à finalité régionale ou à la R&amp;D&amp;I au titre du RGEC, soit des régimes notifiés dans le domaine de l’énergie et du haut débit. Ces régimes représentent au total plu</w:t>
      </w:r>
      <w:r>
        <w:rPr>
          <w:rFonts w:ascii="Times New Roman" w:hAnsi="Times New Roman"/>
          <w:noProof/>
          <w:sz w:val="24"/>
          <w:lang w:val="fr-BE"/>
        </w:rPr>
        <w:t xml:space="preserve">s de 50 milliards d’EUR du budget annuel consacré aux aides d’État. Le premier rapport d’évaluation a été transmis en janvier 2018.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services de la Commission ont continué d’accompagner la mise en œuvre de l’obligation d’évaluation en publiant des note</w:t>
      </w:r>
      <w:r>
        <w:rPr>
          <w:rFonts w:ascii="Times New Roman" w:hAnsi="Times New Roman"/>
          <w:noProof/>
          <w:sz w:val="24"/>
          <w:lang w:val="fr-BE"/>
        </w:rPr>
        <w:t>s d’information</w:t>
      </w:r>
      <w:r>
        <w:rPr>
          <w:rFonts w:ascii="Times New Roman" w:hAnsi="Times New Roman"/>
          <w:noProof/>
          <w:sz w:val="24"/>
          <w:vertAlign w:val="superscript"/>
        </w:rPr>
        <w:footnoteReference w:id="98"/>
      </w:r>
      <w:r>
        <w:rPr>
          <w:rFonts w:ascii="Times New Roman" w:hAnsi="Times New Roman"/>
          <w:noProof/>
          <w:sz w:val="24"/>
          <w:lang w:val="fr-BE"/>
        </w:rPr>
        <w:t xml:space="preserve"> et en organisant des ateliers spécialisés avec des représentants des États membres et des experts en évaluation. Les priorités actuelles des services de la Commission sont les suivantes: i) élargir la portée de l’initiative d’évaluation à </w:t>
      </w:r>
      <w:r>
        <w:rPr>
          <w:rFonts w:ascii="Times New Roman" w:hAnsi="Times New Roman"/>
          <w:noProof/>
          <w:sz w:val="24"/>
          <w:lang w:val="fr-BE"/>
        </w:rPr>
        <w:t>d’autres États membres, y compris par le biais de contacts bilatéraux; et ii) préparer le terrain pour une évaluation complète des rapports d’évaluation, tant intermédiaires que finaux, afin de fournir un retour d’information approprié aux États membres et</w:t>
      </w:r>
      <w:r>
        <w:rPr>
          <w:rFonts w:ascii="Times New Roman" w:hAnsi="Times New Roman"/>
          <w:noProof/>
          <w:sz w:val="24"/>
          <w:lang w:val="fr-BE"/>
        </w:rPr>
        <w:t xml:space="preserve"> de veiller à ce que les résultats soient effectivement utilisés pour une meilleure élaboration des politiques.</w:t>
      </w:r>
    </w:p>
    <w:p w:rsidR="00D9323F" w:rsidRDefault="00F47CDD">
      <w:pPr>
        <w:widowControl w:val="0"/>
        <w:jc w:val="both"/>
        <w:rPr>
          <w:rFonts w:ascii="Times New Roman" w:hAnsi="Times New Roman"/>
          <w:i/>
          <w:noProof/>
          <w:sz w:val="24"/>
          <w:szCs w:val="24"/>
          <w:lang w:val="fr-BE"/>
        </w:rPr>
      </w:pPr>
      <w:r>
        <w:rPr>
          <w:rFonts w:ascii="Times New Roman" w:hAnsi="Times New Roman"/>
          <w:i/>
          <w:noProof/>
          <w:sz w:val="24"/>
          <w:lang w:val="fr-BE"/>
        </w:rPr>
        <w:t xml:space="preserve">Aides à la recherche, au développement et à l’innovation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Alors que l’un des grands objectifs de la stratégie Europe 2020</w:t>
      </w:r>
      <w:r>
        <w:rPr>
          <w:rFonts w:ascii="Times New Roman" w:hAnsi="Times New Roman"/>
          <w:noProof/>
          <w:sz w:val="24"/>
          <w:vertAlign w:val="superscript"/>
        </w:rPr>
        <w:footnoteReference w:id="99"/>
      </w:r>
      <w:r>
        <w:rPr>
          <w:rFonts w:ascii="Times New Roman" w:hAnsi="Times New Roman"/>
          <w:noProof/>
          <w:sz w:val="24"/>
          <w:lang w:val="fr-BE"/>
        </w:rPr>
        <w:t xml:space="preserve"> est de faire en sorte</w:t>
      </w:r>
      <w:r>
        <w:rPr>
          <w:rFonts w:ascii="Times New Roman" w:hAnsi="Times New Roman"/>
          <w:noProof/>
          <w:sz w:val="24"/>
          <w:lang w:val="fr-BE"/>
        </w:rPr>
        <w:t xml:space="preserve"> que les investissements dans la recherche, le développement et l’innovation (R&amp;D&amp;I) dans l’UE atteignent 3 % du PIB de l’Union, les dépenses en R&amp;D&amp;I dans l’UE ont été inférieures à celles des principaux concurrents mondiaux, et ce principalement en raiso</w:t>
      </w:r>
      <w:r>
        <w:rPr>
          <w:rFonts w:ascii="Times New Roman" w:hAnsi="Times New Roman"/>
          <w:noProof/>
          <w:sz w:val="24"/>
          <w:lang w:val="fr-BE"/>
        </w:rPr>
        <w:t xml:space="preserve">n de niveaux d’investissements privés plus bas. Pour obtenir le plus grand rendement possible avec les budgets disponibles, les mesures d’aide à la R&amp;D&amp;I ne devraient pas remplacer ou évincer le financement privé. Au contraire, </w:t>
      </w:r>
      <w:r>
        <w:rPr>
          <w:rFonts w:ascii="Times New Roman" w:hAnsi="Times New Roman"/>
          <w:noProof/>
          <w:sz w:val="24"/>
          <w:szCs w:val="24"/>
          <w:lang w:val="fr-BE"/>
        </w:rPr>
        <w:t>les efforts consentis devrai</w:t>
      </w:r>
      <w:r>
        <w:rPr>
          <w:rFonts w:ascii="Times New Roman" w:hAnsi="Times New Roman"/>
          <w:noProof/>
          <w:sz w:val="24"/>
          <w:szCs w:val="24"/>
          <w:lang w:val="fr-BE"/>
        </w:rPr>
        <w:t xml:space="preserve">ent viser à encourager davantage les investissements privés. L’objectif même des aides à la R&amp;D&amp;I est d’apporter une valeur ajoutée lorsque les marchés et les entreprises ne réalisent pas les investissements nécessaires à des projets innovants prometteurs </w:t>
      </w:r>
      <w:r>
        <w:rPr>
          <w:rFonts w:ascii="Times New Roman" w:hAnsi="Times New Roman"/>
          <w:noProof/>
          <w:sz w:val="24"/>
          <w:szCs w:val="24"/>
          <w:lang w:val="fr-BE"/>
        </w:rPr>
        <w:t xml:space="preserve">mais très risqués.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règles en matière d’aides d’État à la R&amp;D&amp;I visent ainsi à garantir que le financement public est dirigé vers des projets de recherche qui n’auraient pas vu le jour en son absence en raison de défaillances du marché, à savoir des pr</w:t>
      </w:r>
      <w:r>
        <w:rPr>
          <w:rFonts w:ascii="Times New Roman" w:hAnsi="Times New Roman"/>
          <w:noProof/>
          <w:sz w:val="24"/>
          <w:lang w:val="fr-BE"/>
        </w:rPr>
        <w:t>ojets qui vont véritablement au-delà de l’état actuel des techniques et qui amènent sur le marché et, en fin de compte, aux consommateurs, des produits et services innovants. Les règles, qui utilisent des critères souples et simples pour apprécier la compa</w:t>
      </w:r>
      <w:r>
        <w:rPr>
          <w:rFonts w:ascii="Times New Roman" w:hAnsi="Times New Roman"/>
          <w:noProof/>
          <w:sz w:val="24"/>
          <w:lang w:val="fr-BE"/>
        </w:rPr>
        <w:t xml:space="preserve">tibilité des aides d’État, facilitent la mise en œuvre du soutien apporté aux projets de R&amp;D&amp;I par les États membres.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la Commission a veillé à ce que les régimes d’aides et les mesures individuelles ayant fait l’objet d’une notification ou d’une </w:t>
      </w:r>
      <w:r>
        <w:rPr>
          <w:rFonts w:ascii="Times New Roman" w:hAnsi="Times New Roman"/>
          <w:noProof/>
          <w:sz w:val="24"/>
          <w:lang w:val="fr-BE"/>
        </w:rPr>
        <w:t>notification préalable dans le cadre des règles applicables à la R&amp;D&amp;I ciblent correctement des projets permettant de mener des activités de recherche et d’innovation inédites. Ses activités de contrôle des aides d’État ont couvert un large éventail de sec</w:t>
      </w:r>
      <w:r>
        <w:rPr>
          <w:rFonts w:ascii="Times New Roman" w:hAnsi="Times New Roman"/>
          <w:noProof/>
          <w:sz w:val="24"/>
          <w:lang w:val="fr-BE"/>
        </w:rPr>
        <w:t>teurs, notamment les systèmes de conduite automatisée/connectée, l’électromobilité, l’aéronautique, la micro-électronique ainsi que les infrastructures de recherche virtuelle et les pôles d’innovation.</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outre, dans un grand nombre de cas, la Commission a</w:t>
      </w:r>
      <w:r>
        <w:rPr>
          <w:rFonts w:ascii="Times New Roman" w:hAnsi="Times New Roman"/>
          <w:noProof/>
          <w:sz w:val="24"/>
          <w:lang w:val="fr-BE"/>
        </w:rPr>
        <w:t xml:space="preserve"> coopéré avec plusieurs États membres afin de leur permettre d’ajuster certaines mesures envisagées en faveur de la R&amp;D&amp;I et de les rendre conformes au RGEC. De cette manière, des mesures d’aide ont pu être accordées rapidement sans avoir à être notifiées </w:t>
      </w:r>
      <w:r>
        <w:rPr>
          <w:rFonts w:ascii="Times New Roman" w:hAnsi="Times New Roman"/>
          <w:noProof/>
          <w:sz w:val="24"/>
          <w:lang w:val="fr-BE"/>
        </w:rPr>
        <w:t>à la Commission, accélérant ainsi l’aide publique en faveur de la R&amp;D&amp;I. Il convient de noter qu’à la suite de la modernisation des aides d’État en 2014, 95 % de toutes les mesures de R&amp;D&amp;I (70 % en termes de valeur) dans l’Union sont mises en œuvre au tit</w:t>
      </w:r>
      <w:r>
        <w:rPr>
          <w:rFonts w:ascii="Times New Roman" w:hAnsi="Times New Roman"/>
          <w:noProof/>
          <w:sz w:val="24"/>
          <w:lang w:val="fr-BE"/>
        </w:rPr>
        <w:t>re du RGEC.</w:t>
      </w:r>
    </w:p>
    <w:p w:rsidR="00D9323F" w:rsidRDefault="00F47CDD">
      <w:pPr>
        <w:keepNext/>
        <w:spacing w:before="200" w:after="0" w:line="240" w:lineRule="auto"/>
        <w:jc w:val="both"/>
        <w:rPr>
          <w:rFonts w:ascii="Times New Roman" w:eastAsiaTheme="minorHAnsi" w:hAnsi="Times New Roman"/>
          <w:i/>
          <w:noProof/>
          <w:sz w:val="24"/>
          <w:szCs w:val="24"/>
          <w:lang w:val="fr-BE"/>
        </w:rPr>
      </w:pPr>
      <w:r>
        <w:rPr>
          <w:rFonts w:ascii="Times New Roman" w:eastAsiaTheme="minorHAnsi" w:hAnsi="Times New Roman"/>
          <w:i/>
          <w:noProof/>
          <w:sz w:val="24"/>
          <w:lang w:val="fr-BE"/>
        </w:rPr>
        <w:t xml:space="preserve">Aides permettant aux États membres de soutenir conjointement des projets importants d’intérêt européen commun </w:t>
      </w:r>
    </w:p>
    <w:p w:rsidR="00D9323F" w:rsidRDefault="00F47CDD">
      <w:pPr>
        <w:spacing w:before="200" w:after="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juin 2014, la Commission a adopté une communication sur les projets importants d’intérêt européen commun (PIIEC)</w:t>
      </w:r>
      <w:r>
        <w:rPr>
          <w:rFonts w:ascii="Times New Roman" w:eastAsiaTheme="minorHAnsi" w:hAnsi="Times New Roman"/>
          <w:noProof/>
          <w:sz w:val="24"/>
          <w:vertAlign w:val="superscript"/>
        </w:rPr>
        <w:footnoteReference w:id="100"/>
      </w:r>
      <w:r>
        <w:rPr>
          <w:rFonts w:ascii="Times New Roman" w:eastAsiaTheme="minorHAnsi" w:hAnsi="Times New Roman"/>
          <w:noProof/>
          <w:sz w:val="24"/>
          <w:lang w:val="fr-BE"/>
        </w:rPr>
        <w:t xml:space="preserve">, qui vise à </w:t>
      </w:r>
      <w:r>
        <w:rPr>
          <w:rFonts w:ascii="Times New Roman" w:eastAsiaTheme="minorHAnsi" w:hAnsi="Times New Roman"/>
          <w:noProof/>
          <w:sz w:val="24"/>
          <w:lang w:val="fr-BE"/>
        </w:rPr>
        <w:t xml:space="preserve">encourager les États membres à soutenir des projets qui contribuent clairement à la croissance économique, à l’emploi et à la compétitivité de l’Europe. L’encadrement PIIEC complète d’autres règles en matière d’aides d’État telles que le règlement général </w:t>
      </w:r>
      <w:r>
        <w:rPr>
          <w:rFonts w:ascii="Times New Roman" w:eastAsiaTheme="minorHAnsi" w:hAnsi="Times New Roman"/>
          <w:noProof/>
          <w:sz w:val="24"/>
          <w:lang w:val="fr-BE"/>
        </w:rPr>
        <w:t>d’exemption par catégorie</w:t>
      </w:r>
      <w:r>
        <w:rPr>
          <w:rFonts w:ascii="Times New Roman" w:eastAsiaTheme="minorHAnsi" w:hAnsi="Times New Roman"/>
          <w:noProof/>
          <w:sz w:val="24"/>
          <w:vertAlign w:val="superscript"/>
        </w:rPr>
        <w:footnoteReference w:id="101"/>
      </w:r>
      <w:r>
        <w:rPr>
          <w:rFonts w:ascii="Times New Roman" w:eastAsiaTheme="minorHAnsi" w:hAnsi="Times New Roman"/>
          <w:noProof/>
          <w:sz w:val="24"/>
          <w:lang w:val="fr-BE"/>
        </w:rPr>
        <w:t xml:space="preserve"> et l’encadrement des aides à la recherche, au développement et à l’innovation</w:t>
      </w:r>
      <w:r>
        <w:rPr>
          <w:rFonts w:ascii="Times New Roman" w:eastAsiaTheme="minorHAnsi" w:hAnsi="Times New Roman"/>
          <w:noProof/>
          <w:sz w:val="24"/>
          <w:vertAlign w:val="superscript"/>
        </w:rPr>
        <w:footnoteReference w:id="102"/>
      </w:r>
      <w:r>
        <w:rPr>
          <w:rFonts w:ascii="Times New Roman" w:eastAsiaTheme="minorHAnsi" w:hAnsi="Times New Roman"/>
          <w:noProof/>
          <w:sz w:val="24"/>
          <w:lang w:val="fr-BE"/>
        </w:rPr>
        <w:t>, qui permettent de soutenir les projets innovants, tout en garantissant que les distorsions potentielles de concurrence seront limitées. Ces règles fa</w:t>
      </w:r>
      <w:r>
        <w:rPr>
          <w:rFonts w:ascii="Times New Roman" w:eastAsiaTheme="minorHAnsi" w:hAnsi="Times New Roman"/>
          <w:noProof/>
          <w:sz w:val="24"/>
          <w:lang w:val="fr-BE"/>
        </w:rPr>
        <w:t>vorisent donc la recherche et l’innovation révolutionnaires ainsi qu’une large diffusion des résultats, tout en garantissant que le soutien apporté avec l’argent du contribuable est véritablement au service des citoyens européens.</w:t>
      </w:r>
    </w:p>
    <w:p w:rsidR="00D9323F" w:rsidRDefault="00F47CDD">
      <w:pPr>
        <w:spacing w:before="200" w:after="0"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décembre 2018, la Comm</w:t>
      </w:r>
      <w:r>
        <w:rPr>
          <w:rFonts w:ascii="Times New Roman" w:eastAsiaTheme="minorHAnsi" w:hAnsi="Times New Roman"/>
          <w:noProof/>
          <w:sz w:val="24"/>
          <w:lang w:val="fr-BE"/>
        </w:rPr>
        <w:t>ission a estimé qu’un projet intégré notifié conjointement par la France</w:t>
      </w:r>
      <w:r>
        <w:rPr>
          <w:rFonts w:ascii="Times New Roman" w:eastAsiaTheme="minorHAnsi" w:hAnsi="Times New Roman"/>
          <w:noProof/>
          <w:sz w:val="24"/>
          <w:vertAlign w:val="superscript"/>
        </w:rPr>
        <w:footnoteReference w:id="103"/>
      </w:r>
      <w:r>
        <w:rPr>
          <w:rFonts w:ascii="Times New Roman" w:eastAsiaTheme="minorHAnsi" w:hAnsi="Times New Roman"/>
          <w:noProof/>
          <w:sz w:val="24"/>
          <w:lang w:val="fr-BE"/>
        </w:rPr>
        <w:t>, l’Allemagne</w:t>
      </w:r>
      <w:r>
        <w:rPr>
          <w:rFonts w:ascii="Times New Roman" w:eastAsiaTheme="minorHAnsi" w:hAnsi="Times New Roman"/>
          <w:noProof/>
          <w:sz w:val="24"/>
          <w:vertAlign w:val="superscript"/>
        </w:rPr>
        <w:footnoteReference w:id="104"/>
      </w:r>
      <w:r>
        <w:rPr>
          <w:rFonts w:ascii="Times New Roman" w:eastAsiaTheme="minorHAnsi" w:hAnsi="Times New Roman"/>
          <w:noProof/>
          <w:sz w:val="24"/>
          <w:lang w:val="fr-BE"/>
        </w:rPr>
        <w:t>, l’Italie</w:t>
      </w:r>
      <w:r>
        <w:rPr>
          <w:rFonts w:ascii="Times New Roman" w:eastAsiaTheme="minorHAnsi" w:hAnsi="Times New Roman"/>
          <w:noProof/>
          <w:sz w:val="24"/>
          <w:vertAlign w:val="superscript"/>
        </w:rPr>
        <w:footnoteReference w:id="105"/>
      </w:r>
      <w:r>
        <w:rPr>
          <w:rFonts w:ascii="Times New Roman" w:eastAsiaTheme="minorHAnsi" w:hAnsi="Times New Roman"/>
          <w:noProof/>
          <w:sz w:val="24"/>
          <w:lang w:val="fr-BE"/>
        </w:rPr>
        <w:t xml:space="preserve"> et le Royaume-Uni</w:t>
      </w:r>
      <w:r>
        <w:rPr>
          <w:rFonts w:ascii="Times New Roman" w:eastAsiaTheme="minorHAnsi" w:hAnsi="Times New Roman"/>
          <w:noProof/>
          <w:sz w:val="24"/>
          <w:vertAlign w:val="superscript"/>
        </w:rPr>
        <w:footnoteReference w:id="106"/>
      </w:r>
      <w:r>
        <w:rPr>
          <w:rFonts w:ascii="Times New Roman" w:eastAsiaTheme="minorHAnsi" w:hAnsi="Times New Roman"/>
          <w:noProof/>
          <w:sz w:val="24"/>
          <w:lang w:val="fr-BE"/>
        </w:rPr>
        <w:t xml:space="preserve"> en faveur de la recherche et de l’innovation dans le domaine de la microélectronique est conforme aux règles de l’UE en matière d’aides d’</w:t>
      </w:r>
      <w:r>
        <w:rPr>
          <w:rFonts w:ascii="Times New Roman" w:eastAsiaTheme="minorHAnsi" w:hAnsi="Times New Roman"/>
          <w:noProof/>
          <w:sz w:val="24"/>
          <w:lang w:val="fr-BE"/>
        </w:rPr>
        <w:t>État et contribue à la réalisation d’un intérêt européen commun.</w:t>
      </w:r>
      <w:r>
        <w:rPr>
          <w:rFonts w:asciiTheme="minorHAnsi" w:eastAsiaTheme="minorHAnsi" w:hAnsiTheme="minorHAnsi" w:cstheme="minorBidi"/>
          <w:noProof/>
          <w:lang w:val="fr-BE"/>
        </w:rPr>
        <w:t xml:space="preserve"> </w:t>
      </w:r>
      <w:r>
        <w:rPr>
          <w:rFonts w:ascii="Times New Roman" w:eastAsiaTheme="minorHAnsi" w:hAnsi="Times New Roman"/>
          <w:noProof/>
          <w:sz w:val="24"/>
          <w:lang w:val="fr-BE"/>
        </w:rPr>
        <w:t>La microélectronique et la nanoélectronique ont été recensées par la Commission comme l’une des six technologies clés génériques considérées comme essentielles pour le développement industrie</w:t>
      </w:r>
      <w:r>
        <w:rPr>
          <w:rFonts w:ascii="Times New Roman" w:eastAsiaTheme="minorHAnsi" w:hAnsi="Times New Roman"/>
          <w:noProof/>
          <w:sz w:val="24"/>
          <w:lang w:val="fr-BE"/>
        </w:rPr>
        <w:t>l futur</w:t>
      </w:r>
      <w:r>
        <w:rPr>
          <w:rStyle w:val="FootnoteReference"/>
          <w:rFonts w:ascii="Times New Roman" w:eastAsiaTheme="minorHAnsi" w:hAnsi="Times New Roman"/>
          <w:noProof/>
          <w:sz w:val="24"/>
        </w:rPr>
        <w:footnoteReference w:id="107"/>
      </w:r>
      <w:r>
        <w:rPr>
          <w:rFonts w:ascii="Times New Roman" w:eastAsiaTheme="minorHAnsi" w:hAnsi="Times New Roman"/>
          <w:noProof/>
          <w:sz w:val="24"/>
          <w:lang w:val="fr-BE"/>
        </w:rPr>
        <w:t>.</w:t>
      </w:r>
    </w:p>
    <w:p w:rsidR="00D9323F" w:rsidRDefault="00F47CDD">
      <w:pPr>
        <w:spacing w:before="200" w:after="0" w:line="240" w:lineRule="auto"/>
        <w:jc w:val="both"/>
        <w:rPr>
          <w:rFonts w:ascii="Times New Roman" w:eastAsiaTheme="minorHAnsi" w:hAnsi="Times New Roman"/>
          <w:noProof/>
          <w:sz w:val="24"/>
          <w:szCs w:val="24"/>
          <w:lang w:val="fr-BE"/>
        </w:rPr>
      </w:pPr>
      <w:r>
        <w:rPr>
          <w:rFonts w:ascii="Times New Roman" w:hAnsi="Times New Roman"/>
          <w:noProof/>
          <w:sz w:val="24"/>
          <w:lang w:val="fr-BE"/>
        </w:rPr>
        <w:t>Ce premier cas dans le domaine de la R&amp;D&amp;I d’un projet important d’intérêt européen commun (PIIEC) démontre que l’instrument peut assurer une coopération et une coordination intra-UE en matière de R&amp;D&amp;I pour les technologies clés génériques, y co</w:t>
      </w:r>
      <w:r>
        <w:rPr>
          <w:rFonts w:ascii="Times New Roman" w:hAnsi="Times New Roman"/>
          <w:noProof/>
          <w:sz w:val="24"/>
          <w:lang w:val="fr-BE"/>
        </w:rPr>
        <w:t xml:space="preserve">mpris l’investissement dans un premier déploiement industriel. </w:t>
      </w:r>
    </w:p>
    <w:p w:rsidR="00D9323F" w:rsidRDefault="00F47CDD">
      <w:pPr>
        <w:spacing w:before="200" w:after="0" w:line="240" w:lineRule="auto"/>
        <w:jc w:val="both"/>
        <w:rPr>
          <w:rFonts w:ascii="Times New Roman" w:eastAsiaTheme="minorHAnsi" w:hAnsi="Times New Roman"/>
          <w:noProof/>
          <w:sz w:val="24"/>
          <w:szCs w:val="24"/>
          <w:lang w:val="fr-BE"/>
        </w:rPr>
      </w:pPr>
      <w:r>
        <w:rPr>
          <w:rFonts w:ascii="Times New Roman" w:hAnsi="Times New Roman"/>
          <w:noProof/>
          <w:sz w:val="24"/>
          <w:lang w:val="fr-BE"/>
        </w:rPr>
        <w:t>En 2018, conformément à l’initiative de la Commission «Alliance européenne pour les batteries», les discussions avec un groupe d’États membres et d’entreprises en vue d’un éventuel projet impo</w:t>
      </w:r>
      <w:r>
        <w:rPr>
          <w:rFonts w:ascii="Times New Roman" w:hAnsi="Times New Roman"/>
          <w:noProof/>
          <w:sz w:val="24"/>
          <w:lang w:val="fr-BE"/>
        </w:rPr>
        <w:t>rtant d’intérêt européen commun (PIIEC) dans le domaine des batteries pour l’électromobilité et le stockage d’énergie se sont intensifiées. Cela s’inscrit dans le droit fil de la politique de la Commission visant à passer de l’utilisation de combustibles f</w:t>
      </w:r>
      <w:r>
        <w:rPr>
          <w:rFonts w:ascii="Times New Roman" w:hAnsi="Times New Roman"/>
          <w:noProof/>
          <w:sz w:val="24"/>
          <w:lang w:val="fr-BE"/>
        </w:rPr>
        <w:t>ossiles nocifs pour l’environnement à des technologies de substitution.</w:t>
      </w:r>
    </w:p>
    <w:p w:rsidR="00D9323F" w:rsidRDefault="00F47CDD">
      <w:pPr>
        <w:widowControl w:val="0"/>
        <w:spacing w:before="200" w:line="240" w:lineRule="auto"/>
        <w:jc w:val="both"/>
        <w:rPr>
          <w:rFonts w:ascii="Times New Roman" w:hAnsi="Times New Roman"/>
          <w:i/>
          <w:noProof/>
          <w:sz w:val="24"/>
          <w:szCs w:val="24"/>
          <w:lang w:val="fr-BE"/>
        </w:rPr>
      </w:pPr>
      <w:r>
        <w:rPr>
          <w:rFonts w:ascii="Times New Roman" w:hAnsi="Times New Roman"/>
          <w:i/>
          <w:noProof/>
          <w:sz w:val="24"/>
          <w:lang w:val="fr-BE"/>
        </w:rPr>
        <w:t xml:space="preserve">Aide à finalité régionale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aides à finalité régionale sont un instrument important dans l’éventail d’outils dont dispose l’UE pour promouvoir une plus grande cohésion économique et</w:t>
      </w:r>
      <w:r>
        <w:rPr>
          <w:rFonts w:ascii="Times New Roman" w:hAnsi="Times New Roman"/>
          <w:noProof/>
          <w:sz w:val="24"/>
          <w:lang w:val="fr-BE"/>
        </w:rPr>
        <w:t xml:space="preserve"> sociale. L’encadrement des aides à finalité régionale 2014-2020 est en place depuis juillet 2014.</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continué de conseiller les autorités des États membres sur la manière d’interpréter et de mettre en œuvre les dispositions du RGEC e</w:t>
      </w:r>
      <w:r>
        <w:rPr>
          <w:rFonts w:ascii="Times New Roman" w:hAnsi="Times New Roman"/>
          <w:noProof/>
          <w:sz w:val="24"/>
          <w:lang w:val="fr-BE"/>
        </w:rPr>
        <w:t>n matière d’aides à finalité régionale, les aidant ainsi à assurer le succès des réformes instaurées au titre de la modernisation des aides d’État au bénéfice des consommateurs comme des entreprises.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adopté une décision au titre de</w:t>
      </w:r>
      <w:r>
        <w:rPr>
          <w:rFonts w:ascii="Times New Roman" w:hAnsi="Times New Roman"/>
          <w:noProof/>
          <w:sz w:val="24"/>
          <w:lang w:val="fr-BE"/>
        </w:rPr>
        <w:t xml:space="preserve">s lignes directrices concernant les aides d’État à finalité régionale pour 2014-2020 approuvant une aide à l’investissement à finalité régionale pour un grand projet d’investissement en faveur de </w:t>
      </w:r>
      <w:r>
        <w:rPr>
          <w:rFonts w:ascii="Times New Roman" w:hAnsi="Times New Roman"/>
          <w:i/>
          <w:noProof/>
          <w:sz w:val="24"/>
          <w:lang w:val="fr-BE"/>
        </w:rPr>
        <w:t>BorsodChem</w:t>
      </w:r>
      <w:r>
        <w:rPr>
          <w:rFonts w:ascii="Times New Roman" w:hAnsi="Times New Roman"/>
          <w:noProof/>
          <w:sz w:val="24"/>
          <w:vertAlign w:val="superscript"/>
        </w:rPr>
        <w:footnoteReference w:id="108"/>
      </w:r>
      <w:r>
        <w:rPr>
          <w:rFonts w:ascii="Times New Roman" w:hAnsi="Times New Roman"/>
          <w:noProof/>
          <w:sz w:val="24"/>
          <w:lang w:val="fr-BE"/>
        </w:rPr>
        <w:t>. L’investissement a pour objectif d’accroître l’</w:t>
      </w:r>
      <w:r>
        <w:rPr>
          <w:rFonts w:ascii="Times New Roman" w:hAnsi="Times New Roman"/>
          <w:noProof/>
          <w:sz w:val="24"/>
          <w:lang w:val="fr-BE"/>
        </w:rPr>
        <w:t>intégration verticale de l’usine de production de diisocyanate de diphénylméthane (MDI) de BorsodChem à Kazincbarcika (Hongrie) en y ajoutant une installation de production d’aniline. La Commission a estimé que sans ce financement public, le projet n’aurai</w:t>
      </w:r>
      <w:r>
        <w:rPr>
          <w:rFonts w:ascii="Times New Roman" w:hAnsi="Times New Roman"/>
          <w:noProof/>
          <w:sz w:val="24"/>
          <w:lang w:val="fr-BE"/>
        </w:rPr>
        <w:t>t été réalisé ni en Hongrie ni dans aucun autre État membre de l’UE, car il aurait été plus économique pour le bénéficiaire de continuer à importer de l’aniline des usines de production existantes en dehors de l’UE. L’investissement envisagé contribue au d</w:t>
      </w:r>
      <w:r>
        <w:rPr>
          <w:rFonts w:ascii="Times New Roman" w:hAnsi="Times New Roman"/>
          <w:noProof/>
          <w:sz w:val="24"/>
          <w:lang w:val="fr-BE"/>
        </w:rPr>
        <w:t xml:space="preserve">éveloppement économique d’une région défavorisée et crée directement des emplois. Il permet également de réduire les risques pour l’environnement liés au transport longue distance de l’aniline, qui est une substance toxique.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Commission a également adopté une décision positive concernant une aide à l’investissement à finalité régionale en faveur de </w:t>
      </w:r>
      <w:r>
        <w:rPr>
          <w:rFonts w:ascii="Times New Roman" w:hAnsi="Times New Roman"/>
          <w:i/>
          <w:noProof/>
          <w:sz w:val="24"/>
          <w:lang w:val="fr-BE"/>
        </w:rPr>
        <w:t>Jaguar Land Rover</w:t>
      </w:r>
      <w:r>
        <w:rPr>
          <w:rFonts w:ascii="Times New Roman" w:hAnsi="Times New Roman"/>
          <w:noProof/>
          <w:sz w:val="24"/>
          <w:vertAlign w:val="superscript"/>
        </w:rPr>
        <w:footnoteReference w:id="109"/>
      </w:r>
      <w:r>
        <w:rPr>
          <w:rFonts w:ascii="Times New Roman" w:hAnsi="Times New Roman"/>
          <w:noProof/>
          <w:sz w:val="24"/>
          <w:lang w:val="fr-BE"/>
        </w:rPr>
        <w:t xml:space="preserve"> en Slovaquie (construction automobile). L’enquête formelle de la Commission a permis de constater qu’en l’abs</w:t>
      </w:r>
      <w:r>
        <w:rPr>
          <w:rFonts w:ascii="Times New Roman" w:hAnsi="Times New Roman"/>
          <w:noProof/>
          <w:sz w:val="24"/>
          <w:lang w:val="fr-BE"/>
        </w:rPr>
        <w:t>ence de l’aide à l’investissement, le projet n’aurait pas été réalisé en Europe. Elle a également révélé que l’aide était limitée au minimum nécessaire pour inciter Jaguar Land Rover à décider de réaliser son investissement en Slovaquie. La Commission a co</w:t>
      </w:r>
      <w:r>
        <w:rPr>
          <w:rFonts w:ascii="Times New Roman" w:hAnsi="Times New Roman"/>
          <w:noProof/>
          <w:sz w:val="24"/>
          <w:lang w:val="fr-BE"/>
        </w:rPr>
        <w:t>nstaté que l’aide à l’investissement contribue à la création d’emplois, ainsi qu’au développement économique et à la compétitivité d’une région défavorisée. Enfin, la Commission a établi, après un examen attentif de tous les faits, qu’il n’y avait pas de l</w:t>
      </w:r>
      <w:r>
        <w:rPr>
          <w:rFonts w:ascii="Times New Roman" w:hAnsi="Times New Roman"/>
          <w:noProof/>
          <w:sz w:val="24"/>
          <w:lang w:val="fr-BE"/>
        </w:rPr>
        <w:t>ien de causalité entre l’aide accordée par la Slovaquie et la cessation d’activités ailleurs en Europe.</w:t>
      </w:r>
      <w:r>
        <w:rPr>
          <w:noProof/>
          <w:lang w:val="fr-BE"/>
        </w:rPr>
        <w:t xml:space="preserve"> </w:t>
      </w:r>
      <w:r>
        <w:rPr>
          <w:rFonts w:ascii="Times New Roman" w:hAnsi="Times New Roman"/>
          <w:noProof/>
          <w:sz w:val="24"/>
          <w:lang w:val="fr-BE"/>
        </w:rPr>
        <w:t>Les effets positifs du projet sur le développement régional l’emportaient dès lors clairement sur toute distorsion de concurrence générée par l’aide d’É</w:t>
      </w:r>
      <w:r>
        <w:rPr>
          <w:rFonts w:ascii="Times New Roman" w:hAnsi="Times New Roman"/>
          <w:noProof/>
          <w:sz w:val="24"/>
          <w:lang w:val="fr-BE"/>
        </w:rPr>
        <w:t>tat. La Commission a également constaté que certaines mesures d’infrastructure financées par l’État slovaque et mises en œuvre en vue du développement de la zone industrielle dans laquelle la nouvelle usine de Jaguar Land Rover est installée bénéficieraien</w:t>
      </w:r>
      <w:r>
        <w:rPr>
          <w:rFonts w:ascii="Times New Roman" w:hAnsi="Times New Roman"/>
          <w:noProof/>
          <w:sz w:val="24"/>
          <w:lang w:val="fr-BE"/>
        </w:rPr>
        <w:t>t non seulement à Jaguar Land Rover, mais également à l’ensemble des autres entreprises établies à cet endroit et, d’une manière plus générale, à la région de Nitra. Aussi ces mesures ne devraient-elles pas être considérées comme des aides d’État. Enfin, l</w:t>
      </w:r>
      <w:r>
        <w:rPr>
          <w:rFonts w:ascii="Times New Roman" w:hAnsi="Times New Roman"/>
          <w:noProof/>
          <w:sz w:val="24"/>
          <w:lang w:val="fr-BE"/>
        </w:rPr>
        <w:t>a Commission a constaté que le terrain cédé par l’État slovaque à Jaguar Land Rover en vue de la construction de l’usine automobile avait été acquis au prix du marché.</w:t>
      </w:r>
    </w:p>
    <w:p w:rsidR="00D9323F" w:rsidRDefault="00F47CDD">
      <w:pPr>
        <w:autoSpaceDE w:val="0"/>
        <w:autoSpaceDN w:val="0"/>
        <w:adjustRightInd w:val="0"/>
        <w:spacing w:after="240" w:line="240" w:lineRule="auto"/>
        <w:jc w:val="both"/>
        <w:rPr>
          <w:rFonts w:ascii="Times New Roman" w:hAnsi="Times New Roman"/>
          <w:noProof/>
          <w:sz w:val="24"/>
          <w:szCs w:val="24"/>
          <w:lang w:val="fr-BE"/>
        </w:rPr>
      </w:pPr>
      <w:r>
        <w:rPr>
          <w:rFonts w:ascii="Times New Roman" w:hAnsi="Times New Roman"/>
          <w:noProof/>
          <w:color w:val="000000"/>
          <w:sz w:val="24"/>
          <w:lang w:val="fr-BE"/>
        </w:rPr>
        <w:t xml:space="preserve">Enfin, la Commission a adopté deux décisions approuvant des plans d’évaluation relatifs </w:t>
      </w:r>
      <w:r>
        <w:rPr>
          <w:rFonts w:ascii="Times New Roman" w:hAnsi="Times New Roman"/>
          <w:noProof/>
          <w:color w:val="000000"/>
          <w:sz w:val="24"/>
          <w:lang w:val="fr-BE"/>
        </w:rPr>
        <w:t>à des régimes d’aides à finalité régionale en faveur de la Hongrie («</w:t>
      </w:r>
      <w:r>
        <w:rPr>
          <w:rFonts w:ascii="Times New Roman" w:eastAsiaTheme="minorHAnsi" w:hAnsi="Times New Roman"/>
          <w:i/>
          <w:noProof/>
          <w:color w:val="000000"/>
          <w:sz w:val="24"/>
          <w:lang w:val="fr-BE"/>
        </w:rPr>
        <w:t>incitations à l’investissement</w:t>
      </w:r>
      <w:r>
        <w:rPr>
          <w:rFonts w:ascii="Times New Roman" w:hAnsi="Times New Roman"/>
          <w:noProof/>
          <w:color w:val="000000"/>
          <w:sz w:val="24"/>
          <w:lang w:val="fr-BE"/>
        </w:rPr>
        <w:t>»</w:t>
      </w:r>
      <w:r>
        <w:rPr>
          <w:rFonts w:ascii="Times New Roman" w:eastAsiaTheme="minorHAnsi" w:hAnsi="Times New Roman"/>
          <w:noProof/>
          <w:color w:val="000000"/>
          <w:sz w:val="24"/>
          <w:vertAlign w:val="superscript"/>
        </w:rPr>
        <w:footnoteReference w:id="110"/>
      </w:r>
      <w:r>
        <w:rPr>
          <w:rFonts w:ascii="Times New Roman" w:hAnsi="Times New Roman"/>
          <w:noProof/>
          <w:color w:val="000000"/>
          <w:sz w:val="24"/>
          <w:lang w:val="fr-BE"/>
        </w:rPr>
        <w:t>) et de la Grèce (</w:t>
      </w:r>
      <w:r>
        <w:rPr>
          <w:rFonts w:ascii="Times New Roman" w:eastAsiaTheme="minorHAnsi" w:hAnsi="Times New Roman"/>
          <w:i/>
          <w:noProof/>
          <w:color w:val="000000"/>
          <w:sz w:val="24"/>
          <w:lang w:val="fr-BE"/>
        </w:rPr>
        <w:t>régime «Entrepreneuriat général»</w:t>
      </w:r>
      <w:r>
        <w:rPr>
          <w:rFonts w:ascii="Times New Roman" w:eastAsiaTheme="minorHAnsi" w:hAnsi="Times New Roman"/>
          <w:noProof/>
          <w:color w:val="000000"/>
          <w:sz w:val="24"/>
          <w:vertAlign w:val="superscript"/>
        </w:rPr>
        <w:footnoteReference w:id="111"/>
      </w:r>
      <w:r>
        <w:rPr>
          <w:rFonts w:ascii="Times New Roman" w:hAnsi="Times New Roman"/>
          <w:noProof/>
          <w:color w:val="000000"/>
          <w:sz w:val="24"/>
          <w:lang w:val="fr-BE"/>
        </w:rPr>
        <w:t>). La première décision concerne le plan d’évaluation d’un régime d’aide à l’investissement destiné à re</w:t>
      </w:r>
      <w:r>
        <w:rPr>
          <w:rFonts w:ascii="Times New Roman" w:hAnsi="Times New Roman"/>
          <w:noProof/>
          <w:color w:val="000000"/>
          <w:sz w:val="24"/>
          <w:lang w:val="fr-BE"/>
        </w:rPr>
        <w:t>médier au faible niveau d’emploi et d’investissement dans les régions «c» de Hongrie centrale et dans les régions moins développées de Hongrie (régions «a»). Celui-ci vise également à faciliter le développement de nouvelles solutions techniques et technolo</w:t>
      </w:r>
      <w:r>
        <w:rPr>
          <w:rFonts w:ascii="Times New Roman" w:hAnsi="Times New Roman"/>
          <w:noProof/>
          <w:color w:val="000000"/>
          <w:sz w:val="24"/>
          <w:lang w:val="fr-BE"/>
        </w:rPr>
        <w:t>giques, à faciliter le développement des exportations et à accroître la compétitivité des produits fabriqués et des services fournis conformément au RGEC. La deuxième décision de la Commission concerne le plan d’évaluation d’un régime d’aide à finalité rég</w:t>
      </w:r>
      <w:r>
        <w:rPr>
          <w:rFonts w:ascii="Times New Roman" w:hAnsi="Times New Roman"/>
          <w:noProof/>
          <w:color w:val="000000"/>
          <w:sz w:val="24"/>
          <w:lang w:val="fr-BE"/>
        </w:rPr>
        <w:t>ionale visant à stimuler l’économie et à accroître l’emploi en Grèce. L’aide est destinée aux entreprises de toutes tailles et de toutes régions, ainsi qu’aux services et produits commercialisés à l’échelle internationale autorisés par le RGEC.</w:t>
      </w:r>
    </w:p>
    <w:p w:rsidR="00D9323F" w:rsidRDefault="00F47CDD">
      <w:pPr>
        <w:autoSpaceDE w:val="0"/>
        <w:autoSpaceDN w:val="0"/>
        <w:adjustRightInd w:val="0"/>
        <w:spacing w:line="240" w:lineRule="auto"/>
        <w:jc w:val="both"/>
        <w:rPr>
          <w:rFonts w:ascii="Times New Roman" w:eastAsia="Times New Roman" w:hAnsi="Times New Roman"/>
          <w:i/>
          <w:noProof/>
          <w:color w:val="000000"/>
          <w:sz w:val="24"/>
          <w:szCs w:val="24"/>
          <w:lang w:val="fr-BE"/>
        </w:rPr>
      </w:pPr>
      <w:r>
        <w:rPr>
          <w:rFonts w:ascii="Times New Roman" w:hAnsi="Times New Roman"/>
          <w:i/>
          <w:noProof/>
          <w:color w:val="000000"/>
          <w:sz w:val="24"/>
          <w:lang w:val="fr-BE"/>
        </w:rPr>
        <w:t xml:space="preserve">Assistance </w:t>
      </w:r>
      <w:r>
        <w:rPr>
          <w:rFonts w:ascii="Times New Roman" w:hAnsi="Times New Roman"/>
          <w:i/>
          <w:noProof/>
          <w:color w:val="000000"/>
          <w:sz w:val="24"/>
          <w:lang w:val="fr-BE"/>
        </w:rPr>
        <w:t>contre les catastrophes (promotion du développement économique dans les zones touchées par une catastrophe naturelle à caractère exceptionnel).</w:t>
      </w:r>
    </w:p>
    <w:p w:rsidR="00D9323F" w:rsidRDefault="00F47CDD">
      <w:pPr>
        <w:autoSpaceDE w:val="0"/>
        <w:autoSpaceDN w:val="0"/>
        <w:adjustRightInd w:val="0"/>
        <w:spacing w:after="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lang w:val="fr-BE"/>
        </w:rPr>
        <w:t>En 2018, la Commission a autorisé, en vertu de l’article 107, paragraphe 3, point c), TFUE, un régime d’aide ita</w:t>
      </w:r>
      <w:r>
        <w:rPr>
          <w:rFonts w:ascii="Times New Roman" w:eastAsiaTheme="minorHAnsi" w:hAnsi="Times New Roman"/>
          <w:noProof/>
          <w:color w:val="000000"/>
          <w:sz w:val="24"/>
          <w:lang w:val="fr-BE"/>
        </w:rPr>
        <w:t>lien destiné à soutenir les investissements dans les régions touchées par des séismes en 2016 et 2017</w:t>
      </w:r>
      <w:r>
        <w:rPr>
          <w:rFonts w:ascii="Times New Roman" w:eastAsiaTheme="minorHAnsi" w:hAnsi="Times New Roman"/>
          <w:noProof/>
          <w:color w:val="000000"/>
          <w:sz w:val="24"/>
          <w:vertAlign w:val="superscript"/>
        </w:rPr>
        <w:footnoteReference w:id="112"/>
      </w:r>
      <w:r>
        <w:rPr>
          <w:rFonts w:ascii="Times New Roman" w:eastAsiaTheme="minorHAnsi" w:hAnsi="Times New Roman"/>
          <w:noProof/>
          <w:color w:val="000000"/>
          <w:sz w:val="24"/>
          <w:lang w:val="fr-BE"/>
        </w:rPr>
        <w:t>. Le régime d’aide notifié vise à atténuer les dégâts économiques et sociaux subis par le centre de l’Italie en raison d’une activité sismique anormale. L</w:t>
      </w:r>
      <w:r>
        <w:rPr>
          <w:rFonts w:ascii="Times New Roman" w:eastAsiaTheme="minorHAnsi" w:hAnsi="Times New Roman"/>
          <w:noProof/>
          <w:color w:val="000000"/>
          <w:sz w:val="24"/>
          <w:lang w:val="fr-BE"/>
        </w:rPr>
        <w:t>es aides prennent la forme d’un crédit d’impôt pour toutes les entreprises qui réalisent un investissement initial dans la région. Le soutien aux grandes entreprises est limité à une aide à l’établissement d’une nouvelle entreprise, à la diversification de</w:t>
      </w:r>
      <w:r>
        <w:rPr>
          <w:rFonts w:ascii="Times New Roman" w:eastAsiaTheme="minorHAnsi" w:hAnsi="Times New Roman"/>
          <w:noProof/>
          <w:color w:val="000000"/>
          <w:sz w:val="24"/>
          <w:lang w:val="fr-BE"/>
        </w:rPr>
        <w:t xml:space="preserve"> l’activité d’une entreprise ou à l’acquisition des actifs d’une entreprise qui a mis un terme à ses activités. La Commission a estimé que le régime d’aide contribue de manière proportionnée à favoriser le développement économique et le redressement dans l</w:t>
      </w:r>
      <w:r>
        <w:rPr>
          <w:rFonts w:ascii="Times New Roman" w:eastAsiaTheme="minorHAnsi" w:hAnsi="Times New Roman"/>
          <w:noProof/>
          <w:color w:val="000000"/>
          <w:sz w:val="24"/>
          <w:lang w:val="fr-BE"/>
        </w:rPr>
        <w:t>es régions touchées par une catastrophe naturelle à caractère exceptionnel.</w:t>
      </w:r>
    </w:p>
    <w:p w:rsidR="00D9323F" w:rsidRDefault="00D9323F">
      <w:pPr>
        <w:autoSpaceDE w:val="0"/>
        <w:autoSpaceDN w:val="0"/>
        <w:adjustRightInd w:val="0"/>
        <w:spacing w:after="0"/>
        <w:jc w:val="both"/>
        <w:rPr>
          <w:rFonts w:ascii="Times New Roman" w:eastAsiaTheme="minorHAnsi" w:hAnsi="Times New Roman"/>
          <w:noProof/>
          <w:color w:val="000000"/>
          <w:sz w:val="24"/>
          <w:szCs w:val="24"/>
          <w:lang w:val="fr-BE"/>
        </w:rPr>
      </w:pPr>
    </w:p>
    <w:p w:rsidR="00D9323F" w:rsidRDefault="00F47CDD">
      <w:pPr>
        <w:widowControl w:val="0"/>
        <w:jc w:val="both"/>
        <w:rPr>
          <w:rFonts w:ascii="Times New Roman" w:eastAsia="Times New Roman" w:hAnsi="Times New Roman"/>
          <w:i/>
          <w:noProof/>
          <w:sz w:val="24"/>
          <w:szCs w:val="24"/>
          <w:lang w:val="fr-BE"/>
        </w:rPr>
      </w:pPr>
      <w:r>
        <w:rPr>
          <w:rFonts w:ascii="Times New Roman" w:hAnsi="Times New Roman"/>
          <w:i/>
          <w:noProof/>
          <w:sz w:val="24"/>
          <w:lang w:val="fr-BE"/>
        </w:rPr>
        <w:t xml:space="preserve">Aides au financement des risques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l’ensemble de l’UE, les PME restent fortement dépendantes des prêts bancaires traditionnels, qui restent limités par la capacité de </w:t>
      </w:r>
      <w:r>
        <w:rPr>
          <w:rFonts w:ascii="Times New Roman" w:hAnsi="Times New Roman"/>
          <w:noProof/>
          <w:sz w:val="24"/>
          <w:lang w:val="fr-BE"/>
        </w:rPr>
        <w:t xml:space="preserve">refinancement, l’appétence au risque et l’adéquation des fonds propres des banques. La crise financière a exacerbé ce problème, puisqu’un grand nombre de PME n’ont toujours pas eu accès aux financements nécessaires au cours de ces dernières années. Compte </w:t>
      </w:r>
      <w:r>
        <w:rPr>
          <w:rFonts w:ascii="Times New Roman" w:hAnsi="Times New Roman"/>
          <w:noProof/>
          <w:sz w:val="24"/>
          <w:lang w:val="fr-BE"/>
        </w:rPr>
        <w:t>tenu de l’importance cruciale des PME et des entreprises à moyenne capitalisation pour l’ensemble de l’économie de l’UE, la situation a des effets négatifs importants sur la croissance et la création d’emplois. Les règles actuelles en matière de financemen</w:t>
      </w:r>
      <w:r>
        <w:rPr>
          <w:rFonts w:ascii="Times New Roman" w:hAnsi="Times New Roman"/>
          <w:noProof/>
          <w:sz w:val="24"/>
          <w:lang w:val="fr-BE"/>
        </w:rPr>
        <w:t>t des risques visent à inciter davantage les investisseurs du secteur privé (y compris institutionnels) à développer leurs activités de financement dans le secteur crucial du financement des PME et des entreprises à moyenne capitalisation. Les règles s’ins</w:t>
      </w:r>
      <w:r>
        <w:rPr>
          <w:rFonts w:ascii="Times New Roman" w:hAnsi="Times New Roman"/>
          <w:noProof/>
          <w:sz w:val="24"/>
          <w:lang w:val="fr-BE"/>
        </w:rPr>
        <w:t>crivent également dans la droite ligne d’autres initiatives de l’UE destinées à encourager une utilisation plus large des instruments financiers dans le cadre de nouveaux programmes de soutien, tels qu’Horizon 2020 et le programme pour la compétitivité des</w:t>
      </w:r>
      <w:r>
        <w:rPr>
          <w:rFonts w:ascii="Times New Roman" w:hAnsi="Times New Roman"/>
          <w:noProof/>
          <w:sz w:val="24"/>
          <w:lang w:val="fr-BE"/>
        </w:rPr>
        <w:t xml:space="preserve"> entreprises et des PME (COSME)</w:t>
      </w:r>
      <w:r>
        <w:rPr>
          <w:rFonts w:ascii="Times New Roman" w:hAnsi="Times New Roman"/>
          <w:noProof/>
          <w:sz w:val="24"/>
          <w:vertAlign w:val="superscript"/>
        </w:rPr>
        <w:footnoteReference w:id="113"/>
      </w:r>
      <w:r>
        <w:rPr>
          <w:rFonts w:ascii="Times New Roman" w:hAnsi="Times New Roman"/>
          <w:noProof/>
          <w:sz w:val="24"/>
          <w:lang w:val="fr-BE"/>
        </w:rPr>
        <w:t>.</w:t>
      </w:r>
    </w:p>
    <w:p w:rsidR="00D9323F" w:rsidRDefault="00F47CDD">
      <w:pPr>
        <w:widowControl w:val="0"/>
        <w:spacing w:line="240" w:lineRule="auto"/>
        <w:jc w:val="both"/>
        <w:rPr>
          <w:rFonts w:ascii="Times New Roman" w:hAnsi="Times New Roman"/>
          <w:b/>
          <w:noProof/>
          <w:sz w:val="20"/>
          <w:szCs w:val="20"/>
          <w:lang w:val="fr-BE"/>
        </w:rPr>
      </w:pPr>
      <w:r>
        <w:rPr>
          <w:rFonts w:ascii="Times New Roman" w:hAnsi="Times New Roman"/>
          <w:noProof/>
          <w:sz w:val="24"/>
          <w:lang w:val="fr-BE"/>
        </w:rPr>
        <w:t>Les lignes directrices actuelles sur le financement des risques</w:t>
      </w:r>
      <w:r>
        <w:rPr>
          <w:rFonts w:ascii="Times New Roman" w:hAnsi="Times New Roman"/>
          <w:noProof/>
          <w:sz w:val="24"/>
          <w:vertAlign w:val="superscript"/>
        </w:rPr>
        <w:footnoteReference w:id="114"/>
      </w:r>
      <w:r>
        <w:rPr>
          <w:rFonts w:ascii="Times New Roman" w:hAnsi="Times New Roman"/>
          <w:noProof/>
          <w:sz w:val="24"/>
          <w:lang w:val="fr-BE"/>
        </w:rPr>
        <w:t xml:space="preserve"> et les sections correspondantes du RGEC fournissent le cadre pour soutenir harmonieusement les nouvelles entreprises, depuis leur création jusqu’à ce qu’elle</w:t>
      </w:r>
      <w:r>
        <w:rPr>
          <w:rFonts w:ascii="Times New Roman" w:hAnsi="Times New Roman"/>
          <w:noProof/>
          <w:sz w:val="24"/>
          <w:lang w:val="fr-BE"/>
        </w:rPr>
        <w:t>s deviennent des acteurs mondiaux, afin de les aider à surmonter les étapes critiques, auxquelles les financements privés ne sont pas disponibles en quantité suffisante ou sous la forme requise, voire pas disponibles du tout.</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BE"/>
        </w:rPr>
      </w:pPr>
      <w:r>
        <w:rPr>
          <w:rFonts w:ascii="Times New Roman" w:hAnsi="Times New Roman"/>
          <w:b/>
          <w:noProof/>
          <w:sz w:val="20"/>
          <w:lang w:val="fr-BE"/>
        </w:rPr>
        <w:t>Mesures d’aide à l’investissem</w:t>
      </w:r>
      <w:r>
        <w:rPr>
          <w:rFonts w:ascii="Times New Roman" w:hAnsi="Times New Roman"/>
          <w:b/>
          <w:noProof/>
          <w:sz w:val="20"/>
          <w:lang w:val="fr-BE"/>
        </w:rPr>
        <w:t>ent et à l’innovation dans les PME</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En 2018, la Commission a traité, sur la base des lignes directrices sur le financement des risques, des régimes notifiés visant à encourager l’investissement dans les PME et les entreprises à moyenne capitalisation innova</w:t>
      </w:r>
      <w:r>
        <w:rPr>
          <w:rFonts w:ascii="Times New Roman" w:hAnsi="Times New Roman"/>
          <w:noProof/>
          <w:sz w:val="20"/>
          <w:lang w:val="fr-BE"/>
        </w:rPr>
        <w:t xml:space="preserve">ntes. Plus précisément, elle a approuvé la prolongation d’un régime modifié en Italie, qui prévoit des incitations fiscales pour les investissements dans les jeunes entreprises innovantes.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En outre, la Commission a coopéré avec plusieurs États membres afi</w:t>
      </w:r>
      <w:r>
        <w:rPr>
          <w:rFonts w:ascii="Times New Roman" w:hAnsi="Times New Roman"/>
          <w:noProof/>
          <w:sz w:val="20"/>
          <w:lang w:val="fr-BE"/>
        </w:rPr>
        <w:t>n de leur permettre d’ajuster certaines mesures envisagées de financement des risques et de les rendre conformes au RGEC actuel. De cette manière, des mesures d’aide ont pu être accordées rapidement sans avoir à être notifiées à la Commission, accélérant a</w:t>
      </w:r>
      <w:r>
        <w:rPr>
          <w:rFonts w:ascii="Times New Roman" w:hAnsi="Times New Roman"/>
          <w:noProof/>
          <w:sz w:val="20"/>
          <w:lang w:val="fr-BE"/>
        </w:rPr>
        <w:t xml:space="preserve">insi l’aide publique aux PME innovantes.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BE"/>
        </w:rPr>
      </w:pPr>
      <w:r>
        <w:rPr>
          <w:rFonts w:ascii="Times New Roman" w:hAnsi="Times New Roman"/>
          <w:noProof/>
          <w:sz w:val="20"/>
          <w:lang w:val="fr-BE"/>
        </w:rPr>
        <w:t>Dans tous ces cas, la Commission a estimé que les mesures en question palliaient un manque réel sur le marché et elle a collaboré avec les États membres pour trouver des solutions afin de limiter leur incidence sur</w:t>
      </w:r>
      <w:r>
        <w:rPr>
          <w:rFonts w:ascii="Times New Roman" w:hAnsi="Times New Roman"/>
          <w:noProof/>
          <w:sz w:val="20"/>
          <w:lang w:val="fr-BE"/>
        </w:rPr>
        <w:t xml:space="preserve"> la concurrence au sein du marché unique. La Commission a notamment considéré que les risques inhérents aux activités de ces jeunes entreprises et de ces entreprises innovantes (à savoir des produits/technologies qui n’ont pas encore prouvé leur viabilité </w:t>
      </w:r>
      <w:r>
        <w:rPr>
          <w:rFonts w:ascii="Times New Roman" w:hAnsi="Times New Roman"/>
          <w:noProof/>
          <w:sz w:val="20"/>
          <w:lang w:val="fr-BE"/>
        </w:rPr>
        <w:t>économique) et le manque de garanties financières ont limité leur capacité à accéder aux financements et que les aides étaient nécessaires pour stimuler un investissement qui, spontanément, n’aurait pas été fourni par le marché.</w:t>
      </w:r>
    </w:p>
    <w:p w:rsidR="00D9323F" w:rsidRDefault="00F47CDD">
      <w:pPr>
        <w:widowControl w:val="0"/>
        <w:spacing w:line="240" w:lineRule="auto"/>
        <w:jc w:val="both"/>
        <w:rPr>
          <w:rFonts w:ascii="Times New Roman" w:eastAsia="Times New Roman" w:hAnsi="Times New Roman"/>
          <w:i/>
          <w:noProof/>
          <w:sz w:val="24"/>
          <w:szCs w:val="24"/>
          <w:lang w:val="fr-BE"/>
        </w:rPr>
      </w:pPr>
      <w:r>
        <w:rPr>
          <w:rFonts w:ascii="Times New Roman" w:hAnsi="Times New Roman"/>
          <w:i/>
          <w:noProof/>
          <w:sz w:val="24"/>
          <w:lang w:val="fr-BE"/>
        </w:rPr>
        <w:t>Infrastructure</w:t>
      </w:r>
    </w:p>
    <w:p w:rsidR="00D9323F" w:rsidRDefault="00F47CDD">
      <w:pPr>
        <w:widowControl w:val="0"/>
        <w:spacing w:line="240" w:lineRule="auto"/>
        <w:jc w:val="both"/>
        <w:rPr>
          <w:rFonts w:ascii="Times New Roman" w:eastAsia="Times New Roman" w:hAnsi="Times New Roman"/>
          <w:i/>
          <w:noProof/>
          <w:sz w:val="24"/>
          <w:szCs w:val="24"/>
          <w:lang w:val="fr-BE"/>
        </w:rPr>
      </w:pPr>
      <w:r>
        <w:rPr>
          <w:rFonts w:ascii="Times New Roman" w:hAnsi="Times New Roman"/>
          <w:noProof/>
          <w:sz w:val="24"/>
          <w:lang w:val="fr-BE"/>
        </w:rPr>
        <w:t xml:space="preserve">En 2018, la </w:t>
      </w:r>
      <w:r>
        <w:rPr>
          <w:rFonts w:ascii="Times New Roman" w:hAnsi="Times New Roman"/>
          <w:noProof/>
          <w:sz w:val="24"/>
          <w:lang w:val="fr-BE"/>
        </w:rPr>
        <w:t xml:space="preserve">Commission a continué de fournir des orientations aux autorités des États membres au moyen de «grilles d’analyse» concernant l’application des règles en matière d’aides d’État au financement public de projets d’infrastructure. Les dispositions applicables </w:t>
      </w:r>
      <w:r>
        <w:rPr>
          <w:rFonts w:ascii="Times New Roman" w:hAnsi="Times New Roman"/>
          <w:noProof/>
          <w:sz w:val="24"/>
          <w:lang w:val="fr-BE"/>
        </w:rPr>
        <w:t>ont été révisées suite à l’adoption de la communication de la Commission relative à la notion d’«aide d’État» en 2016</w:t>
      </w:r>
      <w:r>
        <w:rPr>
          <w:rFonts w:ascii="Times New Roman" w:hAnsi="Times New Roman"/>
          <w:noProof/>
          <w:sz w:val="24"/>
          <w:vertAlign w:val="superscript"/>
        </w:rPr>
        <w:footnoteReference w:id="115"/>
      </w:r>
      <w:r>
        <w:rPr>
          <w:rFonts w:ascii="Times New Roman" w:hAnsi="Times New Roman"/>
          <w:noProof/>
          <w:sz w:val="24"/>
          <w:lang w:val="fr-BE"/>
        </w:rPr>
        <w:t xml:space="preserve"> et à l’adoption du RGEC révisé en 2017</w:t>
      </w:r>
      <w:r>
        <w:rPr>
          <w:rFonts w:ascii="Times New Roman" w:hAnsi="Times New Roman"/>
          <w:noProof/>
          <w:sz w:val="24"/>
          <w:vertAlign w:val="superscript"/>
        </w:rPr>
        <w:footnoteReference w:id="116"/>
      </w:r>
      <w:r>
        <w:rPr>
          <w:rFonts w:ascii="Times New Roman" w:hAnsi="Times New Roman"/>
          <w:noProof/>
          <w:sz w:val="24"/>
          <w:lang w:val="fr-BE"/>
        </w:rPr>
        <w:t>. La Commission a continué à conseiller les autorités des États membres sur la manière d’interprét</w:t>
      </w:r>
      <w:r>
        <w:rPr>
          <w:rFonts w:ascii="Times New Roman" w:hAnsi="Times New Roman"/>
          <w:noProof/>
          <w:sz w:val="24"/>
          <w:lang w:val="fr-BE"/>
        </w:rPr>
        <w:t>er et de mettre en œuvre les dispositions du RGEC relatives aux aides d’État pour les projets d’infrastructure, les aidant ainsi à garantir la sécurité juridique en ce qui concerne le financement public des infrastructures.</w:t>
      </w:r>
    </w:p>
    <w:p w:rsidR="00D9323F" w:rsidRDefault="00F47CDD">
      <w:pPr>
        <w:widowControl w:val="0"/>
        <w:spacing w:line="240" w:lineRule="auto"/>
        <w:jc w:val="both"/>
        <w:rPr>
          <w:rFonts w:ascii="Times New Roman" w:eastAsia="Times New Roman" w:hAnsi="Times New Roman"/>
          <w:noProof/>
          <w:sz w:val="24"/>
          <w:szCs w:val="24"/>
          <w:lang w:val="fr-BE"/>
        </w:rPr>
      </w:pPr>
      <w:r>
        <w:rPr>
          <w:rFonts w:ascii="Times New Roman" w:hAnsi="Times New Roman"/>
          <w:noProof/>
          <w:sz w:val="24"/>
          <w:lang w:val="fr-BE"/>
        </w:rPr>
        <w:t>La Commission a également adopté</w:t>
      </w:r>
      <w:r>
        <w:rPr>
          <w:rFonts w:ascii="Times New Roman" w:hAnsi="Times New Roman"/>
          <w:noProof/>
          <w:sz w:val="24"/>
          <w:lang w:val="fr-BE"/>
        </w:rPr>
        <w:t xml:space="preserve"> trois décisions relatives à des aides d’État pour le développement des autoroutes, notamment en approuvant un plan d’investissement pour les </w:t>
      </w:r>
      <w:r>
        <w:rPr>
          <w:rFonts w:ascii="Times New Roman" w:hAnsi="Times New Roman"/>
          <w:i/>
          <w:noProof/>
          <w:sz w:val="24"/>
          <w:lang w:val="fr-BE"/>
        </w:rPr>
        <w:t>autoroutes italiennes</w:t>
      </w:r>
      <w:r>
        <w:rPr>
          <w:rFonts w:ascii="Times New Roman" w:hAnsi="Times New Roman"/>
          <w:noProof/>
          <w:sz w:val="24"/>
          <w:vertAlign w:val="superscript"/>
        </w:rPr>
        <w:footnoteReference w:id="117"/>
      </w:r>
      <w:r>
        <w:rPr>
          <w:rFonts w:ascii="Times New Roman" w:hAnsi="Times New Roman"/>
          <w:noProof/>
          <w:sz w:val="24"/>
          <w:lang w:val="fr-BE"/>
        </w:rPr>
        <w:t>, la prolongation du contrat de concession existant pour l’</w:t>
      </w:r>
      <w:r>
        <w:rPr>
          <w:rFonts w:ascii="Times New Roman" w:hAnsi="Times New Roman"/>
          <w:i/>
          <w:noProof/>
          <w:sz w:val="24"/>
          <w:lang w:val="fr-BE"/>
        </w:rPr>
        <w:t>autoroute Y d’Istrie en Croatie</w:t>
      </w:r>
      <w:r>
        <w:rPr>
          <w:rFonts w:ascii="Times New Roman" w:hAnsi="Times New Roman"/>
          <w:noProof/>
          <w:sz w:val="24"/>
          <w:vertAlign w:val="superscript"/>
        </w:rPr>
        <w:footnoteReference w:id="118"/>
      </w:r>
      <w:r>
        <w:rPr>
          <w:rFonts w:ascii="Times New Roman" w:hAnsi="Times New Roman"/>
          <w:noProof/>
          <w:sz w:val="24"/>
          <w:lang w:val="fr-BE"/>
        </w:rPr>
        <w:t xml:space="preserve"> </w:t>
      </w:r>
      <w:r>
        <w:rPr>
          <w:rFonts w:ascii="Times New Roman" w:hAnsi="Times New Roman"/>
          <w:noProof/>
          <w:sz w:val="24"/>
          <w:lang w:val="fr-BE"/>
        </w:rPr>
        <w:t>et la construction du tronçon sud de l’</w:t>
      </w:r>
      <w:r>
        <w:rPr>
          <w:rFonts w:ascii="Times New Roman" w:hAnsi="Times New Roman"/>
          <w:i/>
          <w:noProof/>
          <w:sz w:val="24"/>
          <w:lang w:val="fr-BE"/>
        </w:rPr>
        <w:t>autoroute de Grèce centrale</w:t>
      </w:r>
      <w:r>
        <w:rPr>
          <w:rFonts w:ascii="Times New Roman" w:hAnsi="Times New Roman"/>
          <w:noProof/>
          <w:sz w:val="24"/>
          <w:lang w:val="fr-BE"/>
        </w:rPr>
        <w:t xml:space="preserve"> (concession E65)</w:t>
      </w:r>
      <w:r>
        <w:rPr>
          <w:rFonts w:ascii="Times New Roman" w:hAnsi="Times New Roman"/>
          <w:noProof/>
          <w:sz w:val="24"/>
          <w:vertAlign w:val="superscript"/>
        </w:rPr>
        <w:footnoteReference w:id="119"/>
      </w:r>
      <w:r>
        <w:rPr>
          <w:rFonts w:ascii="Times New Roman" w:hAnsi="Times New Roman"/>
          <w:noProof/>
          <w:sz w:val="24"/>
          <w:lang w:val="fr-BE"/>
        </w:rPr>
        <w:t>.</w:t>
      </w:r>
    </w:p>
    <w:p w:rsidR="00D9323F" w:rsidRDefault="00F47CDD">
      <w:pPr>
        <w:widowControl w:val="0"/>
        <w:spacing w:line="240" w:lineRule="auto"/>
        <w:jc w:val="both"/>
        <w:rPr>
          <w:rFonts w:ascii="Times New Roman" w:eastAsia="Times New Roman" w:hAnsi="Times New Roman"/>
          <w:noProof/>
          <w:sz w:val="24"/>
          <w:szCs w:val="24"/>
          <w:lang w:val="fr-BE"/>
        </w:rPr>
      </w:pPr>
      <w:r>
        <w:rPr>
          <w:rFonts w:ascii="Times New Roman" w:hAnsi="Times New Roman"/>
          <w:i/>
          <w:noProof/>
          <w:sz w:val="24"/>
          <w:lang w:val="fr-BE"/>
        </w:rPr>
        <w:t>Projet italien en faveur des autoroutes</w:t>
      </w:r>
      <w:r>
        <w:rPr>
          <w:rFonts w:ascii="Times New Roman" w:hAnsi="Times New Roman"/>
          <w:noProof/>
          <w:sz w:val="24"/>
          <w:lang w:val="fr-BE"/>
        </w:rPr>
        <w:t xml:space="preserve">: au regard des règles de l’UE en matière d’aides d’État relatives aux services d’intérêt économique général, la Commission a </w:t>
      </w:r>
      <w:r>
        <w:rPr>
          <w:rFonts w:ascii="Times New Roman" w:hAnsi="Times New Roman"/>
          <w:noProof/>
          <w:sz w:val="24"/>
          <w:lang w:val="fr-BE"/>
        </w:rPr>
        <w:t>approuvé le projet de l’Italie de prolonger deux concessions autoroutières et de plafonner les tarifs de péages pour les usagers. Le plan italien en faveur des autoroutes prévoit la prolongation de deux grandes concessions autoroutières détenues par Autost</w:t>
      </w:r>
      <w:r>
        <w:rPr>
          <w:rFonts w:ascii="Times New Roman" w:hAnsi="Times New Roman"/>
          <w:noProof/>
          <w:sz w:val="24"/>
          <w:lang w:val="fr-BE"/>
        </w:rPr>
        <w:t>rade per l’Italia (ASPI) et Società Iniziative Autostradali e Servizi (SIAS). Ces concessions prévoient un plafonnement des hausses potentielles des tarifs de péages à un niveau acceptable pour les usagers des autoroutes. Parallèlement, la prolongation des</w:t>
      </w:r>
      <w:r>
        <w:rPr>
          <w:rFonts w:ascii="Times New Roman" w:hAnsi="Times New Roman"/>
          <w:noProof/>
          <w:sz w:val="24"/>
          <w:lang w:val="fr-BE"/>
        </w:rPr>
        <w:t xml:space="preserve"> concessions permet à ASPI et à SIAS d’engranger suffisamment de recettes pour financer des investissements importants dans les concessions concernées. Le plan ainsi autorisé est également assorti d’une série de garde-fous destinés à éviter une compensatio</w:t>
      </w:r>
      <w:r>
        <w:rPr>
          <w:rFonts w:ascii="Times New Roman" w:hAnsi="Times New Roman"/>
          <w:noProof/>
          <w:sz w:val="24"/>
          <w:lang w:val="fr-BE"/>
        </w:rPr>
        <w:t>n excessive d’ASPI et de SIAS et à limiter les distorsions de concurrence, notamment: i) un plafonnement du montant que toutes deux pourraient recevoir à la fin de la concession à la suite d’une vente des actifs; ii) un mécanisme visant à éviter la compens</w:t>
      </w:r>
      <w:r>
        <w:rPr>
          <w:rFonts w:ascii="Times New Roman" w:hAnsi="Times New Roman"/>
          <w:noProof/>
          <w:sz w:val="24"/>
          <w:lang w:val="fr-BE"/>
        </w:rPr>
        <w:t>ation excessive et iii) une série d’obligations détaillées concernant le lancement d’appels d’offres pour la grande majorité des travaux d’infrastructures en aval, afin de limiter les distorsions de concurrence. La Commission a constaté que les mesures fav</w:t>
      </w:r>
      <w:r>
        <w:rPr>
          <w:rFonts w:ascii="Times New Roman" w:hAnsi="Times New Roman"/>
          <w:noProof/>
          <w:sz w:val="24"/>
          <w:lang w:val="fr-BE"/>
        </w:rPr>
        <w:t xml:space="preserve">oriseraient la croissance et libéreraient des investissements tout en limitant l’impact sur les usagers des autoroutes. La durée limitée de la prolongation des concessions et les garde-fous prévus minimisent les distorsions de concurrence conformément aux </w:t>
      </w:r>
      <w:r>
        <w:rPr>
          <w:rFonts w:ascii="Times New Roman" w:hAnsi="Times New Roman"/>
          <w:noProof/>
          <w:sz w:val="24"/>
          <w:lang w:val="fr-BE"/>
        </w:rPr>
        <w:t>règles en matière d’aides d’État.</w:t>
      </w:r>
    </w:p>
    <w:p w:rsidR="00D9323F" w:rsidRDefault="00F47CDD">
      <w:pPr>
        <w:widowControl w:val="0"/>
        <w:spacing w:line="240" w:lineRule="auto"/>
        <w:jc w:val="both"/>
        <w:rPr>
          <w:rFonts w:ascii="Times New Roman" w:hAnsi="Times New Roman"/>
          <w:noProof/>
          <w:sz w:val="24"/>
          <w:lang w:val="fr-BE"/>
        </w:rPr>
      </w:pPr>
      <w:r>
        <w:rPr>
          <w:rFonts w:ascii="Times New Roman" w:hAnsi="Times New Roman"/>
          <w:i/>
          <w:noProof/>
          <w:sz w:val="24"/>
          <w:lang w:val="fr-BE"/>
        </w:rPr>
        <w:t>Autoroute Y d’Istrie en Croatie</w:t>
      </w:r>
      <w:r>
        <w:rPr>
          <w:rFonts w:ascii="Times New Roman" w:hAnsi="Times New Roman"/>
          <w:noProof/>
          <w:sz w:val="24"/>
          <w:lang w:val="fr-BE"/>
        </w:rPr>
        <w:t>: au regard des règles de l’UE en matière d’aides d’État relatives aux services d’intérêt économique général, la Commission a approuvé le projet croate de prolonger le contrat de concession c</w:t>
      </w:r>
      <w:r>
        <w:rPr>
          <w:rFonts w:ascii="Times New Roman" w:hAnsi="Times New Roman"/>
          <w:noProof/>
          <w:sz w:val="24"/>
          <w:lang w:val="fr-BE"/>
        </w:rPr>
        <w:t>oncernant l’autoroute Y d’Istrie. Cette décision positive permet de concrétiser de nouveaux investissements, tout en limitant les distorsions de concurrence. La Commission a estimé que le concessionnaire ne bénéficiera</w:t>
      </w:r>
      <w:r>
        <w:rPr>
          <w:noProof/>
          <w:lang w:val="fr-BE"/>
        </w:rPr>
        <w:t xml:space="preserve">it pas d’une </w:t>
      </w:r>
      <w:r>
        <w:rPr>
          <w:rFonts w:ascii="Times New Roman" w:hAnsi="Times New Roman"/>
          <w:noProof/>
          <w:sz w:val="24"/>
          <w:lang w:val="fr-BE"/>
        </w:rPr>
        <w:t>compensation excessive su</w:t>
      </w:r>
      <w:r>
        <w:rPr>
          <w:rFonts w:ascii="Times New Roman" w:hAnsi="Times New Roman"/>
          <w:noProof/>
          <w:sz w:val="24"/>
          <w:lang w:val="fr-BE"/>
        </w:rPr>
        <w:t xml:space="preserve">ite au projet croate de prolonger le contrat de concession concernant l’autoroute Y d’Istrie. Elle a également estimé que la prolongation de la concession était proportionnelle au montant requis pour financer les travaux de construction d’une seconde voie </w:t>
      </w:r>
      <w:r>
        <w:rPr>
          <w:rFonts w:ascii="Times New Roman" w:hAnsi="Times New Roman"/>
          <w:noProof/>
          <w:sz w:val="24"/>
          <w:lang w:val="fr-BE"/>
        </w:rPr>
        <w:t xml:space="preserve">sur le tronçon nord-est de l’autoroute. Cette mesure favorise la croissance et libère des investissements, tout en limitant l’impact sur les usagers des autoroutes conformément aux règles de l’UE en matière d’aides d’État. </w:t>
      </w:r>
    </w:p>
    <w:p w:rsidR="00D9323F" w:rsidRDefault="00F47CDD">
      <w:pPr>
        <w:widowControl w:val="0"/>
        <w:spacing w:line="240" w:lineRule="auto"/>
        <w:jc w:val="both"/>
        <w:rPr>
          <w:rFonts w:ascii="Times New Roman" w:eastAsia="Times New Roman" w:hAnsi="Times New Roman"/>
          <w:noProof/>
          <w:sz w:val="24"/>
          <w:szCs w:val="24"/>
          <w:lang w:val="fr-BE"/>
        </w:rPr>
      </w:pPr>
      <w:r>
        <w:rPr>
          <w:rFonts w:ascii="Times New Roman" w:hAnsi="Times New Roman"/>
          <w:i/>
          <w:noProof/>
          <w:sz w:val="24"/>
          <w:lang w:val="fr-BE"/>
        </w:rPr>
        <w:t>Concession autoroutière E65 en G</w:t>
      </w:r>
      <w:r>
        <w:rPr>
          <w:rFonts w:ascii="Times New Roman" w:hAnsi="Times New Roman"/>
          <w:i/>
          <w:noProof/>
          <w:sz w:val="24"/>
          <w:lang w:val="fr-BE"/>
        </w:rPr>
        <w:t>rèce</w:t>
      </w:r>
      <w:r>
        <w:rPr>
          <w:rFonts w:ascii="Times New Roman" w:hAnsi="Times New Roman"/>
          <w:noProof/>
          <w:sz w:val="24"/>
          <w:lang w:val="fr-BE"/>
        </w:rPr>
        <w:t>: au regard de l’article 107, paragraphe 3, point c), TFUE, la Commission a approuvé un financement public grec pour la construction du tronçon sud de l’autoroute de Grèce centrale (E65) conformément à des décisions antérieures concernant la même autor</w:t>
      </w:r>
      <w:r>
        <w:rPr>
          <w:rFonts w:ascii="Times New Roman" w:hAnsi="Times New Roman"/>
          <w:noProof/>
          <w:sz w:val="24"/>
          <w:lang w:val="fr-BE"/>
        </w:rPr>
        <w:t>oute</w:t>
      </w:r>
      <w:r>
        <w:rPr>
          <w:rFonts w:ascii="Times New Roman" w:hAnsi="Times New Roman"/>
          <w:noProof/>
          <w:sz w:val="24"/>
          <w:vertAlign w:val="superscript"/>
        </w:rPr>
        <w:footnoteReference w:id="120"/>
      </w:r>
      <w:r>
        <w:rPr>
          <w:rFonts w:ascii="Times New Roman" w:hAnsi="Times New Roman"/>
          <w:noProof/>
          <w:sz w:val="24"/>
          <w:lang w:val="fr-BE"/>
        </w:rPr>
        <w:t>. La Commission a jugé la mesure d’aide nécessaire et proportionnée à la mise en œuvre du projet dans la mesure où la Grèce a démontré que i) le financement public correspond aux coûts de construction ajustés en fonction de l’inflation et que ii) le c</w:t>
      </w:r>
      <w:r>
        <w:rPr>
          <w:rFonts w:ascii="Times New Roman" w:hAnsi="Times New Roman"/>
          <w:noProof/>
          <w:sz w:val="24"/>
          <w:lang w:val="fr-BE"/>
        </w:rPr>
        <w:t>oncessionnaire financera lui-même l’exploitation et l’entretien du projet, et que les revenus excédentaires seront restitués à l’État au moyen d’un mécanisme de récupération. Le projet ne bénéficiera par ailleurs pas de subventions croisées provenant d’aut</w:t>
      </w:r>
      <w:r>
        <w:rPr>
          <w:rFonts w:ascii="Times New Roman" w:hAnsi="Times New Roman"/>
          <w:noProof/>
          <w:sz w:val="24"/>
          <w:lang w:val="fr-BE"/>
        </w:rPr>
        <w:t>res concessions. En outre, le projet approuvé contribue à la réalisation d’objectifs d’intérêt commun pour l’UE, en particulier à la politique des transports de l’UE, car il favorisera l’achèvement du réseau routier transeuropéen et améliorera les liaisons</w:t>
      </w:r>
      <w:r>
        <w:rPr>
          <w:rFonts w:ascii="Times New Roman" w:hAnsi="Times New Roman"/>
          <w:noProof/>
          <w:sz w:val="24"/>
          <w:lang w:val="fr-BE"/>
        </w:rPr>
        <w:t xml:space="preserve"> de transport pour les citoyens grecs vivant dans la région de Sterea Ellada, sans entraîner de distorsions de concurrence indues.</w:t>
      </w:r>
    </w:p>
    <w:p w:rsidR="00D9323F" w:rsidRDefault="00F47CDD">
      <w:pPr>
        <w:widowControl w:val="0"/>
        <w:spacing w:line="240" w:lineRule="auto"/>
        <w:ind w:left="357"/>
        <w:outlineLvl w:val="2"/>
        <w:rPr>
          <w:rFonts w:ascii="Times New Roman" w:eastAsia="Times New Roman" w:hAnsi="Times New Roman"/>
          <w:noProof/>
          <w:sz w:val="24"/>
          <w:szCs w:val="24"/>
          <w:lang w:val="fr-BE"/>
        </w:rPr>
      </w:pPr>
      <w:bookmarkStart w:id="28" w:name="_Toc19019195"/>
      <w:r>
        <w:rPr>
          <w:rFonts w:ascii="Times New Roman" w:hAnsi="Times New Roman"/>
          <w:b/>
          <w:noProof/>
          <w:sz w:val="24"/>
          <w:lang w:val="fr-BE"/>
        </w:rPr>
        <w:t>3.2 Poursuite de la modernisation du contrôle des aides d’État</w:t>
      </w:r>
      <w:bookmarkEnd w:id="28"/>
      <w:r>
        <w:rPr>
          <w:rFonts w:ascii="Times New Roman" w:hAnsi="Times New Roman"/>
          <w:b/>
          <w:noProof/>
          <w:sz w:val="24"/>
          <w:lang w:val="fr-BE"/>
        </w:rPr>
        <w:t xml:space="preserve">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modernisation du contrôle des aides d’État a débuté </w:t>
      </w:r>
      <w:r>
        <w:rPr>
          <w:rFonts w:ascii="Times New Roman" w:hAnsi="Times New Roman"/>
          <w:noProof/>
          <w:sz w:val="24"/>
          <w:lang w:val="fr-BE"/>
        </w:rPr>
        <w:t>en 2012 et s’est achevée par un réexamen complet des principales lignes directrices en matière d’aides d’État ainsi que par l’adoption du règlement général d’exemption par catégorie en 2014. Ce dernier permet aux États membres de mettre en œuvre un large é</w:t>
      </w:r>
      <w:r>
        <w:rPr>
          <w:rFonts w:ascii="Times New Roman" w:hAnsi="Times New Roman"/>
          <w:noProof/>
          <w:sz w:val="24"/>
          <w:lang w:val="fr-BE"/>
        </w:rPr>
        <w:t>ventail de mesures d’aide d’État sans l’autorisation préalable de la Commission, car elles ne sont pas susceptibles de fausser la concurrence dans une mesure contraire à l’intérêt commun. En conséquence, environ 95 % des mesures d’aide d’État mises en œuvr</w:t>
      </w:r>
      <w:r>
        <w:rPr>
          <w:rFonts w:ascii="Times New Roman" w:hAnsi="Times New Roman"/>
          <w:noProof/>
          <w:sz w:val="24"/>
          <w:lang w:val="fr-BE"/>
        </w:rPr>
        <w:t>e par les États membres sont désormais couvertes par une exemption. En 2017, la Commission a étendu le champ d’application de ce règlement aux ports et aux aéroports.</w:t>
      </w:r>
    </w:p>
    <w:p w:rsidR="00D9323F" w:rsidRDefault="00F47CDD">
      <w:pPr>
        <w:spacing w:after="120" w:line="240" w:lineRule="auto"/>
        <w:jc w:val="both"/>
        <w:rPr>
          <w:rFonts w:ascii="Times New Roman" w:eastAsia="Times New Roman" w:hAnsi="Times New Roman"/>
          <w:i/>
          <w:noProof/>
          <w:color w:val="000000" w:themeColor="text1"/>
          <w:sz w:val="24"/>
          <w:szCs w:val="24"/>
          <w:lang w:val="fr-BE"/>
        </w:rPr>
      </w:pPr>
      <w:r>
        <w:rPr>
          <w:rFonts w:ascii="Times New Roman" w:hAnsi="Times New Roman"/>
          <w:i/>
          <w:noProof/>
          <w:color w:val="000000" w:themeColor="text1"/>
          <w:sz w:val="24"/>
          <w:lang w:val="fr-BE"/>
        </w:rPr>
        <w:t>Nouvelle extension du champ d’application du RGEC</w:t>
      </w:r>
    </w:p>
    <w:p w:rsidR="00D9323F" w:rsidRDefault="00F47CDD">
      <w:pPr>
        <w:spacing w:after="120" w:line="240" w:lineRule="auto"/>
        <w:jc w:val="both"/>
        <w:rPr>
          <w:rFonts w:ascii="Times New Roman" w:hAnsi="Times New Roman"/>
          <w:noProof/>
          <w:sz w:val="24"/>
          <w:szCs w:val="24"/>
          <w:lang w:val="fr-BE"/>
        </w:rPr>
      </w:pPr>
      <w:r>
        <w:rPr>
          <w:rFonts w:ascii="Times New Roman" w:hAnsi="Times New Roman"/>
          <w:noProof/>
          <w:sz w:val="24"/>
          <w:lang w:val="fr-BE"/>
        </w:rPr>
        <w:t>Les efforts visant à cibler et à modern</w:t>
      </w:r>
      <w:r>
        <w:rPr>
          <w:rFonts w:ascii="Times New Roman" w:hAnsi="Times New Roman"/>
          <w:noProof/>
          <w:sz w:val="24"/>
          <w:lang w:val="fr-BE"/>
        </w:rPr>
        <w:t>iser les règles de l’UE en matière d’aides d’État et à améliorer les méthodes de travail de la Commission se poursuivent. Dans le contexte du cadre financier pluriannuel 2021-2027 («CFP», le prochain cycle budgétaire de l’UE), la Commission a proposé de si</w:t>
      </w:r>
      <w:r>
        <w:rPr>
          <w:rFonts w:ascii="Times New Roman" w:hAnsi="Times New Roman"/>
          <w:noProof/>
          <w:sz w:val="24"/>
          <w:lang w:val="fr-BE"/>
        </w:rPr>
        <w:t>mplifier les co-investissements faisant intervenir à la fois des financements de l’UE et des investissements d’États membres, au moyen d’une révision du règlement d’habilitation des aides d’État de l’UE, qui est la base juridique pour l’adoption du RGEC. P</w:t>
      </w:r>
      <w:r>
        <w:rPr>
          <w:rFonts w:ascii="Times New Roman" w:hAnsi="Times New Roman"/>
          <w:noProof/>
          <w:sz w:val="24"/>
          <w:lang w:val="fr-BE"/>
        </w:rPr>
        <w:t>ar cette initiative, la Commission entend étendre le champ d’application du RGEC, en particulier en ce qui concerne InvestEU, et aligner ainsi les règles relatives aux aides d’État, d’une part, et les règles de financement de l’UE, d’autre part, dans le ca</w:t>
      </w:r>
      <w:r>
        <w:rPr>
          <w:rFonts w:ascii="Times New Roman" w:hAnsi="Times New Roman"/>
          <w:noProof/>
          <w:sz w:val="24"/>
          <w:lang w:val="fr-BE"/>
        </w:rPr>
        <w:t xml:space="preserve">dre du CFP. L’objectif est que les ressources gérées par un État membre – y compris celles provenant des Fonds structurels et d’investissement européen gérés au niveau national – et les fonds de l’UE gérés au niveau central par la Commission puissent être </w:t>
      </w:r>
      <w:r>
        <w:rPr>
          <w:rFonts w:ascii="Times New Roman" w:hAnsi="Times New Roman"/>
          <w:noProof/>
          <w:sz w:val="24"/>
          <w:lang w:val="fr-BE"/>
        </w:rPr>
        <w:t xml:space="preserve">combinés aussi harmonieusement que possible dans le cadre du prochain CFP, sous réserve de certaines conditions visant à réduire autant que possible les distorsions de concurrence sur le marché unique de l’UE. </w:t>
      </w:r>
    </w:p>
    <w:p w:rsidR="00D9323F" w:rsidRDefault="00F47CDD">
      <w:pPr>
        <w:spacing w:after="120" w:line="240" w:lineRule="auto"/>
        <w:jc w:val="both"/>
        <w:rPr>
          <w:rFonts w:ascii="Times New Roman" w:hAnsi="Times New Roman"/>
          <w:i/>
          <w:noProof/>
          <w:sz w:val="24"/>
          <w:szCs w:val="24"/>
          <w:lang w:val="fr-BE"/>
        </w:rPr>
      </w:pPr>
      <w:r>
        <w:rPr>
          <w:rFonts w:ascii="Times New Roman" w:hAnsi="Times New Roman"/>
          <w:noProof/>
          <w:sz w:val="24"/>
          <w:lang w:val="fr-BE"/>
        </w:rPr>
        <w:t>Lancement du bilan de qualité du paquet légis</w:t>
      </w:r>
      <w:r>
        <w:rPr>
          <w:rFonts w:ascii="Times New Roman" w:hAnsi="Times New Roman"/>
          <w:noProof/>
          <w:sz w:val="24"/>
          <w:lang w:val="fr-BE"/>
        </w:rPr>
        <w:t>latif sur la modernisation du contrôle des aides d’État de 2012, des lignes directrices sur le transport ferroviaire et de l’assurance-crédit à l’exportation à court terme</w:t>
      </w:r>
    </w:p>
    <w:p w:rsidR="00D9323F" w:rsidRDefault="00F47CDD">
      <w:pPr>
        <w:spacing w:after="0" w:line="240" w:lineRule="auto"/>
        <w:jc w:val="both"/>
        <w:rPr>
          <w:rFonts w:ascii="Times New Roman" w:hAnsi="Times New Roman"/>
          <w:noProof/>
          <w:sz w:val="24"/>
          <w:szCs w:val="24"/>
          <w:lang w:val="fr-BE"/>
        </w:rPr>
      </w:pPr>
      <w:r>
        <w:rPr>
          <w:rFonts w:ascii="Times New Roman" w:hAnsi="Times New Roman"/>
          <w:noProof/>
          <w:sz w:val="24"/>
          <w:lang w:val="fr-BE"/>
        </w:rPr>
        <w:t>En 2018, la Commission a lancé, conformément à ses lignes directrices pour une meill</w:t>
      </w:r>
      <w:r>
        <w:rPr>
          <w:rFonts w:ascii="Times New Roman" w:hAnsi="Times New Roman"/>
          <w:noProof/>
          <w:sz w:val="24"/>
          <w:lang w:val="fr-BE"/>
        </w:rPr>
        <w:t>eure réglementation, l’évaluation des règles relatives aux aides d’État, adoptées dans le cadre de la modernisation du contrôle des aides d’État, des lignes directrices sur le transport ferroviaire et de l’assurance-crédit à l’exportation à court terme.</w:t>
      </w:r>
      <w:r>
        <w:rPr>
          <w:rFonts w:ascii="Times New Roman" w:hAnsi="Times New Roman"/>
          <w:noProof/>
          <w:sz w:val="24"/>
          <w:vertAlign w:val="superscript"/>
          <w:lang w:val="fr-BE"/>
        </w:rPr>
        <w:t xml:space="preserve"> </w:t>
      </w:r>
      <w:r>
        <w:rPr>
          <w:rFonts w:ascii="Times New Roman" w:hAnsi="Times New Roman"/>
          <w:noProof/>
          <w:sz w:val="24"/>
          <w:lang w:val="fr-BE"/>
        </w:rPr>
        <w:t>Ce</w:t>
      </w:r>
      <w:r>
        <w:rPr>
          <w:rFonts w:ascii="Times New Roman" w:hAnsi="Times New Roman"/>
          <w:noProof/>
          <w:sz w:val="24"/>
          <w:lang w:val="fr-BE"/>
        </w:rPr>
        <w:t>tte évaluation prend la forme d’un «bilan de qualité» pour vérifier que les règles ont effectivement eu l’effet escompté et qu’elles sont adaptées au but poursuivi</w:t>
      </w:r>
      <w:r>
        <w:rPr>
          <w:rStyle w:val="FootnoteReference"/>
          <w:rFonts w:ascii="Times New Roman" w:hAnsi="Times New Roman"/>
          <w:noProof/>
          <w:sz w:val="24"/>
        </w:rPr>
        <w:footnoteReference w:id="121"/>
      </w:r>
      <w:r>
        <w:rPr>
          <w:rFonts w:ascii="Times New Roman" w:hAnsi="Times New Roman"/>
          <w:noProof/>
          <w:sz w:val="24"/>
          <w:lang w:val="fr-BE"/>
        </w:rPr>
        <w:t xml:space="preserve">. Elle fournira une base pour les décisions que prendra la Commission à l’avenir quant à la </w:t>
      </w:r>
      <w:r>
        <w:rPr>
          <w:rFonts w:ascii="Times New Roman" w:hAnsi="Times New Roman"/>
          <w:noProof/>
          <w:sz w:val="24"/>
          <w:lang w:val="fr-BE"/>
        </w:rPr>
        <w:t>prolongation ou à la mise à jour éventuelle des règles</w:t>
      </w:r>
      <w:r>
        <w:rPr>
          <w:rFonts w:ascii="Times New Roman" w:hAnsi="Times New Roman"/>
          <w:noProof/>
          <w:sz w:val="24"/>
          <w:vertAlign w:val="superscript"/>
        </w:rPr>
        <w:footnoteReference w:id="122"/>
      </w:r>
      <w:r>
        <w:rPr>
          <w:rFonts w:ascii="Times New Roman" w:hAnsi="Times New Roman"/>
          <w:noProof/>
          <w:sz w:val="24"/>
          <w:lang w:val="fr-BE"/>
        </w:rPr>
        <w:t>.</w:t>
      </w:r>
    </w:p>
    <w:p w:rsidR="00D9323F" w:rsidRDefault="00F47CDD">
      <w:pPr>
        <w:spacing w:after="120" w:line="240" w:lineRule="auto"/>
        <w:jc w:val="both"/>
        <w:rPr>
          <w:rFonts w:ascii="Times New Roman" w:hAnsi="Times New Roman"/>
          <w:i/>
          <w:noProof/>
          <w:sz w:val="24"/>
          <w:szCs w:val="24"/>
          <w:lang w:val="fr-BE"/>
        </w:rPr>
      </w:pPr>
      <w:r>
        <w:rPr>
          <w:rFonts w:ascii="Times New Roman" w:hAnsi="Times New Roman"/>
          <w:noProof/>
          <w:sz w:val="24"/>
          <w:lang w:val="fr-BE"/>
        </w:rPr>
        <w:t>Lancement de la révision des lignes directrices relatives aux aides d’États dans le contexte du système d’échange de quotas d’émission (lignes directrices SEQE)</w:t>
      </w:r>
    </w:p>
    <w:p w:rsidR="00D9323F" w:rsidRDefault="00F47CDD">
      <w:pPr>
        <w:spacing w:before="240" w:after="120" w:line="240" w:lineRule="auto"/>
        <w:jc w:val="both"/>
        <w:rPr>
          <w:rFonts w:ascii="Times New Roman" w:hAnsi="Times New Roman"/>
          <w:noProof/>
          <w:sz w:val="24"/>
          <w:szCs w:val="24"/>
          <w:lang w:val="fr-BE"/>
        </w:rPr>
      </w:pPr>
      <w:r>
        <w:rPr>
          <w:rFonts w:ascii="Times New Roman" w:hAnsi="Times New Roman"/>
          <w:noProof/>
          <w:sz w:val="24"/>
          <w:lang w:val="fr-BE"/>
        </w:rPr>
        <w:t>Conformément aux lignes directrices de</w:t>
      </w:r>
      <w:r>
        <w:rPr>
          <w:rFonts w:ascii="Times New Roman" w:hAnsi="Times New Roman"/>
          <w:noProof/>
          <w:sz w:val="24"/>
          <w:lang w:val="fr-BE"/>
        </w:rPr>
        <w:t xml:space="preserve"> la Commission intitulées «Mieux légiférer», la révision des lignes directrices SEQE a été lancée. En vertu des lignes directrices SEQE, les États membres peuvent accorder une compensation à certains grands consommateurs d’électricité pour une partie des c</w:t>
      </w:r>
      <w:r>
        <w:rPr>
          <w:rFonts w:ascii="Times New Roman" w:hAnsi="Times New Roman"/>
          <w:noProof/>
          <w:sz w:val="24"/>
          <w:lang w:val="fr-BE"/>
        </w:rPr>
        <w:t>oûts d’électricité plus élevés qu’ils doivent supporter en raison du système d’échange de quotas d’émission de l’UE. L’objectif de cette compensation est de réduire autant que possible le risque de fuites de carbone, qui survient lorsque le coût des émissi</w:t>
      </w:r>
      <w:r>
        <w:rPr>
          <w:rFonts w:ascii="Times New Roman" w:hAnsi="Times New Roman"/>
          <w:noProof/>
          <w:sz w:val="24"/>
          <w:lang w:val="fr-BE"/>
        </w:rPr>
        <w:t>ons pousse les entreprises de l’UE à délocaliser leur production vers des pays tiers n’ayant pas de contraintes comparables. Les règles existantes prévoyant une compensation seront révisées afin de pouvoir être adaptées au nouveau système d’échange de quot</w:t>
      </w:r>
      <w:r>
        <w:rPr>
          <w:rFonts w:ascii="Times New Roman" w:hAnsi="Times New Roman"/>
          <w:noProof/>
          <w:sz w:val="24"/>
          <w:lang w:val="fr-BE"/>
        </w:rPr>
        <w:t>as d’émission pour la période 2021-2030.</w:t>
      </w:r>
    </w:p>
    <w:p w:rsidR="00D9323F" w:rsidRDefault="00F47CDD">
      <w:pPr>
        <w:spacing w:after="120"/>
        <w:rPr>
          <w:rFonts w:ascii="Times New Roman" w:hAnsi="Times New Roman"/>
          <w:i/>
          <w:noProof/>
          <w:sz w:val="24"/>
          <w:szCs w:val="24"/>
          <w:lang w:val="fr-BE"/>
        </w:rPr>
      </w:pPr>
      <w:r>
        <w:rPr>
          <w:rFonts w:ascii="Times New Roman" w:hAnsi="Times New Roman"/>
          <w:i/>
          <w:noProof/>
          <w:sz w:val="24"/>
          <w:lang w:val="fr-BE"/>
        </w:rPr>
        <w:t>Prolongation des règles relatives aux aides d’État dans le domaine de l’assurance-crédit à l’exportation jusqu’en 2020</w:t>
      </w:r>
    </w:p>
    <w:p w:rsidR="00D9323F" w:rsidRDefault="00F47CDD">
      <w:pPr>
        <w:spacing w:after="120"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Le 17 décembre 2018, la Commission a adopté une communication prolongeant les règles relatives a</w:t>
      </w:r>
      <w:r>
        <w:rPr>
          <w:rFonts w:ascii="Times New Roman" w:hAnsi="Times New Roman"/>
          <w:noProof/>
          <w:color w:val="000000" w:themeColor="text1"/>
          <w:sz w:val="24"/>
          <w:lang w:val="fr-BE"/>
        </w:rPr>
        <w:t>ux aides d’État applicables à l’assurance-crédit à l’exportation à court terme jusqu’en 2020</w:t>
      </w:r>
      <w:r>
        <w:rPr>
          <w:rFonts w:ascii="Times New Roman" w:hAnsi="Times New Roman"/>
          <w:noProof/>
          <w:color w:val="000000" w:themeColor="text1"/>
          <w:sz w:val="24"/>
          <w:vertAlign w:val="superscript"/>
        </w:rPr>
        <w:footnoteReference w:id="123"/>
      </w:r>
      <w:r>
        <w:rPr>
          <w:rFonts w:ascii="Times New Roman" w:hAnsi="Times New Roman"/>
          <w:noProof/>
          <w:color w:val="000000" w:themeColor="text1"/>
          <w:sz w:val="24"/>
          <w:lang w:val="fr-BE"/>
        </w:rPr>
        <w:t>.</w:t>
      </w:r>
      <w:r>
        <w:rPr>
          <w:rFonts w:ascii="Times New Roman" w:hAnsi="Times New Roman"/>
          <w:i/>
          <w:noProof/>
          <w:color w:val="000000" w:themeColor="text1"/>
          <w:sz w:val="24"/>
          <w:vertAlign w:val="superscript"/>
          <w:lang w:val="fr-BE"/>
        </w:rPr>
        <w:t xml:space="preserve"> </w:t>
      </w:r>
      <w:r>
        <w:rPr>
          <w:rFonts w:ascii="Times New Roman" w:hAnsi="Times New Roman"/>
          <w:noProof/>
          <w:color w:val="000000" w:themeColor="text1"/>
          <w:sz w:val="24"/>
          <w:lang w:val="fr-BE"/>
        </w:rPr>
        <w:t>Les règles relatives aux aides d’État applicables à l’assurance-crédit à l’exportation fixent les critères selon lesquels les gouvernements de l’UE peuvent fourn</w:t>
      </w:r>
      <w:r>
        <w:rPr>
          <w:rFonts w:ascii="Times New Roman" w:hAnsi="Times New Roman"/>
          <w:noProof/>
          <w:color w:val="000000" w:themeColor="text1"/>
          <w:sz w:val="24"/>
          <w:lang w:val="fr-BE"/>
        </w:rPr>
        <w:t>ir un soutien financier aux acheteurs d’exportations de leur pays, sous la forme d’une assurance-crédit à court terme.</w:t>
      </w:r>
      <w:r>
        <w:rPr>
          <w:rFonts w:ascii="Times New Roman" w:hAnsi="Times New Roman"/>
          <w:noProof/>
          <w:sz w:val="24"/>
          <w:lang w:val="fr-BE"/>
        </w:rPr>
        <w:t xml:space="preserve"> S’il existe un marché privé viable pour assurer le risque que les vendeurs ne soient pas payés, les organismes publics de crédit à l’expo</w:t>
      </w:r>
      <w:r>
        <w:rPr>
          <w:rFonts w:ascii="Times New Roman" w:hAnsi="Times New Roman"/>
          <w:noProof/>
          <w:sz w:val="24"/>
          <w:lang w:val="fr-BE"/>
        </w:rPr>
        <w:t>rtation peuvent seulement fournir une assurance aux taux du marché.</w:t>
      </w:r>
      <w:r>
        <w:rPr>
          <w:rFonts w:ascii="Times New Roman" w:hAnsi="Times New Roman"/>
          <w:noProof/>
          <w:color w:val="000000" w:themeColor="text1"/>
          <w:sz w:val="24"/>
          <w:lang w:val="fr-BE"/>
        </w:rPr>
        <w:t xml:space="preserve"> </w:t>
      </w:r>
    </w:p>
    <w:p w:rsidR="00D9323F" w:rsidRDefault="00F47CDD">
      <w:pPr>
        <w:spacing w:before="120" w:after="120"/>
        <w:rPr>
          <w:rFonts w:ascii="Times New Roman" w:hAnsi="Times New Roman"/>
          <w:i/>
          <w:noProof/>
          <w:color w:val="000000" w:themeColor="text1"/>
          <w:sz w:val="24"/>
          <w:szCs w:val="24"/>
          <w:lang w:val="fr-BE"/>
        </w:rPr>
      </w:pPr>
      <w:r>
        <w:rPr>
          <w:rFonts w:ascii="Times New Roman" w:hAnsi="Times New Roman"/>
          <w:i/>
          <w:noProof/>
          <w:color w:val="000000" w:themeColor="text1"/>
          <w:sz w:val="24"/>
          <w:lang w:val="fr-BE"/>
        </w:rPr>
        <w:t>Prolongation du règlement concernant les aides de minimis accordées à des entreprises fournissant des services d’intérêt économique général (SIEG) jusqu’au 31 décembre 2020</w:t>
      </w:r>
    </w:p>
    <w:p w:rsidR="00D9323F" w:rsidRDefault="00F47CDD">
      <w:pPr>
        <w:spacing w:after="120"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Le 7 décembre </w:t>
      </w:r>
      <w:r>
        <w:rPr>
          <w:rFonts w:ascii="Times New Roman" w:hAnsi="Times New Roman"/>
          <w:noProof/>
          <w:color w:val="000000" w:themeColor="text1"/>
          <w:sz w:val="24"/>
          <w:lang w:val="fr-BE"/>
        </w:rPr>
        <w:t>2018, la Commission a adopté la prolongation du règlement concernant les aides de minimis accordées à des entreprises fournissant des services d’intérêt économique général jusqu’au 31 décembre 2020</w:t>
      </w:r>
      <w:r>
        <w:rPr>
          <w:rFonts w:ascii="Times New Roman" w:hAnsi="Times New Roman"/>
          <w:noProof/>
          <w:color w:val="000000" w:themeColor="text1"/>
          <w:sz w:val="24"/>
          <w:vertAlign w:val="superscript"/>
        </w:rPr>
        <w:footnoteReference w:id="124"/>
      </w:r>
      <w:r>
        <w:rPr>
          <w:rFonts w:ascii="Times New Roman" w:hAnsi="Times New Roman"/>
          <w:noProof/>
          <w:color w:val="000000" w:themeColor="text1"/>
          <w:sz w:val="24"/>
          <w:lang w:val="fr-BE"/>
        </w:rPr>
        <w:t xml:space="preserve">. La prolongation réduira la charge administrative et </w:t>
      </w:r>
      <w:r>
        <w:rPr>
          <w:rFonts w:ascii="Times New Roman" w:hAnsi="Times New Roman"/>
          <w:noProof/>
          <w:color w:val="000000" w:themeColor="text1"/>
          <w:sz w:val="24"/>
          <w:lang w:val="fr-BE"/>
        </w:rPr>
        <w:t>garantira la sécurité juridique pour les mesures compensatoires qui n’excèdent pas 500 000 EUR sur toute période de trois exercices fiscaux en faveur d’entreprises fournissant un tel service. Cette prolongation sera donc considérée comme n’affectant pas le</w:t>
      </w:r>
      <w:r>
        <w:rPr>
          <w:rFonts w:ascii="Times New Roman" w:hAnsi="Times New Roman"/>
          <w:noProof/>
          <w:color w:val="000000" w:themeColor="text1"/>
          <w:sz w:val="24"/>
          <w:lang w:val="fr-BE"/>
        </w:rPr>
        <w:t>s échanges entre États membres et/ou ne faussant pas la concurrence.</w:t>
      </w:r>
    </w:p>
    <w:p w:rsidR="00D9323F" w:rsidRDefault="00F47CDD">
      <w:pPr>
        <w:spacing w:line="240" w:lineRule="auto"/>
        <w:jc w:val="both"/>
        <w:rPr>
          <w:rFonts w:ascii="Times New Roman" w:eastAsia="Times New Roman" w:hAnsi="Times New Roman"/>
          <w:i/>
          <w:noProof/>
          <w:color w:val="000000" w:themeColor="text1"/>
          <w:sz w:val="24"/>
          <w:szCs w:val="24"/>
          <w:lang w:val="fr-BE"/>
        </w:rPr>
      </w:pPr>
      <w:r>
        <w:rPr>
          <w:rFonts w:ascii="Times New Roman" w:hAnsi="Times New Roman"/>
          <w:i/>
          <w:noProof/>
          <w:color w:val="000000" w:themeColor="text1"/>
          <w:sz w:val="24"/>
          <w:lang w:val="fr-BE"/>
        </w:rPr>
        <w:t>Révision de la communication relative à une procédure simplifiée et du code de bonnes pratiques</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Un nouveau code de bonnes pratiques</w:t>
      </w:r>
      <w:r>
        <w:rPr>
          <w:rStyle w:val="FootnoteReference"/>
          <w:rFonts w:ascii="Times New Roman" w:hAnsi="Times New Roman"/>
          <w:noProof/>
          <w:sz w:val="24"/>
        </w:rPr>
        <w:footnoteReference w:id="125"/>
      </w:r>
      <w:r>
        <w:rPr>
          <w:rFonts w:ascii="Times New Roman" w:hAnsi="Times New Roman"/>
          <w:noProof/>
          <w:sz w:val="24"/>
          <w:lang w:val="fr-BE"/>
        </w:rPr>
        <w:t xml:space="preserve"> a été adopté en juillet 2018 et remplace et combine l’</w:t>
      </w:r>
      <w:r>
        <w:rPr>
          <w:rFonts w:ascii="Times New Roman" w:hAnsi="Times New Roman"/>
          <w:noProof/>
          <w:sz w:val="24"/>
          <w:lang w:val="fr-BE"/>
        </w:rPr>
        <w:t>ancienne communication relative à une procédure simplifiée et l’ancien code de bonnes pratiques. Le code de bonnes pratiques pour la conduite des procédures de contrôle des aides d’État donne des orientations sur la manière dont la Commission, les États me</w:t>
      </w:r>
      <w:r>
        <w:rPr>
          <w:rFonts w:ascii="Times New Roman" w:hAnsi="Times New Roman"/>
          <w:noProof/>
          <w:sz w:val="24"/>
          <w:lang w:val="fr-BE"/>
        </w:rPr>
        <w:t>mbres et les autres parties prenantes collaborent dans les procédures en matière d’aides d’État. Ces orientations recouvrent des aspects tels que le traitement optimal des affaires complexes d’aides d’État, la façon dont est assuré le suivi des plaintes en</w:t>
      </w:r>
      <w:r>
        <w:rPr>
          <w:rFonts w:ascii="Times New Roman" w:hAnsi="Times New Roman"/>
          <w:noProof/>
          <w:sz w:val="24"/>
          <w:lang w:val="fr-BE"/>
        </w:rPr>
        <w:t xml:space="preserve"> matière d’aides d’État ainsi que le contrôle de la mise en œuvre concrète, par les États membres, des mesures d’aide d’État. Le code de bonnes pratiques décrit les modalités de mise en œuvre des procédures d’aides d’État et expose les mesures que la Commi</w:t>
      </w:r>
      <w:r>
        <w:rPr>
          <w:rFonts w:ascii="Times New Roman" w:hAnsi="Times New Roman"/>
          <w:noProof/>
          <w:sz w:val="24"/>
          <w:lang w:val="fr-BE"/>
        </w:rPr>
        <w:t>ssion prend pour accélérer ces procédures et en accroître la transparence et la prévisibilité.</w:t>
      </w:r>
    </w:p>
    <w:p w:rsidR="00D9323F" w:rsidRDefault="00F47CDD">
      <w:pPr>
        <w:spacing w:line="240" w:lineRule="auto"/>
        <w:jc w:val="both"/>
        <w:rPr>
          <w:rFonts w:ascii="Times New Roman" w:hAnsi="Times New Roman"/>
          <w:noProof/>
          <w:sz w:val="24"/>
          <w:lang w:val="fr-BE"/>
        </w:rPr>
      </w:pPr>
      <w:r>
        <w:rPr>
          <w:rFonts w:ascii="Times New Roman" w:hAnsi="Times New Roman"/>
          <w:noProof/>
          <w:sz w:val="24"/>
          <w:lang w:val="fr-BE"/>
        </w:rPr>
        <w:t xml:space="preserve"> </w:t>
      </w:r>
    </w:p>
    <w:p w:rsidR="00D9323F" w:rsidRDefault="00F47CDD">
      <w:pPr>
        <w:rPr>
          <w:noProof/>
          <w:lang w:val="fr-BE"/>
        </w:rPr>
      </w:pPr>
      <w:r>
        <w:rPr>
          <w:noProof/>
          <w:lang w:val="fr-BE"/>
        </w:rPr>
        <w:br w:type="page"/>
      </w:r>
    </w:p>
    <w:p w:rsidR="00D9323F" w:rsidRDefault="00F47CDD">
      <w:pPr>
        <w:widowControl w:val="0"/>
        <w:spacing w:line="240" w:lineRule="auto"/>
        <w:ind w:left="720"/>
        <w:outlineLvl w:val="2"/>
        <w:rPr>
          <w:rFonts w:ascii="Times New Roman" w:eastAsia="Times New Roman" w:hAnsi="Times New Roman"/>
          <w:b/>
          <w:bCs/>
          <w:noProof/>
          <w:sz w:val="24"/>
          <w:szCs w:val="24"/>
          <w:lang w:val="fr-BE"/>
        </w:rPr>
      </w:pPr>
      <w:bookmarkStart w:id="29" w:name="_Toc19019196"/>
      <w:r>
        <w:rPr>
          <w:rFonts w:ascii="Times New Roman" w:hAnsi="Times New Roman"/>
          <w:b/>
          <w:noProof/>
          <w:sz w:val="24"/>
          <w:lang w:val="fr-BE"/>
        </w:rPr>
        <w:t>3.3 Contrôle, récupération, évaluation et coopération avec les juridictions nationales</w:t>
      </w:r>
      <w:bookmarkEnd w:id="29"/>
      <w:r>
        <w:rPr>
          <w:rFonts w:ascii="Times New Roman" w:hAnsi="Times New Roman"/>
          <w:b/>
          <w:noProof/>
          <w:sz w:val="24"/>
          <w:lang w:val="fr-BE"/>
        </w:rPr>
        <w:t xml:space="preserve">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Renforcer le contrôle des aides d’État existantes afin de garantir un</w:t>
      </w:r>
      <w:r>
        <w:rPr>
          <w:rFonts w:ascii="Times New Roman" w:hAnsi="Times New Roman"/>
          <w:i/>
          <w:noProof/>
          <w:sz w:val="24"/>
          <w:lang w:val="fr-BE"/>
        </w:rPr>
        <w:t>e concurrence loyale et équitable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Au fil des ans, l’architecture du contrôle des aides d’État a évolué. Aujourd’hui, une part importante des aides sont octroyées dans le cadre de régimes bénéficiant d’une exemption par catégorie qui ne font pas l’objet </w:t>
      </w:r>
      <w:r>
        <w:rPr>
          <w:rFonts w:ascii="Times New Roman" w:hAnsi="Times New Roman"/>
          <w:noProof/>
          <w:sz w:val="24"/>
          <w:lang w:val="fr-BE"/>
        </w:rPr>
        <w:t>d’un examen par la Commission avant leur entrée en vigueur. Dans l’ensemble, environ 80 % des aides sont octroyées sur la base de régimes d’aides autorisés au préalable ou des règlements d’exemption par catégorie</w:t>
      </w:r>
      <w:r>
        <w:rPr>
          <w:rFonts w:ascii="Times New Roman" w:hAnsi="Times New Roman"/>
          <w:noProof/>
          <w:sz w:val="24"/>
          <w:vertAlign w:val="superscript"/>
        </w:rPr>
        <w:footnoteReference w:id="126"/>
      </w:r>
      <w:r>
        <w:rPr>
          <w:rFonts w:ascii="Times New Roman" w:hAnsi="Times New Roman"/>
          <w:noProof/>
          <w:sz w:val="24"/>
          <w:lang w:val="fr-BE"/>
        </w:rPr>
        <w:t>. Dans ce contexte, il est essentiel que la</w:t>
      </w:r>
      <w:r>
        <w:rPr>
          <w:rFonts w:ascii="Times New Roman" w:hAnsi="Times New Roman"/>
          <w:noProof/>
          <w:sz w:val="24"/>
          <w:lang w:val="fr-BE"/>
        </w:rPr>
        <w:t xml:space="preserve"> Commission vérifie que les États membres appliquent correctement aux régimes les règles relatives aux aides d’État et qu’ils n’octroient les aides que lorsque toutes les conditions requises sont remplies.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C’est dans ce but que la Commission a introduit e</w:t>
      </w:r>
      <w:r>
        <w:rPr>
          <w:rFonts w:ascii="Times New Roman" w:hAnsi="Times New Roman"/>
          <w:noProof/>
          <w:sz w:val="24"/>
          <w:lang w:val="fr-BE"/>
        </w:rPr>
        <w:t>n 2006 un contrôle ex post régulier, basé sur un échantillon, des régimes d’aides existants («contrôle»). Après des débuts modestes (environ 20 régimes et 10 États membres couverts lors de chaque cycle de contrôle), la Commission a considérablement intensi</w:t>
      </w:r>
      <w:r>
        <w:rPr>
          <w:rFonts w:ascii="Times New Roman" w:hAnsi="Times New Roman"/>
          <w:noProof/>
          <w:sz w:val="24"/>
          <w:lang w:val="fr-BE"/>
        </w:rPr>
        <w:t>fié son contrôle depuis 2011. Sur la base des recommandations de la Cour des comptes</w:t>
      </w:r>
      <w:r>
        <w:rPr>
          <w:rFonts w:ascii="Times New Roman" w:hAnsi="Times New Roman"/>
          <w:noProof/>
          <w:sz w:val="24"/>
          <w:vertAlign w:val="superscript"/>
        </w:rPr>
        <w:footnoteReference w:id="127"/>
      </w:r>
      <w:r>
        <w:rPr>
          <w:rFonts w:ascii="Times New Roman" w:hAnsi="Times New Roman"/>
          <w:noProof/>
          <w:sz w:val="24"/>
          <w:lang w:val="fr-BE"/>
        </w:rPr>
        <w:t xml:space="preserve">, elle a fortement accru la taille de l’échantillon contrôlé et contrôle environ 50 régimes par an. Elle a également élargi le champ d’application de son contrôle au-delà </w:t>
      </w:r>
      <w:r>
        <w:rPr>
          <w:rFonts w:ascii="Times New Roman" w:hAnsi="Times New Roman"/>
          <w:noProof/>
          <w:sz w:val="24"/>
          <w:lang w:val="fr-BE"/>
        </w:rPr>
        <w:t>des régimes d’aides autorisés et couverts par une exemption par catégorie, par exemple les régimes relevant de la décision SIEG</w:t>
      </w:r>
      <w:r>
        <w:rPr>
          <w:rFonts w:ascii="Times New Roman" w:hAnsi="Times New Roman"/>
          <w:noProof/>
          <w:sz w:val="24"/>
          <w:vertAlign w:val="superscript"/>
        </w:rPr>
        <w:footnoteReference w:id="128"/>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cycle 2018 a couvert la plupart des États membres</w:t>
      </w:r>
      <w:r>
        <w:rPr>
          <w:rFonts w:ascii="Times New Roman" w:hAnsi="Times New Roman"/>
          <w:noProof/>
          <w:sz w:val="24"/>
          <w:vertAlign w:val="superscript"/>
        </w:rPr>
        <w:footnoteReference w:id="129"/>
      </w:r>
      <w:r>
        <w:rPr>
          <w:rFonts w:ascii="Times New Roman" w:hAnsi="Times New Roman"/>
          <w:noProof/>
          <w:sz w:val="24"/>
          <w:lang w:val="fr-BE"/>
        </w:rPr>
        <w:t>, tous les principaux types d’aides autorisées ainsi que des régimes bén</w:t>
      </w:r>
      <w:r>
        <w:rPr>
          <w:rFonts w:ascii="Times New Roman" w:hAnsi="Times New Roman"/>
          <w:noProof/>
          <w:sz w:val="24"/>
          <w:lang w:val="fr-BE"/>
        </w:rPr>
        <w:t>éficiant d’une exemption par catégorie. Étant donné que la notification des aides individuelles supérieures à 500 000 EUR doit être encodée pour la première fois par les États membres et est ensuite publiée dans le TAM</w:t>
      </w:r>
      <w:r>
        <w:rPr>
          <w:rFonts w:ascii="Times New Roman" w:hAnsi="Times New Roman"/>
          <w:noProof/>
          <w:sz w:val="24"/>
          <w:vertAlign w:val="superscript"/>
        </w:rPr>
        <w:footnoteReference w:id="130"/>
      </w:r>
      <w:r>
        <w:rPr>
          <w:rFonts w:ascii="Times New Roman" w:hAnsi="Times New Roman"/>
          <w:noProof/>
          <w:sz w:val="24"/>
          <w:lang w:val="fr-BE"/>
        </w:rPr>
        <w:t>, la Commission a vérifié la notifica</w:t>
      </w:r>
      <w:r>
        <w:rPr>
          <w:rFonts w:ascii="Times New Roman" w:hAnsi="Times New Roman"/>
          <w:noProof/>
          <w:sz w:val="24"/>
          <w:lang w:val="fr-BE"/>
        </w:rPr>
        <w:t xml:space="preserve">tion des régimes contrôlés.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Commission assure un suivi de toutes les irrégularités et utilise, si nécessaire, les moyens dont elle dispose pour remédier aux distorsions de concurrence qu’elles peuvent avoir provoquées. Dans certains cas, les États memb</w:t>
      </w:r>
      <w:r>
        <w:rPr>
          <w:rFonts w:ascii="Times New Roman" w:hAnsi="Times New Roman"/>
          <w:noProof/>
          <w:sz w:val="24"/>
          <w:lang w:val="fr-BE"/>
        </w:rPr>
        <w:t xml:space="preserve">res proposent de remédier volontairement aux problèmes détectés (modification de la législation nationale ou récupération des aides excédentaires, par exemple). Dans d’autres, la Commission peut être obligée de prendre des mesures formelles.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 xml:space="preserve">Rétablir la </w:t>
      </w:r>
      <w:r>
        <w:rPr>
          <w:rFonts w:ascii="Times New Roman" w:hAnsi="Times New Roman"/>
          <w:i/>
          <w:noProof/>
          <w:sz w:val="24"/>
          <w:lang w:val="fr-BE"/>
        </w:rPr>
        <w:t>concurrence en récupérant les aides d’État octroyées en violation des règles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Pour garantir l’intégrité du marché unique, la Commission a le pouvoir et le devoir de demander aux États membres de récupérer les aides d’État illégales et incompatibles avec le </w:t>
      </w:r>
      <w:r>
        <w:rPr>
          <w:rFonts w:ascii="Times New Roman" w:hAnsi="Times New Roman"/>
          <w:noProof/>
          <w:sz w:val="24"/>
          <w:lang w:val="fr-BE"/>
        </w:rPr>
        <w:t>marché intérieur qui ont indûment faussé la concurrence et les échanges entre États membres. En 2018, de nouveaux progrès ont été réalisés pour garantir la mise en œuvre effective et immédiate des décisions de récupération.</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Au 31 décembre 2018, le montant </w:t>
      </w:r>
      <w:r>
        <w:rPr>
          <w:rFonts w:ascii="Times New Roman" w:hAnsi="Times New Roman"/>
          <w:noProof/>
          <w:sz w:val="24"/>
          <w:lang w:val="fr-BE"/>
        </w:rPr>
        <w:t>des aides illégales et incompatibles avec le marché intérieur récupéré auprès des bénéficiaires s’élevait à 26,6 milliards d’EUR</w:t>
      </w:r>
      <w:r>
        <w:rPr>
          <w:rFonts w:ascii="Times New Roman" w:hAnsi="Times New Roman"/>
          <w:noProof/>
          <w:sz w:val="24"/>
          <w:vertAlign w:val="superscript"/>
        </w:rPr>
        <w:footnoteReference w:id="131"/>
      </w:r>
      <w:r>
        <w:rPr>
          <w:rFonts w:ascii="Times New Roman" w:hAnsi="Times New Roman"/>
          <w:noProof/>
          <w:sz w:val="24"/>
          <w:lang w:val="fr-BE"/>
        </w:rPr>
        <w:t xml:space="preserve">. Au même moment, l’encours devant encore être récupéré était de 5 milliards d’EUR. </w:t>
      </w:r>
    </w:p>
    <w:p w:rsidR="00D9323F" w:rsidRDefault="00F47CDD">
      <w:pPr>
        <w:widowControl w:val="0"/>
        <w:spacing w:line="240" w:lineRule="auto"/>
        <w:jc w:val="both"/>
        <w:rPr>
          <w:rFonts w:ascii="Times New Roman" w:hAnsi="Times New Roman"/>
          <w:noProof/>
          <w:sz w:val="24"/>
          <w:szCs w:val="24"/>
        </w:rPr>
      </w:pPr>
      <w:r>
        <w:rPr>
          <w:rFonts w:ascii="Times New Roman" w:hAnsi="Times New Roman"/>
          <w:noProof/>
          <w:sz w:val="24"/>
          <w:lang w:val="fr-BE"/>
        </w:rPr>
        <w:t>En 2018, la Commission a adopté sept nouve</w:t>
      </w:r>
      <w:r>
        <w:rPr>
          <w:rFonts w:ascii="Times New Roman" w:hAnsi="Times New Roman"/>
          <w:noProof/>
          <w:sz w:val="24"/>
          <w:lang w:val="fr-BE"/>
        </w:rPr>
        <w:t xml:space="preserve">lles décisions de récupération et 13,3 milliards d’EUR ont été récupérés par les États membres. </w:t>
      </w:r>
      <w:r>
        <w:rPr>
          <w:rFonts w:ascii="Times New Roman" w:hAnsi="Times New Roman"/>
          <w:noProof/>
          <w:sz w:val="24"/>
        </w:rPr>
        <w:t>Fin décembre, elle recensait 43 cas de récupération pendants.</w:t>
      </w:r>
    </w:p>
    <w:tbl>
      <w:tblPr>
        <w:tblW w:w="6045" w:type="dxa"/>
        <w:jc w:val="center"/>
        <w:tblLayout w:type="fixed"/>
        <w:tblCellMar>
          <w:left w:w="0" w:type="dxa"/>
          <w:right w:w="0" w:type="dxa"/>
        </w:tblCellMar>
        <w:tblLook w:val="04A0" w:firstRow="1" w:lastRow="0" w:firstColumn="1" w:lastColumn="0" w:noHBand="0" w:noVBand="1"/>
      </w:tblPr>
      <w:tblGrid>
        <w:gridCol w:w="4613"/>
        <w:gridCol w:w="1432"/>
      </w:tblGrid>
      <w:tr w:rsidR="00D9323F">
        <w:trPr>
          <w:trHeight w:hRule="exact" w:val="488"/>
          <w:jc w:val="center"/>
        </w:trPr>
        <w:tc>
          <w:tcPr>
            <w:tcW w:w="4613" w:type="dxa"/>
            <w:tcBorders>
              <w:top w:val="single" w:sz="4" w:space="0" w:color="auto"/>
              <w:left w:val="single" w:sz="4" w:space="0" w:color="auto"/>
              <w:bottom w:val="nil"/>
              <w:right w:val="nil"/>
            </w:tcBorders>
            <w:shd w:val="clear" w:color="auto" w:fill="FFFFFF"/>
            <w:vAlign w:val="center"/>
            <w:hideMark/>
          </w:tcPr>
          <w:p w:rsidR="00D9323F" w:rsidRDefault="00F47CDD">
            <w:pPr>
              <w:widowControl w:val="0"/>
              <w:rPr>
                <w:rFonts w:ascii="Times New Roman" w:hAnsi="Times New Roman"/>
                <w:noProof/>
                <w:lang w:val="fr-BE"/>
              </w:rPr>
            </w:pPr>
            <w:r>
              <w:rPr>
                <w:rFonts w:ascii="Times New Roman" w:hAnsi="Times New Roman"/>
                <w:noProof/>
                <w:lang w:val="fr-BE"/>
              </w:rPr>
              <w:t xml:space="preserve"> Décisions de récupération adoptées en 2018</w:t>
            </w:r>
          </w:p>
        </w:tc>
        <w:tc>
          <w:tcPr>
            <w:tcW w:w="1432" w:type="dxa"/>
            <w:tcBorders>
              <w:top w:val="single" w:sz="4" w:space="0" w:color="auto"/>
              <w:left w:val="single" w:sz="4" w:space="0" w:color="auto"/>
              <w:bottom w:val="nil"/>
              <w:right w:val="single" w:sz="4" w:space="0" w:color="auto"/>
            </w:tcBorders>
            <w:shd w:val="clear" w:color="auto" w:fill="FFFFFF"/>
            <w:vAlign w:val="center"/>
          </w:tcPr>
          <w:p w:rsidR="00D9323F" w:rsidRDefault="00F47CDD">
            <w:pPr>
              <w:widowControl w:val="0"/>
              <w:jc w:val="right"/>
              <w:rPr>
                <w:rFonts w:ascii="Times New Roman" w:hAnsi="Times New Roman"/>
                <w:noProof/>
              </w:rPr>
            </w:pPr>
            <w:r>
              <w:rPr>
                <w:rFonts w:ascii="Times New Roman" w:hAnsi="Times New Roman"/>
                <w:noProof/>
              </w:rPr>
              <w:t>7</w:t>
            </w:r>
          </w:p>
        </w:tc>
      </w:tr>
      <w:tr w:rsidR="00D9323F">
        <w:trPr>
          <w:trHeight w:hRule="exact" w:val="446"/>
          <w:jc w:val="center"/>
        </w:trPr>
        <w:tc>
          <w:tcPr>
            <w:tcW w:w="4613" w:type="dxa"/>
            <w:tcBorders>
              <w:top w:val="single" w:sz="4" w:space="0" w:color="auto"/>
              <w:left w:val="single" w:sz="4" w:space="0" w:color="auto"/>
              <w:bottom w:val="nil"/>
              <w:right w:val="nil"/>
            </w:tcBorders>
            <w:shd w:val="clear" w:color="auto" w:fill="FFFFFF"/>
            <w:vAlign w:val="center"/>
            <w:hideMark/>
          </w:tcPr>
          <w:p w:rsidR="00D9323F" w:rsidRDefault="00F47CDD">
            <w:pPr>
              <w:widowControl w:val="0"/>
              <w:rPr>
                <w:rFonts w:ascii="Times New Roman" w:hAnsi="Times New Roman"/>
                <w:noProof/>
                <w:lang w:val="fr-BE"/>
              </w:rPr>
            </w:pPr>
            <w:r>
              <w:rPr>
                <w:rFonts w:ascii="Times New Roman" w:hAnsi="Times New Roman"/>
                <w:noProof/>
                <w:lang w:val="fr-BE"/>
              </w:rPr>
              <w:t>Montant récupéré en 2018 (en milliards d’EUR)</w:t>
            </w:r>
          </w:p>
        </w:tc>
        <w:tc>
          <w:tcPr>
            <w:tcW w:w="1432" w:type="dxa"/>
            <w:tcBorders>
              <w:top w:val="single" w:sz="4" w:space="0" w:color="auto"/>
              <w:left w:val="single" w:sz="4" w:space="0" w:color="auto"/>
              <w:bottom w:val="nil"/>
              <w:right w:val="single" w:sz="4" w:space="0" w:color="auto"/>
            </w:tcBorders>
            <w:shd w:val="clear" w:color="auto" w:fill="FFFFFF"/>
            <w:vAlign w:val="center"/>
          </w:tcPr>
          <w:p w:rsidR="00D9323F" w:rsidRDefault="00F47CDD">
            <w:pPr>
              <w:widowControl w:val="0"/>
              <w:jc w:val="right"/>
              <w:rPr>
                <w:rFonts w:ascii="Times New Roman" w:hAnsi="Times New Roman"/>
                <w:noProof/>
              </w:rPr>
            </w:pPr>
            <w:r>
              <w:rPr>
                <w:rFonts w:ascii="Times New Roman" w:hAnsi="Times New Roman"/>
                <w:noProof/>
              </w:rPr>
              <w:t>13,3</w:t>
            </w:r>
          </w:p>
        </w:tc>
      </w:tr>
      <w:tr w:rsidR="00D9323F">
        <w:trPr>
          <w:trHeight w:hRule="exact" w:val="455"/>
          <w:jc w:val="center"/>
        </w:trPr>
        <w:tc>
          <w:tcPr>
            <w:tcW w:w="4613" w:type="dxa"/>
            <w:tcBorders>
              <w:top w:val="single" w:sz="4" w:space="0" w:color="auto"/>
              <w:left w:val="single" w:sz="4" w:space="0" w:color="auto"/>
              <w:bottom w:val="single" w:sz="4" w:space="0" w:color="auto"/>
              <w:right w:val="nil"/>
            </w:tcBorders>
            <w:shd w:val="clear" w:color="auto" w:fill="FFFFFF"/>
            <w:vAlign w:val="center"/>
            <w:hideMark/>
          </w:tcPr>
          <w:p w:rsidR="00D9323F" w:rsidRDefault="00F47CDD">
            <w:pPr>
              <w:widowControl w:val="0"/>
              <w:rPr>
                <w:rFonts w:ascii="Times New Roman" w:hAnsi="Times New Roman"/>
                <w:noProof/>
                <w:lang w:val="fr-BE"/>
              </w:rPr>
            </w:pPr>
            <w:r>
              <w:rPr>
                <w:rFonts w:ascii="Times New Roman" w:hAnsi="Times New Roman"/>
                <w:noProof/>
                <w:lang w:val="fr-BE"/>
              </w:rPr>
              <w:t>Cas de récupération pendants au 31 décembre 2017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D9323F" w:rsidRDefault="00F47CDD">
            <w:pPr>
              <w:widowControl w:val="0"/>
              <w:jc w:val="right"/>
              <w:rPr>
                <w:rFonts w:ascii="Times New Roman" w:hAnsi="Times New Roman"/>
                <w:noProof/>
              </w:rPr>
            </w:pPr>
            <w:r>
              <w:rPr>
                <w:rFonts w:ascii="Times New Roman" w:hAnsi="Times New Roman"/>
                <w:noProof/>
              </w:rPr>
              <w:t>43</w:t>
            </w:r>
          </w:p>
        </w:tc>
      </w:tr>
    </w:tbl>
    <w:p w:rsidR="00D9323F" w:rsidRDefault="00F47CDD">
      <w:pPr>
        <w:widowControl w:val="0"/>
        <w:spacing w:before="200" w:line="240" w:lineRule="auto"/>
        <w:jc w:val="both"/>
        <w:rPr>
          <w:rFonts w:ascii="Times New Roman" w:hAnsi="Times New Roman"/>
          <w:noProof/>
          <w:sz w:val="24"/>
          <w:szCs w:val="24"/>
          <w:lang w:val="fr-BE"/>
        </w:rPr>
      </w:pPr>
      <w:r>
        <w:rPr>
          <w:rFonts w:ascii="Times New Roman" w:hAnsi="Times New Roman"/>
          <w:noProof/>
          <w:sz w:val="24"/>
          <w:lang w:val="fr-BE"/>
        </w:rPr>
        <w:t xml:space="preserve">En sa qualité de gardienne du traité, la Commission peut utiliser tous les moyens légaux à sa disposition pour faire en sorte que les États membres respectent leurs obligations en matière de </w:t>
      </w:r>
      <w:r>
        <w:rPr>
          <w:rFonts w:ascii="Times New Roman" w:hAnsi="Times New Roman"/>
          <w:noProof/>
          <w:sz w:val="24"/>
          <w:lang w:val="fr-BE"/>
        </w:rPr>
        <w:t>récupération, y compris l’ouverture de procédures d’infraction. En 2018, la Commission a décidé d’ouvrir une procédure d’infraction devant les juridictions européennes sur la base de l’article 108, paragraphe 2, du TFUE</w:t>
      </w:r>
      <w:r>
        <w:rPr>
          <w:rFonts w:ascii="Times New Roman" w:hAnsi="Times New Roman"/>
          <w:noProof/>
          <w:sz w:val="24"/>
          <w:vertAlign w:val="superscript"/>
        </w:rPr>
        <w:footnoteReference w:id="132"/>
      </w:r>
      <w:r>
        <w:rPr>
          <w:rFonts w:ascii="Times New Roman" w:hAnsi="Times New Roman"/>
          <w:noProof/>
          <w:sz w:val="24"/>
          <w:lang w:val="fr-BE"/>
        </w:rPr>
        <w:t xml:space="preserve">. </w:t>
      </w:r>
    </w:p>
    <w:p w:rsidR="00D9323F" w:rsidRDefault="00F47CDD">
      <w:pPr>
        <w:widowControl w:val="0"/>
        <w:spacing w:before="200" w:line="240" w:lineRule="auto"/>
        <w:jc w:val="both"/>
        <w:rPr>
          <w:rFonts w:ascii="Times New Roman" w:hAnsi="Times New Roman"/>
          <w:i/>
          <w:noProof/>
          <w:sz w:val="24"/>
          <w:szCs w:val="24"/>
          <w:lang w:val="fr-BE"/>
        </w:rPr>
      </w:pPr>
      <w:r>
        <w:rPr>
          <w:rFonts w:ascii="Times New Roman" w:hAnsi="Times New Roman"/>
          <w:noProof/>
          <w:sz w:val="24"/>
          <w:lang w:val="fr-BE"/>
        </w:rPr>
        <w:t>Un examen approfondi de la commun</w:t>
      </w:r>
      <w:r>
        <w:rPr>
          <w:rFonts w:ascii="Times New Roman" w:hAnsi="Times New Roman"/>
          <w:noProof/>
          <w:sz w:val="24"/>
          <w:lang w:val="fr-BE"/>
        </w:rPr>
        <w:t>ication de la Commission de 2007 sur la récupération</w:t>
      </w:r>
      <w:r>
        <w:rPr>
          <w:rFonts w:ascii="Times New Roman" w:hAnsi="Times New Roman"/>
          <w:noProof/>
          <w:sz w:val="24"/>
          <w:vertAlign w:val="superscript"/>
        </w:rPr>
        <w:footnoteReference w:id="133"/>
      </w:r>
      <w:r>
        <w:rPr>
          <w:rFonts w:ascii="Times New Roman" w:hAnsi="Times New Roman"/>
          <w:noProof/>
          <w:sz w:val="24"/>
          <w:lang w:val="fr-BE"/>
        </w:rPr>
        <w:t xml:space="preserve"> a été entamé en 2018 dans le but de consolider dans le texte l’évolution de la jurisprudence établie depuis. La nouvelle communication contiendra également davantage d’informations sur les procédures d’</w:t>
      </w:r>
      <w:r>
        <w:rPr>
          <w:rFonts w:ascii="Times New Roman" w:hAnsi="Times New Roman"/>
          <w:noProof/>
          <w:sz w:val="24"/>
          <w:lang w:val="fr-BE"/>
        </w:rPr>
        <w:t>infraction, sur l’article 108, paragraphe 2, et l’article 260 du TFUE, ainsi que sur les nouvelles pratiques établies dans la coopération entre la Commission et l’État membre concerné par une décision de récupération.</w:t>
      </w:r>
    </w:p>
    <w:p w:rsidR="00D9323F" w:rsidRDefault="00F47CDD">
      <w:pPr>
        <w:widowControl w:val="0"/>
        <w:spacing w:before="200" w:line="240" w:lineRule="auto"/>
        <w:jc w:val="both"/>
        <w:rPr>
          <w:rFonts w:ascii="Times New Roman" w:hAnsi="Times New Roman"/>
          <w:i/>
          <w:noProof/>
          <w:sz w:val="24"/>
          <w:szCs w:val="24"/>
          <w:lang w:val="fr-BE"/>
        </w:rPr>
      </w:pPr>
      <w:r>
        <w:rPr>
          <w:rFonts w:ascii="Times New Roman" w:hAnsi="Times New Roman"/>
          <w:i/>
          <w:noProof/>
          <w:sz w:val="24"/>
          <w:lang w:val="fr-BE"/>
        </w:rPr>
        <w:t>Coopération avec les juridictions nati</w:t>
      </w:r>
      <w:r>
        <w:rPr>
          <w:rFonts w:ascii="Times New Roman" w:hAnsi="Times New Roman"/>
          <w:i/>
          <w:noProof/>
          <w:sz w:val="24"/>
          <w:lang w:val="fr-BE"/>
        </w:rPr>
        <w:t xml:space="preserve">onales pour garantir l’efficacité des règles en matière d’aides d’État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Commission a poursuivi sa collaboration avec les juridictions nationales conformément à l’article 29 du règlement de procédure</w:t>
      </w:r>
      <w:r>
        <w:rPr>
          <w:rFonts w:ascii="Times New Roman" w:hAnsi="Times New Roman"/>
          <w:noProof/>
          <w:sz w:val="24"/>
          <w:vertAlign w:val="superscript"/>
        </w:rPr>
        <w:footnoteReference w:id="134"/>
      </w:r>
      <w:r>
        <w:rPr>
          <w:rFonts w:ascii="Times New Roman" w:hAnsi="Times New Roman"/>
          <w:noProof/>
          <w:sz w:val="24"/>
          <w:lang w:val="fr-BE"/>
        </w:rPr>
        <w:t>. Cette coopération comprend une assistance directe li</w:t>
      </w:r>
      <w:r>
        <w:rPr>
          <w:rFonts w:ascii="Times New Roman" w:hAnsi="Times New Roman"/>
          <w:noProof/>
          <w:sz w:val="24"/>
          <w:lang w:val="fr-BE"/>
        </w:rPr>
        <w:t>ée aux affaires prodiguée aux juridictions nationales lorsque celles-ci appliquent le droit de l’UE en matière d’aides d’État. Les juridictions peuvent demander à la Commission de leur fournir des informations relatives aux affaires ou de rendre un avis su</w:t>
      </w:r>
      <w:r>
        <w:rPr>
          <w:rFonts w:ascii="Times New Roman" w:hAnsi="Times New Roman"/>
          <w:noProof/>
          <w:sz w:val="24"/>
          <w:lang w:val="fr-BE"/>
        </w:rPr>
        <w:t>r l’application des règles en matière d’aides d’État. La Commission peut également soumettre des observations à titre d’</w:t>
      </w:r>
      <w:r>
        <w:rPr>
          <w:rFonts w:ascii="Times New Roman" w:hAnsi="Times New Roman"/>
          <w:i/>
          <w:noProof/>
          <w:sz w:val="24"/>
          <w:lang w:val="fr-BE"/>
        </w:rPr>
        <w:t>amicus curiae</w:t>
      </w:r>
      <w:r>
        <w:rPr>
          <w:rFonts w:ascii="Times New Roman" w:hAnsi="Times New Roman"/>
          <w:noProof/>
          <w:sz w:val="24"/>
          <w:lang w:val="fr-BE"/>
        </w:rPr>
        <w:t xml:space="preserve"> de sa propre initiative.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la Commission a répondu à deux demandes de renseignements. Dans un cas, un tribunal de </w:t>
      </w:r>
      <w:r>
        <w:rPr>
          <w:rFonts w:ascii="Times New Roman" w:hAnsi="Times New Roman"/>
          <w:noProof/>
          <w:sz w:val="24"/>
          <w:lang w:val="fr-BE"/>
        </w:rPr>
        <w:t>district des Pays-Bas s’est enquis de l’état d’avancement d’une enquête; l’autre demande transmise par une cour administrative d’appel française portait sur certaines informations dont la Commission pourrait disposer dans le dossier d’une enquête clôturée.</w:t>
      </w:r>
    </w:p>
    <w:p w:rsidR="00D9323F" w:rsidRDefault="00F47CDD">
      <w:pPr>
        <w:keepNext/>
        <w:spacing w:line="240" w:lineRule="auto"/>
        <w:jc w:val="both"/>
        <w:rPr>
          <w:rFonts w:ascii="Times New Roman" w:hAnsi="Times New Roman"/>
          <w:noProof/>
          <w:sz w:val="24"/>
          <w:szCs w:val="24"/>
          <w:lang w:val="fr-BE"/>
        </w:rPr>
      </w:pPr>
      <w:r>
        <w:rPr>
          <w:rFonts w:ascii="Times New Roman" w:hAnsi="Times New Roman"/>
          <w:noProof/>
          <w:sz w:val="24"/>
          <w:lang w:val="fr-BE"/>
        </w:rPr>
        <w:t>La possibilité pour la Commission de présenter des observations à titre d’</w:t>
      </w:r>
      <w:r>
        <w:rPr>
          <w:rFonts w:ascii="Times New Roman" w:hAnsi="Times New Roman"/>
          <w:i/>
          <w:noProof/>
          <w:sz w:val="24"/>
          <w:lang w:val="fr-BE"/>
        </w:rPr>
        <w:t>amicus curiae</w:t>
      </w:r>
      <w:r>
        <w:rPr>
          <w:rFonts w:ascii="Times New Roman" w:hAnsi="Times New Roman"/>
          <w:noProof/>
          <w:sz w:val="24"/>
          <w:lang w:val="fr-BE"/>
        </w:rPr>
        <w:t xml:space="preserve"> de sa propre initiative devant les juridictions nationales a été introduite dans le cadre de la modification de 2013 du règlement de procédure. L’article 29 du règleme</w:t>
      </w:r>
      <w:r>
        <w:rPr>
          <w:rFonts w:ascii="Times New Roman" w:hAnsi="Times New Roman"/>
          <w:noProof/>
          <w:sz w:val="24"/>
          <w:lang w:val="fr-BE"/>
        </w:rPr>
        <w:t>nt de procédure reflète à cet égard l’article 15, paragraphe 3, du règlement nº 1/2003 dans le domaine des pratiques anticoncurrentielles. En 2018, la Commission est intervenue dans des procédures devant les juridictions de six États membres ainsi que dans</w:t>
      </w:r>
      <w:r>
        <w:rPr>
          <w:rFonts w:ascii="Times New Roman" w:hAnsi="Times New Roman"/>
          <w:noProof/>
          <w:sz w:val="24"/>
          <w:lang w:val="fr-BE"/>
        </w:rPr>
        <w:t xml:space="preserve"> des procédures d’arbitrage dans le cadre desquelles des questions d’aides d’État ont été examinées</w:t>
      </w:r>
      <w:r>
        <w:rPr>
          <w:rFonts w:ascii="Times New Roman" w:hAnsi="Times New Roman"/>
          <w:noProof/>
          <w:sz w:val="24"/>
          <w:vertAlign w:val="superscript"/>
        </w:rPr>
        <w:footnoteReference w:id="135"/>
      </w:r>
      <w:r>
        <w:rPr>
          <w:rFonts w:ascii="Times New Roman" w:hAnsi="Times New Roman"/>
          <w:noProof/>
          <w:sz w:val="24"/>
          <w:lang w:val="fr-BE"/>
        </w:rPr>
        <w:t>. Pour faire connaître son point de vue au public, la Commission publie ses avis et observations à titre d’</w:t>
      </w:r>
      <w:r>
        <w:rPr>
          <w:rFonts w:ascii="Times New Roman" w:hAnsi="Times New Roman"/>
          <w:i/>
          <w:noProof/>
          <w:sz w:val="24"/>
          <w:lang w:val="fr-BE"/>
        </w:rPr>
        <w:t>amicus curiae</w:t>
      </w:r>
      <w:r>
        <w:rPr>
          <w:rFonts w:ascii="Times New Roman" w:hAnsi="Times New Roman"/>
          <w:noProof/>
          <w:sz w:val="24"/>
          <w:lang w:val="fr-BE"/>
        </w:rPr>
        <w:t>, ainsi que les observations adressé</w:t>
      </w:r>
      <w:r>
        <w:rPr>
          <w:rFonts w:ascii="Times New Roman" w:hAnsi="Times New Roman"/>
          <w:noProof/>
          <w:sz w:val="24"/>
          <w:lang w:val="fr-BE"/>
        </w:rPr>
        <w:t>es à d’autres entités, sur son site web</w:t>
      </w:r>
      <w:r>
        <w:rPr>
          <w:rFonts w:ascii="Times New Roman" w:hAnsi="Times New Roman"/>
          <w:noProof/>
          <w:sz w:val="24"/>
          <w:vertAlign w:val="superscript"/>
        </w:rPr>
        <w:footnoteReference w:id="136"/>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la Commission a également poursuivi ses efforts de sensibilisation. Elle a participé activement à l’évaluation du financement des programmes de formation des juges nationaux et à l’analyse des besoins de </w:t>
      </w:r>
      <w:r>
        <w:rPr>
          <w:rFonts w:ascii="Times New Roman" w:hAnsi="Times New Roman"/>
          <w:noProof/>
          <w:sz w:val="24"/>
          <w:lang w:val="fr-BE"/>
        </w:rPr>
        <w:t>ces derniers. Le personnel de la Commission a aussi dispensé des formations lors d’ateliers et de conférences</w:t>
      </w:r>
      <w:r>
        <w:rPr>
          <w:rFonts w:ascii="Times New Roman" w:hAnsi="Times New Roman"/>
          <w:noProof/>
          <w:sz w:val="24"/>
          <w:vertAlign w:val="superscript"/>
        </w:rPr>
        <w:footnoteReference w:id="137"/>
      </w:r>
      <w:r>
        <w:rPr>
          <w:rFonts w:ascii="Times New Roman" w:hAnsi="Times New Roman"/>
          <w:noProof/>
          <w:sz w:val="24"/>
          <w:lang w:val="fr-BE"/>
        </w:rPr>
        <w:t>.</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Enfin, en 2018, la Commission a mandaté une étude sur l’application des outils de coopération par les juridictions nationales afin d’analyser pl</w:t>
      </w:r>
      <w:r>
        <w:rPr>
          <w:rFonts w:ascii="Times New Roman" w:hAnsi="Times New Roman"/>
          <w:noProof/>
          <w:sz w:val="24"/>
          <w:lang w:val="fr-BE"/>
        </w:rPr>
        <w:t>us en profondeur les décisions en matière d’aides d’État des juridictions des 28 États membres de l’UE.</w:t>
      </w:r>
    </w:p>
    <w:p w:rsidR="00D9323F" w:rsidRDefault="00F47CDD">
      <w:pPr>
        <w:widowControl w:val="0"/>
        <w:spacing w:line="240" w:lineRule="auto"/>
        <w:ind w:left="360"/>
        <w:outlineLvl w:val="2"/>
        <w:rPr>
          <w:rFonts w:ascii="Times New Roman" w:eastAsia="Times New Roman" w:hAnsi="Times New Roman"/>
          <w:b/>
          <w:bCs/>
          <w:noProof/>
          <w:sz w:val="24"/>
          <w:szCs w:val="24"/>
          <w:lang w:val="fr-BE"/>
        </w:rPr>
      </w:pPr>
      <w:bookmarkStart w:id="30" w:name="_Toc19019197"/>
      <w:r>
        <w:rPr>
          <w:rFonts w:ascii="Times New Roman" w:hAnsi="Times New Roman"/>
          <w:b/>
          <w:noProof/>
          <w:sz w:val="24"/>
          <w:lang w:val="fr-BE"/>
        </w:rPr>
        <w:t>3.4 Arrêts importants des juridictions de l’Union européenne dans le domaine des aides d’État</w:t>
      </w:r>
      <w:bookmarkEnd w:id="30"/>
      <w:r>
        <w:rPr>
          <w:rFonts w:ascii="Times New Roman" w:hAnsi="Times New Roman"/>
          <w:b/>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les juridictions de l’UE ont rendu plusieurs arr</w:t>
      </w:r>
      <w:r>
        <w:rPr>
          <w:rFonts w:ascii="Times New Roman" w:hAnsi="Times New Roman"/>
          <w:noProof/>
          <w:sz w:val="24"/>
          <w:lang w:val="fr-BE"/>
        </w:rPr>
        <w:t>êts importants dans le domaine des aides d’État. Le tour d’horizon qui suit est basé sur une sélection d’arrêts rendus par les juridictions, notamment sur des questions liées à la notion d’avantage, à la sélectivité, à l’appréciation de la compatibilité et</w:t>
      </w:r>
      <w:r>
        <w:rPr>
          <w:rFonts w:ascii="Times New Roman" w:hAnsi="Times New Roman"/>
          <w:noProof/>
          <w:sz w:val="24"/>
          <w:lang w:val="fr-BE"/>
        </w:rPr>
        <w:t xml:space="preserve"> à un certain nombre de points de procédure. </w:t>
      </w:r>
    </w:p>
    <w:p w:rsidR="00D9323F" w:rsidRDefault="00F47CDD">
      <w:pPr>
        <w:widowControl w:val="0"/>
        <w:jc w:val="both"/>
        <w:rPr>
          <w:rFonts w:ascii="Times New Roman" w:hAnsi="Times New Roman"/>
          <w:i/>
          <w:noProof/>
          <w:sz w:val="24"/>
          <w:szCs w:val="24"/>
          <w:lang w:val="fr-BE"/>
        </w:rPr>
      </w:pPr>
      <w:r>
        <w:rPr>
          <w:rFonts w:ascii="Times New Roman" w:hAnsi="Times New Roman"/>
          <w:i/>
          <w:noProof/>
          <w:sz w:val="24"/>
          <w:lang w:val="fr-BE"/>
        </w:rPr>
        <w:t xml:space="preserve">Avantage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Les arrêts les plus pertinents concernant la notion d’avantage sont les arrêts </w:t>
      </w:r>
      <w:r>
        <w:rPr>
          <w:rFonts w:ascii="Times New Roman" w:hAnsi="Times New Roman"/>
          <w:i/>
          <w:noProof/>
          <w:sz w:val="24"/>
          <w:lang w:val="fr-BE"/>
        </w:rPr>
        <w:t>FIH</w:t>
      </w:r>
      <w:r>
        <w:rPr>
          <w:rFonts w:ascii="Times New Roman" w:hAnsi="Times New Roman"/>
          <w:i/>
          <w:noProof/>
          <w:sz w:val="24"/>
          <w:vertAlign w:val="superscript"/>
        </w:rPr>
        <w:footnoteReference w:id="138"/>
      </w:r>
      <w:r>
        <w:rPr>
          <w:rFonts w:ascii="Times New Roman" w:hAnsi="Times New Roman"/>
          <w:noProof/>
          <w:sz w:val="24"/>
          <w:lang w:val="fr-BE"/>
        </w:rPr>
        <w:t xml:space="preserve"> et </w:t>
      </w:r>
      <w:r>
        <w:rPr>
          <w:rFonts w:ascii="Times New Roman" w:hAnsi="Times New Roman"/>
          <w:i/>
          <w:noProof/>
          <w:sz w:val="24"/>
          <w:lang w:val="fr-BE"/>
        </w:rPr>
        <w:t>EDF</w:t>
      </w:r>
      <w:r>
        <w:rPr>
          <w:rFonts w:ascii="Times New Roman" w:hAnsi="Times New Roman"/>
          <w:noProof/>
          <w:sz w:val="24"/>
          <w:vertAlign w:val="superscript"/>
        </w:rPr>
        <w:footnoteReference w:id="139"/>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FIH</w:t>
      </w:r>
      <w:r>
        <w:rPr>
          <w:rFonts w:ascii="Times New Roman" w:hAnsi="Times New Roman"/>
          <w:noProof/>
          <w:sz w:val="24"/>
          <w:lang w:val="fr-BE"/>
        </w:rPr>
        <w:t xml:space="preserve">, la Cour de justice a annulé l’arrêt du Tribunal et confirmé la décision de la </w:t>
      </w:r>
      <w:r>
        <w:rPr>
          <w:rFonts w:ascii="Times New Roman" w:hAnsi="Times New Roman"/>
          <w:noProof/>
          <w:sz w:val="24"/>
          <w:lang w:val="fr-BE"/>
        </w:rPr>
        <w:t>Commission de 2014. L’affaire concernait deux mesures d’aide d’État successives déclarées compatibles avec le marché intérieur par la Commission (en 2009 et 2014) et l’applicabilité/application du principe de l’opérateur privé en économie de marché à la se</w:t>
      </w:r>
      <w:r>
        <w:rPr>
          <w:rFonts w:ascii="Times New Roman" w:hAnsi="Times New Roman"/>
          <w:noProof/>
          <w:sz w:val="24"/>
          <w:lang w:val="fr-BE"/>
        </w:rPr>
        <w:t>conde, sous la forme du critère de l’investisseur en économie de marché (selon la Commission) ou du créancier en économie de marché (selon le Tribunal).</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Cour de justice a d’abord confirmé que le principe de l’opérateur privé en économie de marché est ap</w:t>
      </w:r>
      <w:r>
        <w:rPr>
          <w:rFonts w:ascii="Times New Roman" w:hAnsi="Times New Roman"/>
          <w:noProof/>
          <w:sz w:val="24"/>
          <w:lang w:val="fr-BE"/>
        </w:rPr>
        <w:t xml:space="preserve">plicable à l’affaire </w:t>
      </w:r>
      <w:r>
        <w:rPr>
          <w:rFonts w:ascii="Times New Roman" w:hAnsi="Times New Roman"/>
          <w:i/>
          <w:noProof/>
          <w:sz w:val="24"/>
          <w:lang w:val="fr-BE"/>
        </w:rPr>
        <w:t>FIH</w:t>
      </w:r>
      <w:r>
        <w:rPr>
          <w:rFonts w:ascii="Times New Roman" w:hAnsi="Times New Roman"/>
          <w:noProof/>
          <w:sz w:val="24"/>
          <w:lang w:val="fr-BE"/>
        </w:rPr>
        <w:t xml:space="preserve">. La Cour de justice a tout d’abord noté que, pour appliquer le principe de l’opérateur privé en économie de marché, seuls les avantages et obligations liés à la situation de l’État en tant qu’opérateur privé, à l’exclusion de ceux </w:t>
      </w:r>
      <w:r>
        <w:rPr>
          <w:rFonts w:ascii="Times New Roman" w:hAnsi="Times New Roman"/>
          <w:noProof/>
          <w:sz w:val="24"/>
          <w:lang w:val="fr-BE"/>
        </w:rPr>
        <w:t xml:space="preserve">liés à sa situation de puissance publique, doivent être pris en compte. À cet égard, conformément à la jurisprudence </w:t>
      </w:r>
      <w:r>
        <w:rPr>
          <w:rFonts w:ascii="Times New Roman" w:hAnsi="Times New Roman"/>
          <w:i/>
          <w:noProof/>
          <w:sz w:val="24"/>
          <w:lang w:val="fr-BE"/>
        </w:rPr>
        <w:t>Land Burgenland</w:t>
      </w:r>
      <w:r>
        <w:rPr>
          <w:rFonts w:ascii="Times New Roman" w:hAnsi="Times New Roman"/>
          <w:noProof/>
          <w:sz w:val="24"/>
          <w:vertAlign w:val="superscript"/>
        </w:rPr>
        <w:footnoteReference w:id="140"/>
      </w:r>
      <w:r>
        <w:rPr>
          <w:rFonts w:ascii="Times New Roman" w:hAnsi="Times New Roman"/>
          <w:noProof/>
          <w:sz w:val="24"/>
          <w:lang w:val="fr-BE"/>
        </w:rPr>
        <w:t>, la Cour de justice a rappelé qu’en accordant une aide, un État membre poursuit par définition des objectifs autres que ce</w:t>
      </w:r>
      <w:r>
        <w:rPr>
          <w:rFonts w:ascii="Times New Roman" w:hAnsi="Times New Roman"/>
          <w:noProof/>
          <w:sz w:val="24"/>
          <w:lang w:val="fr-BE"/>
        </w:rPr>
        <w:t>lui de réaliser des bénéfices: les risques résultant de cette aide d’État ne font pas partie des facteurs qu’un opérateur privé dans des conditions normales de marché aurait pris en compte dans ses calculs économiques. Étant donné que les mesures de 2009 c</w:t>
      </w:r>
      <w:r>
        <w:rPr>
          <w:rFonts w:ascii="Times New Roman" w:hAnsi="Times New Roman"/>
          <w:noProof/>
          <w:sz w:val="24"/>
          <w:lang w:val="fr-BE"/>
        </w:rPr>
        <w:t>onstituaient clairement une aide d’État au sens de l’article 107 du TFUE, la Cour de justice a conclu que le Tribunal avait demandé à tort à la Commission d’apprécier la logique économique de la seconde mesure du point de vue d’un créancier privé plutôt qu</w:t>
      </w:r>
      <w:r>
        <w:rPr>
          <w:rFonts w:ascii="Times New Roman" w:hAnsi="Times New Roman"/>
          <w:noProof/>
          <w:sz w:val="24"/>
          <w:lang w:val="fr-BE"/>
        </w:rPr>
        <w:t>e d’un investisseur privé.</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Un autre arrêt important lié à l’existence d’un avantage et à l’applicabilité/application du principe de l’opérateur privé en économie de marché est celui concernant EDF. Dans son arrêt, le Tribunal a pleinement confirmé la décis</w:t>
      </w:r>
      <w:r>
        <w:rPr>
          <w:rFonts w:ascii="Times New Roman" w:hAnsi="Times New Roman"/>
          <w:noProof/>
          <w:sz w:val="24"/>
          <w:lang w:val="fr-BE"/>
        </w:rPr>
        <w:t>ion de la Commission du 22 juillet 2015 et, partant, l’obligation pour la France de récupérer environ 1,37 milliard d’EUR auprès d’EDF.</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Tribunal a estimé que l’applicabilité du principe de l’investisseur en économie de marché (cette fois sous sa forme d</w:t>
      </w:r>
      <w:r>
        <w:rPr>
          <w:rFonts w:ascii="Times New Roman" w:hAnsi="Times New Roman"/>
          <w:noProof/>
          <w:sz w:val="24"/>
          <w:lang w:val="fr-BE"/>
        </w:rPr>
        <w:t>e principe de l’investisseur en économie de marché) dépend, en définitive, de ce que l’État membre concerné accorde, en sa qualité d’actionnaire, et non en sa qualité de puissance publique, un avantage économique à une entreprise lui appartenant. Il appart</w:t>
      </w:r>
      <w:r>
        <w:rPr>
          <w:rFonts w:ascii="Times New Roman" w:hAnsi="Times New Roman"/>
          <w:noProof/>
          <w:sz w:val="24"/>
          <w:lang w:val="fr-BE"/>
        </w:rPr>
        <w:t>ient à l’État membre de démontrer que préalablement ou simultanément à l’octroi de l’avantage, il a pris la décision de procéder à un investissement dans cette entreprise conformément à ce qu’aurait fait un investisseur privé. Afin d’établir la logique éco</w:t>
      </w:r>
      <w:r>
        <w:rPr>
          <w:rFonts w:ascii="Times New Roman" w:hAnsi="Times New Roman"/>
          <w:noProof/>
          <w:sz w:val="24"/>
          <w:lang w:val="fr-BE"/>
        </w:rPr>
        <w:t>nomique de sa décision, l’État membre peut présenter des éléments faisant apparaître que cette décision était fondée sur des évaluations économiques comparables à celles qu’un investisseur privé aurait fait établir avant de mettre en œuvre la mesure aux fi</w:t>
      </w:r>
      <w:r>
        <w:rPr>
          <w:rFonts w:ascii="Times New Roman" w:hAnsi="Times New Roman"/>
          <w:noProof/>
          <w:sz w:val="24"/>
          <w:lang w:val="fr-BE"/>
        </w:rPr>
        <w:t xml:space="preserve">ns de déterminer sa rentabilité future. Les éléments pris en compte doivent être contemporains de la mesure et ne peuvent résulter d’études ex post. Le Tribunal a constaté que, dans le cas d’EDF, cela ne s’était pas produit et a confirmé la décision de la </w:t>
      </w:r>
      <w:r>
        <w:rPr>
          <w:rFonts w:ascii="Times New Roman" w:hAnsi="Times New Roman"/>
          <w:noProof/>
          <w:sz w:val="24"/>
          <w:lang w:val="fr-BE"/>
        </w:rPr>
        <w:t>Commission.</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i/>
          <w:noProof/>
          <w:sz w:val="24"/>
          <w:lang w:val="fr-BE"/>
        </w:rPr>
        <w:t>Sélectivité</w:t>
      </w:r>
    </w:p>
    <w:p w:rsidR="00D9323F" w:rsidRDefault="00F47CDD">
      <w:pPr>
        <w:widowControl w:val="0"/>
        <w:jc w:val="both"/>
        <w:rPr>
          <w:rFonts w:ascii="Times New Roman" w:hAnsi="Times New Roman"/>
          <w:noProof/>
          <w:sz w:val="24"/>
          <w:szCs w:val="24"/>
          <w:lang w:val="fr-BE"/>
        </w:rPr>
      </w:pPr>
      <w:r>
        <w:rPr>
          <w:rFonts w:ascii="Times New Roman" w:hAnsi="Times New Roman"/>
          <w:noProof/>
          <w:sz w:val="24"/>
          <w:lang w:val="fr-BE"/>
        </w:rPr>
        <w:t>En 2018, les juridictions de l’UE ont rendu un certain nombre d’arrêts portant sur le caractère sélectif des mesures publiques.</w:t>
      </w:r>
    </w:p>
    <w:p w:rsidR="00D9323F" w:rsidRDefault="00F47CDD">
      <w:pPr>
        <w:widowControl w:val="0"/>
        <w:jc w:val="both"/>
        <w:rPr>
          <w:rFonts w:ascii="Times New Roman" w:hAnsi="Times New Roman"/>
          <w:noProof/>
          <w:sz w:val="24"/>
          <w:szCs w:val="24"/>
          <w:lang w:val="fr-BE"/>
        </w:rPr>
      </w:pPr>
      <w:r>
        <w:rPr>
          <w:rFonts w:ascii="Times New Roman" w:hAnsi="Times New Roman"/>
          <w:i/>
          <w:noProof/>
          <w:sz w:val="24"/>
          <w:lang w:val="fr-BE"/>
        </w:rPr>
        <w:t>Le test en trois étapes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les questions de sélectivité, il convient tout d’abord de not</w:t>
      </w:r>
      <w:r>
        <w:rPr>
          <w:rFonts w:ascii="Times New Roman" w:hAnsi="Times New Roman"/>
          <w:noProof/>
          <w:sz w:val="24"/>
          <w:lang w:val="fr-BE"/>
        </w:rPr>
        <w:t xml:space="preserve">er la décision préjudicielle dans l’affaire </w:t>
      </w:r>
      <w:r>
        <w:rPr>
          <w:rFonts w:ascii="Times New Roman" w:hAnsi="Times New Roman"/>
          <w:i/>
          <w:noProof/>
          <w:sz w:val="24"/>
          <w:lang w:val="fr-BE"/>
        </w:rPr>
        <w:t>A-Brauerei</w:t>
      </w:r>
      <w:r>
        <w:rPr>
          <w:rFonts w:ascii="Times New Roman" w:hAnsi="Times New Roman"/>
          <w:noProof/>
          <w:sz w:val="24"/>
          <w:vertAlign w:val="superscript"/>
        </w:rPr>
        <w:footnoteReference w:id="141"/>
      </w:r>
      <w:r>
        <w:rPr>
          <w:rFonts w:ascii="Times New Roman" w:hAnsi="Times New Roman"/>
          <w:noProof/>
          <w:sz w:val="24"/>
          <w:lang w:val="fr-BE"/>
        </w:rPr>
        <w:t>. L’affaire concerne une exonération de l’impôt allemand sur les transferts immobiliers (</w:t>
      </w:r>
      <w:r>
        <w:rPr>
          <w:rFonts w:ascii="Times New Roman" w:hAnsi="Times New Roman"/>
          <w:i/>
          <w:noProof/>
          <w:sz w:val="24"/>
          <w:lang w:val="fr-BE"/>
        </w:rPr>
        <w:t>Grunderwerbsteuergesetz</w:t>
      </w:r>
      <w:r>
        <w:rPr>
          <w:rFonts w:ascii="Times New Roman" w:hAnsi="Times New Roman"/>
          <w:noProof/>
          <w:sz w:val="24"/>
          <w:lang w:val="fr-BE"/>
        </w:rPr>
        <w:t xml:space="preserve">) dans certains cas – transferts d’immeubles dans le cadre de transformations au sein de </w:t>
      </w:r>
      <w:r>
        <w:rPr>
          <w:rFonts w:ascii="Times New Roman" w:hAnsi="Times New Roman"/>
          <w:noProof/>
          <w:sz w:val="24"/>
          <w:lang w:val="fr-BE"/>
        </w:rPr>
        <w:t>groupes – et en particulier la question de savoir si une telle exonération constitue un avantage sélectif et donc une aide d’État. La Cour de justice a confirmé que la sélectivité d’une mesure fiscale doit être appréciée à l’aide de la méthodologie du test</w:t>
      </w:r>
      <w:r>
        <w:rPr>
          <w:rFonts w:ascii="Times New Roman" w:hAnsi="Times New Roman"/>
          <w:noProof/>
          <w:sz w:val="24"/>
          <w:lang w:val="fr-BE"/>
        </w:rPr>
        <w:t xml:space="preserve"> en trois étapes</w:t>
      </w:r>
      <w:r>
        <w:rPr>
          <w:rFonts w:ascii="Times New Roman" w:hAnsi="Times New Roman"/>
          <w:noProof/>
          <w:sz w:val="24"/>
          <w:vertAlign w:val="superscript"/>
        </w:rPr>
        <w:footnoteReference w:id="142"/>
      </w:r>
      <w:r>
        <w:rPr>
          <w:rFonts w:ascii="Times New Roman" w:hAnsi="Times New Roman"/>
          <w:noProof/>
          <w:sz w:val="24"/>
          <w:lang w:val="fr-BE"/>
        </w:rPr>
        <w:t xml:space="preserve">. Elle a jugé que l’exonération fiscale en cause constitue, à première vue, un avantage sélectif puisqu’elle établit une distinction entre des entreprises se trouvant dans la même situation, compte tenu de son objectif (imposition de tout </w:t>
      </w:r>
      <w:r>
        <w:rPr>
          <w:rFonts w:ascii="Times New Roman" w:hAnsi="Times New Roman"/>
          <w:noProof/>
          <w:sz w:val="24"/>
          <w:lang w:val="fr-BE"/>
        </w:rPr>
        <w:t>changement de propriété d’un bien immobilier). Toutefois, elle a également estimé que cette différence de traitement pouvait être justifiée (dans certaines circonstances) par un principe directeur du système fiscal, à savoir éviter une double imposition, é</w:t>
      </w:r>
      <w:r>
        <w:rPr>
          <w:rFonts w:ascii="Times New Roman" w:hAnsi="Times New Roman"/>
          <w:noProof/>
          <w:sz w:val="24"/>
          <w:lang w:val="fr-BE"/>
        </w:rPr>
        <w:t xml:space="preserve">chappant ainsi potentiellement à la qualification d’aide d’État.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Un autre arrêt important concernant l’application du test en trois étapes est l’arrêt </w:t>
      </w:r>
      <w:r>
        <w:rPr>
          <w:rFonts w:ascii="Times New Roman" w:hAnsi="Times New Roman"/>
          <w:i/>
          <w:noProof/>
          <w:sz w:val="24"/>
          <w:lang w:val="fr-BE"/>
        </w:rPr>
        <w:t>Sanierungklausel</w:t>
      </w:r>
      <w:r>
        <w:rPr>
          <w:rFonts w:ascii="Times New Roman" w:hAnsi="Times New Roman"/>
          <w:i/>
          <w:noProof/>
          <w:sz w:val="24"/>
          <w:vertAlign w:val="superscript"/>
        </w:rPr>
        <w:footnoteReference w:id="143"/>
      </w:r>
      <w:r>
        <w:rPr>
          <w:rFonts w:ascii="Times New Roman" w:hAnsi="Times New Roman"/>
          <w:noProof/>
          <w:sz w:val="24"/>
          <w:lang w:val="fr-BE"/>
        </w:rPr>
        <w:t>, dans lequel la Cour de justice a annulé les arrêts du Tribunal</w:t>
      </w:r>
      <w:r>
        <w:rPr>
          <w:rFonts w:ascii="Times New Roman" w:hAnsi="Times New Roman"/>
          <w:noProof/>
          <w:sz w:val="24"/>
          <w:vertAlign w:val="superscript"/>
        </w:rPr>
        <w:footnoteReference w:id="144"/>
      </w:r>
      <w:r>
        <w:rPr>
          <w:rFonts w:ascii="Times New Roman" w:hAnsi="Times New Roman"/>
          <w:noProof/>
          <w:sz w:val="24"/>
          <w:lang w:val="fr-BE"/>
        </w:rPr>
        <w:t xml:space="preserve"> et la décision de la </w:t>
      </w:r>
      <w:r>
        <w:rPr>
          <w:rFonts w:ascii="Times New Roman" w:hAnsi="Times New Roman"/>
          <w:noProof/>
          <w:sz w:val="24"/>
          <w:lang w:val="fr-BE"/>
        </w:rPr>
        <w:t>Commission du 26 janvier 2011</w:t>
      </w:r>
      <w:r>
        <w:rPr>
          <w:rFonts w:ascii="Times New Roman" w:hAnsi="Times New Roman"/>
          <w:noProof/>
          <w:sz w:val="24"/>
          <w:vertAlign w:val="superscript"/>
        </w:rPr>
        <w:footnoteReference w:id="145"/>
      </w:r>
      <w:r>
        <w:rPr>
          <w:rFonts w:ascii="Times New Roman" w:hAnsi="Times New Roman"/>
          <w:noProof/>
          <w:sz w:val="24"/>
          <w:lang w:val="fr-BE"/>
        </w:rPr>
        <w:t>. En substance, ces affaires portent sur l’application des règles en matière d’aides d’État à une exception d’une exception du régime fiscal applicable aux sociétés. Le système allemand de report des pertes permet aux sociétés</w:t>
      </w:r>
      <w:r>
        <w:rPr>
          <w:rFonts w:ascii="Times New Roman" w:hAnsi="Times New Roman"/>
          <w:noProof/>
          <w:sz w:val="24"/>
          <w:lang w:val="fr-BE"/>
        </w:rPr>
        <w:t xml:space="preserve"> de compenser les pertes d’une année donnée par l’impôt sur les bénéfices des années futures, sauf en cas de changement significatif de propriétaire. Cette dernière règle vise à prévenir les abus, tels que l’acquisition d’entreprises en faillite à des fins</w:t>
      </w:r>
      <w:r>
        <w:rPr>
          <w:rFonts w:ascii="Times New Roman" w:hAnsi="Times New Roman"/>
          <w:noProof/>
          <w:sz w:val="24"/>
          <w:lang w:val="fr-BE"/>
        </w:rPr>
        <w:t xml:space="preserve"> d’évasion fiscale uniquement. Une troisième règle, la clause dite «</w:t>
      </w:r>
      <w:r>
        <w:rPr>
          <w:rFonts w:ascii="Times New Roman" w:hAnsi="Times New Roman"/>
          <w:i/>
          <w:noProof/>
          <w:sz w:val="24"/>
          <w:lang w:val="fr-BE"/>
        </w:rPr>
        <w:t>Sanierungsklausel</w:t>
      </w:r>
      <w:r>
        <w:rPr>
          <w:rFonts w:ascii="Times New Roman" w:hAnsi="Times New Roman"/>
          <w:noProof/>
          <w:sz w:val="24"/>
          <w:lang w:val="fr-BE"/>
        </w:rPr>
        <w:t>» ou clause de réorganisation, autorise le report des pertes pour les entreprises à court de liquidités ou surendettées, malgré un changement de propriétaire, si ce change</w:t>
      </w:r>
      <w:r>
        <w:rPr>
          <w:rFonts w:ascii="Times New Roman" w:hAnsi="Times New Roman"/>
          <w:noProof/>
          <w:sz w:val="24"/>
          <w:lang w:val="fr-BE"/>
        </w:rPr>
        <w:t>ment vise à l’assainissement de la société. La décision de la Commission (confirmée par le Tribunal) a conclu que cette clause constituait une aide incompatible avec le marché intérieur, car elle s’écartait de la règle générale interdisant le report des pe</w:t>
      </w:r>
      <w:r>
        <w:rPr>
          <w:rFonts w:ascii="Times New Roman" w:hAnsi="Times New Roman"/>
          <w:noProof/>
          <w:sz w:val="24"/>
          <w:lang w:val="fr-BE"/>
        </w:rPr>
        <w:t>rtes après un changement significatif de propriétaire et procurait un avantage sélectif aux entreprises en difficulté. La Cour de justice a toutefois annulé les arrêts du Tribunal et la décision, estimant que la Commission avait mal défini le cadre de réfé</w:t>
      </w:r>
      <w:r>
        <w:rPr>
          <w:rFonts w:ascii="Times New Roman" w:hAnsi="Times New Roman"/>
          <w:noProof/>
          <w:sz w:val="24"/>
          <w:lang w:val="fr-BE"/>
        </w:rPr>
        <w:t xml:space="preserve">rence. En premier lieu, la Cour de justice a rappelé que la sélectivité d’une règle fiscale ne dépend pas du fait qu’elle constitue ou non une exception à une règle générale. Cela n’est pertinent que lorsqu’elle conduit à traiter différemment deux groupes </w:t>
      </w:r>
      <w:r>
        <w:rPr>
          <w:rFonts w:ascii="Times New Roman" w:hAnsi="Times New Roman"/>
          <w:noProof/>
          <w:sz w:val="24"/>
          <w:lang w:val="fr-BE"/>
        </w:rPr>
        <w:t>de personnes qui, au regard de l’objectif de la mesure, se trouvent dans une situation juridique et factuelle comparable. La Cour de justice a ensuite estimé que l’interdiction de reporter des pertes en cas de changement significatif de propriétaire consti</w:t>
      </w:r>
      <w:r>
        <w:rPr>
          <w:rFonts w:ascii="Times New Roman" w:hAnsi="Times New Roman"/>
          <w:noProof/>
          <w:sz w:val="24"/>
          <w:lang w:val="fr-BE"/>
        </w:rPr>
        <w:t>tuait clairement une exception à la règle générale du report des pertes. La Cour de justice a considéré que le Tribunal avait commis une erreur en acceptant que la Commission, tout en notant l’existence d’une règle plus générale de report des pertes, défin</w:t>
      </w:r>
      <w:r>
        <w:rPr>
          <w:rFonts w:ascii="Times New Roman" w:hAnsi="Times New Roman"/>
          <w:noProof/>
          <w:sz w:val="24"/>
          <w:lang w:val="fr-BE"/>
        </w:rPr>
        <w:t>isse le cadre de référence comme la règle régissant la mise en non-valeur des pertes en cas de transfert de propriété. La définition erronée du système de référence faussant l’ensemble de l’analyse de sélectivité, la Cour de justice a annulé la décision.</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P</w:t>
      </w:r>
      <w:r>
        <w:rPr>
          <w:rFonts w:ascii="Times New Roman" w:hAnsi="Times New Roman"/>
          <w:i/>
          <w:noProof/>
          <w:sz w:val="24"/>
          <w:lang w:val="fr-BE"/>
        </w:rPr>
        <w:t>rélèvements à vocation spéciale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Un autre arrêt important dans le domaine de la sélectivité (et en particulier pour l’appréciation de la sélectivité des prélèvements à vocation spéciale ayant un objectif parafiscal) est la décision préjudicielle dans l’affa</w:t>
      </w:r>
      <w:r>
        <w:rPr>
          <w:rFonts w:ascii="Times New Roman" w:hAnsi="Times New Roman"/>
          <w:noProof/>
          <w:sz w:val="24"/>
          <w:lang w:val="fr-BE"/>
        </w:rPr>
        <w:t xml:space="preserve">ire </w:t>
      </w:r>
      <w:r>
        <w:rPr>
          <w:rFonts w:ascii="Times New Roman" w:hAnsi="Times New Roman"/>
          <w:i/>
          <w:noProof/>
          <w:sz w:val="24"/>
          <w:lang w:val="fr-BE"/>
        </w:rPr>
        <w:t>ANGED</w:t>
      </w:r>
      <w:r>
        <w:rPr>
          <w:rFonts w:ascii="Times New Roman" w:hAnsi="Times New Roman"/>
          <w:noProof/>
          <w:sz w:val="24"/>
          <w:vertAlign w:val="superscript"/>
        </w:rPr>
        <w:footnoteReference w:id="146"/>
      </w:r>
      <w:r>
        <w:rPr>
          <w:rFonts w:ascii="Times New Roman" w:hAnsi="Times New Roman"/>
          <w:noProof/>
          <w:sz w:val="24"/>
          <w:lang w:val="fr-BE"/>
        </w:rPr>
        <w:t>, qui concerne l’impôt (régional) sur les grands établissements commerciaux. Les objectifs des impôts sur le commerce de détail sont la protection de l’environnement et l’aménagement du territoire, c’est-à-dire la nécessité de développer les infr</w:t>
      </w:r>
      <w:r>
        <w:rPr>
          <w:rFonts w:ascii="Times New Roman" w:hAnsi="Times New Roman"/>
          <w:noProof/>
          <w:sz w:val="24"/>
          <w:lang w:val="fr-BE"/>
        </w:rPr>
        <w:t>astructures urbaines et de tenir compte de la pollution créée par les consommateurs qui utilisent leur voiture particulière pour faire leurs courses.</w:t>
      </w:r>
    </w:p>
    <w:p w:rsidR="00D9323F" w:rsidRDefault="00F47CDD">
      <w:pPr>
        <w:keepNext/>
        <w:spacing w:line="240" w:lineRule="auto"/>
        <w:jc w:val="both"/>
        <w:rPr>
          <w:rFonts w:ascii="Times New Roman" w:hAnsi="Times New Roman"/>
          <w:noProof/>
          <w:sz w:val="24"/>
          <w:szCs w:val="24"/>
          <w:lang w:val="fr-BE"/>
        </w:rPr>
      </w:pPr>
      <w:r>
        <w:rPr>
          <w:rFonts w:ascii="Times New Roman" w:hAnsi="Times New Roman"/>
          <w:noProof/>
          <w:sz w:val="24"/>
          <w:lang w:val="fr-BE"/>
        </w:rPr>
        <w:t>Les impôts sont calculés sur la base de la surface de l’établissement commercial, qui est un indicateur in</w:t>
      </w:r>
      <w:r>
        <w:rPr>
          <w:rFonts w:ascii="Times New Roman" w:hAnsi="Times New Roman"/>
          <w:noProof/>
          <w:sz w:val="24"/>
          <w:lang w:val="fr-BE"/>
        </w:rPr>
        <w:t>direct des effets négatifs causés principalement par l’utilisation de voitures particulières par les clients. Les principales caractéristiques des mesures sont i) une exonération pour les points de vente au détail individuels en dessous d’un seuil de surfa</w:t>
      </w:r>
      <w:r>
        <w:rPr>
          <w:rFonts w:ascii="Times New Roman" w:hAnsi="Times New Roman"/>
          <w:noProof/>
          <w:sz w:val="24"/>
          <w:lang w:val="fr-BE"/>
        </w:rPr>
        <w:t xml:space="preserve">ce donné; ii) des exonérations/réductions pour certains points de vente au détail spécialisés (jardineries, établissements de vente de véhicules, de matériaux de construction, de machines-outils ou de fournitures industrielles, de meubles, de portes et de </w:t>
      </w:r>
      <w:r>
        <w:rPr>
          <w:rFonts w:ascii="Times New Roman" w:hAnsi="Times New Roman"/>
          <w:noProof/>
          <w:sz w:val="24"/>
          <w:lang w:val="fr-BE"/>
        </w:rPr>
        <w:t>fenêtres et magasins de bricolage); et iii) une exonération de fait pour les grands établissements collectifs (c’est-à-dire les centres commerciaux) en Catalogne, dès lors que les points de vente individuels des centres commerciaux sont en dessous du seuil</w:t>
      </w:r>
      <w:r>
        <w:rPr>
          <w:rFonts w:ascii="Times New Roman" w:hAnsi="Times New Roman"/>
          <w:noProof/>
          <w:sz w:val="24"/>
          <w:lang w:val="fr-BE"/>
        </w:rPr>
        <w:t xml:space="preserve"> de surface.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Après avoir rappelé la compétence des États membres pour concevoir leurs mesures fiscales, en l’absence de règles de l’Union en la matière, la Cour de justice a constaté que l’impôt en cause poursuivait des objectifs de protection de </w:t>
      </w:r>
      <w:r>
        <w:rPr>
          <w:rFonts w:ascii="Times New Roman" w:hAnsi="Times New Roman"/>
          <w:noProof/>
          <w:sz w:val="24"/>
          <w:lang w:val="fr-BE"/>
        </w:rPr>
        <w:t>l’environnement et d’aménagement du territoire, et a procédé à une appréciation de la sélectivité (notamment le test de comparabilité) à la lumière de ces objectifs, notant qu’il ne saurait être contesté que l’incidence des établissements commerciaux sur l</w:t>
      </w:r>
      <w:r>
        <w:rPr>
          <w:rFonts w:ascii="Times New Roman" w:hAnsi="Times New Roman"/>
          <w:noProof/>
          <w:sz w:val="24"/>
          <w:lang w:val="fr-BE"/>
        </w:rPr>
        <w:t>’environnement dépend largement de leur taille.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l’exonération applicable aux points de vente individuels se trouvant en dessous du seuil, la Cour de justice a estimé que les petits établissements ne se trouvaient pas dans une situation j</w:t>
      </w:r>
      <w:r>
        <w:rPr>
          <w:rFonts w:ascii="Times New Roman" w:hAnsi="Times New Roman"/>
          <w:noProof/>
          <w:sz w:val="24"/>
          <w:lang w:val="fr-BE"/>
        </w:rPr>
        <w:t xml:space="preserve">uridique et factuelle similaire à celle des grands établissements soumis à l’impôt en question, notamment au regard de leur objectif environnemental.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l’exonération applicable aux points de vente spécialisés, la Cour de justice a accepté</w:t>
      </w:r>
      <w:r>
        <w:rPr>
          <w:rFonts w:ascii="Times New Roman" w:hAnsi="Times New Roman"/>
          <w:noProof/>
          <w:sz w:val="24"/>
          <w:lang w:val="fr-BE"/>
        </w:rPr>
        <w:t xml:space="preserve"> l’argument selon lequel une telle exonération est justifiée si ces points de vente au détail, qui nécessitent de très grandes surfaces, ne causent pas des atteintes à l’environnement et à l’aménagement du territoire aussi importantes que les autres. La Co</w:t>
      </w:r>
      <w:r>
        <w:rPr>
          <w:rFonts w:ascii="Times New Roman" w:hAnsi="Times New Roman"/>
          <w:noProof/>
          <w:sz w:val="24"/>
          <w:lang w:val="fr-BE"/>
        </w:rPr>
        <w:t>ur de justice a accepté la justification en principe, mais laisse à la juridiction nationale de renvoi le soin de vérifier ce point.</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Enfin, en ce qui concerne l’exonération de facto des grands établissements collectifs (à proprement parler) en Catalogne, l</w:t>
      </w:r>
      <w:r>
        <w:rPr>
          <w:rFonts w:ascii="Times New Roman" w:hAnsi="Times New Roman"/>
          <w:noProof/>
          <w:sz w:val="24"/>
          <w:lang w:val="fr-BE"/>
        </w:rPr>
        <w:t>a Cour de justice a estimé qu’ils se trouvaient objectivement dans une situation comparable à celle des grands points de vente au détail au regard des objectifs des mesures. En conséquence, l’exonération de l’impôt en faveur des établissements collectifs a</w:t>
      </w:r>
      <w:r>
        <w:rPr>
          <w:rFonts w:ascii="Times New Roman" w:hAnsi="Times New Roman"/>
          <w:noProof/>
          <w:sz w:val="24"/>
          <w:lang w:val="fr-BE"/>
        </w:rPr>
        <w:t xml:space="preserve"> été considérée comme sélective et comme constituant une aide d’État.</w:t>
      </w:r>
    </w:p>
    <w:p w:rsidR="00D9323F" w:rsidRDefault="00F47CDD">
      <w:pPr>
        <w:widowControl w:val="0"/>
        <w:jc w:val="both"/>
        <w:rPr>
          <w:rFonts w:ascii="Times New Roman" w:hAnsi="Times New Roman"/>
          <w:i/>
          <w:noProof/>
          <w:sz w:val="24"/>
          <w:szCs w:val="24"/>
          <w:lang w:val="fr-BE"/>
        </w:rPr>
      </w:pPr>
      <w:r>
        <w:rPr>
          <w:rFonts w:ascii="Times New Roman" w:hAnsi="Times New Roman"/>
          <w:i/>
          <w:noProof/>
          <w:sz w:val="24"/>
          <w:lang w:val="fr-BE"/>
        </w:rPr>
        <w:t>Compatibilité</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son arrêt dans l’affaire </w:t>
      </w:r>
      <w:r>
        <w:rPr>
          <w:rFonts w:ascii="Times New Roman" w:hAnsi="Times New Roman"/>
          <w:i/>
          <w:noProof/>
          <w:sz w:val="24"/>
          <w:lang w:val="fr-BE"/>
        </w:rPr>
        <w:t>Hinkley Point C</w:t>
      </w:r>
      <w:r>
        <w:rPr>
          <w:rFonts w:ascii="Times New Roman" w:hAnsi="Times New Roman"/>
          <w:noProof/>
          <w:sz w:val="24"/>
          <w:vertAlign w:val="superscript"/>
        </w:rPr>
        <w:footnoteReference w:id="147"/>
      </w:r>
      <w:r>
        <w:rPr>
          <w:rFonts w:ascii="Times New Roman" w:hAnsi="Times New Roman"/>
          <w:noProof/>
          <w:sz w:val="24"/>
          <w:lang w:val="fr-BE"/>
        </w:rPr>
        <w:t>, le Tribunal a confirmé la décision de la Commission du 8 octobre 2014 autorisant l’aide en faveur de la construction de l’un</w:t>
      </w:r>
      <w:r>
        <w:rPr>
          <w:rFonts w:ascii="Times New Roman" w:hAnsi="Times New Roman"/>
          <w:noProof/>
          <w:sz w:val="24"/>
          <w:lang w:val="fr-BE"/>
        </w:rPr>
        <w:t>ité C de la centrale nucléaire de Hinkley Point au Royaume-Uni.</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Tribunal a statué que, pour être compatible avec l’article 107, paragraphe 3, point c), du TFUE, une aide doit se rapporter à un objectif d’intérêt public, être appropriée, nécessaire et pr</w:t>
      </w:r>
      <w:r>
        <w:rPr>
          <w:rFonts w:ascii="Times New Roman" w:hAnsi="Times New Roman"/>
          <w:noProof/>
          <w:sz w:val="24"/>
          <w:lang w:val="fr-BE"/>
        </w:rPr>
        <w:t>oportionnée. En ce qui concerne l’objectif d’intérêt public, le Tribunal s’est référé à la notion plus étroite d’intérêt public plutôt que d’intérêt commun</w:t>
      </w:r>
      <w:r>
        <w:rPr>
          <w:rFonts w:ascii="Times New Roman" w:hAnsi="Times New Roman"/>
          <w:noProof/>
          <w:sz w:val="24"/>
          <w:vertAlign w:val="superscript"/>
        </w:rPr>
        <w:footnoteReference w:id="148"/>
      </w:r>
      <w:r>
        <w:rPr>
          <w:rFonts w:ascii="Times New Roman" w:hAnsi="Times New Roman"/>
          <w:noProof/>
          <w:sz w:val="24"/>
          <w:lang w:val="fr-BE"/>
        </w:rPr>
        <w:t xml:space="preserve">. Le Tribunal a estimé que l’objectif consistant à promouvoir la création de nouvelles capacités de </w:t>
      </w:r>
      <w:r>
        <w:rPr>
          <w:rFonts w:ascii="Times New Roman" w:hAnsi="Times New Roman"/>
          <w:noProof/>
          <w:sz w:val="24"/>
          <w:lang w:val="fr-BE"/>
        </w:rPr>
        <w:t>production d’énergie nucléaire se rattachait à l’objectif de la Communauté Euratom de faciliter les investissements dans le domaine nucléaire. En outre, il découle du TFUE que chaque État membre a le droit de choisir son propre bouquet énergétique. En cons</w:t>
      </w:r>
      <w:r>
        <w:rPr>
          <w:rFonts w:ascii="Times New Roman" w:hAnsi="Times New Roman"/>
          <w:noProof/>
          <w:sz w:val="24"/>
          <w:lang w:val="fr-BE"/>
        </w:rPr>
        <w:t>équence, le Tribunal a estimé que la Commission n’avait pas commis d’erreur en considérant que le Royaume-Uni était en droit de définir le développement de l’énergie nucléaire comme un objectif d’intérêt public, même si cet objectif n’est pas partagé par t</w:t>
      </w:r>
      <w:r>
        <w:rPr>
          <w:rFonts w:ascii="Times New Roman" w:hAnsi="Times New Roman"/>
          <w:noProof/>
          <w:sz w:val="24"/>
          <w:lang w:val="fr-BE"/>
        </w:rPr>
        <w:t>ous les États membres.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Tribunal a également confirmé que l’article 107, paragraphe 3, point c), du TFUE ne requiert pas l’existence d’une «défaillance du marché». La question pertinente est de savoir si l’objectif d’intérêt public poursuivi serait </w:t>
      </w:r>
      <w:r>
        <w:rPr>
          <w:rFonts w:ascii="Times New Roman" w:hAnsi="Times New Roman"/>
          <w:noProof/>
          <w:sz w:val="24"/>
          <w:lang w:val="fr-BE"/>
        </w:rPr>
        <w:t>atteint sans l’intervention de l’État membre, même si le marché ne peut être considéré comme défaillant en tant que tel. À cet égard, le Tribunal a estimé que, compte tenu de l’absence d’instruments financiers de marché et d’autres types de contrats de cou</w:t>
      </w:r>
      <w:r>
        <w:rPr>
          <w:rFonts w:ascii="Times New Roman" w:hAnsi="Times New Roman"/>
          <w:noProof/>
          <w:sz w:val="24"/>
          <w:lang w:val="fr-BE"/>
        </w:rPr>
        <w:t>verture, la Commission avait eu raison de conclure que l’intervention de l’État était nécessaire pour développer, en temps utile, de nouvelles capacités de production d’énergie nucléaire.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la proportionnalité de l’aide, le Tribunal a conc</w:t>
      </w:r>
      <w:r>
        <w:rPr>
          <w:rFonts w:ascii="Times New Roman" w:hAnsi="Times New Roman"/>
          <w:noProof/>
          <w:sz w:val="24"/>
          <w:lang w:val="fr-BE"/>
        </w:rPr>
        <w:t>lu que l’Autriche n’avait pas démontré que la Commission avait commis une erreur manifeste en mettant en balance les effets positifs de la mesure et ses effets négatifs. Le Tribunal a indiqué que la Commission était en droit de tenir compte de tous les eff</w:t>
      </w:r>
      <w:r>
        <w:rPr>
          <w:rFonts w:ascii="Times New Roman" w:hAnsi="Times New Roman"/>
          <w:noProof/>
          <w:sz w:val="24"/>
          <w:lang w:val="fr-BE"/>
        </w:rPr>
        <w:t>ets positifs des nouvelles capacités nucléaires, y compris sur la sécurité d’approvisionnement et la politique de faible intensité de carbone.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Tribunal a conclu que les aides au fonctionnement ne sont pas intrinsèquement incompatibles avec le marché int</w:t>
      </w:r>
      <w:r>
        <w:rPr>
          <w:rFonts w:ascii="Times New Roman" w:hAnsi="Times New Roman"/>
          <w:noProof/>
          <w:sz w:val="24"/>
          <w:lang w:val="fr-BE"/>
        </w:rPr>
        <w:t>érieur. Elles peuvent être déclarées compatibles avec le marché intérieur si elles remplissent toutes les conditions de l’article 107, paragraphe 3, point c), du TFUE, notamment lorsqu’elles favorisent de nouveaux investissements, comme dans le cas d’espèc</w:t>
      </w:r>
      <w:r>
        <w:rPr>
          <w:rFonts w:ascii="Times New Roman" w:hAnsi="Times New Roman"/>
          <w:noProof/>
          <w:sz w:val="24"/>
          <w:lang w:val="fr-BE"/>
        </w:rPr>
        <w:t>e. Dans le même temps, le Tribunal estime que les aides au fonctionnement uniquement destinées au maintien du statu quo et couvrant les dépenses d’exploitation dans le cadre des activités normales ne peuvent pas être considérées comme poursuivant un object</w:t>
      </w:r>
      <w:r>
        <w:rPr>
          <w:rFonts w:ascii="Times New Roman" w:hAnsi="Times New Roman"/>
          <w:noProof/>
          <w:sz w:val="24"/>
          <w:lang w:val="fr-BE"/>
        </w:rPr>
        <w:t>if d’intérêt public.</w:t>
      </w:r>
    </w:p>
    <w:p w:rsidR="00D9323F" w:rsidRDefault="00F47CDD">
      <w:pPr>
        <w:shd w:val="clear" w:color="auto" w:fill="FFFFFF"/>
        <w:spacing w:after="0" w:line="240" w:lineRule="auto"/>
        <w:jc w:val="both"/>
        <w:rPr>
          <w:rFonts w:ascii="Times New Roman" w:hAnsi="Times New Roman"/>
          <w:noProof/>
          <w:color w:val="333333"/>
          <w:sz w:val="24"/>
          <w:szCs w:val="24"/>
          <w:lang w:val="fr-BE"/>
        </w:rPr>
      </w:pPr>
      <w:r>
        <w:rPr>
          <w:rFonts w:ascii="Times New Roman" w:hAnsi="Times New Roman"/>
          <w:noProof/>
          <w:sz w:val="24"/>
          <w:lang w:val="fr-BE"/>
        </w:rPr>
        <w:t xml:space="preserve">Dans son arrêt </w:t>
      </w:r>
      <w:hyperlink r:id="rId24">
        <w:r>
          <w:rPr>
            <w:rFonts w:ascii="Times New Roman" w:hAnsi="Times New Roman"/>
            <w:i/>
            <w:noProof/>
            <w:sz w:val="24"/>
            <w:lang w:val="fr-BE"/>
          </w:rPr>
          <w:t>Rittinger e.a.</w:t>
        </w:r>
      </w:hyperlink>
      <w:r>
        <w:rPr>
          <w:rFonts w:ascii="Times New Roman" w:hAnsi="Times New Roman"/>
          <w:noProof/>
          <w:sz w:val="24"/>
          <w:lang w:val="fr-BE"/>
        </w:rPr>
        <w:t xml:space="preserve"> du 13 décembre 2018</w:t>
      </w:r>
      <w:r>
        <w:rPr>
          <w:rFonts w:ascii="Times New Roman" w:hAnsi="Times New Roman"/>
          <w:noProof/>
          <w:sz w:val="24"/>
          <w:vertAlign w:val="superscript"/>
        </w:rPr>
        <w:footnoteReference w:id="149"/>
      </w:r>
      <w:r>
        <w:rPr>
          <w:rFonts w:ascii="Times New Roman" w:hAnsi="Times New Roman"/>
          <w:noProof/>
          <w:sz w:val="24"/>
          <w:lang w:val="fr-BE"/>
        </w:rPr>
        <w:t>, la Cour de justice a confirmé que la contribution audiovisuelle allemande était compatible avec le droit de l’Union</w:t>
      </w:r>
      <w:r>
        <w:rPr>
          <w:rFonts w:ascii="Times New Roman" w:hAnsi="Times New Roman"/>
          <w:noProof/>
          <w:sz w:val="24"/>
          <w:lang w:val="fr-BE"/>
        </w:rPr>
        <w:t xml:space="preserve"> et que l’Allemagne n’était pas tenue de notifier à la Commission une modification de l’aide d’État existante. </w:t>
      </w:r>
      <w:r>
        <w:rPr>
          <w:rFonts w:ascii="Times New Roman" w:hAnsi="Times New Roman"/>
          <w:noProof/>
          <w:color w:val="333333"/>
          <w:sz w:val="24"/>
          <w:lang w:val="fr-BE"/>
        </w:rPr>
        <w:t>En 2007, la Commission a estimé que la redevance audiovisuelle en Allemagne devait être considérée comme une aide existante</w:t>
      </w:r>
      <w:r>
        <w:rPr>
          <w:rFonts w:ascii="Times New Roman" w:hAnsi="Times New Roman"/>
          <w:noProof/>
          <w:sz w:val="24"/>
          <w:vertAlign w:val="superscript"/>
        </w:rPr>
        <w:footnoteReference w:id="150"/>
      </w:r>
      <w:r>
        <w:rPr>
          <w:rFonts w:ascii="Times New Roman" w:hAnsi="Times New Roman"/>
          <w:noProof/>
          <w:color w:val="333333"/>
          <w:sz w:val="24"/>
          <w:lang w:val="fr-BE"/>
        </w:rPr>
        <w:t>. En 2013, l’Allemagn</w:t>
      </w:r>
      <w:r>
        <w:rPr>
          <w:rFonts w:ascii="Times New Roman" w:hAnsi="Times New Roman"/>
          <w:noProof/>
          <w:color w:val="333333"/>
          <w:sz w:val="24"/>
          <w:lang w:val="fr-BE"/>
        </w:rPr>
        <w:t xml:space="preserve">e a modifié la base de calcul de la redevance audiovisuelle. Cette modification a été contestée devant le Landgericht Tübingen, qui a saisi la Cour de justice d’une demande de décision préjudicielle. </w:t>
      </w:r>
    </w:p>
    <w:p w:rsidR="00D9323F" w:rsidRDefault="00D9323F">
      <w:pPr>
        <w:shd w:val="clear" w:color="auto" w:fill="FFFFFF"/>
        <w:spacing w:after="0" w:line="240" w:lineRule="auto"/>
        <w:jc w:val="both"/>
        <w:rPr>
          <w:rFonts w:ascii="Times New Roman" w:eastAsia="Times New Roman" w:hAnsi="Times New Roman"/>
          <w:noProof/>
          <w:color w:val="475055"/>
          <w:sz w:val="24"/>
          <w:szCs w:val="24"/>
          <w:lang w:val="fr-BE"/>
        </w:rPr>
      </w:pP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Cour de justice a estimé que le remplacement de la </w:t>
      </w:r>
      <w:r>
        <w:rPr>
          <w:rFonts w:ascii="Times New Roman" w:hAnsi="Times New Roman"/>
          <w:noProof/>
          <w:sz w:val="24"/>
          <w:lang w:val="fr-BE"/>
        </w:rPr>
        <w:t xml:space="preserve">redevance audiovisuelle (qui était due sur la base de la possession d’un appareil récepteur de radiodiffusion) par la contribution audiovisuelle (qui est due entre autres sur la base de l’occupation d’un logement ou d’un local commercial) ne constitue pas </w:t>
      </w:r>
      <w:r>
        <w:rPr>
          <w:rFonts w:ascii="Times New Roman" w:hAnsi="Times New Roman"/>
          <w:noProof/>
          <w:sz w:val="24"/>
          <w:lang w:val="fr-BE"/>
        </w:rPr>
        <w:t>une modification substantielle du système de financement de la radiodiffusion publique en Allemagne. Il n’était donc pas nécessaire de la notifier à la Commission en tant que modification d’une aide d’État existante.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remplacement de la redevance audiovi</w:t>
      </w:r>
      <w:r>
        <w:rPr>
          <w:rFonts w:ascii="Times New Roman" w:hAnsi="Times New Roman"/>
          <w:noProof/>
          <w:sz w:val="24"/>
          <w:lang w:val="fr-BE"/>
        </w:rPr>
        <w:t>suelle par la contribution audiovisuelle a été effectué afin de simplifier la perception de la contribution audiovisuelle, dans un contexte d’évolution des technologies de réception des programmes des radiodiffuseurs publics. En outre, cette simplification</w:t>
      </w:r>
      <w:r>
        <w:rPr>
          <w:rFonts w:ascii="Times New Roman" w:hAnsi="Times New Roman"/>
          <w:noProof/>
          <w:sz w:val="24"/>
          <w:lang w:val="fr-BE"/>
        </w:rPr>
        <w:t xml:space="preserve"> n’a pas conduit à une augmentation substantielle de la compensation perçue par les radiodiffuseurs publics pour couvrir les coûts associés aux missions de service public dont ils ont la charge. </w:t>
      </w:r>
    </w:p>
    <w:p w:rsidR="00D9323F" w:rsidRDefault="00F47CDD">
      <w:pPr>
        <w:spacing w:before="200" w:after="0" w:line="240" w:lineRule="auto"/>
        <w:jc w:val="both"/>
        <w:rPr>
          <w:rFonts w:ascii="Times New Roman" w:hAnsi="Times New Roman"/>
          <w:i/>
          <w:noProof/>
          <w:sz w:val="24"/>
          <w:szCs w:val="24"/>
          <w:lang w:val="fr-BE"/>
        </w:rPr>
      </w:pPr>
      <w:r>
        <w:rPr>
          <w:rFonts w:ascii="Times New Roman" w:hAnsi="Times New Roman"/>
          <w:i/>
          <w:noProof/>
          <w:sz w:val="24"/>
          <w:lang w:val="fr-BE"/>
        </w:rPr>
        <w:t>Questions de procédure</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En 2018, les juridictions de l’UE ont</w:t>
      </w:r>
      <w:r>
        <w:rPr>
          <w:rFonts w:ascii="Times New Roman" w:hAnsi="Times New Roman"/>
          <w:noProof/>
          <w:sz w:val="24"/>
          <w:lang w:val="fr-BE"/>
        </w:rPr>
        <w:t xml:space="preserve"> rendu un certain nombre d’arrêts pertinents sur des questions de procédure.</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 xml:space="preserve">Dans son arrêt dans l’affaire </w:t>
      </w:r>
      <w:r>
        <w:rPr>
          <w:rFonts w:ascii="Times New Roman" w:hAnsi="Times New Roman"/>
          <w:i/>
          <w:noProof/>
          <w:sz w:val="24"/>
          <w:lang w:val="fr-BE"/>
        </w:rPr>
        <w:t>Ports maritimes néerlandais</w:t>
      </w:r>
      <w:r>
        <w:rPr>
          <w:rFonts w:ascii="Times New Roman" w:hAnsi="Times New Roman"/>
          <w:noProof/>
          <w:sz w:val="24"/>
          <w:vertAlign w:val="superscript"/>
        </w:rPr>
        <w:footnoteReference w:id="151"/>
      </w:r>
      <w:r>
        <w:rPr>
          <w:rFonts w:ascii="Times New Roman" w:hAnsi="Times New Roman"/>
          <w:noProof/>
          <w:sz w:val="24"/>
          <w:lang w:val="fr-BE"/>
        </w:rPr>
        <w:t>, le Tribunal a rejeté le pourvoi des ports maritimes publics néerlandais (soutenus par les Pays-Bas) et confirmé une déc</w:t>
      </w:r>
      <w:r>
        <w:rPr>
          <w:rFonts w:ascii="Times New Roman" w:hAnsi="Times New Roman"/>
          <w:noProof/>
          <w:sz w:val="24"/>
          <w:lang w:val="fr-BE"/>
        </w:rPr>
        <w:t>ision de la Commission de 2016. La Commission avait estimé que l’exonération néerlandaise de l’impôt sur les sociétés en faveur des ports maritimes publics constituait une aide incompatible avec le marché intérieur. L’aide étant existante, la Commission av</w:t>
      </w:r>
      <w:r>
        <w:rPr>
          <w:rFonts w:ascii="Times New Roman" w:hAnsi="Times New Roman"/>
          <w:noProof/>
          <w:sz w:val="24"/>
          <w:lang w:val="fr-BE"/>
        </w:rPr>
        <w:t>ait demandé aux Pays-Bas de la supprimer au plus tard le 1</w:t>
      </w:r>
      <w:r>
        <w:rPr>
          <w:rFonts w:ascii="Times New Roman" w:hAnsi="Times New Roman"/>
          <w:noProof/>
          <w:sz w:val="24"/>
          <w:vertAlign w:val="superscript"/>
          <w:lang w:val="fr-BE"/>
        </w:rPr>
        <w:t>er</w:t>
      </w:r>
      <w:r>
        <w:rPr>
          <w:rFonts w:ascii="Times New Roman" w:hAnsi="Times New Roman"/>
          <w:noProof/>
          <w:sz w:val="24"/>
          <w:lang w:val="fr-BE"/>
        </w:rPr>
        <w:t> janvier 2017. L’arrêt se concentre principalement sur l’application du principe de l’égalité de traitement par la Commission. Les requérants reprochaient à la Commission de ne pas avoir achevé le</w:t>
      </w:r>
      <w:r>
        <w:rPr>
          <w:rFonts w:ascii="Times New Roman" w:hAnsi="Times New Roman"/>
          <w:noProof/>
          <w:sz w:val="24"/>
          <w:lang w:val="fr-BE"/>
        </w:rPr>
        <w:t xml:space="preserve">s enquêtes sur des mesures similaires mises en œuvre par la Belgique, la France et l’Allemagne en même temps que celle des Pays-Bas. </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 xml:space="preserve">Le Tribunal a d’abord conclu que la Commission avait suffisamment motivé sa décision et qu’elle avait clairement expliqué </w:t>
      </w:r>
      <w:r>
        <w:rPr>
          <w:rFonts w:ascii="Times New Roman" w:hAnsi="Times New Roman"/>
          <w:noProof/>
          <w:sz w:val="24"/>
          <w:lang w:val="fr-BE"/>
        </w:rPr>
        <w:t>pourquoi elle estimait que la situation des ports maritimes concurrents n’était pas pertinente. Sur cette base, il était normal que la Commission ne donne pas d’autres explications quant aux enquêtes qu’elle menait sur ces ports maritimes concurrents. Le T</w:t>
      </w:r>
      <w:r>
        <w:rPr>
          <w:rFonts w:ascii="Times New Roman" w:hAnsi="Times New Roman"/>
          <w:noProof/>
          <w:sz w:val="24"/>
          <w:lang w:val="fr-BE"/>
        </w:rPr>
        <w:t>ribunal a ensuite rappelé qu’une éventuelle violation par un État membre d’une obligation qui lui incombe en vertu du traité, notamment de l’article 107, paragraphe 1, du TFUE, ne saurait être justifiée par le fait que d’autres États membres pourraient éga</w:t>
      </w:r>
      <w:r>
        <w:rPr>
          <w:rFonts w:ascii="Times New Roman" w:hAnsi="Times New Roman"/>
          <w:noProof/>
          <w:sz w:val="24"/>
          <w:lang w:val="fr-BE"/>
        </w:rPr>
        <w:t xml:space="preserve">lement manquer à cette obligation et que plusieurs distorsions de concurrence ne se neutralisent pas mutuellement, mais ont, au contraire, un effet cumulé. </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 xml:space="preserve">Le Tribunal a en outre relevé que le respect du principe d’égalité de traitement doit se concilier </w:t>
      </w:r>
      <w:r>
        <w:rPr>
          <w:rFonts w:ascii="Times New Roman" w:hAnsi="Times New Roman"/>
          <w:noProof/>
          <w:sz w:val="24"/>
          <w:lang w:val="fr-BE"/>
        </w:rPr>
        <w:t>avec celui du principe de légalité, ce qui implique que nul ne peut invoquer à son profit une illégalité commise en faveur d’autrui. La Commission ayant estimé que l’exonération néerlandaise de l’impôt sur les sociétés constituait une aide incompatible ave</w:t>
      </w:r>
      <w:r>
        <w:rPr>
          <w:rFonts w:ascii="Times New Roman" w:hAnsi="Times New Roman"/>
          <w:noProof/>
          <w:sz w:val="24"/>
          <w:lang w:val="fr-BE"/>
        </w:rPr>
        <w:t>c le marché intérieur et devait être supprimée, les requérants ne pouvaient retirer du principe de l’égalité de traitement le droit de continuer à bénéficier de cette aide incompatible avec le marché intérieur.</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 xml:space="preserve">L’arrêt du Tribunal dans l’affaire </w:t>
      </w:r>
      <w:r>
        <w:rPr>
          <w:rFonts w:ascii="Times New Roman" w:hAnsi="Times New Roman"/>
          <w:i/>
          <w:noProof/>
          <w:sz w:val="24"/>
          <w:lang w:val="fr-BE"/>
        </w:rPr>
        <w:t xml:space="preserve">Tempus </w:t>
      </w:r>
      <w:r>
        <w:rPr>
          <w:rFonts w:ascii="Times New Roman" w:hAnsi="Times New Roman"/>
          <w:i/>
          <w:noProof/>
          <w:sz w:val="24"/>
          <w:lang w:val="fr-BE"/>
        </w:rPr>
        <w:t>Energy</w:t>
      </w:r>
      <w:r>
        <w:rPr>
          <w:rFonts w:ascii="Times New Roman" w:hAnsi="Times New Roman"/>
          <w:noProof/>
          <w:sz w:val="24"/>
          <w:vertAlign w:val="superscript"/>
        </w:rPr>
        <w:footnoteReference w:id="152"/>
      </w:r>
      <w:r>
        <w:rPr>
          <w:rFonts w:ascii="Times New Roman" w:hAnsi="Times New Roman"/>
          <w:noProof/>
          <w:sz w:val="24"/>
          <w:lang w:val="fr-BE"/>
        </w:rPr>
        <w:t xml:space="preserve"> constitue un autre arrêt important en ce qui concerne les questions de procédure. Le Tribunal a annulé une décision de la Commission de 2014 qui déclarait une aide d’État en faveur d’un mécanisme de capacité britannique compatible avec le marché in</w:t>
      </w:r>
      <w:r>
        <w:rPr>
          <w:rFonts w:ascii="Times New Roman" w:hAnsi="Times New Roman"/>
          <w:noProof/>
          <w:sz w:val="24"/>
          <w:lang w:val="fr-BE"/>
        </w:rPr>
        <w:t>térieur. L’annulation se fondait sur l’avis du Tribunal selon lequel la Commission aurait dû ouvrir la procédure formelle d’examen prévue à l’article 108, paragraphe 2, du TFUE, compte tenu des circonstances de l’examen préliminaire et des caractéristiques</w:t>
      </w:r>
      <w:r>
        <w:rPr>
          <w:rFonts w:ascii="Times New Roman" w:hAnsi="Times New Roman"/>
          <w:noProof/>
          <w:sz w:val="24"/>
          <w:lang w:val="fr-BE"/>
        </w:rPr>
        <w:t xml:space="preserve"> de la mesure. En particulier, le Tribunal a estimé que la Commission aurait dû ouvrir la procédure formelle d’examen compte tenu de la durée de la phase de prénotification (environ 18 mois), de la complexité et de la nouveauté de l’affaire (il s’agissait </w:t>
      </w:r>
      <w:r>
        <w:rPr>
          <w:rFonts w:ascii="Times New Roman" w:hAnsi="Times New Roman"/>
          <w:noProof/>
          <w:sz w:val="24"/>
          <w:lang w:val="fr-BE"/>
        </w:rPr>
        <w:t>de la première décision autorisant un mécanisme de capacité au titre des nouvelles lignes directrices concernant les aides d’État à la protection de l’environnement et à l’énergie pour la période 2014-2020</w:t>
      </w:r>
      <w:r>
        <w:rPr>
          <w:rFonts w:ascii="Times New Roman" w:hAnsi="Times New Roman"/>
          <w:noProof/>
          <w:sz w:val="24"/>
          <w:vertAlign w:val="superscript"/>
        </w:rPr>
        <w:footnoteReference w:id="153"/>
      </w:r>
      <w:r>
        <w:rPr>
          <w:rFonts w:ascii="Times New Roman" w:hAnsi="Times New Roman"/>
          <w:noProof/>
          <w:sz w:val="24"/>
          <w:lang w:val="fr-BE"/>
        </w:rPr>
        <w:t>) et de son importance au regard des montants élev</w:t>
      </w:r>
      <w:r>
        <w:rPr>
          <w:rFonts w:ascii="Times New Roman" w:hAnsi="Times New Roman"/>
          <w:noProof/>
          <w:sz w:val="24"/>
          <w:lang w:val="fr-BE"/>
        </w:rPr>
        <w:t>és de l’aide.</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Øresund</w:t>
      </w:r>
      <w:r>
        <w:rPr>
          <w:rFonts w:ascii="Times New Roman" w:hAnsi="Times New Roman"/>
          <w:noProof/>
          <w:sz w:val="24"/>
          <w:vertAlign w:val="superscript"/>
        </w:rPr>
        <w:footnoteReference w:id="154"/>
      </w:r>
      <w:r>
        <w:rPr>
          <w:rFonts w:ascii="Times New Roman" w:hAnsi="Times New Roman"/>
          <w:noProof/>
          <w:sz w:val="24"/>
          <w:lang w:val="fr-BE"/>
        </w:rPr>
        <w:t xml:space="preserve">, le Tribunal a partiellement annulé la décision de la Commission de 2014 autorisant les garanties étatiques accordées par le Danemark et la Suède en faveur de la construction et de l’exploitation de la liaison fixe du </w:t>
      </w:r>
      <w:r>
        <w:rPr>
          <w:rFonts w:ascii="Times New Roman" w:hAnsi="Times New Roman"/>
          <w:noProof/>
          <w:sz w:val="24"/>
          <w:lang w:val="fr-BE"/>
        </w:rPr>
        <w:t>Sund (un tunnel et un pont à péage d’une longueur de 16 kilomètres reliant les deux pays). Dans sa décision, la Commission avait déclaré l’aide d’État compatible avec le marché intérieur en vertu de l’article 107, paragraphe 3, point b), du TFUE en tant qu</w:t>
      </w:r>
      <w:r>
        <w:rPr>
          <w:rFonts w:ascii="Times New Roman" w:hAnsi="Times New Roman"/>
          <w:noProof/>
          <w:sz w:val="24"/>
          <w:lang w:val="fr-BE"/>
        </w:rPr>
        <w:t>e financement d’un projet important d’intérêt européen commun (PIIEC). Le Tribunal a confirmé la décision dans la mesure où il a estimé que le financement par l’État de l’infrastructure ferroviaire intérieure reliant la liaison fixe aux réseaux ferroviaire</w:t>
      </w:r>
      <w:r>
        <w:rPr>
          <w:rFonts w:ascii="Times New Roman" w:hAnsi="Times New Roman"/>
          <w:noProof/>
          <w:sz w:val="24"/>
          <w:lang w:val="fr-BE"/>
        </w:rPr>
        <w:t>s nationaux ne constituait pas une aide d’État puisqu’il n’existe aucun marché pour l’exploitation des réseaux ferroviaires nationaux au Danemark ou en Suède. Toutefois, le Tribunal a constaté que la Commission avait rencontré de sérieuses difficultés pour</w:t>
      </w:r>
      <w:r>
        <w:rPr>
          <w:rFonts w:ascii="Times New Roman" w:hAnsi="Times New Roman"/>
          <w:noProof/>
          <w:sz w:val="24"/>
          <w:lang w:val="fr-BE"/>
        </w:rPr>
        <w:t xml:space="preserve"> établir la compatibilité avec le marché intérieur de l’aide d’État en faveur de la liaison fixe sur plusieurs points, notamment en ce qui concerne la nécessité et la proportionnalité des garanties étatiques qui n’étaient pas clairement quantifiées en rais</w:t>
      </w:r>
      <w:r>
        <w:rPr>
          <w:rFonts w:ascii="Times New Roman" w:hAnsi="Times New Roman"/>
          <w:noProof/>
          <w:sz w:val="24"/>
          <w:lang w:val="fr-BE"/>
        </w:rPr>
        <w:t>on de leur montant et de leur durée indéfinis. La Commission aurait donc dû ouvrir une procédure formelle d’examen conformément à l’article 108, paragraphe 2, du TFUE.</w:t>
      </w:r>
    </w:p>
    <w:p w:rsidR="00D9323F" w:rsidRDefault="00F47CDD">
      <w:pPr>
        <w:spacing w:before="200" w:line="240" w:lineRule="auto"/>
        <w:jc w:val="both"/>
        <w:rPr>
          <w:rFonts w:ascii="Times New Roman" w:hAnsi="Times New Roman"/>
          <w:noProof/>
          <w:sz w:val="24"/>
          <w:szCs w:val="24"/>
          <w:lang w:val="fr-BE"/>
        </w:rPr>
      </w:pPr>
      <w:r>
        <w:rPr>
          <w:rFonts w:ascii="Times New Roman" w:hAnsi="Times New Roman"/>
          <w:noProof/>
          <w:sz w:val="24"/>
          <w:lang w:val="fr-BE"/>
        </w:rPr>
        <w:t xml:space="preserve">Enfin, il convient de mentionner l’arrêt dans l’affaire </w:t>
      </w:r>
      <w:r>
        <w:rPr>
          <w:rFonts w:ascii="Times New Roman" w:hAnsi="Times New Roman"/>
          <w:i/>
          <w:noProof/>
          <w:sz w:val="24"/>
          <w:lang w:val="fr-BE"/>
        </w:rPr>
        <w:t>Montessori</w:t>
      </w:r>
      <w:r>
        <w:rPr>
          <w:rFonts w:ascii="Times New Roman" w:hAnsi="Times New Roman"/>
          <w:noProof/>
          <w:sz w:val="24"/>
          <w:vertAlign w:val="superscript"/>
        </w:rPr>
        <w:footnoteReference w:id="155"/>
      </w:r>
      <w:r>
        <w:rPr>
          <w:rFonts w:ascii="Times New Roman" w:hAnsi="Times New Roman"/>
          <w:noProof/>
          <w:sz w:val="24"/>
          <w:lang w:val="fr-BE"/>
        </w:rPr>
        <w:t>. L’affaire concernai</w:t>
      </w:r>
      <w:r>
        <w:rPr>
          <w:rFonts w:ascii="Times New Roman" w:hAnsi="Times New Roman"/>
          <w:noProof/>
          <w:sz w:val="24"/>
          <w:lang w:val="fr-BE"/>
        </w:rPr>
        <w:t>t une exonération de la taxe municipale sur les biens immobiliers en Italie pour les entités religieuses et les organisations à but non lucratif à partir de 2006. La Commission a estimé qu’une telle exonération (de 2006 à 2011) constituait une aide illégal</w:t>
      </w:r>
      <w:r>
        <w:rPr>
          <w:rFonts w:ascii="Times New Roman" w:hAnsi="Times New Roman"/>
          <w:noProof/>
          <w:sz w:val="24"/>
          <w:lang w:val="fr-BE"/>
        </w:rPr>
        <w:t>e et incompatible avec le marché intérieur, mais n’a pas ordonné à l’Italie de récupérer l’aide auprès des bénéficiaires, acceptant les arguments avancés par les États membres quant à l’impossibilité absolue de la récupérer. L’arrêt est important pour deux</w:t>
      </w:r>
      <w:r>
        <w:rPr>
          <w:rFonts w:ascii="Times New Roman" w:hAnsi="Times New Roman"/>
          <w:noProof/>
          <w:sz w:val="24"/>
          <w:lang w:val="fr-BE"/>
        </w:rPr>
        <w:t xml:space="preserve"> raisons liées à la procédure, à savoir la recevabilité des recours en annulation prévus par l’article 263, quatrième alinéa, troisième membre de phrase, du TFUE et les principes qui sous-tendent l’impossibilité absolue de récupérer des aides illégales et </w:t>
      </w:r>
      <w:r>
        <w:rPr>
          <w:rFonts w:ascii="Times New Roman" w:hAnsi="Times New Roman"/>
          <w:noProof/>
          <w:sz w:val="24"/>
          <w:lang w:val="fr-BE"/>
        </w:rPr>
        <w:t>incompatibles avec le marché intérieur. Premièrement, la Cour de justice a confirmé pour la première fois qu’une décision en matière d’aide d’État déclarant un régime d’aides incompatible avec le marché intérieur (sans ordonner de récupération) peut être c</w:t>
      </w:r>
      <w:r>
        <w:rPr>
          <w:rFonts w:ascii="Times New Roman" w:hAnsi="Times New Roman"/>
          <w:noProof/>
          <w:sz w:val="24"/>
          <w:lang w:val="fr-BE"/>
        </w:rPr>
        <w:t>onsidérée comme un acte réglementaire susceptible de recours en vertu de l’article 263, quatrième alinéa, troisième membre de phrase, du TFUE. Deuxièmement, la Cour de justice, tout en confirmant que la Commission peut en principe accepter des arguments re</w:t>
      </w:r>
      <w:r>
        <w:rPr>
          <w:rFonts w:ascii="Times New Roman" w:hAnsi="Times New Roman"/>
          <w:noProof/>
          <w:sz w:val="24"/>
          <w:lang w:val="fr-BE"/>
        </w:rPr>
        <w:t>latifs à l’impossibilité absolue de récupérer les aides avant la décision finale, a souligné que la condition d’impossibilité absolue ne peut être remplie lorsque l’État membre invoque des difficultés purement internes. La Cour de justice a estimé que la r</w:t>
      </w:r>
      <w:r>
        <w:rPr>
          <w:rFonts w:ascii="Times New Roman" w:hAnsi="Times New Roman"/>
          <w:noProof/>
          <w:sz w:val="24"/>
          <w:lang w:val="fr-BE"/>
        </w:rPr>
        <w:t>écupération d’aides illégales et incompatibles avec le marché intérieur pouvait être considérée comme objectivement et absolument impossible lorsque i) les difficultés invoquées par les États membres sont réelles et ii) il n’existe pas de modalités alterna</w:t>
      </w:r>
      <w:r>
        <w:rPr>
          <w:rFonts w:ascii="Times New Roman" w:hAnsi="Times New Roman"/>
          <w:noProof/>
          <w:sz w:val="24"/>
          <w:lang w:val="fr-BE"/>
        </w:rPr>
        <w:t>tives de récupération.</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9323F" w:rsidRPr="00F47CDD">
        <w:trPr>
          <w:trHeight w:val="247"/>
        </w:trPr>
        <w:tc>
          <w:tcPr>
            <w:tcW w:w="9120" w:type="dxa"/>
            <w:vAlign w:val="center"/>
          </w:tcPr>
          <w:p w:rsidR="00D9323F" w:rsidRDefault="00F47CDD">
            <w:pPr>
              <w:pStyle w:val="ListParagraph"/>
              <w:widowControl w:val="0"/>
              <w:numPr>
                <w:ilvl w:val="0"/>
                <w:numId w:val="11"/>
              </w:numPr>
              <w:tabs>
                <w:tab w:val="left" w:pos="850"/>
              </w:tabs>
              <w:spacing w:before="80" w:after="80"/>
              <w:ind w:left="714" w:hanging="357"/>
              <w:jc w:val="center"/>
              <w:outlineLvl w:val="0"/>
              <w:rPr>
                <w:rFonts w:ascii="Times New Roman" w:eastAsia="Times New Roman" w:hAnsi="Times New Roman"/>
                <w:b/>
                <w:smallCaps/>
                <w:noProof/>
                <w:sz w:val="24"/>
                <w:szCs w:val="24"/>
                <w:lang w:val="fr-BE"/>
              </w:rPr>
            </w:pPr>
            <w:bookmarkStart w:id="31" w:name="_Toc478566438"/>
            <w:bookmarkStart w:id="32" w:name="_Toc19019198"/>
            <w:r>
              <w:rPr>
                <w:rFonts w:ascii="Times New Roman" w:hAnsi="Times New Roman"/>
                <w:b/>
                <w:smallCaps/>
                <w:noProof/>
                <w:sz w:val="24"/>
                <w:lang w:val="fr-BE"/>
              </w:rPr>
              <w:t>Développement de la dimension internationale de la politique de l’UE en matière de concurrence</w:t>
            </w:r>
            <w:bookmarkEnd w:id="31"/>
            <w:bookmarkEnd w:id="32"/>
          </w:p>
        </w:tc>
      </w:tr>
    </w:tbl>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line="240" w:lineRule="auto"/>
        <w:jc w:val="both"/>
        <w:rPr>
          <w:rFonts w:ascii="Times New Roman" w:hAnsi="Times New Roman"/>
          <w:noProof/>
          <w:sz w:val="24"/>
          <w:szCs w:val="24"/>
          <w:lang w:val="fr-BE"/>
        </w:rPr>
      </w:pPr>
      <w:bookmarkStart w:id="33" w:name="_Toc468289053"/>
      <w:r>
        <w:rPr>
          <w:rFonts w:ascii="Times New Roman" w:hAnsi="Times New Roman"/>
          <w:noProof/>
          <w:sz w:val="24"/>
          <w:lang w:val="fr-BE"/>
        </w:rPr>
        <w:t>L’objectif principal des activités internationales de la Commission dans le domaine de la concurrence est d’encourager une culture mondiale de la concurrence, en promouvant des conditions de concurrence permettant aux entreprises de se livrer une concurren</w:t>
      </w:r>
      <w:r>
        <w:rPr>
          <w:rFonts w:ascii="Times New Roman" w:hAnsi="Times New Roman"/>
          <w:noProof/>
          <w:sz w:val="24"/>
          <w:lang w:val="fr-BE"/>
        </w:rPr>
        <w:t xml:space="preserve">ce fondée sur les mérites à des conditions loyales et équitables dans le monde entier. Les subventions sont également concernées. La stratégie de la Commission comporte un volet multilatéral ainsi qu’un volet bilatéral.  </w:t>
      </w:r>
    </w:p>
    <w:p w:rsidR="00D9323F" w:rsidRDefault="00F47CDD">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lang w:val="fr-BE"/>
        </w:rPr>
        <w:t xml:space="preserve"> </w:t>
      </w:r>
      <w:r>
        <w:rPr>
          <w:rFonts w:ascii="Times New Roman" w:hAnsi="Times New Roman"/>
          <w:b/>
          <w:noProof/>
          <w:sz w:val="24"/>
        </w:rPr>
        <w:t>Relations multilatérales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2018,</w:t>
      </w:r>
      <w:r>
        <w:rPr>
          <w:rFonts w:ascii="Times New Roman" w:hAnsi="Times New Roman"/>
          <w:noProof/>
          <w:sz w:val="24"/>
          <w:lang w:val="fr-BE"/>
        </w:rPr>
        <w:t xml:space="preserve"> la Commission a poursuivi ses efforts pour améliorer les règles multilatérales relatives aux subventions. La réforme des règles en matière de subventions est une des principales priorités de l’UE dans le cadre de la modernisation des règles commerciales d</w:t>
      </w:r>
      <w:r>
        <w:rPr>
          <w:rFonts w:ascii="Times New Roman" w:hAnsi="Times New Roman"/>
          <w:noProof/>
          <w:sz w:val="24"/>
          <w:lang w:val="fr-BE"/>
        </w:rPr>
        <w:t>e l’OMC. En outre, en 2018, la Commission a participé à plusieurs initiatives sectorielles consacrées aux subventions sur la scène internationale, par exemple au forum mondial sur les surcapacités sidérurgiques du G20</w:t>
      </w:r>
      <w:r>
        <w:rPr>
          <w:rFonts w:ascii="Times New Roman" w:hAnsi="Times New Roman"/>
          <w:noProof/>
          <w:sz w:val="24"/>
          <w:vertAlign w:val="superscript"/>
        </w:rPr>
        <w:footnoteReference w:id="156"/>
      </w:r>
      <w:r>
        <w:rPr>
          <w:rFonts w:ascii="Times New Roman" w:hAnsi="Times New Roman"/>
          <w:noProof/>
          <w:sz w:val="24"/>
          <w:lang w:val="fr-BE"/>
        </w:rPr>
        <w:t>, à l’élaboration de lignes directrice</w:t>
      </w:r>
      <w:r>
        <w:rPr>
          <w:rFonts w:ascii="Times New Roman" w:hAnsi="Times New Roman"/>
          <w:noProof/>
          <w:sz w:val="24"/>
          <w:lang w:val="fr-BE"/>
        </w:rPr>
        <w:t>s relatives au soutien régional à l’industrie des semi-conducteurs lors de la réunion gouvernement/autorités sur les semi-conducteurs (</w:t>
      </w:r>
      <w:r>
        <w:rPr>
          <w:rFonts w:ascii="Times New Roman" w:hAnsi="Times New Roman"/>
          <w:i/>
          <w:noProof/>
          <w:sz w:val="24"/>
          <w:lang w:val="fr-BE"/>
        </w:rPr>
        <w:t>Government/authorities meeting on semiconductors</w:t>
      </w:r>
      <w:r>
        <w:rPr>
          <w:rFonts w:ascii="Times New Roman" w:hAnsi="Times New Roman"/>
          <w:noProof/>
          <w:sz w:val="24"/>
          <w:lang w:val="fr-BE"/>
        </w:rPr>
        <w:t xml:space="preserve"> - GAMS)</w:t>
      </w:r>
      <w:r>
        <w:rPr>
          <w:rFonts w:ascii="Times New Roman" w:hAnsi="Times New Roman"/>
          <w:noProof/>
          <w:sz w:val="24"/>
          <w:vertAlign w:val="superscript"/>
        </w:rPr>
        <w:footnoteReference w:id="157"/>
      </w:r>
      <w:r>
        <w:rPr>
          <w:rFonts w:ascii="Times New Roman" w:hAnsi="Times New Roman"/>
          <w:noProof/>
          <w:sz w:val="24"/>
          <w:lang w:val="fr-BE"/>
        </w:rPr>
        <w:t xml:space="preserve"> et à des initiatives en matière de construction navale au sein </w:t>
      </w:r>
      <w:r>
        <w:rPr>
          <w:rFonts w:ascii="Times New Roman" w:hAnsi="Times New Roman"/>
          <w:noProof/>
          <w:sz w:val="24"/>
          <w:lang w:val="fr-BE"/>
        </w:rPr>
        <w:t>de l’OCDE. Enfin, la Commission a travaillé avec les États membres de l’UE au sein du groupe sur les politiques internationales en matière de subventions, recueillant des informations sur les subventions accordées par des pays tiers, procédant à des échang</w:t>
      </w:r>
      <w:r>
        <w:rPr>
          <w:rFonts w:ascii="Times New Roman" w:hAnsi="Times New Roman"/>
          <w:noProof/>
          <w:sz w:val="24"/>
          <w:lang w:val="fr-BE"/>
        </w:rPr>
        <w:t>es de vues et coordonnant des initiatives en la matière tant au niveau multilatéral qu’au niveau bilatéral</w:t>
      </w:r>
      <w:r>
        <w:rPr>
          <w:rFonts w:ascii="Times New Roman" w:hAnsi="Times New Roman"/>
          <w:noProof/>
          <w:sz w:val="24"/>
          <w:vertAlign w:val="superscript"/>
        </w:rPr>
        <w:footnoteReference w:id="158"/>
      </w:r>
      <w:r>
        <w:rPr>
          <w:rFonts w:ascii="Times New Roman" w:hAnsi="Times New Roman"/>
          <w:noProof/>
          <w:sz w:val="24"/>
          <w:lang w:val="fr-BE"/>
        </w:rPr>
        <w:t>.</w:t>
      </w:r>
      <w:r>
        <w:rPr>
          <w:rFonts w:ascii="Times New Roman" w:hAnsi="Times New Roman"/>
          <w:noProof/>
          <w:sz w:val="24"/>
          <w:vertAlign w:val="superscript"/>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continué de participer activement aux instances internationales dans le domaine de la concurrence, telles que le comité d</w:t>
      </w:r>
      <w:r>
        <w:rPr>
          <w:rFonts w:ascii="Times New Roman" w:hAnsi="Times New Roman"/>
          <w:noProof/>
          <w:sz w:val="24"/>
          <w:lang w:val="fr-BE"/>
        </w:rPr>
        <w:t xml:space="preserve">e la concurrence de l’OCDE, le réseau international de la concurrence (RIC), la Banque mondiale et la Conférence des Nations unies sur le commerce et le développement (CNUCED).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Lors de la réunion du comité de la concurrence de l’OCDE en juin 2018, la </w:t>
      </w:r>
      <w:r>
        <w:rPr>
          <w:rFonts w:ascii="Times New Roman" w:hAnsi="Times New Roman"/>
          <w:noProof/>
          <w:sz w:val="24"/>
          <w:lang w:val="fr-BE"/>
        </w:rPr>
        <w:t>Commission a contribué aux discussions sur les programmes de clémence</w:t>
      </w:r>
      <w:r>
        <w:rPr>
          <w:rFonts w:ascii="Times New Roman" w:hAnsi="Times New Roman"/>
          <w:noProof/>
          <w:sz w:val="24"/>
          <w:vertAlign w:val="superscript"/>
        </w:rPr>
        <w:footnoteReference w:id="159"/>
      </w:r>
      <w:r>
        <w:rPr>
          <w:rFonts w:ascii="Times New Roman" w:hAnsi="Times New Roman"/>
          <w:noProof/>
          <w:sz w:val="24"/>
          <w:lang w:val="fr-BE"/>
        </w:rPr>
        <w:t>, les effets non liés aux prix des concentrations</w:t>
      </w:r>
      <w:r>
        <w:rPr>
          <w:rFonts w:ascii="Times New Roman" w:hAnsi="Times New Roman"/>
          <w:noProof/>
          <w:sz w:val="24"/>
          <w:vertAlign w:val="superscript"/>
        </w:rPr>
        <w:footnoteReference w:id="160"/>
      </w:r>
      <w:r>
        <w:rPr>
          <w:rFonts w:ascii="Times New Roman" w:hAnsi="Times New Roman"/>
          <w:noProof/>
          <w:sz w:val="24"/>
          <w:lang w:val="fr-BE"/>
        </w:rPr>
        <w:t>, l’incidence du commerce électronique sur la politique de concurrence</w:t>
      </w:r>
      <w:r>
        <w:rPr>
          <w:rFonts w:ascii="Times New Roman" w:hAnsi="Times New Roman"/>
          <w:noProof/>
          <w:sz w:val="24"/>
          <w:vertAlign w:val="superscript"/>
        </w:rPr>
        <w:footnoteReference w:id="161"/>
      </w:r>
      <w:r>
        <w:rPr>
          <w:rFonts w:ascii="Times New Roman" w:hAnsi="Times New Roman"/>
          <w:noProof/>
          <w:sz w:val="24"/>
          <w:lang w:val="fr-BE"/>
        </w:rPr>
        <w:t xml:space="preserve"> et la concentration du marché</w:t>
      </w:r>
      <w:r>
        <w:rPr>
          <w:rFonts w:ascii="Times New Roman" w:hAnsi="Times New Roman"/>
          <w:noProof/>
          <w:sz w:val="24"/>
          <w:vertAlign w:val="superscript"/>
        </w:rPr>
        <w:footnoteReference w:id="162"/>
      </w:r>
      <w:r>
        <w:rPr>
          <w:rFonts w:ascii="Times New Roman" w:hAnsi="Times New Roman"/>
          <w:noProof/>
          <w:sz w:val="24"/>
          <w:lang w:val="fr-BE"/>
        </w:rPr>
        <w:t xml:space="preserve">. En décembre 2018, la Commission </w:t>
      </w:r>
      <w:r>
        <w:rPr>
          <w:rFonts w:ascii="Times New Roman" w:hAnsi="Times New Roman"/>
          <w:noProof/>
          <w:sz w:val="24"/>
          <w:lang w:val="fr-BE"/>
        </w:rPr>
        <w:t>a contribué aux délibérations du comité de la concurrence sur le traitement, dans les affaires de concurrence, des informations couvertes par le privilège professionnel légal</w:t>
      </w:r>
      <w:r>
        <w:rPr>
          <w:rFonts w:ascii="Times New Roman" w:hAnsi="Times New Roman"/>
          <w:noProof/>
          <w:sz w:val="24"/>
          <w:vertAlign w:val="superscript"/>
        </w:rPr>
        <w:footnoteReference w:id="163"/>
      </w:r>
      <w:r>
        <w:rPr>
          <w:rFonts w:ascii="Times New Roman" w:hAnsi="Times New Roman"/>
          <w:noProof/>
          <w:sz w:val="24"/>
          <w:lang w:val="fr-BE"/>
        </w:rPr>
        <w:t>, les effets suspensifs des notifications de fusion et la réalisation anticipée d</w:t>
      </w:r>
      <w:r>
        <w:rPr>
          <w:rFonts w:ascii="Times New Roman" w:hAnsi="Times New Roman"/>
          <w:noProof/>
          <w:sz w:val="24"/>
          <w:lang w:val="fr-BE"/>
        </w:rPr>
        <w:t>es opérations (</w:t>
      </w:r>
      <w:r>
        <w:rPr>
          <w:rFonts w:ascii="Times New Roman" w:hAnsi="Times New Roman"/>
          <w:i/>
          <w:noProof/>
          <w:sz w:val="24"/>
          <w:lang w:val="fr-BE"/>
        </w:rPr>
        <w:t>gun jumping</w:t>
      </w:r>
      <w:r>
        <w:rPr>
          <w:rFonts w:ascii="Times New Roman" w:hAnsi="Times New Roman"/>
          <w:noProof/>
          <w:sz w:val="24"/>
          <w:lang w:val="fr-BE"/>
        </w:rPr>
        <w:t>)</w:t>
      </w:r>
      <w:r>
        <w:rPr>
          <w:rFonts w:ascii="Times New Roman" w:hAnsi="Times New Roman"/>
          <w:noProof/>
          <w:sz w:val="24"/>
          <w:vertAlign w:val="superscript"/>
        </w:rPr>
        <w:footnoteReference w:id="164"/>
      </w:r>
      <w:r>
        <w:rPr>
          <w:rFonts w:ascii="Times New Roman" w:hAnsi="Times New Roman"/>
          <w:noProof/>
          <w:sz w:val="24"/>
          <w:lang w:val="fr-BE"/>
        </w:rPr>
        <w:t>, le prix excessif des produits pharmaceutiques</w:t>
      </w:r>
      <w:r>
        <w:rPr>
          <w:rFonts w:ascii="Times New Roman" w:hAnsi="Times New Roman"/>
          <w:noProof/>
          <w:sz w:val="24"/>
          <w:vertAlign w:val="superscript"/>
        </w:rPr>
        <w:footnoteReference w:id="165"/>
      </w:r>
      <w:r>
        <w:rPr>
          <w:rFonts w:ascii="Times New Roman" w:hAnsi="Times New Roman"/>
          <w:noProof/>
          <w:sz w:val="24"/>
          <w:lang w:val="fr-BE"/>
        </w:rPr>
        <w:t>, la personnification des prix à l’ère numérique</w:t>
      </w:r>
      <w:r>
        <w:rPr>
          <w:rFonts w:ascii="Times New Roman" w:hAnsi="Times New Roman"/>
          <w:noProof/>
          <w:sz w:val="24"/>
          <w:vertAlign w:val="superscript"/>
        </w:rPr>
        <w:footnoteReference w:id="166"/>
      </w:r>
      <w:r>
        <w:rPr>
          <w:rFonts w:ascii="Times New Roman" w:hAnsi="Times New Roman"/>
          <w:noProof/>
          <w:sz w:val="24"/>
          <w:lang w:val="fr-BE"/>
        </w:rPr>
        <w:t>, la problématique de la qualité dans les secteurs de l’économie sans contrepartie financière</w:t>
      </w:r>
      <w:r>
        <w:rPr>
          <w:rFonts w:ascii="Times New Roman" w:hAnsi="Times New Roman"/>
          <w:noProof/>
          <w:sz w:val="24"/>
          <w:vertAlign w:val="superscript"/>
        </w:rPr>
        <w:footnoteReference w:id="167"/>
      </w:r>
      <w:r>
        <w:rPr>
          <w:rFonts w:ascii="Times New Roman" w:hAnsi="Times New Roman"/>
          <w:noProof/>
          <w:sz w:val="24"/>
          <w:lang w:val="fr-BE"/>
        </w:rPr>
        <w:t xml:space="preserve">, les avantages et défis des accords </w:t>
      </w:r>
      <w:r>
        <w:rPr>
          <w:rFonts w:ascii="Times New Roman" w:hAnsi="Times New Roman"/>
          <w:noProof/>
          <w:sz w:val="24"/>
          <w:lang w:val="fr-BE"/>
        </w:rPr>
        <w:t>de coopération régionale en matière de concurrence</w:t>
      </w:r>
      <w:r>
        <w:rPr>
          <w:rFonts w:ascii="Times New Roman" w:hAnsi="Times New Roman"/>
          <w:noProof/>
          <w:sz w:val="24"/>
          <w:vertAlign w:val="superscript"/>
        </w:rPr>
        <w:footnoteReference w:id="168"/>
      </w:r>
      <w:r>
        <w:rPr>
          <w:rFonts w:ascii="Times New Roman" w:hAnsi="Times New Roman"/>
          <w:noProof/>
          <w:sz w:val="24"/>
          <w:lang w:val="fr-BE"/>
        </w:rPr>
        <w:t xml:space="preserve"> et les pouvoirs d’investigation en pratique</w:t>
      </w:r>
      <w:r>
        <w:rPr>
          <w:rFonts w:ascii="Times New Roman" w:hAnsi="Times New Roman"/>
          <w:noProof/>
          <w:sz w:val="24"/>
          <w:vertAlign w:val="superscript"/>
        </w:rPr>
        <w:footnoteReference w:id="169"/>
      </w:r>
      <w:r>
        <w:rPr>
          <w:rFonts w:ascii="Times New Roman" w:hAnsi="Times New Roman"/>
          <w:noProof/>
          <w:sz w:val="24"/>
          <w:lang w:val="fr-BE"/>
        </w:rPr>
        <w:t>.</w:t>
      </w:r>
    </w:p>
    <w:p w:rsidR="00D9323F" w:rsidRDefault="00F47CDD">
      <w:pPr>
        <w:autoSpaceDE w:val="0"/>
        <w:autoSpaceDN w:val="0"/>
        <w:adjustRightInd w:val="0"/>
        <w:spacing w:after="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lang w:val="fr-BE"/>
        </w:rPr>
        <w:t>En mars 2018, la Commission a participé à la conférence annuelle du RIC à New Delhi. Tout au long de l’année, la Commission a coprésidé le groupe de travail d</w:t>
      </w:r>
      <w:r>
        <w:rPr>
          <w:rFonts w:ascii="Times New Roman" w:eastAsiaTheme="minorHAnsi" w:hAnsi="Times New Roman"/>
          <w:noProof/>
          <w:color w:val="000000"/>
          <w:sz w:val="24"/>
          <w:lang w:val="fr-BE"/>
        </w:rPr>
        <w:t>u RIC sur les ententes et a contribué à plusieurs projets tels que l’enquête sur les «éléments clés pour un programme de clémence efficace et efficient et son application» et le nouveau chapitre du manuel du RIC sur la mise en œuvre des règles en matière d</w:t>
      </w:r>
      <w:r>
        <w:rPr>
          <w:rFonts w:ascii="Times New Roman" w:eastAsiaTheme="minorHAnsi" w:hAnsi="Times New Roman"/>
          <w:noProof/>
          <w:color w:val="000000"/>
          <w:sz w:val="24"/>
          <w:lang w:val="fr-BE"/>
        </w:rPr>
        <w:t>’ententes par la sphère privée (</w:t>
      </w:r>
      <w:r>
        <w:rPr>
          <w:rFonts w:ascii="Times New Roman" w:eastAsiaTheme="minorHAnsi" w:hAnsi="Times New Roman"/>
          <w:i/>
          <w:noProof/>
          <w:color w:val="000000"/>
          <w:sz w:val="24"/>
          <w:lang w:val="fr-BE"/>
        </w:rPr>
        <w:t>Anti-Cartel Enforcement Manual on Private Enforcement</w:t>
      </w:r>
      <w:r>
        <w:rPr>
          <w:rFonts w:ascii="Times New Roman" w:eastAsiaTheme="minorHAnsi" w:hAnsi="Times New Roman"/>
          <w:noProof/>
          <w:color w:val="000000"/>
          <w:sz w:val="24"/>
          <w:lang w:val="fr-BE"/>
        </w:rPr>
        <w:t>). La Commission est également un membre actif des autres groupes de travail du RIC; le groupe de travail sur les concentrations, le groupe de travail sur les comportement</w:t>
      </w:r>
      <w:r>
        <w:rPr>
          <w:rFonts w:ascii="Times New Roman" w:eastAsiaTheme="minorHAnsi" w:hAnsi="Times New Roman"/>
          <w:noProof/>
          <w:color w:val="000000"/>
          <w:sz w:val="24"/>
          <w:lang w:val="fr-BE"/>
        </w:rPr>
        <w:t xml:space="preserve">s unilatéraux, le groupe de travail sur la sensibilisation et le groupe de travail sur l’efficacité des organismes. </w:t>
      </w:r>
    </w:p>
    <w:p w:rsidR="00D9323F" w:rsidRDefault="00D9323F">
      <w:pPr>
        <w:autoSpaceDE w:val="0"/>
        <w:autoSpaceDN w:val="0"/>
        <w:adjustRightInd w:val="0"/>
        <w:spacing w:after="0" w:line="240" w:lineRule="auto"/>
        <w:jc w:val="both"/>
        <w:rPr>
          <w:rFonts w:ascii="Times New Roman" w:eastAsiaTheme="minorHAnsi" w:hAnsi="Times New Roman"/>
          <w:noProof/>
          <w:color w:val="000000"/>
          <w:sz w:val="24"/>
          <w:szCs w:val="24"/>
          <w:lang w:val="fr-BE"/>
        </w:rPr>
      </w:pPr>
    </w:p>
    <w:p w:rsidR="00D9323F" w:rsidRDefault="00F47CDD">
      <w:pPr>
        <w:autoSpaceDE w:val="0"/>
        <w:autoSpaceDN w:val="0"/>
        <w:adjustRightInd w:val="0"/>
        <w:spacing w:after="240" w:line="240" w:lineRule="auto"/>
        <w:jc w:val="both"/>
        <w:rPr>
          <w:rFonts w:ascii="Times New Roman" w:eastAsiaTheme="minorHAnsi" w:hAnsi="Times New Roman"/>
          <w:noProof/>
          <w:color w:val="000000"/>
          <w:sz w:val="24"/>
          <w:szCs w:val="24"/>
          <w:vertAlign w:val="superscript"/>
          <w:lang w:val="fr-BE"/>
        </w:rPr>
      </w:pPr>
      <w:r>
        <w:rPr>
          <w:rFonts w:ascii="Times New Roman" w:eastAsiaTheme="minorHAnsi" w:hAnsi="Times New Roman"/>
          <w:noProof/>
          <w:color w:val="000000"/>
          <w:sz w:val="24"/>
          <w:lang w:val="fr-BE"/>
        </w:rPr>
        <w:t xml:space="preserve">La Commission a participé à la dix-septième session du groupe intergouvernemental d’experts du droit et de la politique de la concurrence </w:t>
      </w:r>
      <w:r>
        <w:rPr>
          <w:rFonts w:ascii="Times New Roman" w:eastAsiaTheme="minorHAnsi" w:hAnsi="Times New Roman"/>
          <w:noProof/>
          <w:color w:val="000000"/>
          <w:sz w:val="24"/>
          <w:lang w:val="fr-BE"/>
        </w:rPr>
        <w:t>de la CNUCED, qui s’est tenue à Genève en juillet 2018. Lors de cette conférence, des discussions ont eu lieu sur les difficultés auxquelles sont confrontés les pays en développement en matière de concurrence et de réglementation dans le secteur du transpo</w:t>
      </w:r>
      <w:r>
        <w:rPr>
          <w:rFonts w:ascii="Times New Roman" w:eastAsiaTheme="minorHAnsi" w:hAnsi="Times New Roman"/>
          <w:noProof/>
          <w:color w:val="000000"/>
          <w:sz w:val="24"/>
          <w:lang w:val="fr-BE"/>
        </w:rPr>
        <w:t>rt maritime, de renforcement des capacités dans le domaine du droit et de la politique de la concurrence ainsi que de questions de concurrence dans la vente des droits audiovisuels pour les grands événements sportifs</w:t>
      </w:r>
      <w:r>
        <w:rPr>
          <w:rFonts w:ascii="Times New Roman" w:eastAsiaTheme="minorHAnsi" w:hAnsi="Times New Roman"/>
          <w:noProof/>
          <w:color w:val="000000"/>
          <w:sz w:val="24"/>
          <w:vertAlign w:val="superscript"/>
        </w:rPr>
        <w:footnoteReference w:id="170"/>
      </w:r>
      <w:r>
        <w:rPr>
          <w:rFonts w:ascii="Times New Roman" w:eastAsiaTheme="minorHAnsi" w:hAnsi="Times New Roman"/>
          <w:noProof/>
          <w:color w:val="000000"/>
          <w:sz w:val="24"/>
          <w:lang w:val="fr-BE"/>
        </w:rPr>
        <w:t>. En outre, en 2018, la Commission a co</w:t>
      </w:r>
      <w:r>
        <w:rPr>
          <w:rFonts w:ascii="Times New Roman" w:eastAsiaTheme="minorHAnsi" w:hAnsi="Times New Roman"/>
          <w:noProof/>
          <w:color w:val="000000"/>
          <w:sz w:val="24"/>
          <w:lang w:val="fr-BE"/>
        </w:rPr>
        <w:t>ntribué à une proposition de la CNUCED visant à élaborer une boîte à outils sur la coopération internationale au sein du groupe de discussion de la CNUCED sur la coopération internationale</w:t>
      </w:r>
      <w:r>
        <w:rPr>
          <w:rFonts w:ascii="Times New Roman" w:eastAsiaTheme="minorHAnsi" w:hAnsi="Times New Roman"/>
          <w:noProof/>
          <w:color w:val="000000"/>
          <w:sz w:val="24"/>
          <w:vertAlign w:val="superscript"/>
        </w:rPr>
        <w:footnoteReference w:id="171"/>
      </w:r>
      <w:r>
        <w:rPr>
          <w:rFonts w:ascii="Times New Roman" w:eastAsiaTheme="minorHAnsi" w:hAnsi="Times New Roman"/>
          <w:noProof/>
          <w:color w:val="000000"/>
          <w:sz w:val="24"/>
          <w:lang w:val="fr-BE"/>
        </w:rPr>
        <w:t>.</w:t>
      </w:r>
      <w:r>
        <w:rPr>
          <w:rFonts w:ascii="Times New Roman" w:eastAsiaTheme="minorHAnsi" w:hAnsi="Times New Roman"/>
          <w:noProof/>
          <w:color w:val="000000"/>
          <w:sz w:val="24"/>
          <w:vertAlign w:val="superscript"/>
          <w:lang w:val="fr-BE"/>
        </w:rPr>
        <w:t xml:space="preserve"> </w:t>
      </w:r>
    </w:p>
    <w:p w:rsidR="00D9323F" w:rsidRDefault="00F47CDD">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lang w:val="fr-BE"/>
        </w:rPr>
        <w:t xml:space="preserve"> </w:t>
      </w:r>
      <w:r>
        <w:rPr>
          <w:rFonts w:ascii="Times New Roman" w:hAnsi="Times New Roman"/>
          <w:b/>
          <w:noProof/>
          <w:sz w:val="24"/>
        </w:rPr>
        <w:t>Relations bilatérales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Au niveau bilatéral, la Commission </w:t>
      </w:r>
      <w:r>
        <w:rPr>
          <w:rFonts w:ascii="Times New Roman" w:hAnsi="Times New Roman"/>
          <w:noProof/>
          <w:sz w:val="24"/>
          <w:lang w:val="fr-BE"/>
        </w:rPr>
        <w:t>cherche à inclure des dispositions sur la concurrence et le contrôle des aides d’État lorsqu’elle négocie des accords de libre-échange (ALE). En 2018, la Commission a poursuivi les négociations en vue d’un ALE avec le Chili, le Mexique, le Mercosur, l’Azer</w:t>
      </w:r>
      <w:r>
        <w:rPr>
          <w:rFonts w:ascii="Times New Roman" w:hAnsi="Times New Roman"/>
          <w:noProof/>
          <w:sz w:val="24"/>
          <w:lang w:val="fr-BE"/>
        </w:rPr>
        <w:t>baïdjan, la Tunisie et l’Indonésie, et a ouvert les négociations avec l’Australie, la Nouvelle-Zélande, le Kirghizstan et l’Ouzbékistan. Fin 2018, l’Union européenne et la Suisse se sont accordées sur le texte d’un accord-cadre institutionnel, qui comprend</w:t>
      </w:r>
      <w:r>
        <w:rPr>
          <w:rFonts w:ascii="Times New Roman" w:hAnsi="Times New Roman"/>
          <w:noProof/>
          <w:sz w:val="24"/>
          <w:lang w:val="fr-BE"/>
        </w:rPr>
        <w:t xml:space="preserve"> également des règles en matière de contrôle des aides d’État. Le projet d’accord fait actuellement l’objet d’une consultation des parties prenantes suisses.</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Les négociations de la Commission sur un accord d’investissement avec la Chine sont toujours en co</w:t>
      </w:r>
      <w:r>
        <w:rPr>
          <w:rFonts w:ascii="Times New Roman" w:hAnsi="Times New Roman"/>
          <w:noProof/>
          <w:sz w:val="24"/>
          <w:lang w:val="fr-BE"/>
        </w:rPr>
        <w:t xml:space="preserve">urs.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En ce qui concerne le projet d’accord de deuxième génération entre la Commission et le Bureau de la concurrence Canada, la Commission a analysé l’incidence que l’avis de la Cour de justice sur l’accord UE-Canada de 2014 relatif aux données des passag</w:t>
      </w:r>
      <w:r>
        <w:rPr>
          <w:rFonts w:ascii="Times New Roman" w:hAnsi="Times New Roman"/>
          <w:noProof/>
          <w:sz w:val="24"/>
          <w:lang w:val="fr-BE"/>
        </w:rPr>
        <w:t>ers aériens</w:t>
      </w:r>
      <w:r>
        <w:rPr>
          <w:rFonts w:ascii="Times New Roman" w:hAnsi="Times New Roman"/>
          <w:noProof/>
          <w:sz w:val="24"/>
          <w:vertAlign w:val="superscript"/>
        </w:rPr>
        <w:footnoteReference w:id="172"/>
      </w:r>
      <w:r>
        <w:rPr>
          <w:rFonts w:ascii="Times New Roman" w:hAnsi="Times New Roman"/>
          <w:noProof/>
          <w:sz w:val="24"/>
          <w:lang w:val="fr-BE"/>
        </w:rPr>
        <w:t xml:space="preserve"> aurait sur l’accord de deuxième génération. En outre, la Commission a poursuivi les négociations avec le Japon sur un accord de deuxième génération en vue d’actualiser l’accord de coopération existant de 2003</w:t>
      </w:r>
      <w:r>
        <w:rPr>
          <w:rFonts w:ascii="Times New Roman" w:hAnsi="Times New Roman"/>
          <w:noProof/>
          <w:sz w:val="24"/>
          <w:vertAlign w:val="superscript"/>
        </w:rPr>
        <w:footnoteReference w:id="173"/>
      </w:r>
      <w:r>
        <w:rPr>
          <w:rFonts w:ascii="Times New Roman" w:hAnsi="Times New Roman"/>
          <w:noProof/>
          <w:sz w:val="24"/>
          <w:lang w:val="fr-BE"/>
        </w:rPr>
        <w:t>.</w:t>
      </w:r>
      <w:r>
        <w:rPr>
          <w:rFonts w:ascii="Times New Roman" w:hAnsi="Times New Roman"/>
          <w:noProof/>
          <w:sz w:val="24"/>
          <w:vertAlign w:val="superscript"/>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coopération technique avec </w:t>
      </w:r>
      <w:r>
        <w:rPr>
          <w:rFonts w:ascii="Times New Roman" w:hAnsi="Times New Roman"/>
          <w:noProof/>
          <w:sz w:val="24"/>
          <w:lang w:val="fr-BE"/>
        </w:rPr>
        <w:t>les principaux partenaires commerciaux de l’Union européenne en ce qui concerne la politique de concurrence et sa mise en œuvre représente un autre grand domaine d’activité de la Commission. Pour encadrer cette coopération, la Commission a signé un certain</w:t>
      </w:r>
      <w:r>
        <w:rPr>
          <w:rFonts w:ascii="Times New Roman" w:hAnsi="Times New Roman"/>
          <w:noProof/>
          <w:sz w:val="24"/>
          <w:lang w:val="fr-BE"/>
        </w:rPr>
        <w:t xml:space="preserve"> nombre de protocoles d’accord, notamment avec les BRICS</w:t>
      </w:r>
      <w:r>
        <w:rPr>
          <w:rFonts w:ascii="Times New Roman" w:hAnsi="Times New Roman"/>
          <w:noProof/>
          <w:sz w:val="24"/>
          <w:vertAlign w:val="superscript"/>
        </w:rPr>
        <w:footnoteReference w:id="174"/>
      </w:r>
      <w:r>
        <w:rPr>
          <w:rFonts w:ascii="Times New Roman" w:hAnsi="Times New Roman"/>
          <w:noProof/>
          <w:sz w:val="24"/>
          <w:lang w:val="fr-BE"/>
        </w:rPr>
        <w:t>, et exerce, à des degrés divers, une coopération technique avec ces pays. Dans le même objectif, la Commission a signé un accord administratif avec le Mexique en juin 2018</w:t>
      </w:r>
      <w:r>
        <w:rPr>
          <w:rFonts w:ascii="Times New Roman" w:hAnsi="Times New Roman"/>
          <w:noProof/>
          <w:sz w:val="24"/>
          <w:vertAlign w:val="superscript"/>
        </w:rPr>
        <w:footnoteReference w:id="175"/>
      </w:r>
      <w:r>
        <w:rPr>
          <w:rFonts w:ascii="Times New Roman" w:hAnsi="Times New Roman"/>
          <w:noProof/>
          <w:sz w:val="24"/>
          <w:lang w:val="fr-BE"/>
        </w:rPr>
        <w:t>.</w:t>
      </w:r>
      <w:r>
        <w:rPr>
          <w:rFonts w:ascii="Times New Roman" w:hAnsi="Times New Roman"/>
          <w:noProof/>
          <w:sz w:val="24"/>
          <w:vertAlign w:val="superscript"/>
          <w:lang w:val="fr-BE"/>
        </w:rPr>
        <w:t xml:space="preserv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lang w:val="fr-BE"/>
        </w:rPr>
      </w:pPr>
      <w:r>
        <w:rPr>
          <w:rFonts w:ascii="Times New Roman" w:hAnsi="Times New Roman"/>
          <w:noProof/>
          <w:sz w:val="24"/>
          <w:lang w:val="fr-BE"/>
        </w:rPr>
        <w:t>La Commission apporte é</w:t>
      </w:r>
      <w:r>
        <w:rPr>
          <w:rFonts w:ascii="Times New Roman" w:hAnsi="Times New Roman"/>
          <w:noProof/>
          <w:sz w:val="24"/>
          <w:lang w:val="fr-BE"/>
        </w:rPr>
        <w:t>galement son concours aux pays voisins dans la mise en œuvre des dispositions relatives à la concurrence contenues dans les ALE. Par exemple, en 2018, la Commission a participé à la négociation des règles de mise en œuvre de l’ALE avec la Tunisie et au sui</w:t>
      </w:r>
      <w:r>
        <w:rPr>
          <w:rFonts w:ascii="Times New Roman" w:hAnsi="Times New Roman"/>
          <w:noProof/>
          <w:sz w:val="24"/>
          <w:lang w:val="fr-BE"/>
        </w:rPr>
        <w:t xml:space="preserve">vi de la mise en œuvre de l’acquis de l’Union en matière de concurrence dans des pays comme l’Ukraine. </w:t>
      </w:r>
    </w:p>
    <w:p w:rsidR="00D9323F" w:rsidRDefault="00F47CD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jc w:val="both"/>
        <w:rPr>
          <w:rFonts w:ascii="Times New Roman" w:hAnsi="Times New Roman"/>
          <w:noProof/>
          <w:sz w:val="24"/>
          <w:szCs w:val="24"/>
          <w:lang w:val="fr-BE"/>
        </w:rPr>
      </w:pPr>
      <w:r>
        <w:rPr>
          <w:rFonts w:ascii="Times New Roman" w:hAnsi="Times New Roman"/>
          <w:noProof/>
          <w:sz w:val="24"/>
          <w:lang w:val="fr-BE"/>
        </w:rPr>
        <w:t>Dans les négociations avec les pays candidats et les pays candidats potentiels, le principal objectif de la Commission, outre la promotion d’une culture</w:t>
      </w:r>
      <w:r>
        <w:rPr>
          <w:rFonts w:ascii="Times New Roman" w:hAnsi="Times New Roman"/>
          <w:noProof/>
          <w:sz w:val="24"/>
          <w:lang w:val="fr-BE"/>
        </w:rPr>
        <w:t xml:space="preserve"> de la concurrence, est d’aider ces pays à mettre en place un cadre législatif et des autorités de concurrence performantes et à obtenir de bons résultats en matière d’application des règles. Afin de remplir les conditions d’adhésion à l’UE dans le domaine</w:t>
      </w:r>
      <w:r>
        <w:rPr>
          <w:rFonts w:ascii="Times New Roman" w:hAnsi="Times New Roman"/>
          <w:noProof/>
          <w:sz w:val="24"/>
          <w:lang w:val="fr-BE"/>
        </w:rPr>
        <w:t xml:space="preserve"> de la politique de concurrence, ces exigences doivent être respectées. En 2018, la Commission a continué à contrôler le respect, par les pays candidats, des engagements qu’ils ont pris au titre des accords de stabilisation et d’association.</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9323F">
        <w:trPr>
          <w:trHeight w:val="360"/>
        </w:trPr>
        <w:tc>
          <w:tcPr>
            <w:tcW w:w="9120" w:type="dxa"/>
            <w:vAlign w:val="center"/>
          </w:tcPr>
          <w:p w:rsidR="00D9323F" w:rsidRDefault="00F47CDD">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34" w:name="_Toc19019199"/>
            <w:bookmarkEnd w:id="33"/>
            <w:r>
              <w:rPr>
                <w:rFonts w:ascii="Times New Roman" w:hAnsi="Times New Roman"/>
                <w:b/>
                <w:smallCaps/>
                <w:noProof/>
                <w:sz w:val="24"/>
              </w:rPr>
              <w:t xml:space="preserve">Communication </w:t>
            </w:r>
            <w:r>
              <w:rPr>
                <w:rFonts w:ascii="Times New Roman" w:hAnsi="Times New Roman"/>
                <w:b/>
                <w:smallCaps/>
                <w:noProof/>
                <w:sz w:val="24"/>
              </w:rPr>
              <w:t>externe</w:t>
            </w:r>
            <w:bookmarkEnd w:id="34"/>
          </w:p>
        </w:tc>
      </w:tr>
    </w:tbl>
    <w:p w:rsidR="00D9323F" w:rsidRDefault="00F47CDD">
      <w:pPr>
        <w:widowControl w:val="0"/>
        <w:spacing w:before="200" w:line="240" w:lineRule="auto"/>
        <w:jc w:val="both"/>
        <w:rPr>
          <w:rFonts w:ascii="Times New Roman" w:hAnsi="Times New Roman"/>
          <w:noProof/>
          <w:sz w:val="24"/>
          <w:szCs w:val="24"/>
          <w:lang w:val="fr-BE"/>
        </w:rPr>
      </w:pPr>
      <w:r>
        <w:rPr>
          <w:rFonts w:ascii="Times New Roman" w:hAnsi="Times New Roman"/>
          <w:noProof/>
          <w:sz w:val="24"/>
          <w:lang w:val="fr-BE"/>
        </w:rPr>
        <w:t>La communication externe de la DG Concurrence se concentre sur le recours aux médias de masse pour atteindre divers publics, notamment les entreprises, les juristes, les chercheurs, les universitaires, les étudiants et le grand public. Elle s’arti</w:t>
      </w:r>
      <w:r>
        <w:rPr>
          <w:rFonts w:ascii="Times New Roman" w:hAnsi="Times New Roman"/>
          <w:noProof/>
          <w:sz w:val="24"/>
          <w:lang w:val="fr-BE"/>
        </w:rPr>
        <w:t>cule principalement autour des conférences de presse, des communiqués de presse et des interventions de la commissaire, ainsi que des réseaux sociaux. En outre, la direction générale édite des bulletins d’information et d’autres publications destinés aux p</w:t>
      </w:r>
      <w:r>
        <w:rPr>
          <w:rFonts w:ascii="Times New Roman" w:hAnsi="Times New Roman"/>
          <w:noProof/>
          <w:sz w:val="24"/>
          <w:lang w:val="fr-BE"/>
        </w:rPr>
        <w:t>arties intéressées et au grand public, et son personnel participe aux conférences des parties intéressées.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Les médias de masse représentent de loin le canal le plus rentable pour atteindre un large public. Selon un sondage Eurobaromètre de 2014 sur la perc</w:t>
      </w:r>
      <w:r>
        <w:rPr>
          <w:rFonts w:ascii="Times New Roman" w:hAnsi="Times New Roman"/>
          <w:noProof/>
          <w:sz w:val="24"/>
          <w:lang w:val="fr-BE"/>
        </w:rPr>
        <w:t>eption des citoyens vis-à-vis de la politique en matière de concurrence, les deux principales sources d’information des personnes en ce qui concerne les politiques de concurrence sont la télévision (62 %) et les journaux ou magazines, y compris en ligne (6</w:t>
      </w:r>
      <w:r>
        <w:rPr>
          <w:rFonts w:ascii="Times New Roman" w:hAnsi="Times New Roman"/>
          <w:noProof/>
          <w:sz w:val="24"/>
          <w:lang w:val="fr-BE"/>
        </w:rPr>
        <w:t>0 %). Viennent ensuite les médias basés sur l’internet (38 %) et la radio (34 %). Les résultats d’une enquête Eurobaromètre réalisée en janvier 2019 montrent que les journaux ou magazines et la télévision restent les principales sources d’information (58 %</w:t>
      </w:r>
      <w:r>
        <w:rPr>
          <w:rFonts w:ascii="Times New Roman" w:hAnsi="Times New Roman"/>
          <w:noProof/>
          <w:sz w:val="24"/>
          <w:lang w:val="fr-BE"/>
        </w:rPr>
        <w:t xml:space="preserve"> chacun), suivis de la radio et des sites internet (33 % chacun) et des réseaux sociaux en ligne (24 %, soit une augmentation de 10 % depuis 2014).</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la DG Concurrence a publié 560 communiqués de presse concernant des affaires de concurrence: 140 ét</w:t>
      </w:r>
      <w:r>
        <w:rPr>
          <w:rFonts w:ascii="Times New Roman" w:hAnsi="Times New Roman"/>
          <w:noProof/>
          <w:sz w:val="24"/>
          <w:lang w:val="fr-BE"/>
        </w:rPr>
        <w:t>aient relativement longs et en plusieurs langues, tandis que 420 étaient plus courts et monolingues. Certaines de ces affaires ont bénéficié d’une couverture médiatique mondiale, atteignant des dizaines de millions de personnes, comme les décisions en mati</w:t>
      </w:r>
      <w:r>
        <w:rPr>
          <w:rFonts w:ascii="Times New Roman" w:hAnsi="Times New Roman"/>
          <w:noProof/>
          <w:sz w:val="24"/>
          <w:lang w:val="fr-BE"/>
        </w:rPr>
        <w:t>ère de pratiques anticoncurrentielles concernant Google Android et Qualcomm. Toutes ces affaires ont été traitées par la télévision, la radio, la presse écrite et les médias en ligne dans le monde entier.</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Tout au long de l’année 2018, la commissaire Vestag</w:t>
      </w:r>
      <w:r>
        <w:rPr>
          <w:rFonts w:ascii="Times New Roman" w:hAnsi="Times New Roman"/>
          <w:noProof/>
          <w:sz w:val="24"/>
          <w:lang w:val="fr-BE"/>
        </w:rPr>
        <w:t>er a prononcé 102 discours devant divers publics. Le directeur général a quant à lui prononcé 16 discours</w:t>
      </w:r>
      <w:r>
        <w:rPr>
          <w:rFonts w:ascii="Times New Roman" w:hAnsi="Times New Roman"/>
          <w:noProof/>
          <w:sz w:val="24"/>
          <w:vertAlign w:val="superscript"/>
        </w:rPr>
        <w:footnoteReference w:id="176"/>
      </w:r>
      <w:r>
        <w:rPr>
          <w:rFonts w:ascii="Times New Roman" w:hAnsi="Times New Roman"/>
          <w:noProof/>
          <w:sz w:val="24"/>
          <w:lang w:val="fr-BE"/>
        </w:rPr>
        <w:t>, à l’occasion de toute une série d’événements internationaux.</w:t>
      </w:r>
    </w:p>
    <w:p w:rsidR="00D9323F" w:rsidRDefault="00F47CDD">
      <w:pPr>
        <w:widowControl w:val="0"/>
        <w:spacing w:line="240" w:lineRule="auto"/>
        <w:jc w:val="both"/>
        <w:rPr>
          <w:rFonts w:ascii="Times New Roman" w:eastAsia="PFBSquareSansPro" w:hAnsi="Times New Roman"/>
          <w:noProof/>
          <w:sz w:val="24"/>
          <w:szCs w:val="24"/>
          <w:lang w:val="fr-BE"/>
        </w:rPr>
      </w:pPr>
      <w:r>
        <w:rPr>
          <w:rFonts w:ascii="Times New Roman" w:hAnsi="Times New Roman"/>
          <w:noProof/>
          <w:sz w:val="24"/>
          <w:lang w:val="fr-BE"/>
        </w:rPr>
        <w:t>En 2018, la direction générale de la concurrence a aussi été active sur le réseau socia</w:t>
      </w:r>
      <w:r>
        <w:rPr>
          <w:rFonts w:ascii="Times New Roman" w:hAnsi="Times New Roman"/>
          <w:noProof/>
          <w:sz w:val="24"/>
          <w:lang w:val="fr-BE"/>
        </w:rPr>
        <w:t>l Twitter. Tout au long de l’année, plus de 1 200 tweets du compte de la direction générale ont donné lieu à plus de 3,6 millions d’impressions</w:t>
      </w:r>
      <w:r>
        <w:rPr>
          <w:rFonts w:ascii="Times New Roman" w:hAnsi="Times New Roman"/>
          <w:noProof/>
          <w:sz w:val="24"/>
          <w:vertAlign w:val="superscript"/>
        </w:rPr>
        <w:footnoteReference w:id="177"/>
      </w:r>
      <w:r>
        <w:rPr>
          <w:rFonts w:ascii="Times New Roman" w:hAnsi="Times New Roman"/>
          <w:noProof/>
          <w:sz w:val="24"/>
          <w:lang w:val="fr-BE"/>
        </w:rPr>
        <w:t>. Les tweets le plus populaires concernaient les décisions relatives à Google Android et Qualcomm, les décisions</w:t>
      </w:r>
      <w:r>
        <w:rPr>
          <w:rFonts w:ascii="Times New Roman" w:hAnsi="Times New Roman"/>
          <w:noProof/>
          <w:sz w:val="24"/>
          <w:lang w:val="fr-BE"/>
        </w:rPr>
        <w:t xml:space="preserve"> en matière d’ententes dans le domaine de l’électronique grand public ainsi que l’enquête sur une possible collusion entre constructeurs automobiles sur les technologies propres en matière d’émissions. Le nombre d’abonnés du compte Twitter de la direction </w:t>
      </w:r>
      <w:r>
        <w:rPr>
          <w:rFonts w:ascii="Times New Roman" w:hAnsi="Times New Roman"/>
          <w:noProof/>
          <w:sz w:val="24"/>
          <w:lang w:val="fr-BE"/>
        </w:rPr>
        <w:t>générale a atteint près de 12 000 personnes au cours de l’année.</w:t>
      </w:r>
    </w:p>
    <w:p w:rsidR="00D9323F" w:rsidRDefault="00F47CDD">
      <w:pPr>
        <w:widowControl w:val="0"/>
        <w:spacing w:line="240" w:lineRule="auto"/>
        <w:jc w:val="both"/>
        <w:rPr>
          <w:rFonts w:ascii="Times New Roman" w:eastAsia="PFBSquareSansPro" w:hAnsi="Times New Roman"/>
          <w:noProof/>
          <w:sz w:val="24"/>
          <w:szCs w:val="24"/>
          <w:lang w:val="fr-BE"/>
        </w:rPr>
      </w:pPr>
      <w:r>
        <w:rPr>
          <w:rFonts w:ascii="Times New Roman" w:hAnsi="Times New Roman"/>
          <w:noProof/>
          <w:sz w:val="24"/>
          <w:lang w:val="fr-BE"/>
        </w:rPr>
        <w:t>Le nombre d’abonnés aux bulletins d’information électroniques de la DG Concurrence est passé à plus de 21 000 en 2018, tandis que les publications imprimées ont été consultées ou téléchargées</w:t>
      </w:r>
      <w:r>
        <w:rPr>
          <w:rFonts w:ascii="Times New Roman" w:hAnsi="Times New Roman"/>
          <w:noProof/>
          <w:sz w:val="24"/>
          <w:lang w:val="fr-BE"/>
        </w:rPr>
        <w:t xml:space="preserve"> 6 000 fois sur le site des publications de l’UE (EU Bookshop).</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9323F" w:rsidRPr="00F47CDD">
        <w:trPr>
          <w:trHeight w:val="360"/>
        </w:trPr>
        <w:tc>
          <w:tcPr>
            <w:tcW w:w="9120" w:type="dxa"/>
            <w:vAlign w:val="center"/>
          </w:tcPr>
          <w:p w:rsidR="00D9323F" w:rsidRDefault="00F47CDD">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lang w:val="fr-BE"/>
              </w:rPr>
            </w:pPr>
            <w:r>
              <w:rPr>
                <w:noProof/>
                <w:lang w:val="fr-BE"/>
              </w:rPr>
              <w:br w:type="page"/>
            </w:r>
            <w:bookmarkStart w:id="35" w:name="_Toc19019200"/>
            <w:r>
              <w:rPr>
                <w:rFonts w:ascii="Times New Roman" w:hAnsi="Times New Roman"/>
                <w:b/>
                <w:smallCaps/>
                <w:noProof/>
                <w:sz w:val="24"/>
                <w:lang w:val="fr-BE"/>
              </w:rPr>
              <w:t>Le programme en faveur du marché unique</w:t>
            </w:r>
            <w:bookmarkEnd w:id="35"/>
          </w:p>
        </w:tc>
      </w:tr>
    </w:tbl>
    <w:p w:rsidR="00D9323F" w:rsidRDefault="00F47CDD">
      <w:pPr>
        <w:widowControl w:val="0"/>
        <w:spacing w:before="200" w:line="240" w:lineRule="auto"/>
        <w:jc w:val="both"/>
        <w:rPr>
          <w:rFonts w:ascii="Times New Roman" w:hAnsi="Times New Roman"/>
          <w:noProof/>
          <w:sz w:val="24"/>
          <w:szCs w:val="24"/>
          <w:lang w:val="fr-BE"/>
        </w:rPr>
      </w:pPr>
      <w:r>
        <w:rPr>
          <w:rFonts w:ascii="Times New Roman" w:hAnsi="Times New Roman"/>
          <w:noProof/>
          <w:sz w:val="24"/>
          <w:lang w:val="fr-BE"/>
        </w:rPr>
        <w:t>L’adaptation à un environnement de plus en plus numérique est un défi majeur pour la mise en œuvre de la politique de concurrence de l’UE. Les nouveau</w:t>
      </w:r>
      <w:r>
        <w:rPr>
          <w:rFonts w:ascii="Times New Roman" w:hAnsi="Times New Roman"/>
          <w:noProof/>
          <w:sz w:val="24"/>
          <w:lang w:val="fr-BE"/>
        </w:rPr>
        <w:t>x outils et algorithmes informatiques sophistiqués utilisés par les opérateurs économiques, combinés à une augmentation exponentielle des communications électroniques, de la quantité de données et du nombre de documents dans les dossiers des différentes af</w:t>
      </w:r>
      <w:r>
        <w:rPr>
          <w:rFonts w:ascii="Times New Roman" w:hAnsi="Times New Roman"/>
          <w:noProof/>
          <w:sz w:val="24"/>
          <w:lang w:val="fr-BE"/>
        </w:rPr>
        <w:t>faires, rendent de nombreuses enquêtes de concurrence de plus en plus complexes et fastidieuses. Les propositions de la Commission pour le prochain cadre financier pluriannuel (2021-2027) adoptées en juin 2018 comprenaient, pour la première fois, un progra</w:t>
      </w:r>
      <w:r>
        <w:rPr>
          <w:rFonts w:ascii="Times New Roman" w:hAnsi="Times New Roman"/>
          <w:noProof/>
          <w:sz w:val="24"/>
          <w:lang w:val="fr-BE"/>
        </w:rPr>
        <w:t>mme en faveur du marché unique. S’il est adopté, celui-ci permettra à la Commission de soutenir directement le développement de la politique de concurrence avec un budget indicatif de 140 millions d’EUR consacré à un programme relatif à la concurrence.</w:t>
      </w:r>
    </w:p>
    <w:p w:rsidR="00D9323F" w:rsidRDefault="00F47CDD">
      <w:pPr>
        <w:widowControl w:val="0"/>
        <w:spacing w:before="200" w:line="240" w:lineRule="auto"/>
        <w:jc w:val="both"/>
        <w:rPr>
          <w:rFonts w:ascii="Times New Roman" w:hAnsi="Times New Roman"/>
          <w:noProof/>
          <w:sz w:val="24"/>
          <w:szCs w:val="24"/>
          <w:lang w:val="fr-BE"/>
        </w:rPr>
      </w:pPr>
      <w:r>
        <w:rPr>
          <w:rFonts w:ascii="Times New Roman" w:hAnsi="Times New Roman"/>
          <w:noProof/>
          <w:sz w:val="24"/>
          <w:lang w:val="fr-BE"/>
        </w:rPr>
        <w:t>Les</w:t>
      </w:r>
      <w:r>
        <w:rPr>
          <w:rFonts w:ascii="Times New Roman" w:hAnsi="Times New Roman"/>
          <w:noProof/>
          <w:sz w:val="24"/>
          <w:lang w:val="fr-BE"/>
        </w:rPr>
        <w:t xml:space="preserve"> fonds alloués au programme relatif à la concurrence aideraient la Commission à détecter les infractions et à enquêter sur celles-ci dans un monde de plus en plus informatisé où l’utilisation d’algorithmes est de plus en plus répandue. De plus, ces fonds p</w:t>
      </w:r>
      <w:r>
        <w:rPr>
          <w:rFonts w:ascii="Times New Roman" w:hAnsi="Times New Roman"/>
          <w:noProof/>
          <w:sz w:val="24"/>
          <w:lang w:val="fr-BE"/>
        </w:rPr>
        <w:t>ermettraient à la Commission d’accroître sa capacité à gérer des dossiers contenant des volumes de données en constante augmentation. S’il est adopté dans le cadre du programme en faveur du marché unique, le programme relatif à la concurrence permettra à l</w:t>
      </w:r>
      <w:r>
        <w:rPr>
          <w:rFonts w:ascii="Times New Roman" w:hAnsi="Times New Roman"/>
          <w:noProof/>
          <w:sz w:val="24"/>
          <w:lang w:val="fr-BE"/>
        </w:rPr>
        <w:t>a Commission de moderniser la mise en œuvre de la politique de concurrence de l’UE en investissant dans des outils, des connaissances et des compétences informatiques de pointe, et de renforcer la coopération entre la Commission et les autorités de concurr</w:t>
      </w:r>
      <w:r>
        <w:rPr>
          <w:rFonts w:ascii="Times New Roman" w:hAnsi="Times New Roman"/>
          <w:noProof/>
          <w:sz w:val="24"/>
          <w:lang w:val="fr-BE"/>
        </w:rPr>
        <w:t>ence des États membres dans tous les domaines du droit de la concurrence de l’Union. Enfin, le programme relatif à la concurrence pourrait être utilisé pour sensibiliser les parties prenantes à la politique de concurrence de l’UE</w:t>
      </w:r>
      <w:r>
        <w:rPr>
          <w:rFonts w:ascii="Times New Roman" w:hAnsi="Times New Roman"/>
          <w:noProof/>
          <w:sz w:val="24"/>
          <w:vertAlign w:val="superscript"/>
        </w:rPr>
        <w:footnoteReference w:id="178"/>
      </w:r>
      <w:r>
        <w:rPr>
          <w:rFonts w:ascii="Times New Roman" w:hAnsi="Times New Roman"/>
          <w:noProof/>
          <w:sz w:val="24"/>
          <w:lang w:val="fr-BE"/>
        </w:rPr>
        <w:t>.</w:t>
      </w:r>
      <w:r>
        <w:rPr>
          <w:rFonts w:ascii="Times New Roman" w:hAnsi="Times New Roman"/>
          <w:noProof/>
          <w:sz w:val="24"/>
          <w:vertAlign w:val="superscript"/>
          <w:lang w:val="fr-BE"/>
        </w:rPr>
        <w:t xml:space="preserve"> </w:t>
      </w:r>
    </w:p>
    <w:p w:rsidR="00D9323F" w:rsidRDefault="00F47CDD">
      <w:pPr>
        <w:widowControl w:val="0"/>
        <w:spacing w:line="240" w:lineRule="auto"/>
        <w:rPr>
          <w:rFonts w:ascii="Times New Roman" w:eastAsia="Times New Roman" w:hAnsi="Times New Roman"/>
          <w:b/>
          <w:bCs/>
          <w:smallCaps/>
          <w:noProof/>
          <w:kern w:val="32"/>
          <w:sz w:val="24"/>
          <w:szCs w:val="24"/>
          <w:lang w:val="fr-BE"/>
        </w:rPr>
      </w:pPr>
      <w:r>
        <w:rPr>
          <w:noProof/>
          <w:lang w:val="fr-BE"/>
        </w:rPr>
        <w:br w:type="page"/>
      </w:r>
    </w:p>
    <w:p w:rsidR="00D9323F" w:rsidRDefault="00F47CDD">
      <w:pPr>
        <w:pStyle w:val="ManualHeading1"/>
        <w:keepNext w:val="0"/>
        <w:widowControl w:val="0"/>
        <w:spacing w:before="0" w:after="200"/>
        <w:ind w:left="851" w:hanging="851"/>
        <w:rPr>
          <w:b w:val="0"/>
          <w:bCs/>
          <w:noProof/>
          <w:kern w:val="32"/>
          <w:lang w:val="fr-BE"/>
        </w:rPr>
      </w:pPr>
      <w:bookmarkStart w:id="36" w:name="_Toc19019201"/>
      <w:r>
        <w:rPr>
          <w:noProof/>
          <w:lang w:val="fr-BE"/>
        </w:rPr>
        <w:t>II. SITUATION PAR SEC</w:t>
      </w:r>
      <w:r>
        <w:rPr>
          <w:noProof/>
          <w:lang w:val="fr-BE"/>
        </w:rPr>
        <w:t>TEUR</w:t>
      </w:r>
      <w:bookmarkEnd w:id="36"/>
    </w:p>
    <w:p w:rsidR="00D9323F" w:rsidRDefault="00F47CDD">
      <w:pPr>
        <w:widowControl w:val="0"/>
        <w:autoSpaceDE w:val="0"/>
        <w:autoSpaceDN w:val="0"/>
        <w:adjustRightInd w:val="0"/>
        <w:spacing w:line="240" w:lineRule="auto"/>
        <w:jc w:val="both"/>
        <w:rPr>
          <w:rFonts w:ascii="Times New Roman" w:hAnsi="Times New Roman"/>
          <w:b/>
          <w:noProof/>
          <w:sz w:val="24"/>
          <w:szCs w:val="24"/>
          <w:lang w:val="fr-BE"/>
        </w:rPr>
      </w:pPr>
      <w:r>
        <w:rPr>
          <w:rFonts w:ascii="Times New Roman" w:hAnsi="Times New Roman"/>
          <w:noProof/>
          <w:sz w:val="24"/>
          <w:szCs w:val="24"/>
          <w:lang w:val="fr-BE"/>
        </w:rPr>
        <w:t>Les mesures prises par la Commission en 2018 dans le domaine de la politique de concurrence ont concerné un large éventail de secteurs, avec l’objectif commun d’améliorer le fonctionnement des marchés. En outre, la politique de concurrence de l’UE a souten</w:t>
      </w:r>
      <w:r>
        <w:rPr>
          <w:rFonts w:ascii="Times New Roman" w:hAnsi="Times New Roman"/>
          <w:noProof/>
          <w:sz w:val="24"/>
          <w:szCs w:val="24"/>
          <w:lang w:val="fr-BE"/>
        </w:rPr>
        <w:t>u plusieurs politiques et initiatives essentielles de l'Union, notamment un marché unique numérique connecté, une union de l’énergie intégrée et respectueuse du climat, un marché intérieur plus approfondi et plus équitable et la prise de mesures pour lutte</w:t>
      </w:r>
      <w:r>
        <w:rPr>
          <w:rFonts w:ascii="Times New Roman" w:hAnsi="Times New Roman"/>
          <w:noProof/>
          <w:sz w:val="24"/>
          <w:szCs w:val="24"/>
          <w:lang w:val="fr-BE"/>
        </w:rPr>
        <w:t xml:space="preserve">r contre les avantages fiscaux sélectifs. La présente section décrit dans les grandes lignes, secteur par secteur, l’évolution de la politique de concurrence et les actions de mise en œuvre des règles sur lesquelles la Commission s’est concentrée en 2018. </w:t>
      </w:r>
    </w:p>
    <w:p w:rsidR="00D9323F" w:rsidRDefault="00F47CDD">
      <w:pPr>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r>
        <w:rPr>
          <w:rFonts w:ascii="Times New Roman" w:hAnsi="Times New Roman"/>
          <w:noProof/>
          <w:sz w:val="24"/>
          <w:szCs w:val="24"/>
          <w:lang w:val="fr-BE"/>
        </w:rPr>
        <w:tab/>
      </w:r>
      <w:bookmarkStart w:id="37" w:name="_Toc19019202"/>
      <w:r>
        <w:rPr>
          <w:rFonts w:ascii="Times New Roman" w:hAnsi="Times New Roman"/>
          <w:b/>
          <w:smallCaps/>
          <w:noProof/>
          <w:sz w:val="24"/>
          <w:szCs w:val="24"/>
          <w:lang w:val="fr-BE"/>
        </w:rPr>
        <w:t>1. Énergie et environnement</w:t>
      </w:r>
      <w:bookmarkEnd w:id="37"/>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Aperçu des principaux problèmes auxquels le secteur est confronté</w:t>
      </w:r>
    </w:p>
    <w:p w:rsidR="00D9323F" w:rsidRDefault="00F47CDD">
      <w:pPr>
        <w:keepNext/>
        <w:spacing w:line="240" w:lineRule="auto"/>
        <w:jc w:val="both"/>
        <w:rPr>
          <w:rFonts w:ascii="Times New Roman" w:eastAsiaTheme="minorHAnsi" w:hAnsi="Times New Roman"/>
          <w:bCs/>
          <w:noProof/>
          <w:sz w:val="24"/>
          <w:szCs w:val="24"/>
          <w:lang w:val="fr-BE"/>
        </w:rPr>
      </w:pPr>
      <w:r>
        <w:rPr>
          <w:rFonts w:ascii="Times New Roman" w:eastAsiaTheme="minorHAnsi" w:hAnsi="Times New Roman"/>
          <w:noProof/>
          <w:sz w:val="24"/>
          <w:szCs w:val="24"/>
          <w:lang w:val="fr-BE"/>
        </w:rPr>
        <w:t xml:space="preserve">L’achèvement du marché unique dans le secteur de l’énergie apportera des avantages considérables aux consommateurs, aux entreprises et à l’environnement en </w:t>
      </w:r>
      <w:r>
        <w:rPr>
          <w:rFonts w:ascii="Times New Roman" w:eastAsiaTheme="minorHAnsi" w:hAnsi="Times New Roman"/>
          <w:noProof/>
          <w:sz w:val="24"/>
          <w:szCs w:val="24"/>
          <w:lang w:val="fr-BE"/>
        </w:rPr>
        <w:t>Europe. L’application du droit de la concurrence dans le secteur de l’énergie joue un rôle clé dans l’élimination des obstacles à la libre circulation du gaz et de l’électricité entre les États membres, en permettant la décarbonisation, en favorisant l’int</w:t>
      </w:r>
      <w:r>
        <w:rPr>
          <w:rFonts w:ascii="Times New Roman" w:eastAsiaTheme="minorHAnsi" w:hAnsi="Times New Roman"/>
          <w:noProof/>
          <w:sz w:val="24"/>
          <w:szCs w:val="24"/>
          <w:lang w:val="fr-BE"/>
        </w:rPr>
        <w:t>erconnectivité et en évitant le cloisonnement artificiel du marché. L’application des règles de concurrence contribue à l’ouverture du marché et garantit que tous les acteurs du marché peuvent se livrer concurrence dans des conditions loyales et équitables</w:t>
      </w:r>
      <w:r>
        <w:rPr>
          <w:rFonts w:ascii="Times New Roman" w:eastAsiaTheme="minorHAnsi" w:hAnsi="Times New Roman"/>
          <w:noProof/>
          <w:sz w:val="24"/>
          <w:szCs w:val="24"/>
          <w:lang w:val="fr-BE"/>
        </w:rPr>
        <w:t>, quelle que soit leur nationalité. En d’autres termes, la politique de concurrence est essentielle au bon fonctionnement de l’</w:t>
      </w:r>
      <w:r>
        <w:rPr>
          <w:rFonts w:ascii="Times New Roman" w:hAnsi="Times New Roman"/>
          <w:noProof/>
          <w:sz w:val="24"/>
          <w:szCs w:val="24"/>
          <w:lang w:val="fr-BE"/>
        </w:rPr>
        <w:t>union de l’énergie.</w:t>
      </w:r>
    </w:p>
    <w:p w:rsidR="00D9323F" w:rsidRDefault="00F47CDD">
      <w:pPr>
        <w:widowControl w:val="0"/>
        <w:spacing w:line="240" w:lineRule="auto"/>
        <w:jc w:val="both"/>
        <w:rPr>
          <w:rFonts w:ascii="Times New Roman" w:hAnsi="Times New Roman"/>
          <w:bCs/>
          <w:noProof/>
          <w:sz w:val="24"/>
          <w:szCs w:val="24"/>
          <w:lang w:val="fr-BE"/>
        </w:rPr>
      </w:pPr>
      <w:r>
        <w:rPr>
          <w:rFonts w:ascii="Times New Roman" w:eastAsiaTheme="minorHAnsi" w:hAnsi="Times New Roman"/>
          <w:noProof/>
          <w:sz w:val="24"/>
          <w:szCs w:val="24"/>
          <w:lang w:val="fr-BE"/>
        </w:rPr>
        <w:t xml:space="preserve">En outre, la politique de concurrence contribue à la réalisation des objectifs </w:t>
      </w:r>
      <w:r>
        <w:rPr>
          <w:rFonts w:ascii="Times New Roman" w:hAnsi="Times New Roman"/>
          <w:noProof/>
          <w:sz w:val="24"/>
          <w:szCs w:val="24"/>
          <w:lang w:val="fr-BE"/>
        </w:rPr>
        <w:t>climatiques de l’UE, notamment</w:t>
      </w:r>
      <w:r>
        <w:rPr>
          <w:rFonts w:ascii="Times New Roman" w:hAnsi="Times New Roman"/>
          <w:noProof/>
          <w:sz w:val="24"/>
          <w:szCs w:val="24"/>
          <w:lang w:val="fr-BE"/>
        </w:rPr>
        <w:t xml:space="preserve"> la décarbonisation du secteur de l’électricité et le passage des combustibles fossiles polluants à des combustibles de substitution dans le secteur des transports, conformément à la politique de mobilité de la Commission</w:t>
      </w:r>
      <w:r>
        <w:rPr>
          <w:rFonts w:ascii="Times New Roman" w:hAnsi="Times New Roman"/>
          <w:noProof/>
          <w:sz w:val="24"/>
          <w:szCs w:val="24"/>
          <w:vertAlign w:val="superscript"/>
        </w:rPr>
        <w:footnoteReference w:id="179"/>
      </w:r>
      <w:r>
        <w:rPr>
          <w:rFonts w:ascii="Times New Roman" w:hAnsi="Times New Roman"/>
          <w:noProof/>
          <w:sz w:val="24"/>
          <w:szCs w:val="24"/>
          <w:lang w:val="fr-BE"/>
        </w:rPr>
        <w:t>. À cette fin, la Commission autor</w:t>
      </w:r>
      <w:r>
        <w:rPr>
          <w:rFonts w:ascii="Times New Roman" w:hAnsi="Times New Roman"/>
          <w:noProof/>
          <w:sz w:val="24"/>
          <w:szCs w:val="24"/>
          <w:lang w:val="fr-BE"/>
        </w:rPr>
        <w:t>ise des mesures d’aide compatibles avec le marché intérieur qui favorisent le déploiement des énergies renouvelables, améliorent l’efficacité énergétique et stimulent la demande de véhicules à faibles émissions pour les transports publics et privés.</w:t>
      </w:r>
    </w:p>
    <w:p w:rsidR="00D9323F" w:rsidRDefault="00F47CDD">
      <w:pPr>
        <w:keepNext/>
        <w:spacing w:line="240" w:lineRule="auto"/>
        <w:jc w:val="both"/>
        <w:rPr>
          <w:rFonts w:ascii="Times New Roman" w:eastAsiaTheme="minorHAnsi" w:hAnsi="Times New Roman"/>
          <w:bCs/>
          <w:noProof/>
          <w:sz w:val="24"/>
          <w:szCs w:val="24"/>
          <w:lang w:val="fr-BE"/>
        </w:rPr>
      </w:pPr>
      <w:r>
        <w:rPr>
          <w:rFonts w:ascii="Times New Roman" w:eastAsiaTheme="minorHAnsi" w:hAnsi="Times New Roman"/>
          <w:noProof/>
          <w:sz w:val="24"/>
          <w:szCs w:val="24"/>
          <w:lang w:val="fr-BE"/>
        </w:rPr>
        <w:t>Promou</w:t>
      </w:r>
      <w:r>
        <w:rPr>
          <w:rFonts w:ascii="Times New Roman" w:eastAsiaTheme="minorHAnsi" w:hAnsi="Times New Roman"/>
          <w:noProof/>
          <w:sz w:val="24"/>
          <w:szCs w:val="24"/>
          <w:lang w:val="fr-BE"/>
        </w:rPr>
        <w:t>voir la concurrence dans le secteur de l’énergie, signifie, en définitive, de responsabiliser les consommateurs, que ce soit les grands consommateurs d’énergie comme les grandes entreprises manufacturières, les petites entreprises ou les ménages. Ils peuve</w:t>
      </w:r>
      <w:r>
        <w:rPr>
          <w:rFonts w:ascii="Times New Roman" w:eastAsiaTheme="minorHAnsi" w:hAnsi="Times New Roman"/>
          <w:noProof/>
          <w:sz w:val="24"/>
          <w:szCs w:val="24"/>
          <w:lang w:val="fr-BE"/>
        </w:rPr>
        <w:t>nt exiger un traitement équitable, donnant ainsi aux consommateurs d’énergie l’assurance que les marchés européens de l’énergie fonctionnent bien. En outre, les consommateurs de l’ensemble de l’UE bénéficieront d’un marché européen de l’énergie intégré qui</w:t>
      </w:r>
      <w:r>
        <w:rPr>
          <w:rFonts w:ascii="Times New Roman" w:eastAsiaTheme="minorHAnsi" w:hAnsi="Times New Roman"/>
          <w:noProof/>
          <w:sz w:val="24"/>
          <w:szCs w:val="24"/>
          <w:lang w:val="fr-BE"/>
        </w:rPr>
        <w:t xml:space="preserve"> garantit la sécurité de l’approvisionnement énergétique à des prix abordables ainsi qu’un environnement plus propre.</w:t>
      </w:r>
    </w:p>
    <w:p w:rsidR="00D9323F" w:rsidRDefault="00F47CDD">
      <w:pPr>
        <w:jc w:val="both"/>
        <w:rPr>
          <w:rFonts w:ascii="Times New Roman" w:hAnsi="Times New Roman"/>
          <w:b/>
          <w:noProof/>
          <w:sz w:val="24"/>
          <w:szCs w:val="24"/>
          <w:lang w:val="fr-BE"/>
        </w:rPr>
      </w:pPr>
      <w:r>
        <w:rPr>
          <w:rFonts w:ascii="Times New Roman" w:hAnsi="Times New Roman"/>
          <w:b/>
          <w:noProof/>
          <w:sz w:val="24"/>
          <w:szCs w:val="24"/>
          <w:lang w:val="fr-BE"/>
        </w:rPr>
        <w:t>Concurrence effective dans le secteur de l’économie verte</w:t>
      </w:r>
    </w:p>
    <w:p w:rsidR="00D9323F" w:rsidRDefault="00F47CDD">
      <w:pPr>
        <w:jc w:val="both"/>
        <w:rPr>
          <w:rFonts w:ascii="Times New Roman" w:hAnsi="Times New Roman"/>
          <w:noProof/>
          <w:sz w:val="24"/>
          <w:szCs w:val="24"/>
          <w:lang w:val="fr-BE"/>
        </w:rPr>
      </w:pPr>
      <w:r>
        <w:rPr>
          <w:rFonts w:ascii="Times New Roman" w:hAnsi="Times New Roman"/>
          <w:noProof/>
          <w:sz w:val="24"/>
          <w:szCs w:val="24"/>
          <w:lang w:val="fr-BE"/>
        </w:rPr>
        <w:t>Au moyen du système d’échange de quotas d'émission (SEQE) de l’Union européenne,</w:t>
      </w:r>
      <w:r>
        <w:rPr>
          <w:rFonts w:ascii="Times New Roman" w:hAnsi="Times New Roman"/>
          <w:noProof/>
          <w:sz w:val="24"/>
          <w:szCs w:val="24"/>
          <w:lang w:val="fr-BE"/>
        </w:rPr>
        <w:t xml:space="preserve"> les règles relatives aux aides d’État jouent également un rôle de premier plan dans la réalisation des objectifs climatiques en abaissant les coûts indirects du marché du carbone de l’Union pour les industries les plus consommatrices d’électricité. Le pri</w:t>
      </w:r>
      <w:r>
        <w:rPr>
          <w:rFonts w:ascii="Times New Roman" w:hAnsi="Times New Roman"/>
          <w:noProof/>
          <w:sz w:val="24"/>
          <w:szCs w:val="24"/>
          <w:lang w:val="fr-BE"/>
        </w:rPr>
        <w:t>ncipe fondamental du SEQE est que les pollueurs sont tenus de payer leurs émissions de carbone. Toutefois, en dehors de l’Union, tous les pays n’appliquent pas ce principe. Si des entreprises venaient à délocaliser une partie de leur production en dehors d</w:t>
      </w:r>
      <w:r>
        <w:rPr>
          <w:rFonts w:ascii="Times New Roman" w:hAnsi="Times New Roman"/>
          <w:noProof/>
          <w:sz w:val="24"/>
          <w:szCs w:val="24"/>
          <w:lang w:val="fr-BE"/>
        </w:rPr>
        <w:t>e l’Union à cause des prix du carbone, cela entraînerait une augmentation des émissions mondiales de carbone. Étant donné que les producteurs d'électricité ne reçoivent pas de quotas à titre gratuit, ils sont tenus de les acheter, ce qui augmente le prix d</w:t>
      </w:r>
      <w:r>
        <w:rPr>
          <w:rFonts w:ascii="Times New Roman" w:hAnsi="Times New Roman"/>
          <w:noProof/>
          <w:sz w:val="24"/>
          <w:szCs w:val="24"/>
          <w:lang w:val="fr-BE"/>
        </w:rPr>
        <w:t xml:space="preserve">e l’électricité pour les consommateurs. Dans ce cadre, les États membres peuvent partiellement compenser les coûts indirects résultant du SEQE supportés par les grands consommateurs d’électricité. </w:t>
      </w:r>
    </w:p>
    <w:p w:rsidR="00D9323F" w:rsidRDefault="00F47CDD">
      <w:pPr>
        <w:keepNext/>
        <w:spacing w:before="200" w:after="0" w:line="240" w:lineRule="auto"/>
        <w:jc w:val="both"/>
        <w:rPr>
          <w:rFonts w:ascii="Times New Roman" w:hAnsi="Times New Roman"/>
          <w:noProof/>
          <w:sz w:val="24"/>
          <w:szCs w:val="24"/>
          <w:lang w:val="fr-BE"/>
        </w:rPr>
      </w:pPr>
      <w:r>
        <w:rPr>
          <w:rFonts w:ascii="Times New Roman" w:hAnsi="Times New Roman"/>
          <w:noProof/>
          <w:sz w:val="24"/>
          <w:szCs w:val="24"/>
          <w:lang w:val="fr-BE"/>
        </w:rPr>
        <w:t>En 2012, la Commission a adopté des lignes directrices éta</w:t>
      </w:r>
      <w:r>
        <w:rPr>
          <w:rFonts w:ascii="Times New Roman" w:hAnsi="Times New Roman"/>
          <w:noProof/>
          <w:sz w:val="24"/>
          <w:szCs w:val="24"/>
          <w:lang w:val="fr-BE"/>
        </w:rPr>
        <w:t>blissant les conditions dans lesquelles les États membres peuvent procéder à de telles compensations partielles considérées comme constituant des aides d’État pour la période d’échanges 2012-2020. Le 14 mars 2018, le Conseil et le Parlement ont adopté et r</w:t>
      </w:r>
      <w:r>
        <w:rPr>
          <w:rFonts w:ascii="Times New Roman" w:hAnsi="Times New Roman"/>
          <w:noProof/>
          <w:sz w:val="24"/>
          <w:szCs w:val="24"/>
          <w:lang w:val="fr-BE"/>
        </w:rPr>
        <w:t xml:space="preserve">évisé la directive SEQE pour la période 2021-2030. Celle-ci souligne que les États membres doivent s’efforcer de ne pas utiliser plus de 25 % des recettes tirées de la mise aux enchères de quotas aux fins de la compensation. La Commission a par conséquent </w:t>
      </w:r>
      <w:r>
        <w:rPr>
          <w:rFonts w:ascii="Times New Roman" w:hAnsi="Times New Roman"/>
          <w:noProof/>
          <w:sz w:val="24"/>
          <w:szCs w:val="24"/>
          <w:lang w:val="fr-BE"/>
        </w:rPr>
        <w:t>lancé le 20 décembre 2018 le processus de révision des lignes directrices concernant certaines aides d’État dans le contexte du système d’échange de quotas d’émission de gaz à effet de serre.</w:t>
      </w:r>
    </w:p>
    <w:p w:rsidR="00D9323F" w:rsidRDefault="00F47CDD">
      <w:pPr>
        <w:keepNext/>
        <w:spacing w:before="200" w:after="0" w:line="240" w:lineRule="auto"/>
        <w:jc w:val="both"/>
        <w:rPr>
          <w:rFonts w:ascii="Times New Roman" w:hAnsi="Times New Roman"/>
          <w:noProof/>
          <w:sz w:val="24"/>
          <w:szCs w:val="24"/>
          <w:lang w:val="fr-BE"/>
        </w:rPr>
      </w:pPr>
      <w:r>
        <w:rPr>
          <w:rFonts w:ascii="Times New Roman" w:hAnsi="Times New Roman"/>
          <w:noProof/>
          <w:sz w:val="24"/>
          <w:szCs w:val="24"/>
          <w:lang w:val="fr-BE"/>
        </w:rPr>
        <w:t>Le 18 décembre 2018, un accord politique a été obtenu sur le paq</w:t>
      </w:r>
      <w:r>
        <w:rPr>
          <w:rFonts w:ascii="Times New Roman" w:hAnsi="Times New Roman"/>
          <w:noProof/>
          <w:sz w:val="24"/>
          <w:szCs w:val="24"/>
          <w:lang w:val="fr-BE"/>
        </w:rPr>
        <w:t>uet «Une énergie propre pour tous les Européens»</w:t>
      </w:r>
      <w:r>
        <w:rPr>
          <w:rFonts w:ascii="Times New Roman" w:hAnsi="Times New Roman"/>
          <w:noProof/>
          <w:sz w:val="24"/>
          <w:szCs w:val="24"/>
          <w:vertAlign w:val="superscript"/>
        </w:rPr>
        <w:footnoteReference w:id="180"/>
      </w:r>
      <w:r>
        <w:rPr>
          <w:rFonts w:ascii="Times New Roman" w:hAnsi="Times New Roman"/>
          <w:noProof/>
          <w:sz w:val="24"/>
          <w:szCs w:val="24"/>
          <w:lang w:val="fr-BE"/>
        </w:rPr>
        <w:t>. Une fois adopté, ce paquet constituera une avancée importante sur la voie de la décarbonisation du système énergétique européen. Les futurs mécanismes de capacité incluront de nouveaux plafonds relatifs au</w:t>
      </w:r>
      <w:r>
        <w:rPr>
          <w:rFonts w:ascii="Times New Roman" w:hAnsi="Times New Roman"/>
          <w:noProof/>
          <w:sz w:val="24"/>
          <w:szCs w:val="24"/>
          <w:lang w:val="fr-BE"/>
        </w:rPr>
        <w:t>x émissions de carbone produites par des combustibles fossiles. Ce paquet prévoit ainsi une réorganisation du marché visant à instaurer les mesures adéquates en faveur de l’investissement et à permettre un plus grand développement des énergies renouvelable</w:t>
      </w:r>
      <w:r>
        <w:rPr>
          <w:rFonts w:ascii="Times New Roman" w:hAnsi="Times New Roman"/>
          <w:noProof/>
          <w:sz w:val="24"/>
          <w:szCs w:val="24"/>
          <w:lang w:val="fr-BE"/>
        </w:rPr>
        <w:t>s dans le secteur de l’électricité.</w:t>
      </w:r>
    </w:p>
    <w:p w:rsidR="00D9323F" w:rsidRDefault="00F47CDD">
      <w:pPr>
        <w:keepNext/>
        <w:spacing w:before="200" w:after="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szCs w:val="24"/>
          <w:lang w:val="fr-BE"/>
        </w:rPr>
        <w:t>En 2018, la mise en œuvre des règles en matière d’aides d’État dans le domaine des énergies renouvelables et de l’efficacité énergétique est restée élevée. La Commission a approuvé 21 régimes d’aides en faveur des énergi</w:t>
      </w:r>
      <w:r>
        <w:rPr>
          <w:rFonts w:ascii="Times New Roman" w:eastAsiaTheme="minorHAnsi" w:hAnsi="Times New Roman"/>
          <w:noProof/>
          <w:color w:val="000000"/>
          <w:sz w:val="24"/>
          <w:szCs w:val="24"/>
          <w:lang w:val="fr-BE"/>
        </w:rPr>
        <w:t xml:space="preserve">es renouvelables et de la production combinée de chaleur et d’électricité. En conséquence, presque tous les États membres ont </w:t>
      </w:r>
      <w:r>
        <w:rPr>
          <w:rFonts w:ascii="Times New Roman" w:hAnsi="Times New Roman"/>
          <w:noProof/>
          <w:sz w:val="24"/>
          <w:szCs w:val="24"/>
          <w:lang w:val="fr-BE"/>
        </w:rPr>
        <w:t>à présent été autorisés par la Commission à mettre en œuvre leurs régimes de soutien aux énergies renouvelables et à la production combinée de chaleur et d’électricité et les ont alignés sur les lignes directrices de 2014 concernant les aides d’État à la p</w:t>
      </w:r>
      <w:r>
        <w:rPr>
          <w:rFonts w:ascii="Times New Roman" w:hAnsi="Times New Roman"/>
          <w:noProof/>
          <w:sz w:val="24"/>
          <w:szCs w:val="24"/>
          <w:lang w:val="fr-BE"/>
        </w:rPr>
        <w:t>rotection de l’environnement et à l’énergie. En particulier, un nombre croissant d’États membres accordent un soutien à la production d’énergie renouvelable par le biais d’appels d’offres neutres sur le plan technologique et intègrent des installations d’é</w:t>
      </w:r>
      <w:r>
        <w:rPr>
          <w:rFonts w:ascii="Times New Roman" w:hAnsi="Times New Roman"/>
          <w:noProof/>
          <w:sz w:val="24"/>
          <w:szCs w:val="24"/>
          <w:lang w:val="fr-BE"/>
        </w:rPr>
        <w:t xml:space="preserve">nergies renouvelables sur le marché de l’électricité. Cela a eu pour résultat une baisse des coûts pour les consommateurs sur le réseau électrique dans son ensemble. </w:t>
      </w:r>
      <w:r>
        <w:rPr>
          <w:rFonts w:ascii="Times New Roman" w:eastAsiaTheme="minorHAnsi" w:hAnsi="Times New Roman"/>
          <w:noProof/>
          <w:color w:val="000000"/>
          <w:sz w:val="24"/>
          <w:szCs w:val="24"/>
          <w:lang w:val="fr-BE"/>
        </w:rPr>
        <w:t>Par exemple, le premier appel d’offres neutre sur le plan technologique au Danemark organi</w:t>
      </w:r>
      <w:r>
        <w:rPr>
          <w:rFonts w:ascii="Times New Roman" w:eastAsiaTheme="minorHAnsi" w:hAnsi="Times New Roman"/>
          <w:noProof/>
          <w:color w:val="000000"/>
          <w:sz w:val="24"/>
          <w:szCs w:val="24"/>
          <w:lang w:val="fr-BE"/>
        </w:rPr>
        <w:t xml:space="preserve">sé dans le cadre </w:t>
      </w:r>
      <w:r>
        <w:rPr>
          <w:rFonts w:ascii="Times New Roman" w:hAnsi="Times New Roman"/>
          <w:noProof/>
          <w:sz w:val="24"/>
          <w:szCs w:val="24"/>
          <w:lang w:val="fr-BE"/>
        </w:rPr>
        <w:t>du régime approuvé en 2018 a entraîné des prix historiquement bas, et des projets tant d’installations solaires que d’installations d’éoliennes terrestres ont pu obtenir un soutien de cette façon.</w:t>
      </w:r>
    </w:p>
    <w:p w:rsidR="00D9323F" w:rsidRDefault="00F47CDD">
      <w:pPr>
        <w:keepNext/>
        <w:spacing w:before="200" w:after="0" w:line="240" w:lineRule="auto"/>
        <w:jc w:val="both"/>
        <w:rPr>
          <w:rFonts w:ascii="Times New Roman" w:hAnsi="Times New Roman"/>
          <w:noProof/>
          <w:sz w:val="24"/>
          <w:szCs w:val="24"/>
          <w:lang w:val="fr-BE"/>
        </w:rPr>
      </w:pPr>
      <w:r>
        <w:rPr>
          <w:rFonts w:ascii="Times New Roman" w:hAnsi="Times New Roman"/>
          <w:noProof/>
          <w:sz w:val="24"/>
          <w:szCs w:val="24"/>
          <w:lang w:val="fr-BE"/>
        </w:rPr>
        <w:t>En 2018, la Commission a approuvé un régim</w:t>
      </w:r>
      <w:r>
        <w:rPr>
          <w:rFonts w:ascii="Times New Roman" w:hAnsi="Times New Roman"/>
          <w:noProof/>
          <w:sz w:val="24"/>
          <w:szCs w:val="24"/>
          <w:lang w:val="fr-BE"/>
        </w:rPr>
        <w:t>e d’aide à l’acquisition d’autobus électriques et hybrides sur batterie à faibles émissions pour les transports publics en Allemagne</w:t>
      </w:r>
      <w:r>
        <w:rPr>
          <w:rFonts w:ascii="Times New Roman" w:hAnsi="Times New Roman"/>
          <w:noProof/>
          <w:sz w:val="24"/>
          <w:szCs w:val="24"/>
          <w:vertAlign w:val="superscript"/>
        </w:rPr>
        <w:footnoteReference w:id="181"/>
      </w:r>
      <w:r>
        <w:rPr>
          <w:rFonts w:ascii="Times New Roman" w:hAnsi="Times New Roman"/>
          <w:noProof/>
          <w:sz w:val="24"/>
          <w:szCs w:val="24"/>
          <w:lang w:val="fr-BE"/>
        </w:rPr>
        <w:t>, ainsi qu’une augmentation budgétaire pour un régime portugais similaire approuvé en 2016</w:t>
      </w:r>
      <w:r>
        <w:rPr>
          <w:rFonts w:ascii="Times New Roman" w:hAnsi="Times New Roman"/>
          <w:noProof/>
          <w:sz w:val="24"/>
          <w:szCs w:val="24"/>
          <w:vertAlign w:val="superscript"/>
        </w:rPr>
        <w:footnoteReference w:id="182"/>
      </w:r>
      <w:r>
        <w:rPr>
          <w:rFonts w:ascii="Times New Roman" w:hAnsi="Times New Roman"/>
          <w:noProof/>
          <w:sz w:val="24"/>
          <w:szCs w:val="24"/>
          <w:lang w:val="fr-BE"/>
        </w:rPr>
        <w:t>. Ces deux mesures comprennent u</w:t>
      </w:r>
      <w:r>
        <w:rPr>
          <w:rFonts w:ascii="Times New Roman" w:hAnsi="Times New Roman"/>
          <w:noProof/>
          <w:sz w:val="24"/>
          <w:szCs w:val="24"/>
          <w:lang w:val="fr-BE"/>
        </w:rPr>
        <w:t>n soutien à l’infrastructure nécessaire à l’exploitation des autobus. La Commission a en outre approuvé un régime allemand visant à encourager la mise à niveau des autobus diesel utilisés dans les transports publics à l’aide de dispositifs qui réduisent se</w:t>
      </w:r>
      <w:r>
        <w:rPr>
          <w:rFonts w:ascii="Times New Roman" w:hAnsi="Times New Roman"/>
          <w:noProof/>
          <w:sz w:val="24"/>
          <w:szCs w:val="24"/>
          <w:lang w:val="fr-BE"/>
        </w:rPr>
        <w:t>nsiblement leurs émissions d’oxydes d’azote</w:t>
      </w:r>
      <w:r>
        <w:rPr>
          <w:rFonts w:ascii="Times New Roman" w:hAnsi="Times New Roman"/>
          <w:noProof/>
          <w:sz w:val="24"/>
          <w:szCs w:val="24"/>
          <w:vertAlign w:val="superscript"/>
        </w:rPr>
        <w:footnoteReference w:id="183"/>
      </w:r>
      <w:r>
        <w:rPr>
          <w:rFonts w:ascii="Times New Roman" w:hAnsi="Times New Roman"/>
          <w:noProof/>
          <w:sz w:val="24"/>
          <w:szCs w:val="24"/>
          <w:lang w:val="fr-BE"/>
        </w:rPr>
        <w:t>.</w:t>
      </w:r>
    </w:p>
    <w:p w:rsidR="00D9323F" w:rsidRDefault="00D9323F">
      <w:pPr>
        <w:keepNext/>
        <w:spacing w:before="200" w:after="0" w:line="240" w:lineRule="auto"/>
        <w:jc w:val="both"/>
        <w:rPr>
          <w:rFonts w:ascii="Times New Roman" w:hAnsi="Times New Roman"/>
          <w:noProof/>
          <w:sz w:val="24"/>
          <w:szCs w:val="24"/>
          <w:lang w:val="fr-BE"/>
        </w:rPr>
      </w:pPr>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Concurrence effective sur les marchés de l’électricité</w:t>
      </w:r>
    </w:p>
    <w:p w:rsidR="00D9323F" w:rsidRDefault="00F47CDD">
      <w:pPr>
        <w:spacing w:after="120" w:line="240" w:lineRule="auto"/>
        <w:jc w:val="both"/>
        <w:rPr>
          <w:rFonts w:ascii="Times New Roman" w:eastAsiaTheme="minorHAnsi" w:hAnsi="Times New Roman"/>
          <w:bCs/>
          <w:noProof/>
          <w:sz w:val="24"/>
          <w:szCs w:val="24"/>
          <w:lang w:val="fr-BE"/>
        </w:rPr>
      </w:pPr>
      <w:r>
        <w:rPr>
          <w:rFonts w:ascii="Times New Roman" w:eastAsiaTheme="minorHAnsi" w:hAnsi="Times New Roman"/>
          <w:noProof/>
          <w:sz w:val="24"/>
          <w:szCs w:val="24"/>
          <w:lang w:val="fr-BE"/>
        </w:rPr>
        <w:t xml:space="preserve">Pour répondre aux préoccupations concernant </w:t>
      </w:r>
      <w:r>
        <w:rPr>
          <w:rFonts w:ascii="Times New Roman" w:hAnsi="Times New Roman"/>
          <w:noProof/>
          <w:sz w:val="24"/>
          <w:szCs w:val="24"/>
          <w:lang w:val="fr-BE"/>
        </w:rPr>
        <w:t>la libre circulation de l’électricité, la Commission a adopté, le 7 décembre 2018, une décision rendant juridi</w:t>
      </w:r>
      <w:r>
        <w:rPr>
          <w:rFonts w:ascii="Times New Roman" w:hAnsi="Times New Roman"/>
          <w:noProof/>
          <w:sz w:val="24"/>
          <w:szCs w:val="24"/>
          <w:lang w:val="fr-BE"/>
        </w:rPr>
        <w:t xml:space="preserve">quement contraignants les engagements offerts par le gestionnaire de réseau allemand </w:t>
      </w:r>
      <w:r>
        <w:rPr>
          <w:rFonts w:ascii="Times New Roman" w:eastAsiaTheme="minorHAnsi" w:hAnsi="Times New Roman"/>
          <w:i/>
          <w:noProof/>
          <w:sz w:val="24"/>
          <w:szCs w:val="24"/>
          <w:lang w:val="fr-BE"/>
        </w:rPr>
        <w:t>TenneT</w:t>
      </w:r>
      <w:r>
        <w:rPr>
          <w:rFonts w:ascii="Times New Roman" w:hAnsi="Times New Roman"/>
          <w:noProof/>
          <w:sz w:val="24"/>
          <w:szCs w:val="24"/>
          <w:vertAlign w:val="superscript"/>
        </w:rPr>
        <w:footnoteReference w:id="184"/>
      </w:r>
      <w:r>
        <w:rPr>
          <w:rFonts w:ascii="Times New Roman" w:hAnsi="Times New Roman"/>
          <w:noProof/>
          <w:sz w:val="24"/>
          <w:szCs w:val="24"/>
          <w:lang w:val="fr-BE"/>
        </w:rPr>
        <w:t xml:space="preserve"> en vue d’accroître les flux transfrontaliers d’électricité entre le Danemark et l’Allemagne. La Commission craignait que TenneT n’ait enfreint les règles de concur</w:t>
      </w:r>
      <w:r>
        <w:rPr>
          <w:rFonts w:ascii="Times New Roman" w:hAnsi="Times New Roman"/>
          <w:noProof/>
          <w:sz w:val="24"/>
          <w:szCs w:val="24"/>
          <w:lang w:val="fr-BE"/>
        </w:rPr>
        <w:t xml:space="preserve">rence de l’UE en limitant systématiquement la capacité vers le Sud à l’interconnexion électrique entre le Danemark occidental et l’Allemagne. Ce comportement a empêché l’exportation d’électricité bon marché depuis les pays nordiques, où elle est en grande </w:t>
      </w:r>
      <w:r>
        <w:rPr>
          <w:rFonts w:ascii="Times New Roman" w:hAnsi="Times New Roman"/>
          <w:noProof/>
          <w:sz w:val="24"/>
          <w:szCs w:val="24"/>
          <w:lang w:val="fr-BE"/>
        </w:rPr>
        <w:t xml:space="preserve">partie produite à partir de sources d’énergie renouvelables (principalement d’énergie éolienne et hydraulique) à destination de l’Allemagne, entraînant un affaiblissement de la concurrence entre les producteurs d’électricité sur le marché de gros allemand </w:t>
      </w:r>
      <w:r>
        <w:rPr>
          <w:rFonts w:ascii="Times New Roman" w:hAnsi="Times New Roman"/>
          <w:noProof/>
          <w:sz w:val="24"/>
          <w:szCs w:val="24"/>
          <w:lang w:val="fr-BE"/>
        </w:rPr>
        <w:t>et, partant, une augmentation des prix de l’électricité. Suite à une consultation des acteurs du marché, la Commission a accepté les engagements proposés par TenneT et les a rendus juridiquement contraignants:</w:t>
      </w:r>
    </w:p>
    <w:p w:rsidR="00D9323F" w:rsidRDefault="00F47CDD">
      <w:pPr>
        <w:numPr>
          <w:ilvl w:val="0"/>
          <w:numId w:val="6"/>
        </w:numPr>
        <w:spacing w:after="120" w:line="240" w:lineRule="auto"/>
        <w:ind w:right="57"/>
        <w:jc w:val="both"/>
        <w:rPr>
          <w:rFonts w:ascii="Times New Roman" w:hAnsi="Times New Roman"/>
          <w:noProof/>
          <w:sz w:val="24"/>
          <w:szCs w:val="24"/>
          <w:lang w:val="fr-BE"/>
        </w:rPr>
      </w:pPr>
      <w:r>
        <w:rPr>
          <w:rFonts w:ascii="Times New Roman" w:hAnsi="Times New Roman"/>
          <w:noProof/>
          <w:sz w:val="24"/>
          <w:szCs w:val="24"/>
          <w:lang w:val="fr-BE"/>
        </w:rPr>
        <w:t xml:space="preserve">TenneT s’est engagé à mettre à la disposition </w:t>
      </w:r>
      <w:r>
        <w:rPr>
          <w:rFonts w:ascii="Times New Roman" w:hAnsi="Times New Roman"/>
          <w:noProof/>
          <w:sz w:val="24"/>
          <w:szCs w:val="24"/>
          <w:lang w:val="fr-BE"/>
        </w:rPr>
        <w:t>du marché la capacité maximale compatible avec une exploitation sûre de l’interconnexion et, en tout état de cause, garantira une capacité horaire minimale de 1 300 mégawatts sur l’interconnexion (environ 75 % de sa capacité technique). À la suite de l’ext</w:t>
      </w:r>
      <w:r>
        <w:rPr>
          <w:rFonts w:ascii="Times New Roman" w:hAnsi="Times New Roman"/>
          <w:noProof/>
          <w:sz w:val="24"/>
          <w:szCs w:val="24"/>
          <w:lang w:val="fr-BE"/>
        </w:rPr>
        <w:t xml:space="preserve">ension de l’interconnexion entre le Danemark occidental et l’Allemagne, TenneT augmentera la capacité horaire garantie. </w:t>
      </w:r>
    </w:p>
    <w:p w:rsidR="00D9323F" w:rsidRDefault="00F47CDD">
      <w:pPr>
        <w:numPr>
          <w:ilvl w:val="0"/>
          <w:numId w:val="5"/>
        </w:numPr>
        <w:spacing w:after="120" w:line="240" w:lineRule="auto"/>
        <w:ind w:left="720" w:right="57"/>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TenneT ne peut réduire la capacité offerte en dessous du minimum garanti que dans un nombre très limité de circonstances exceptionnelles, lorsqu’il n’existe aucune autre solution disponible pour garantir la sécurité du réseau électrique à haute tension. </w:t>
      </w:r>
    </w:p>
    <w:p w:rsidR="00D9323F" w:rsidRDefault="00F47CDD">
      <w:pPr>
        <w:keepNext/>
        <w:spacing w:line="240" w:lineRule="auto"/>
        <w:jc w:val="both"/>
        <w:rPr>
          <w:rFonts w:ascii="Times New Roman" w:eastAsiaTheme="minorHAnsi" w:hAnsi="Times New Roman"/>
          <w:bCs/>
          <w:noProof/>
          <w:sz w:val="24"/>
          <w:szCs w:val="24"/>
          <w:lang w:val="fr-BE"/>
        </w:rPr>
      </w:pPr>
      <w:r>
        <w:rPr>
          <w:rFonts w:ascii="Times New Roman" w:eastAsiaTheme="minorHAnsi" w:hAnsi="Times New Roman"/>
          <w:noProof/>
          <w:sz w:val="24"/>
          <w:szCs w:val="24"/>
          <w:lang w:val="fr-BE"/>
        </w:rPr>
        <w:t>L</w:t>
      </w:r>
      <w:r>
        <w:rPr>
          <w:rFonts w:ascii="Times New Roman" w:eastAsiaTheme="minorHAnsi" w:hAnsi="Times New Roman"/>
          <w:noProof/>
          <w:sz w:val="24"/>
          <w:szCs w:val="24"/>
          <w:lang w:val="fr-BE"/>
        </w:rPr>
        <w:t>es engagements resteront en vigueur pendant neuf ans et un mandataire sera chargé de contrôler le respect de ces engagements par TenneT</w:t>
      </w:r>
      <w:r>
        <w:rPr>
          <w:rFonts w:ascii="Times New Roman" w:eastAsiaTheme="minorHAnsi" w:hAnsi="Times New Roman"/>
          <w:noProof/>
          <w:sz w:val="24"/>
          <w:szCs w:val="24"/>
          <w:vertAlign w:val="superscript"/>
        </w:rPr>
        <w:footnoteReference w:id="185"/>
      </w:r>
      <w:r>
        <w:rPr>
          <w:rFonts w:ascii="Times New Roman" w:eastAsiaTheme="minorHAnsi" w:hAnsi="Times New Roman"/>
          <w:noProof/>
          <w:sz w:val="24"/>
          <w:szCs w:val="24"/>
          <w:lang w:val="fr-BE"/>
        </w:rPr>
        <w:t>.</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En outre, le 17 avril 2018, la Commission a rendu juridiquement contraignantes des mesures proposées par la Grèce pour garantir aux concurrents de </w:t>
      </w:r>
      <w:r>
        <w:rPr>
          <w:rFonts w:ascii="Times New Roman" w:hAnsi="Times New Roman"/>
          <w:i/>
          <w:noProof/>
          <w:sz w:val="24"/>
          <w:szCs w:val="24"/>
          <w:lang w:val="fr-BE"/>
        </w:rPr>
        <w:t>Public Power Corporation (PPC)</w:t>
      </w:r>
      <w:r>
        <w:rPr>
          <w:rFonts w:ascii="Times New Roman" w:hAnsi="Times New Roman"/>
          <w:noProof/>
          <w:sz w:val="24"/>
          <w:szCs w:val="24"/>
          <w:vertAlign w:val="superscript"/>
        </w:rPr>
        <w:footnoteReference w:id="186"/>
      </w:r>
      <w:r>
        <w:rPr>
          <w:rFonts w:ascii="Times New Roman" w:hAnsi="Times New Roman"/>
          <w:noProof/>
          <w:sz w:val="24"/>
          <w:szCs w:val="24"/>
          <w:lang w:val="fr-BE"/>
        </w:rPr>
        <w:t xml:space="preserve">, l’opérateur historique du secteur de l’électricité, un accès équitable à la </w:t>
      </w:r>
      <w:r>
        <w:rPr>
          <w:rFonts w:ascii="Times New Roman" w:hAnsi="Times New Roman"/>
          <w:noProof/>
          <w:sz w:val="24"/>
          <w:szCs w:val="24"/>
          <w:lang w:val="fr-BE"/>
        </w:rPr>
        <w:t>production d’électricité à partir de lignite. En 2008, la Commission avait estimé que la Grèce avait enfreint les règles de concurrence en accordant à PPC, l’opérateur public historique du secteur de l’électricité, des droits d'accès privilégiés au lignite</w:t>
      </w:r>
      <w:r>
        <w:rPr>
          <w:rFonts w:ascii="Times New Roman" w:hAnsi="Times New Roman"/>
          <w:noProof/>
          <w:sz w:val="24"/>
          <w:szCs w:val="24"/>
          <w:lang w:val="fr-BE"/>
        </w:rPr>
        <w:t>, et avait appelé la Grèce à proposer des mesures pour corriger les effets anticoncurrentiels de cette infraction. En raison des recours déposés devant le Tribunal et la Cour de justice, ces mesures correctives n’avaient pas encore été mises en œuvre. Dans</w:t>
      </w:r>
      <w:r>
        <w:rPr>
          <w:rFonts w:ascii="Times New Roman" w:hAnsi="Times New Roman"/>
          <w:noProof/>
          <w:sz w:val="24"/>
          <w:szCs w:val="24"/>
          <w:lang w:val="fr-BE"/>
        </w:rPr>
        <w:t xml:space="preserve"> sa décision de 2018, la Commission est parvenue à la conclusion que la version finale modifiée des mesures correctives présentée par la Grèce le 19 janvier 2018 permettait de remédier totalement à l’infraction constatée dans sa décision de 2008, tout en t</w:t>
      </w:r>
      <w:r>
        <w:rPr>
          <w:rFonts w:ascii="Times New Roman" w:hAnsi="Times New Roman"/>
          <w:noProof/>
          <w:sz w:val="24"/>
          <w:szCs w:val="24"/>
          <w:lang w:val="fr-BE"/>
        </w:rPr>
        <w:t>enant compte des objectifs environnementaux et des circonstances actuelles du marché en Grèce. Les mesures correctives devraient supprimer les privilèges créés par les droits d’accès spéciaux accordés à PPC. En particulier, elles prévoient que PPC cède les</w:t>
      </w:r>
      <w:r>
        <w:rPr>
          <w:rFonts w:ascii="Times New Roman" w:hAnsi="Times New Roman"/>
          <w:noProof/>
          <w:sz w:val="24"/>
          <w:szCs w:val="24"/>
          <w:lang w:val="fr-BE"/>
        </w:rPr>
        <w:t xml:space="preserve"> unités alimentées au lignite de Meliti (y compris l’unité sous licence d’exploitation de Meliti 2) et de Megalopoli 3 et 4. Les actifs à céder permettront aux acheteurs d’exercer une concurrence immédiate et plus efficace sur le marché de gros de l’électr</w:t>
      </w:r>
      <w:r>
        <w:rPr>
          <w:rFonts w:ascii="Times New Roman" w:hAnsi="Times New Roman"/>
          <w:noProof/>
          <w:sz w:val="24"/>
          <w:szCs w:val="24"/>
          <w:lang w:val="fr-BE"/>
        </w:rPr>
        <w:t>icité en Grèce. PPC a lancé une procédure d’appel d’offres pour la cession des installations susmentionnées, qui devrait s’achever en 2019.</w:t>
      </w:r>
    </w:p>
    <w:p w:rsidR="00D9323F" w:rsidRDefault="00F47CDD">
      <w:pPr>
        <w:spacing w:after="24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szCs w:val="24"/>
          <w:lang w:val="fr-BE"/>
        </w:rPr>
        <w:t xml:space="preserve">En 2018, la Commission </w:t>
      </w:r>
      <w:r>
        <w:rPr>
          <w:rFonts w:ascii="Times New Roman" w:hAnsi="Times New Roman"/>
          <w:noProof/>
          <w:sz w:val="24"/>
          <w:szCs w:val="24"/>
          <w:lang w:val="fr-BE"/>
        </w:rPr>
        <w:t>a analysé plusieurs opérations de concentration dans le secteur de l’électricité. Par exemple</w:t>
      </w:r>
      <w:r>
        <w:rPr>
          <w:rFonts w:ascii="Times New Roman" w:hAnsi="Times New Roman"/>
          <w:noProof/>
          <w:sz w:val="24"/>
          <w:szCs w:val="24"/>
          <w:lang w:val="fr-BE"/>
        </w:rPr>
        <w:t xml:space="preserve">, elle a approuvé la fusion </w:t>
      </w:r>
      <w:r>
        <w:rPr>
          <w:rFonts w:ascii="Times New Roman" w:eastAsiaTheme="minorHAnsi" w:hAnsi="Times New Roman"/>
          <w:i/>
          <w:noProof/>
          <w:color w:val="000000"/>
          <w:sz w:val="24"/>
          <w:szCs w:val="24"/>
          <w:lang w:val="fr-BE"/>
        </w:rPr>
        <w:t>Fortum/Uniper</w:t>
      </w:r>
      <w:r>
        <w:rPr>
          <w:rFonts w:ascii="Times New Roman" w:eastAsiaTheme="minorHAnsi" w:hAnsi="Times New Roman"/>
          <w:noProof/>
          <w:color w:val="000000"/>
          <w:sz w:val="24"/>
          <w:szCs w:val="24"/>
          <w:vertAlign w:val="superscript"/>
        </w:rPr>
        <w:footnoteReference w:id="187"/>
      </w:r>
      <w:r>
        <w:rPr>
          <w:rFonts w:ascii="Times New Roman" w:hAnsi="Times New Roman"/>
          <w:noProof/>
          <w:sz w:val="24"/>
          <w:szCs w:val="24"/>
          <w:lang w:val="fr-BE"/>
        </w:rPr>
        <w:t>. L’opération portait principalement sur la production et la vente en gros d’électricité dans les pays nordiques, notamment par le biais de l’énergie hydraulique. La Commission a également évalué diverses activités</w:t>
      </w:r>
      <w:r>
        <w:rPr>
          <w:rFonts w:ascii="Times New Roman" w:hAnsi="Times New Roman"/>
          <w:noProof/>
          <w:sz w:val="24"/>
          <w:szCs w:val="24"/>
          <w:lang w:val="fr-BE"/>
        </w:rPr>
        <w:t xml:space="preserve"> liées à l’énergie, telles que les échanges financiers, la fourniture d’électricité et de chauffage urbain au détail, ainsi que les services liés à la production d’énergie. En l’espèce, l’analyse effectuée par la Commission a révélé que la concurrence dans</w:t>
      </w:r>
      <w:r>
        <w:rPr>
          <w:rFonts w:ascii="Times New Roman" w:hAnsi="Times New Roman"/>
          <w:noProof/>
          <w:sz w:val="24"/>
          <w:szCs w:val="24"/>
          <w:lang w:val="fr-BE"/>
        </w:rPr>
        <w:t xml:space="preserve"> ces pays était saine, notamment en raison du niveau élevé d’interconnectivité entre les différents pays de la région nordique.</w:t>
      </w:r>
    </w:p>
    <w:p w:rsidR="00D9323F" w:rsidRDefault="00F47CDD">
      <w:pPr>
        <w:spacing w:before="200" w:after="0" w:line="240" w:lineRule="auto"/>
        <w:jc w:val="both"/>
        <w:rPr>
          <w:rFonts w:ascii="Times New Roman" w:eastAsiaTheme="minorHAnsi" w:hAnsi="Times New Roman"/>
          <w:bCs/>
          <w:noProof/>
          <w:sz w:val="24"/>
          <w:szCs w:val="24"/>
          <w:lang w:val="fr-BE"/>
        </w:rPr>
      </w:pPr>
      <w:r>
        <w:rPr>
          <w:rFonts w:ascii="Times New Roman" w:hAnsi="Times New Roman"/>
          <w:b/>
          <w:noProof/>
          <w:sz w:val="24"/>
          <w:szCs w:val="24"/>
          <w:lang w:val="fr-BE"/>
        </w:rPr>
        <w:t>Assurer la fiabilité de l’approvisionnement en électricité</w:t>
      </w:r>
    </w:p>
    <w:p w:rsidR="00D9323F" w:rsidRDefault="00F47CDD">
      <w:pPr>
        <w:spacing w:before="200" w:after="0" w:line="240" w:lineRule="auto"/>
        <w:jc w:val="both"/>
        <w:rPr>
          <w:rFonts w:ascii="Times New Roman" w:hAnsi="Times New Roman"/>
          <w:noProof/>
          <w:sz w:val="24"/>
          <w:szCs w:val="24"/>
          <w:lang w:val="fr-BE"/>
        </w:rPr>
      </w:pPr>
      <w:r>
        <w:rPr>
          <w:rFonts w:ascii="Times New Roman" w:eastAsiaTheme="minorHAnsi" w:hAnsi="Times New Roman"/>
          <w:noProof/>
          <w:sz w:val="24"/>
          <w:szCs w:val="24"/>
          <w:lang w:val="fr-BE"/>
        </w:rPr>
        <w:t>Les mécanismes de capacité sont des mesures prises par les États memb</w:t>
      </w:r>
      <w:r>
        <w:rPr>
          <w:rFonts w:ascii="Times New Roman" w:eastAsiaTheme="minorHAnsi" w:hAnsi="Times New Roman"/>
          <w:noProof/>
          <w:sz w:val="24"/>
          <w:szCs w:val="24"/>
          <w:lang w:val="fr-BE"/>
        </w:rPr>
        <w:t>res visant à faire en sorte que l’offre d’électricité puisse répondre à la demande à moyen et long terme</w:t>
      </w:r>
      <w:r>
        <w:rPr>
          <w:rFonts w:ascii="Times New Roman" w:hAnsi="Times New Roman"/>
          <w:noProof/>
          <w:sz w:val="24"/>
          <w:szCs w:val="24"/>
          <w:lang w:val="fr-BE"/>
        </w:rPr>
        <w:t>s. Les mécanismes de capacité sont conçus pour soutenir l’investissement afin de combler le déficit de capacité prévu et d’assurer la sécurité de l’appr</w:t>
      </w:r>
      <w:r>
        <w:rPr>
          <w:rFonts w:ascii="Times New Roman" w:hAnsi="Times New Roman"/>
          <w:noProof/>
          <w:sz w:val="24"/>
          <w:szCs w:val="24"/>
          <w:lang w:val="fr-BE"/>
        </w:rPr>
        <w:t xml:space="preserve">ovisionnement. Généralement, ces mécanismes offrent des avantages supplémentaires aux fournisseurs de capacité, en plus des revenus tirés de la vente d’électricité sur le marché, en échange du maintien de la capacité existante ou d’investissements dans de </w:t>
      </w:r>
      <w:r>
        <w:rPr>
          <w:rFonts w:ascii="Times New Roman" w:hAnsi="Times New Roman"/>
          <w:noProof/>
          <w:sz w:val="24"/>
          <w:szCs w:val="24"/>
          <w:lang w:val="fr-BE"/>
        </w:rPr>
        <w:t>nouvelles capacités nécessaires pour garantir la sécurité de l’approvisionnement en électricité. Toutefois, aucun mécanisme de capacité ne peut remplacer des réformes du marché aux niveaux national et européen. Les États membres doivent en parallèle mettre</w:t>
      </w:r>
      <w:r>
        <w:rPr>
          <w:rFonts w:ascii="Times New Roman" w:hAnsi="Times New Roman"/>
          <w:noProof/>
          <w:sz w:val="24"/>
          <w:szCs w:val="24"/>
          <w:lang w:val="fr-BE"/>
        </w:rPr>
        <w:t xml:space="preserve"> en œuvre des réformes du marché pour faire face aux défaillances de la réglementation qui dissuadent les opérateurs du secteur de l’énergie d'investir dans des capacités énergétiques conformément aux objectifs de décarbonisation de l’UE. </w:t>
      </w:r>
    </w:p>
    <w:p w:rsidR="00D9323F" w:rsidRDefault="00F47CDD">
      <w:pPr>
        <w:spacing w:before="200" w:after="0" w:line="240" w:lineRule="auto"/>
        <w:jc w:val="both"/>
        <w:rPr>
          <w:rFonts w:ascii="Times New Roman" w:hAnsi="Times New Roman"/>
          <w:noProof/>
          <w:sz w:val="24"/>
          <w:szCs w:val="24"/>
          <w:lang w:val="fr-BE"/>
        </w:rPr>
      </w:pPr>
      <w:r>
        <w:rPr>
          <w:rFonts w:ascii="Times New Roman" w:hAnsi="Times New Roman"/>
          <w:noProof/>
          <w:sz w:val="24"/>
          <w:szCs w:val="24"/>
          <w:lang w:val="fr-BE"/>
        </w:rPr>
        <w:t>Dans son rapport</w:t>
      </w:r>
      <w:r>
        <w:rPr>
          <w:rFonts w:ascii="Times New Roman" w:hAnsi="Times New Roman"/>
          <w:noProof/>
          <w:sz w:val="24"/>
          <w:szCs w:val="24"/>
          <w:lang w:val="fr-BE"/>
        </w:rPr>
        <w:t xml:space="preserve"> de 2016 relatif à l’enquête sectorielle sur les mécanismes de capacité</w:t>
      </w:r>
      <w:r>
        <w:rPr>
          <w:rFonts w:ascii="Times New Roman" w:hAnsi="Times New Roman"/>
          <w:noProof/>
          <w:sz w:val="24"/>
          <w:szCs w:val="24"/>
          <w:vertAlign w:val="superscript"/>
        </w:rPr>
        <w:footnoteReference w:id="188"/>
      </w:r>
      <w:r>
        <w:rPr>
          <w:rFonts w:ascii="Times New Roman" w:hAnsi="Times New Roman"/>
          <w:noProof/>
          <w:sz w:val="24"/>
          <w:szCs w:val="24"/>
          <w:lang w:val="fr-BE"/>
        </w:rPr>
        <w:t>, la Commission a conclu que les mécanismes de capacité peuvent affecter la combinaison de modes de production et en particulier interagir avec les instruments visant à favoriser la dé</w:t>
      </w:r>
      <w:r>
        <w:rPr>
          <w:rFonts w:ascii="Times New Roman" w:hAnsi="Times New Roman"/>
          <w:noProof/>
          <w:sz w:val="24"/>
          <w:szCs w:val="24"/>
          <w:lang w:val="fr-BE"/>
        </w:rPr>
        <w:t xml:space="preserve">carbonisation. Pour encourager les capacités fondées sur des énergies non fossiles, la Commission a recommandé que les critères d’admissibilité ou d’allocation des mécanismes de capacité permettent aux énergies renouvelables et aux opérateurs d'effacement </w:t>
      </w:r>
      <w:r>
        <w:rPr>
          <w:rFonts w:ascii="Times New Roman" w:hAnsi="Times New Roman"/>
          <w:noProof/>
          <w:sz w:val="24"/>
          <w:szCs w:val="24"/>
          <w:lang w:val="fr-BE"/>
        </w:rPr>
        <w:t>de faire concurrence à d’autres capacités. Sans cela, les mécanismes de capacité pourraient risquer de compromettre la réalisation des objectifs en matière de décarbonisation et de pousser à la hausse le prix à payer pour la sécurité d’approvisionnement.</w:t>
      </w:r>
    </w:p>
    <w:p w:rsidR="00D9323F" w:rsidRDefault="00D9323F">
      <w:pPr>
        <w:spacing w:before="200" w:after="0" w:line="240" w:lineRule="auto"/>
        <w:jc w:val="both"/>
        <w:rPr>
          <w:rFonts w:ascii="Times New Roman" w:hAnsi="Times New Roman"/>
          <w:noProof/>
          <w:sz w:val="24"/>
          <w:szCs w:val="24"/>
          <w:lang w:val="fr-BE"/>
        </w:rPr>
      </w:pPr>
    </w:p>
    <w:p w:rsidR="00D9323F" w:rsidRDefault="00F47CDD">
      <w:pPr>
        <w:spacing w:after="240" w:line="240" w:lineRule="auto"/>
        <w:jc w:val="both"/>
        <w:rPr>
          <w:rFonts w:ascii="Times New Roman" w:eastAsiaTheme="minorHAnsi" w:hAnsi="Times New Roman"/>
          <w:bCs/>
          <w:noProof/>
          <w:sz w:val="24"/>
          <w:szCs w:val="24"/>
          <w:lang w:val="fr-BE"/>
        </w:rPr>
      </w:pPr>
      <w:r>
        <w:rPr>
          <w:rFonts w:ascii="Times New Roman" w:eastAsiaTheme="minorHAnsi" w:hAnsi="Times New Roman"/>
          <w:noProof/>
          <w:sz w:val="24"/>
          <w:szCs w:val="24"/>
          <w:lang w:val="fr-BE"/>
        </w:rPr>
        <w:t>En 2018, la Commission a autorisé sept mécanismes de capacité dans le secteur de l’électricité (en Allemagne, en Belgique, en France, en Grèce, en Italie et en Pologne)</w:t>
      </w:r>
      <w:r>
        <w:rPr>
          <w:rStyle w:val="FootnoteReference"/>
          <w:rFonts w:ascii="Times New Roman" w:eastAsiaTheme="minorHAnsi" w:hAnsi="Times New Roman"/>
          <w:noProof/>
          <w:sz w:val="24"/>
          <w:szCs w:val="24"/>
        </w:rPr>
        <w:footnoteReference w:id="189"/>
      </w:r>
      <w:r>
        <w:rPr>
          <w:rFonts w:ascii="Times New Roman" w:eastAsiaTheme="minorHAnsi" w:hAnsi="Times New Roman"/>
          <w:noProof/>
          <w:sz w:val="24"/>
          <w:szCs w:val="24"/>
          <w:lang w:val="fr-BE"/>
        </w:rPr>
        <w:t>. Dans son évaluation, la Commission a vérifié que les mécanismes de capacité satisfais</w:t>
      </w:r>
      <w:r>
        <w:rPr>
          <w:rFonts w:ascii="Times New Roman" w:eastAsiaTheme="minorHAnsi" w:hAnsi="Times New Roman"/>
          <w:noProof/>
          <w:sz w:val="24"/>
          <w:szCs w:val="24"/>
          <w:lang w:val="fr-BE"/>
        </w:rPr>
        <w:t>aient aux critères stricts prévus par les règles de l’UE en matière d’aides d’État, en particulier les lignes directrices de la Commission de 2014 concernant les aides d’État à la protection de l’environnement et à l’énergie.</w:t>
      </w:r>
      <w:r>
        <w:rPr>
          <w:rStyle w:val="FootnoteReference"/>
          <w:rFonts w:ascii="Times New Roman" w:eastAsiaTheme="minorHAnsi" w:hAnsi="Times New Roman"/>
          <w:noProof/>
          <w:sz w:val="24"/>
          <w:szCs w:val="24"/>
        </w:rPr>
        <w:footnoteReference w:id="190"/>
      </w:r>
      <w:r>
        <w:rPr>
          <w:rFonts w:ascii="Times New Roman" w:eastAsiaTheme="minorHAnsi" w:hAnsi="Times New Roman"/>
          <w:noProof/>
          <w:sz w:val="24"/>
          <w:szCs w:val="24"/>
          <w:lang w:val="fr-BE"/>
        </w:rPr>
        <w:t xml:space="preserve"> Les États membres doivent en </w:t>
      </w:r>
      <w:r>
        <w:rPr>
          <w:rFonts w:ascii="Times New Roman" w:eastAsiaTheme="minorHAnsi" w:hAnsi="Times New Roman"/>
          <w:noProof/>
          <w:sz w:val="24"/>
          <w:szCs w:val="24"/>
          <w:lang w:val="fr-BE"/>
        </w:rPr>
        <w:t xml:space="preserve">parallèle mettre en œuvre des réformes du marché pour faire face aux défaillances de la réglementation qui </w:t>
      </w:r>
      <w:r>
        <w:rPr>
          <w:rFonts w:ascii="Times New Roman" w:hAnsi="Times New Roman"/>
          <w:noProof/>
          <w:sz w:val="24"/>
          <w:szCs w:val="24"/>
          <w:lang w:val="fr-BE"/>
        </w:rPr>
        <w:t xml:space="preserve">dissuadent les opérateurs du secteur de l’énergie d'investir dans la capacité de production d’électricité.  </w:t>
      </w:r>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Concurrence effective sur les marchés du</w:t>
      </w:r>
      <w:r>
        <w:rPr>
          <w:rFonts w:ascii="Times New Roman" w:hAnsi="Times New Roman"/>
          <w:b/>
          <w:noProof/>
          <w:sz w:val="24"/>
          <w:szCs w:val="24"/>
          <w:lang w:val="fr-BE"/>
        </w:rPr>
        <w:t xml:space="preserve"> gaz et du pétrole </w:t>
      </w:r>
    </w:p>
    <w:p w:rsidR="00D9323F" w:rsidRDefault="00F47CDD">
      <w:pPr>
        <w:spacing w:after="24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szCs w:val="24"/>
          <w:lang w:val="fr-BE"/>
        </w:rPr>
        <w:t>L’application des règles relatives aux pratiques anticoncurrentielles dans le secteur du gaz a pour but de créer en Europe des marchés plus concurrentiels et d’offrir ainsi aux citoyens et aux entreprises des possibilités d’arbitrage et</w:t>
      </w:r>
      <w:r>
        <w:rPr>
          <w:rFonts w:ascii="Times New Roman" w:eastAsiaTheme="minorHAnsi" w:hAnsi="Times New Roman"/>
          <w:noProof/>
          <w:color w:val="000000"/>
          <w:sz w:val="24"/>
          <w:szCs w:val="24"/>
          <w:lang w:val="fr-BE"/>
        </w:rPr>
        <w:t xml:space="preserve"> un plus grand choix à des prix moindres.</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L’affaire concernant les marchés du gaz d’Europe centrale et orientale est un bon exemple des efforts déployés par la Commission pour faciliter les flux transfrontaliers d’énergie entre États membres. Le 24 mai 201</w:t>
      </w:r>
      <w:r>
        <w:rPr>
          <w:rFonts w:ascii="Times New Roman" w:hAnsi="Times New Roman"/>
          <w:noProof/>
          <w:sz w:val="24"/>
          <w:szCs w:val="24"/>
          <w:lang w:val="fr-BE"/>
        </w:rPr>
        <w:t>8, la Commission a adopté une décision rendant juridiquement contraignants les engagements de Gazprom visant à dissiper ses préoccupations en matière de concurrence et à permettre la libre circulation du gaz à des prix concurrentiels sur les marchés gazier</w:t>
      </w:r>
      <w:r>
        <w:rPr>
          <w:rFonts w:ascii="Times New Roman" w:hAnsi="Times New Roman"/>
          <w:noProof/>
          <w:sz w:val="24"/>
          <w:szCs w:val="24"/>
          <w:lang w:val="fr-BE"/>
        </w:rPr>
        <w:t xml:space="preserve">s d’Europe centrale et orientale, dans l’intérêt des entreprises et des consommateurs européens. </w:t>
      </w:r>
      <w:r>
        <w:rPr>
          <w:rFonts w:ascii="Times New Roman" w:hAnsi="Times New Roman"/>
          <w:i/>
          <w:noProof/>
          <w:sz w:val="24"/>
          <w:szCs w:val="24"/>
          <w:lang w:val="fr-BE"/>
        </w:rPr>
        <w:t>Gazprom</w:t>
      </w:r>
      <w:r>
        <w:rPr>
          <w:rFonts w:ascii="Times New Roman" w:hAnsi="Times New Roman"/>
          <w:noProof/>
          <w:sz w:val="24"/>
          <w:szCs w:val="24"/>
          <w:lang w:val="fr-BE"/>
        </w:rPr>
        <w:t xml:space="preserve"> semble être le fournisseur de gaz dominant dans un certain nombre de pays d’Europe centrale et orientale. La Commission craignait que Gazprom n’ait enfreint les règles de concurrence de l’UE en conduisant une stratégie globale de cloisonnement des marchés</w:t>
      </w:r>
      <w:r>
        <w:rPr>
          <w:rFonts w:ascii="Times New Roman" w:hAnsi="Times New Roman"/>
          <w:noProof/>
          <w:sz w:val="24"/>
          <w:szCs w:val="24"/>
          <w:lang w:val="fr-BE"/>
        </w:rPr>
        <w:t xml:space="preserve"> gaziers dans huit États membres (Bulgarie, Estonie, Hongrie, Lettonie, Lituanie, Pologne, République tchèque et Slovaquie) et que cette stratégie n’ait permis à Gazprom de faire payer le gaz plus cher dans cinq de ces États membres (la Bulgarie, l’Estonie</w:t>
      </w:r>
      <w:r>
        <w:rPr>
          <w:rFonts w:ascii="Times New Roman" w:hAnsi="Times New Roman"/>
          <w:noProof/>
          <w:sz w:val="24"/>
          <w:szCs w:val="24"/>
          <w:lang w:val="fr-BE"/>
        </w:rPr>
        <w:t xml:space="preserve">, la Lettonie, la Lituanie et la Pologne). La décision de la Commission a mis fin aux agissements de Gazprom à cet égard. Elle a en outre imposé à l’entreprise une série de règles détaillées qui changeront considérablement son comportement sur les marchés </w:t>
      </w:r>
      <w:r>
        <w:rPr>
          <w:rFonts w:ascii="Times New Roman" w:hAnsi="Times New Roman"/>
          <w:noProof/>
          <w:sz w:val="24"/>
          <w:szCs w:val="24"/>
          <w:lang w:val="fr-BE"/>
        </w:rPr>
        <w:t>gaziers d’Europe centrale et orientale:</w:t>
      </w:r>
    </w:p>
    <w:p w:rsidR="00D9323F" w:rsidRDefault="00F47CDD">
      <w:pPr>
        <w:numPr>
          <w:ilvl w:val="0"/>
          <w:numId w:val="7"/>
        </w:numPr>
        <w:spacing w:before="100" w:beforeAutospacing="1" w:after="100" w:afterAutospacing="1"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suppression des obstacles contractuels à la libre circulation du gaz: Gazprom doit supprimer toutes les restrictions qui empêchent ses clients de revendre au-delà des frontières nationales le gaz qu’ils lui ont achet</w:t>
      </w:r>
      <w:r>
        <w:rPr>
          <w:rFonts w:ascii="Times New Roman" w:eastAsiaTheme="minorHAnsi" w:hAnsi="Times New Roman"/>
          <w:noProof/>
          <w:sz w:val="24"/>
          <w:szCs w:val="24"/>
          <w:lang w:val="fr-BE"/>
        </w:rPr>
        <w:t>é;</w:t>
      </w:r>
    </w:p>
    <w:p w:rsidR="00D9323F" w:rsidRDefault="00F47CDD">
      <w:pPr>
        <w:numPr>
          <w:ilvl w:val="0"/>
          <w:numId w:val="7"/>
        </w:numPr>
        <w:spacing w:before="100" w:beforeAutospacing="1" w:after="100" w:afterAutospacing="1"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 xml:space="preserve">obligation de faciliter les flux gaziers à destination et en provenance des marchés isolés: Gazprom autorisera les flux de gaz à destination et en provenance de certaines régions d’Europe centrale et orientale toujours isolées des autres États membres, </w:t>
      </w:r>
      <w:r>
        <w:rPr>
          <w:rFonts w:ascii="Times New Roman" w:eastAsiaTheme="minorHAnsi" w:hAnsi="Times New Roman"/>
          <w:noProof/>
          <w:sz w:val="24"/>
          <w:szCs w:val="24"/>
          <w:lang w:val="fr-BE"/>
        </w:rPr>
        <w:t>à savoir les États baltes et la Bulgarie, en raison du manque d’infrastructures d’interconnexion;</w:t>
      </w:r>
    </w:p>
    <w:p w:rsidR="00D9323F" w:rsidRDefault="00F47CDD">
      <w:pPr>
        <w:numPr>
          <w:ilvl w:val="0"/>
          <w:numId w:val="7"/>
        </w:numPr>
        <w:spacing w:before="100" w:beforeAutospacing="1" w:after="100" w:afterAutospacing="1"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mise en place d’un processus structuré pour garantir la compétitivité des prix du gaz:</w:t>
      </w:r>
      <w:r>
        <w:rPr>
          <w:rFonts w:ascii="Times New Roman" w:eastAsiaTheme="minorHAnsi" w:hAnsi="Times New Roman"/>
          <w:b/>
          <w:noProof/>
          <w:sz w:val="24"/>
          <w:szCs w:val="24"/>
          <w:lang w:val="fr-BE"/>
        </w:rPr>
        <w:t xml:space="preserve"> </w:t>
      </w:r>
      <w:r>
        <w:rPr>
          <w:rFonts w:ascii="Times New Roman" w:eastAsiaTheme="minorHAnsi" w:hAnsi="Times New Roman"/>
          <w:noProof/>
          <w:sz w:val="24"/>
          <w:szCs w:val="24"/>
          <w:lang w:val="fr-BE"/>
        </w:rPr>
        <w:t>un instrument efficace est mis à la disposition des clients concernés d</w:t>
      </w:r>
      <w:r>
        <w:rPr>
          <w:rFonts w:ascii="Times New Roman" w:eastAsiaTheme="minorHAnsi" w:hAnsi="Times New Roman"/>
          <w:noProof/>
          <w:sz w:val="24"/>
          <w:szCs w:val="24"/>
          <w:lang w:val="fr-BE"/>
        </w:rPr>
        <w:t>e Gazprom pour qu’ils puissent s’assurer que le prix qu’ils paient pour le gaz correspond au niveau de prix pratiqué sur les marchés concurrentiels d’Europe occidentale, en particulier sur les plateformes de gaz liquide;</w:t>
      </w:r>
    </w:p>
    <w:p w:rsidR="00D9323F" w:rsidRDefault="00F47CDD">
      <w:pPr>
        <w:numPr>
          <w:ilvl w:val="0"/>
          <w:numId w:val="7"/>
        </w:numPr>
        <w:spacing w:before="100" w:beforeAutospacing="1" w:after="100" w:afterAutospacing="1"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suppression des exigences découlant</w:t>
      </w:r>
      <w:r>
        <w:rPr>
          <w:rFonts w:ascii="Times New Roman" w:eastAsiaTheme="minorHAnsi" w:hAnsi="Times New Roman"/>
          <w:noProof/>
          <w:sz w:val="24"/>
          <w:szCs w:val="24"/>
          <w:lang w:val="fr-BE"/>
        </w:rPr>
        <w:t xml:space="preserve"> de l’exploitation d’une position dominante sur le marché de la fourniture de gaz:</w:t>
      </w:r>
      <w:r>
        <w:rPr>
          <w:rFonts w:ascii="Times New Roman" w:eastAsiaTheme="minorHAnsi" w:hAnsi="Times New Roman"/>
          <w:b/>
          <w:noProof/>
          <w:sz w:val="24"/>
          <w:szCs w:val="24"/>
          <w:lang w:val="fr-BE"/>
        </w:rPr>
        <w:t xml:space="preserve"> </w:t>
      </w:r>
      <w:r>
        <w:rPr>
          <w:rFonts w:ascii="Times New Roman" w:eastAsiaTheme="minorHAnsi" w:hAnsi="Times New Roman"/>
          <w:noProof/>
          <w:sz w:val="24"/>
          <w:szCs w:val="24"/>
          <w:lang w:val="fr-BE"/>
        </w:rPr>
        <w:t>Gazprom ne peut pas tirer profit de quelconques avantages liés aux infrastructures gazières qu’elle aurait pu obtenir auprès de clients en exploitant sa position dominante s</w:t>
      </w:r>
      <w:r>
        <w:rPr>
          <w:rFonts w:ascii="Times New Roman" w:eastAsiaTheme="minorHAnsi" w:hAnsi="Times New Roman"/>
          <w:noProof/>
          <w:sz w:val="24"/>
          <w:szCs w:val="24"/>
          <w:lang w:val="fr-BE"/>
        </w:rPr>
        <w:t>ur le marché de la fourniture de gaz.</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Toutes ces obligations répondent aux préoccupations de la Commission en matière de concurrence ainsi qu’à son objectif de libre circulation du gaz à des prix concurrentiels en Europe centrale et orientale. Si Gazprom m</w:t>
      </w:r>
      <w:r>
        <w:rPr>
          <w:rFonts w:ascii="Times New Roman" w:hAnsi="Times New Roman"/>
          <w:noProof/>
          <w:sz w:val="24"/>
          <w:szCs w:val="24"/>
          <w:lang w:val="fr-BE"/>
        </w:rPr>
        <w:t>anque à l’un de ces engagements, la Commission peut lui infliger une amende pouvant aller jusqu’à 10 % de son chiffre d’affaires mondial, sans avoir à prouver l’existence d’une quelconque violation des règles de concurrence de l’UE</w:t>
      </w:r>
      <w:r>
        <w:rPr>
          <w:rFonts w:ascii="Times New Roman" w:hAnsi="Times New Roman"/>
          <w:noProof/>
          <w:sz w:val="24"/>
          <w:szCs w:val="24"/>
          <w:vertAlign w:val="superscript"/>
        </w:rPr>
        <w:footnoteReference w:id="191"/>
      </w:r>
      <w:r>
        <w:rPr>
          <w:rFonts w:ascii="Times New Roman" w:hAnsi="Times New Roman"/>
          <w:noProof/>
          <w:sz w:val="24"/>
          <w:szCs w:val="24"/>
          <w:lang w:val="fr-BE"/>
        </w:rPr>
        <w:t>.</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 xml:space="preserve">Le 17 décembre 2018, la Commission a infligé une amende de 78 millions d’EUR à </w:t>
      </w:r>
      <w:r>
        <w:rPr>
          <w:rFonts w:ascii="Times New Roman" w:eastAsiaTheme="minorHAnsi" w:hAnsi="Times New Roman"/>
          <w:i/>
          <w:noProof/>
          <w:sz w:val="24"/>
          <w:szCs w:val="24"/>
          <w:lang w:val="fr-BE"/>
        </w:rPr>
        <w:t>Bulgarian Energy Holding (BEH)</w:t>
      </w:r>
      <w:r>
        <w:rPr>
          <w:rFonts w:ascii="Times New Roman" w:hAnsi="Times New Roman"/>
          <w:noProof/>
          <w:sz w:val="24"/>
          <w:szCs w:val="24"/>
          <w:vertAlign w:val="superscript"/>
        </w:rPr>
        <w:footnoteReference w:id="192"/>
      </w:r>
      <w:r>
        <w:rPr>
          <w:rFonts w:ascii="Times New Roman" w:eastAsiaTheme="minorHAnsi" w:hAnsi="Times New Roman"/>
          <w:noProof/>
          <w:sz w:val="24"/>
          <w:szCs w:val="24"/>
          <w:lang w:val="fr-BE"/>
        </w:rPr>
        <w:t>, sa filiale d’approvisionnement en gaz Bulgargaz et sa filiale d’infrastructures gazières Bulgartransgaz (le groupe BEH) pour avoir empêché ses c</w:t>
      </w:r>
      <w:r>
        <w:rPr>
          <w:rFonts w:ascii="Times New Roman" w:eastAsiaTheme="minorHAnsi" w:hAnsi="Times New Roman"/>
          <w:noProof/>
          <w:sz w:val="24"/>
          <w:szCs w:val="24"/>
          <w:lang w:val="fr-BE"/>
        </w:rPr>
        <w:t>oncurrents d’accéder à des infrastructures gazières stratégiques en Bulgarie. BEH est le fournisseur d’énergie public historique de Bulgarie. Celui-ci est intégré verticalement, ce qui signifie que BEH fournit du gaz et que ses filiales possèdent ou contrô</w:t>
      </w:r>
      <w:r>
        <w:rPr>
          <w:rFonts w:ascii="Times New Roman" w:eastAsiaTheme="minorHAnsi" w:hAnsi="Times New Roman"/>
          <w:noProof/>
          <w:sz w:val="24"/>
          <w:szCs w:val="24"/>
          <w:lang w:val="fr-BE"/>
        </w:rPr>
        <w:t>lent des infrastructures gazières stratégiques en Bulgarie. La Commission a constaté que le groupe BEH occupait une position dominante sur les marchés bulgares de l’approvisionnement en gaz et des infrastructures gazières et que, entre 2010 et 2015, le gro</w:t>
      </w:r>
      <w:r>
        <w:rPr>
          <w:rFonts w:ascii="Times New Roman" w:eastAsiaTheme="minorHAnsi" w:hAnsi="Times New Roman"/>
          <w:noProof/>
          <w:sz w:val="24"/>
          <w:szCs w:val="24"/>
          <w:lang w:val="fr-BE"/>
        </w:rPr>
        <w:t xml:space="preserve">upe BEH a bloqué l’accès à des infrastructures gazières stratégiques qu’il possédait ou contrôlait. Ces infrastructures sont indispensables à l’approvisionnement en gaz sur le marché </w:t>
      </w:r>
      <w:r>
        <w:rPr>
          <w:rFonts w:ascii="Times New Roman" w:hAnsi="Times New Roman"/>
          <w:noProof/>
          <w:sz w:val="24"/>
          <w:szCs w:val="24"/>
          <w:lang w:val="fr-BE"/>
        </w:rPr>
        <w:t xml:space="preserve">de gros bulgare du gaz et comprennent les infrastructures suivantes: </w:t>
      </w:r>
    </w:p>
    <w:p w:rsidR="00D9323F" w:rsidRDefault="00F47CDD">
      <w:pPr>
        <w:numPr>
          <w:ilvl w:val="0"/>
          <w:numId w:val="8"/>
        </w:numPr>
        <w:spacing w:after="120" w:line="240" w:lineRule="auto"/>
        <w:ind w:left="714" w:right="57" w:hanging="357"/>
        <w:jc w:val="both"/>
        <w:rPr>
          <w:rFonts w:ascii="Times New Roman" w:hAnsi="Times New Roman"/>
          <w:noProof/>
          <w:sz w:val="24"/>
          <w:szCs w:val="24"/>
          <w:lang w:val="fr-BE"/>
        </w:rPr>
      </w:pPr>
      <w:r>
        <w:rPr>
          <w:rFonts w:ascii="Times New Roman" w:hAnsi="Times New Roman"/>
          <w:noProof/>
          <w:sz w:val="24"/>
          <w:szCs w:val="24"/>
          <w:lang w:val="fr-BE"/>
        </w:rPr>
        <w:t xml:space="preserve">le </w:t>
      </w:r>
      <w:r>
        <w:rPr>
          <w:rFonts w:ascii="Times New Roman" w:hAnsi="Times New Roman"/>
          <w:noProof/>
          <w:sz w:val="24"/>
          <w:szCs w:val="24"/>
          <w:lang w:val="fr-BE"/>
        </w:rPr>
        <w:t xml:space="preserve">réseau bulgare de transport de gaz, </w:t>
      </w:r>
    </w:p>
    <w:p w:rsidR="00D9323F" w:rsidRDefault="00F47CDD">
      <w:pPr>
        <w:numPr>
          <w:ilvl w:val="0"/>
          <w:numId w:val="8"/>
        </w:numPr>
        <w:spacing w:after="120" w:line="240" w:lineRule="auto"/>
        <w:ind w:left="714" w:right="57" w:hanging="357"/>
        <w:jc w:val="both"/>
        <w:rPr>
          <w:rFonts w:ascii="Times New Roman" w:hAnsi="Times New Roman"/>
          <w:noProof/>
          <w:sz w:val="24"/>
          <w:szCs w:val="24"/>
          <w:lang w:val="fr-BE"/>
        </w:rPr>
      </w:pPr>
      <w:r>
        <w:rPr>
          <w:rFonts w:ascii="Times New Roman" w:hAnsi="Times New Roman"/>
          <w:noProof/>
          <w:sz w:val="24"/>
          <w:szCs w:val="24"/>
          <w:lang w:val="fr-BE"/>
        </w:rPr>
        <w:t xml:space="preserve">la seule installation de stockage de gaz de Bulgarie et </w:t>
      </w:r>
    </w:p>
    <w:p w:rsidR="00D9323F" w:rsidRDefault="00F47CDD">
      <w:pPr>
        <w:numPr>
          <w:ilvl w:val="0"/>
          <w:numId w:val="8"/>
        </w:numPr>
        <w:spacing w:after="240" w:line="240" w:lineRule="auto"/>
        <w:ind w:left="714" w:right="57" w:hanging="357"/>
        <w:contextualSpacing/>
        <w:jc w:val="both"/>
        <w:rPr>
          <w:rFonts w:ascii="Times New Roman" w:hAnsi="Times New Roman"/>
          <w:noProof/>
          <w:sz w:val="24"/>
          <w:szCs w:val="24"/>
          <w:lang w:val="fr-BE"/>
        </w:rPr>
      </w:pPr>
      <w:r>
        <w:rPr>
          <w:rFonts w:ascii="Times New Roman" w:hAnsi="Times New Roman"/>
          <w:noProof/>
          <w:sz w:val="24"/>
          <w:szCs w:val="24"/>
          <w:lang w:val="fr-BE"/>
        </w:rPr>
        <w:t xml:space="preserve">le seul gazoduc d’importation de gaz en Bulgarie, entièrement réservé par BEH. </w:t>
      </w:r>
    </w:p>
    <w:p w:rsidR="00D9323F" w:rsidRDefault="00D9323F">
      <w:pPr>
        <w:spacing w:after="240" w:line="240" w:lineRule="auto"/>
        <w:ind w:right="57"/>
        <w:contextualSpacing/>
        <w:jc w:val="both"/>
        <w:rPr>
          <w:rFonts w:ascii="Times New Roman" w:hAnsi="Times New Roman"/>
          <w:noProof/>
          <w:sz w:val="24"/>
          <w:szCs w:val="24"/>
          <w:lang w:val="fr-BE"/>
        </w:rPr>
      </w:pP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Sans accès à ces infrastructures essentielles, il était impossible pour les concu</w:t>
      </w:r>
      <w:r>
        <w:rPr>
          <w:rFonts w:ascii="Times New Roman" w:eastAsiaTheme="minorHAnsi" w:hAnsi="Times New Roman"/>
          <w:noProof/>
          <w:sz w:val="24"/>
          <w:szCs w:val="24"/>
          <w:lang w:val="fr-BE"/>
        </w:rPr>
        <w:t>rrents potentiels d’entrer sur le</w:t>
      </w:r>
      <w:r>
        <w:rPr>
          <w:rFonts w:ascii="Times New Roman" w:hAnsi="Times New Roman"/>
          <w:noProof/>
          <w:sz w:val="24"/>
          <w:szCs w:val="24"/>
          <w:lang w:val="fr-BE"/>
        </w:rPr>
        <w:t xml:space="preserve"> marché de gros du gaz en Bulgarie et ils n’ont de ce fait pas pu faire concurrence à BEH, qui s’est vu garantir le monopole de l’approvisionnement en gaz en Bulgarie. La Commission a conclu que ce comportement du groupe BE</w:t>
      </w:r>
      <w:r>
        <w:rPr>
          <w:rFonts w:ascii="Times New Roman" w:hAnsi="Times New Roman"/>
          <w:noProof/>
          <w:sz w:val="24"/>
          <w:szCs w:val="24"/>
          <w:lang w:val="fr-BE"/>
        </w:rPr>
        <w:t xml:space="preserve">H enfreignait l’article 102 (TFUE), qui interdit les abus de position dominante sur le marché. </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Pour dissiper les craintes que </w:t>
      </w:r>
      <w:r>
        <w:rPr>
          <w:rFonts w:ascii="Times New Roman" w:hAnsi="Times New Roman"/>
          <w:i/>
          <w:noProof/>
          <w:color w:val="000000"/>
          <w:sz w:val="24"/>
          <w:szCs w:val="24"/>
          <w:lang w:val="fr-BE"/>
        </w:rPr>
        <w:t>Transgaz</w:t>
      </w:r>
      <w:r>
        <w:rPr>
          <w:rFonts w:ascii="Times New Roman" w:hAnsi="Times New Roman"/>
          <w:noProof/>
          <w:sz w:val="24"/>
          <w:szCs w:val="24"/>
          <w:vertAlign w:val="superscript"/>
        </w:rPr>
        <w:footnoteReference w:id="193"/>
      </w:r>
      <w:r>
        <w:rPr>
          <w:rFonts w:ascii="Times New Roman" w:hAnsi="Times New Roman"/>
          <w:noProof/>
          <w:sz w:val="24"/>
          <w:szCs w:val="24"/>
          <w:lang w:val="fr-BE"/>
        </w:rPr>
        <w:t>, le gestionnaire du réseau gazier roumain, n’entrave la libre circulation du gaz en provenance de Roumanie, la Commission a lancé, le 21 septembre 2018, une consultation des acteurs du marché sur les projets d’engagements présentés par Transgaz. Ces engag</w:t>
      </w:r>
      <w:r>
        <w:rPr>
          <w:rFonts w:ascii="Times New Roman" w:hAnsi="Times New Roman"/>
          <w:noProof/>
          <w:sz w:val="24"/>
          <w:szCs w:val="24"/>
          <w:lang w:val="fr-BE"/>
        </w:rPr>
        <w:t>ements visent à permettre les exportations de gaz naturel de la Roumanie vers d’autres États membres, en particulier la Hongrie et la Bulgarie. La Commission craignait que Transgaz ait limité les exportations de gaz naturel depuis la Roumanie et n’ait enfr</w:t>
      </w:r>
      <w:r>
        <w:rPr>
          <w:rFonts w:ascii="Times New Roman" w:hAnsi="Times New Roman"/>
          <w:noProof/>
          <w:sz w:val="24"/>
          <w:szCs w:val="24"/>
          <w:lang w:val="fr-BE"/>
        </w:rPr>
        <w:t>eint les règles de concurrence de l’UE qui interdisent les abus de position dominante sur le marché. Pour remédier aux problèmes relevés par la Commission, Transgaz a offert des engagements grâce auxquels des capacités d’exportation depuis la Roumanie d’un</w:t>
      </w:r>
      <w:r>
        <w:rPr>
          <w:rFonts w:ascii="Times New Roman" w:hAnsi="Times New Roman"/>
          <w:noProof/>
          <w:sz w:val="24"/>
          <w:szCs w:val="24"/>
          <w:lang w:val="fr-BE"/>
        </w:rPr>
        <w:t xml:space="preserve"> niveau significatif d’un point de vue commercial seraient mises à disposition pour la première fois. La Commission examine actuellement les réponses des acteurs du marché. </w:t>
      </w:r>
    </w:p>
    <w:p w:rsidR="00D9323F" w:rsidRDefault="00F47CDD">
      <w:pPr>
        <w:spacing w:after="24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szCs w:val="24"/>
          <w:lang w:val="fr-BE"/>
        </w:rPr>
        <w:t>Enfin, en ce qui concerne les concentrations dans le secteur du gaz, à la suite de</w:t>
      </w:r>
      <w:r>
        <w:rPr>
          <w:rFonts w:ascii="Times New Roman" w:eastAsiaTheme="minorHAnsi" w:hAnsi="Times New Roman"/>
          <w:noProof/>
          <w:color w:val="000000"/>
          <w:sz w:val="24"/>
          <w:szCs w:val="24"/>
          <w:lang w:val="fr-BE"/>
        </w:rPr>
        <w:t xml:space="preserve"> l’abandon du projet d’acquisition du gestionnaire du réseau de transport de gaz grec </w:t>
      </w:r>
      <w:r>
        <w:rPr>
          <w:rFonts w:ascii="Times New Roman" w:eastAsiaTheme="minorHAnsi" w:hAnsi="Times New Roman"/>
          <w:i/>
          <w:noProof/>
          <w:color w:val="000000"/>
          <w:sz w:val="24"/>
          <w:szCs w:val="24"/>
          <w:lang w:val="fr-BE"/>
        </w:rPr>
        <w:t>DESFA</w:t>
      </w:r>
      <w:r>
        <w:rPr>
          <w:rFonts w:ascii="Times New Roman" w:eastAsiaTheme="minorHAnsi" w:hAnsi="Times New Roman"/>
          <w:noProof/>
          <w:color w:val="000000"/>
          <w:sz w:val="24"/>
          <w:szCs w:val="24"/>
          <w:lang w:val="fr-BE"/>
        </w:rPr>
        <w:t xml:space="preserve"> par la State Oil Company of Azerbaijan Republic (</w:t>
      </w:r>
      <w:r>
        <w:rPr>
          <w:rFonts w:ascii="Times New Roman" w:eastAsiaTheme="minorHAnsi" w:hAnsi="Times New Roman"/>
          <w:i/>
          <w:noProof/>
          <w:color w:val="000000"/>
          <w:sz w:val="24"/>
          <w:szCs w:val="24"/>
          <w:lang w:val="fr-BE"/>
        </w:rPr>
        <w:t>SOCAR</w:t>
      </w:r>
      <w:r>
        <w:rPr>
          <w:rFonts w:ascii="Times New Roman" w:eastAsiaTheme="minorHAnsi" w:hAnsi="Times New Roman"/>
          <w:noProof/>
          <w:color w:val="000000"/>
          <w:sz w:val="24"/>
          <w:szCs w:val="24"/>
          <w:lang w:val="fr-BE"/>
        </w:rPr>
        <w:t>)</w:t>
      </w:r>
      <w:r>
        <w:rPr>
          <w:rFonts w:ascii="Times New Roman" w:eastAsiaTheme="minorHAnsi" w:hAnsi="Times New Roman"/>
          <w:noProof/>
          <w:color w:val="000000"/>
          <w:sz w:val="24"/>
          <w:szCs w:val="24"/>
          <w:vertAlign w:val="superscript"/>
        </w:rPr>
        <w:footnoteReference w:id="194"/>
      </w:r>
      <w:r>
        <w:rPr>
          <w:rFonts w:ascii="Times New Roman" w:eastAsiaTheme="minorHAnsi" w:hAnsi="Times New Roman"/>
          <w:noProof/>
          <w:color w:val="000000"/>
          <w:sz w:val="24"/>
          <w:szCs w:val="24"/>
          <w:lang w:val="fr-BE"/>
        </w:rPr>
        <w:t xml:space="preserve"> par les parties à cette opération, les autorités grecques ont lancé un nouvel appel d’offres comportant une</w:t>
      </w:r>
      <w:r>
        <w:rPr>
          <w:rFonts w:ascii="Times New Roman" w:eastAsiaTheme="minorHAnsi" w:hAnsi="Times New Roman"/>
          <w:noProof/>
          <w:color w:val="000000"/>
          <w:sz w:val="24"/>
          <w:szCs w:val="24"/>
          <w:lang w:val="fr-BE"/>
        </w:rPr>
        <w:t xml:space="preserve"> obligation de dissociation, répondant ainsi aux préoccupations exprimées par la Commission lorsqu’elle a ouvert une enquête approfondie dans l’affaire </w:t>
      </w:r>
      <w:r>
        <w:rPr>
          <w:rFonts w:ascii="Times New Roman" w:eastAsiaTheme="minorHAnsi" w:hAnsi="Times New Roman"/>
          <w:i/>
          <w:noProof/>
          <w:color w:val="000000"/>
          <w:sz w:val="24"/>
          <w:szCs w:val="24"/>
          <w:lang w:val="fr-BE"/>
        </w:rPr>
        <w:t>SOCAR/DESFA</w:t>
      </w:r>
      <w:r>
        <w:rPr>
          <w:rFonts w:ascii="Times New Roman" w:eastAsiaTheme="minorHAnsi" w:hAnsi="Times New Roman"/>
          <w:noProof/>
          <w:color w:val="000000"/>
          <w:sz w:val="24"/>
          <w:szCs w:val="24"/>
          <w:lang w:val="fr-BE"/>
        </w:rPr>
        <w:t>. L’appel d’offres a été remporté par la société italienne SNAM et la Commission a examiné et</w:t>
      </w:r>
      <w:r>
        <w:rPr>
          <w:rFonts w:ascii="Times New Roman" w:eastAsiaTheme="minorHAnsi" w:hAnsi="Times New Roman"/>
          <w:noProof/>
          <w:color w:val="000000"/>
          <w:sz w:val="24"/>
          <w:szCs w:val="24"/>
          <w:lang w:val="fr-BE"/>
        </w:rPr>
        <w:t xml:space="preserve"> approuvé l’acquisition de </w:t>
      </w:r>
      <w:r>
        <w:rPr>
          <w:rFonts w:ascii="Times New Roman" w:eastAsiaTheme="minorHAnsi" w:hAnsi="Times New Roman"/>
          <w:i/>
          <w:noProof/>
          <w:color w:val="000000"/>
          <w:sz w:val="24"/>
          <w:szCs w:val="24"/>
          <w:lang w:val="fr-BE"/>
        </w:rPr>
        <w:t>DESFA</w:t>
      </w:r>
      <w:r>
        <w:rPr>
          <w:rFonts w:ascii="Times New Roman" w:eastAsiaTheme="minorHAnsi" w:hAnsi="Times New Roman"/>
          <w:noProof/>
          <w:color w:val="000000"/>
          <w:sz w:val="24"/>
          <w:szCs w:val="24"/>
          <w:lang w:val="fr-BE"/>
        </w:rPr>
        <w:t xml:space="preserve"> par </w:t>
      </w:r>
      <w:r>
        <w:rPr>
          <w:rFonts w:ascii="Times New Roman" w:eastAsiaTheme="minorHAnsi" w:hAnsi="Times New Roman"/>
          <w:i/>
          <w:noProof/>
          <w:color w:val="000000"/>
          <w:sz w:val="24"/>
          <w:szCs w:val="24"/>
          <w:lang w:val="fr-BE"/>
        </w:rPr>
        <w:t>SNAM</w:t>
      </w:r>
      <w:r>
        <w:rPr>
          <w:rFonts w:ascii="Times New Roman" w:eastAsiaTheme="minorHAnsi" w:hAnsi="Times New Roman"/>
          <w:noProof/>
          <w:color w:val="000000"/>
          <w:sz w:val="24"/>
          <w:szCs w:val="24"/>
          <w:lang w:val="fr-BE"/>
        </w:rPr>
        <w:t>.</w:t>
      </w:r>
    </w:p>
    <w:p w:rsidR="00D9323F" w:rsidRDefault="00F47CDD">
      <w:pPr>
        <w:widowControl w:val="0"/>
        <w:tabs>
          <w:tab w:val="left" w:pos="850"/>
        </w:tabs>
        <w:spacing w:line="240" w:lineRule="auto"/>
        <w:jc w:val="both"/>
        <w:outlineLvl w:val="0"/>
        <w:rPr>
          <w:rFonts w:ascii="Times New Roman" w:eastAsia="Times New Roman" w:hAnsi="Times New Roman"/>
          <w:b/>
          <w:smallCaps/>
          <w:noProof/>
          <w:sz w:val="24"/>
          <w:szCs w:val="24"/>
          <w:lang w:val="fr-BE"/>
        </w:rPr>
      </w:pPr>
      <w:r>
        <w:rPr>
          <w:rFonts w:ascii="Times New Roman" w:hAnsi="Times New Roman"/>
          <w:noProof/>
          <w:sz w:val="24"/>
          <w:szCs w:val="24"/>
          <w:lang w:val="fr-BE"/>
        </w:rPr>
        <w:tab/>
      </w:r>
      <w:bookmarkStart w:id="38" w:name="_Toc19019203"/>
      <w:r>
        <w:rPr>
          <w:rFonts w:ascii="Times New Roman" w:hAnsi="Times New Roman"/>
          <w:b/>
          <w:smallCaps/>
          <w:noProof/>
          <w:sz w:val="24"/>
          <w:szCs w:val="24"/>
          <w:lang w:val="fr-BE"/>
        </w:rPr>
        <w:t>2. Technologies de l’information et de la communication et médias</w:t>
      </w:r>
      <w:bookmarkEnd w:id="38"/>
      <w:r>
        <w:rPr>
          <w:rFonts w:ascii="Times New Roman" w:hAnsi="Times New Roman"/>
          <w:b/>
          <w:smallCaps/>
          <w:noProof/>
          <w:sz w:val="24"/>
          <w:szCs w:val="24"/>
          <w:lang w:val="fr-BE"/>
        </w:rPr>
        <w:t xml:space="preserve"> </w:t>
      </w:r>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Aperçu des principaux problèmes auxquels le secteur est confronté</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En 2018, la politique de concurrence et son application ont continué de </w:t>
      </w:r>
      <w:r>
        <w:rPr>
          <w:rFonts w:ascii="Times New Roman" w:hAnsi="Times New Roman"/>
          <w:noProof/>
          <w:sz w:val="24"/>
          <w:szCs w:val="24"/>
          <w:lang w:val="fr-BE"/>
        </w:rPr>
        <w:t>contribuer à la mise en œuvre de la stratégie pour un marché unique numérique</w:t>
      </w:r>
      <w:r>
        <w:rPr>
          <w:rFonts w:ascii="Times New Roman" w:hAnsi="Times New Roman"/>
          <w:noProof/>
          <w:sz w:val="24"/>
          <w:szCs w:val="24"/>
          <w:vertAlign w:val="superscript"/>
        </w:rPr>
        <w:footnoteReference w:id="195"/>
      </w:r>
      <w:r>
        <w:rPr>
          <w:rFonts w:ascii="Times New Roman" w:hAnsi="Times New Roman"/>
          <w:noProof/>
          <w:sz w:val="24"/>
          <w:szCs w:val="24"/>
          <w:lang w:val="fr-BE"/>
        </w:rPr>
        <w:t>, l’une des priorités de la Commission, par le biais d’un certain nombre d’enquêtes dans les secteurs de l’information, de la communication et des médias.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b/>
          <w:noProof/>
          <w:sz w:val="24"/>
          <w:szCs w:val="24"/>
          <w:lang w:val="fr-BE"/>
        </w:rPr>
        <w:t>Contribution de la poli</w:t>
      </w:r>
      <w:r>
        <w:rPr>
          <w:rFonts w:ascii="Times New Roman" w:hAnsi="Times New Roman"/>
          <w:b/>
          <w:noProof/>
          <w:sz w:val="24"/>
          <w:szCs w:val="24"/>
          <w:lang w:val="fr-BE"/>
        </w:rPr>
        <w:t xml:space="preserve">tique de concurrence de l’UE à la résolution des problèmes </w:t>
      </w:r>
    </w:p>
    <w:p w:rsidR="00D9323F" w:rsidRDefault="00F47CDD">
      <w:pPr>
        <w:widowControl w:val="0"/>
        <w:autoSpaceDE w:val="0"/>
        <w:autoSpaceDN w:val="0"/>
        <w:adjustRightInd w:val="0"/>
        <w:spacing w:line="240" w:lineRule="auto"/>
        <w:rPr>
          <w:rFonts w:ascii="Times New Roman" w:hAnsi="Times New Roman"/>
          <w:i/>
          <w:iCs/>
          <w:noProof/>
          <w:sz w:val="24"/>
          <w:szCs w:val="24"/>
          <w:lang w:val="fr-BE"/>
        </w:rPr>
      </w:pPr>
      <w:r>
        <w:rPr>
          <w:rFonts w:ascii="Times New Roman" w:hAnsi="Times New Roman"/>
          <w:i/>
          <w:noProof/>
          <w:sz w:val="24"/>
          <w:szCs w:val="24"/>
          <w:lang w:val="fr-BE"/>
        </w:rPr>
        <w:t>Lutter contre les restrictions aux ventes transfrontières et en ligne de biens et de produits numériques</w:t>
      </w:r>
    </w:p>
    <w:p w:rsidR="00D9323F" w:rsidRDefault="00F47CDD">
      <w:pPr>
        <w:widowControl w:val="0"/>
        <w:spacing w:after="0"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Comme annoncé dans le rapport final relatif à l’enquête sectorielle sur le commerce </w:t>
      </w:r>
      <w:r>
        <w:rPr>
          <w:rFonts w:ascii="Times New Roman" w:hAnsi="Times New Roman"/>
          <w:noProof/>
          <w:sz w:val="24"/>
          <w:szCs w:val="24"/>
          <w:lang w:val="fr-BE"/>
        </w:rPr>
        <w:t>électronique adopté en mai 2017</w:t>
      </w:r>
      <w:r>
        <w:rPr>
          <w:rFonts w:ascii="Times New Roman" w:hAnsi="Times New Roman"/>
          <w:noProof/>
          <w:sz w:val="24"/>
          <w:szCs w:val="24"/>
          <w:vertAlign w:val="superscript"/>
        </w:rPr>
        <w:footnoteReference w:id="196"/>
      </w:r>
      <w:r>
        <w:rPr>
          <w:rFonts w:ascii="Times New Roman" w:hAnsi="Times New Roman"/>
          <w:noProof/>
          <w:sz w:val="24"/>
          <w:szCs w:val="24"/>
          <w:lang w:val="fr-BE"/>
        </w:rPr>
        <w:t>, la Commission cible la mise en œuvre des règles de concurrence de l’UE sur les pratiques commerciales les plus répandues qui sont apparues ou ont évolué avec la croissance du commerce électronique et qui pourraient nuire à</w:t>
      </w:r>
      <w:r>
        <w:rPr>
          <w:rFonts w:ascii="Times New Roman" w:hAnsi="Times New Roman"/>
          <w:noProof/>
          <w:sz w:val="24"/>
          <w:szCs w:val="24"/>
          <w:lang w:val="fr-BE"/>
        </w:rPr>
        <w:t xml:space="preserve"> la concurrence et aux échanges transfrontières et, partant, au fonctionnement d’un marché unique numérique.</w:t>
      </w:r>
    </w:p>
    <w:p w:rsidR="00D9323F" w:rsidRDefault="00D9323F">
      <w:pPr>
        <w:widowControl w:val="0"/>
        <w:spacing w:after="0" w:line="240" w:lineRule="auto"/>
        <w:jc w:val="both"/>
        <w:rPr>
          <w:rFonts w:ascii="Times New Roman" w:eastAsia="Times New Roman" w:hAnsi="Times New Roman"/>
          <w:noProof/>
          <w:sz w:val="24"/>
          <w:szCs w:val="24"/>
          <w:lang w:val="fr-BE"/>
        </w:rPr>
      </w:pPr>
    </w:p>
    <w:p w:rsidR="00D9323F" w:rsidRDefault="00F47CDD">
      <w:pPr>
        <w:widowControl w:val="0"/>
        <w:spacing w:after="0"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Le 24 juillet 2018, la Commission a infligé, par quatre décisions distinctes, des amendes aux fabricants d’électronique grand public </w:t>
      </w:r>
      <w:r>
        <w:rPr>
          <w:rFonts w:ascii="Times New Roman" w:hAnsi="Times New Roman"/>
          <w:i/>
          <w:noProof/>
          <w:sz w:val="24"/>
          <w:szCs w:val="24"/>
          <w:lang w:val="fr-BE"/>
        </w:rPr>
        <w:t>Asus, Denon &amp;</w:t>
      </w:r>
      <w:r>
        <w:rPr>
          <w:rFonts w:ascii="Times New Roman" w:hAnsi="Times New Roman"/>
          <w:i/>
          <w:noProof/>
          <w:sz w:val="24"/>
          <w:szCs w:val="24"/>
          <w:lang w:val="fr-BE"/>
        </w:rPr>
        <w:t xml:space="preserve"> Marantz, Philips et Pioneer</w:t>
      </w:r>
      <w:r>
        <w:rPr>
          <w:rFonts w:ascii="Times New Roman" w:hAnsi="Times New Roman"/>
          <w:noProof/>
          <w:sz w:val="24"/>
          <w:szCs w:val="24"/>
          <w:vertAlign w:val="superscript"/>
        </w:rPr>
        <w:footnoteReference w:id="197"/>
      </w:r>
      <w:r>
        <w:rPr>
          <w:rFonts w:ascii="Times New Roman" w:hAnsi="Times New Roman"/>
          <w:noProof/>
          <w:sz w:val="24"/>
          <w:szCs w:val="24"/>
          <w:lang w:val="fr-BE"/>
        </w:rPr>
        <w:t>, auxquels il est reproché d’avoir imposé des prix de revente fixes ou minimaux («prix de vente imposés») à leurs détaillants en ligne pour des produits d’électronique grand public d'usage courant tels que des appareils de cuis</w:t>
      </w:r>
      <w:r>
        <w:rPr>
          <w:rFonts w:ascii="Times New Roman" w:hAnsi="Times New Roman"/>
          <w:noProof/>
          <w:sz w:val="24"/>
          <w:szCs w:val="24"/>
          <w:lang w:val="fr-BE"/>
        </w:rPr>
        <w:t xml:space="preserve">ine, des ordinateurs portables et des produits haute-fidélité. </w:t>
      </w:r>
    </w:p>
    <w:p w:rsidR="00D9323F" w:rsidRDefault="00D9323F">
      <w:pPr>
        <w:widowControl w:val="0"/>
        <w:spacing w:after="0" w:line="240" w:lineRule="auto"/>
        <w:jc w:val="both"/>
        <w:rPr>
          <w:rFonts w:ascii="Times New Roman" w:eastAsia="Times New Roman" w:hAnsi="Times New Roman"/>
          <w:noProof/>
          <w:sz w:val="24"/>
          <w:szCs w:val="24"/>
          <w:highlight w:val="lightGray"/>
          <w:lang w:val="fr-BE"/>
        </w:rPr>
      </w:pPr>
    </w:p>
    <w:p w:rsidR="00D9323F" w:rsidRDefault="00F47CDD">
      <w:pPr>
        <w:widowControl w:val="0"/>
        <w:spacing w:after="0"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Les quatre fabricants intervenaient en particulier auprès des détaillants en ligne qui vendaient leurs produits à des prix peu élevés. Si ces détaillants ne se conformaient pas aux prix deman</w:t>
      </w:r>
      <w:r>
        <w:rPr>
          <w:rFonts w:ascii="Times New Roman" w:hAnsi="Times New Roman"/>
          <w:noProof/>
          <w:sz w:val="24"/>
          <w:szCs w:val="24"/>
          <w:lang w:val="fr-BE"/>
        </w:rPr>
        <w:t xml:space="preserve">dés par les fabricants, ils s’exposaient à des menaces ou sanctions, telles que la cessation des approvisionnements. De nombreux détaillants en ligne, y compris les plus grands, recourent à des algorithmes de fixation des prix qui adaptent automatiquement </w:t>
      </w:r>
      <w:r>
        <w:rPr>
          <w:rFonts w:ascii="Times New Roman" w:hAnsi="Times New Roman"/>
          <w:noProof/>
          <w:sz w:val="24"/>
          <w:szCs w:val="24"/>
          <w:lang w:val="fr-BE"/>
        </w:rPr>
        <w:t>les prix de détail aux prix demandés par les concurrents. De cette façon, les restrictions sur les prix imposées aux détaillants en ligne appliquant des prix peu élevés avaient, de manière générale, un plus large impact sur le niveau général des prix en li</w:t>
      </w:r>
      <w:r>
        <w:rPr>
          <w:rFonts w:ascii="Times New Roman" w:hAnsi="Times New Roman"/>
          <w:noProof/>
          <w:sz w:val="24"/>
          <w:szCs w:val="24"/>
          <w:lang w:val="fr-BE"/>
        </w:rPr>
        <w:t xml:space="preserve">gne des produits d’électronique grand public concernés. Par ailleurs, le recours à des outils de suivi sophistiqués a permis aux fabricants de surveiller efficacement la fixation des prix de revente sur le réseau de distribution et d’intervenir rapidement </w:t>
      </w:r>
      <w:r>
        <w:rPr>
          <w:rFonts w:ascii="Times New Roman" w:hAnsi="Times New Roman"/>
          <w:noProof/>
          <w:sz w:val="24"/>
          <w:szCs w:val="24"/>
          <w:lang w:val="fr-BE"/>
        </w:rPr>
        <w:t>en cas de baisses de prix. Les interventions dans la fixation des prix ont restreint la concurrence effective par les prix entre détaillants et ont débouché sur une hausse des prix, ce qui a eu un effet immédiat sur les consommateurs. En outre, Pioneer a r</w:t>
      </w:r>
      <w:r>
        <w:rPr>
          <w:rFonts w:ascii="Times New Roman" w:hAnsi="Times New Roman"/>
          <w:noProof/>
          <w:sz w:val="24"/>
          <w:szCs w:val="24"/>
          <w:lang w:val="fr-BE"/>
        </w:rPr>
        <w:t>estreint la capacité de ses détaillants à procéder à des ventes transfrontières auprès de consommateurs d’autres États membres afin de pouvoir maintenir des prix de revente différents dans les différents États membres, par exemple en bloquant les commandes</w:t>
      </w:r>
      <w:r>
        <w:rPr>
          <w:rFonts w:ascii="Times New Roman" w:hAnsi="Times New Roman"/>
          <w:noProof/>
          <w:sz w:val="24"/>
          <w:szCs w:val="24"/>
          <w:lang w:val="fr-BE"/>
        </w:rPr>
        <w:t xml:space="preserve"> de détaillants qui vendaient leurs produits par-delà les frontières.</w:t>
      </w:r>
    </w:p>
    <w:p w:rsidR="00D9323F" w:rsidRDefault="00D9323F">
      <w:pPr>
        <w:widowControl w:val="0"/>
        <w:spacing w:after="0" w:line="240" w:lineRule="auto"/>
        <w:jc w:val="both"/>
        <w:rPr>
          <w:rFonts w:ascii="Times New Roman" w:eastAsia="Times New Roman" w:hAnsi="Times New Roman"/>
          <w:noProof/>
          <w:sz w:val="24"/>
          <w:szCs w:val="24"/>
          <w:lang w:val="fr-BE"/>
        </w:rPr>
      </w:pPr>
    </w:p>
    <w:p w:rsidR="00D9323F" w:rsidRDefault="00F47CDD">
      <w:pPr>
        <w:widowControl w:val="0"/>
        <w:spacing w:after="0"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Les quatre entreprises ont toutes coopéré avec la Commission, en apportant des éléments de preuve dotés d’une valeur ajoutée considérable et en reconnaissant expressément les faits et l</w:t>
      </w:r>
      <w:r>
        <w:rPr>
          <w:rFonts w:ascii="Times New Roman" w:hAnsi="Times New Roman"/>
          <w:noProof/>
          <w:sz w:val="24"/>
          <w:szCs w:val="24"/>
          <w:lang w:val="fr-BE"/>
        </w:rPr>
        <w:t>es infractions aux règles de concurrence de l’UE. Comme les quatre entreprises ont toutes coopéré avec la Commission, les amendes, qui s’élèvent à plus de 111 millions d’EUR au total, ont été réduites pour chacune d’entre elles.</w:t>
      </w:r>
    </w:p>
    <w:p w:rsidR="00D9323F" w:rsidRDefault="00D9323F">
      <w:pPr>
        <w:widowControl w:val="0"/>
        <w:spacing w:after="0" w:line="240" w:lineRule="auto"/>
        <w:jc w:val="both"/>
        <w:rPr>
          <w:rFonts w:ascii="Times New Roman" w:eastAsia="Times New Roman" w:hAnsi="Times New Roman"/>
          <w:noProof/>
          <w:sz w:val="24"/>
          <w:szCs w:val="24"/>
          <w:lang w:val="fr-BE"/>
        </w:rPr>
      </w:pPr>
    </w:p>
    <w:p w:rsidR="00D9323F" w:rsidRDefault="00F47CDD">
      <w:pPr>
        <w:keepNext/>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Le 17 décembre 2018, la Co</w:t>
      </w:r>
      <w:r>
        <w:rPr>
          <w:rFonts w:ascii="Times New Roman" w:hAnsi="Times New Roman"/>
          <w:noProof/>
          <w:sz w:val="24"/>
          <w:szCs w:val="24"/>
          <w:lang w:val="fr-BE"/>
        </w:rPr>
        <w:t xml:space="preserve">mmission a infligé une amende d’un montant de 40 millions d’EUR à </w:t>
      </w:r>
      <w:r>
        <w:rPr>
          <w:rFonts w:ascii="Times New Roman" w:hAnsi="Times New Roman"/>
          <w:i/>
          <w:noProof/>
          <w:sz w:val="24"/>
          <w:szCs w:val="24"/>
          <w:lang w:val="fr-BE"/>
        </w:rPr>
        <w:t>Guess</w:t>
      </w:r>
      <w:r>
        <w:rPr>
          <w:rFonts w:ascii="Times New Roman" w:hAnsi="Times New Roman"/>
          <w:noProof/>
          <w:sz w:val="24"/>
          <w:szCs w:val="24"/>
          <w:vertAlign w:val="superscript"/>
        </w:rPr>
        <w:footnoteReference w:id="198"/>
      </w:r>
      <w:r>
        <w:rPr>
          <w:rFonts w:ascii="Times New Roman" w:hAnsi="Times New Roman"/>
          <w:noProof/>
          <w:sz w:val="24"/>
          <w:szCs w:val="24"/>
          <w:lang w:val="fr-BE"/>
        </w:rPr>
        <w:t>, un fabricant et détaillant de vêtements basé aux États-Unis. La Commission a estimé que les accords de distribution de Guess limitaient la capacité des détaillants agréés i) à utilis</w:t>
      </w:r>
      <w:r>
        <w:rPr>
          <w:rFonts w:ascii="Times New Roman" w:hAnsi="Times New Roman"/>
          <w:noProof/>
          <w:sz w:val="24"/>
          <w:szCs w:val="24"/>
          <w:lang w:val="fr-BE"/>
        </w:rPr>
        <w:t>er les noms et marques commerciales de Guess aux fins de la publicité liée aux recherches en ligne; et ii) à commercialiser des produits en ligne sans une autorisation préalable spécifique octroyée par Guess. La société avait toute latitude pour l'octroi d</w:t>
      </w:r>
      <w:r>
        <w:rPr>
          <w:rFonts w:ascii="Times New Roman" w:hAnsi="Times New Roman"/>
          <w:noProof/>
          <w:sz w:val="24"/>
          <w:szCs w:val="24"/>
          <w:lang w:val="fr-BE"/>
        </w:rPr>
        <w:t>e cette autorisation, qui ne reposait pas sur des critères de qualité précis. En outre, les accords de distribution limitaient la capacité des détaillants agréés iii) à vendre des produits à des consommateurs situés en dehors des territoires alloués aux dé</w:t>
      </w:r>
      <w:r>
        <w:rPr>
          <w:rFonts w:ascii="Times New Roman" w:hAnsi="Times New Roman"/>
          <w:noProof/>
          <w:sz w:val="24"/>
          <w:szCs w:val="24"/>
          <w:lang w:val="fr-BE"/>
        </w:rPr>
        <w:t>taillants agréés; iv) à réaliser des ventes croisées entre grossistes et détaillants agréés; et v) à décider en toute indépendance du prix de vente au détail auquel ils vendent des produits Guess. Les systèmes de distribution sélective doivent respecter le</w:t>
      </w:r>
      <w:r>
        <w:rPr>
          <w:rFonts w:ascii="Times New Roman" w:hAnsi="Times New Roman"/>
          <w:noProof/>
          <w:sz w:val="24"/>
          <w:szCs w:val="24"/>
          <w:lang w:val="fr-BE"/>
        </w:rPr>
        <w:t>s règles de concurrence de l’UE. Plus spécifiquement, les consommateurs doivent être libres de faire leurs achats chez n’importe quel détaillant agréé par un fabricant, y compris au-delà des frontières nationales. Dans le même temps, les distributeurs agré</w:t>
      </w:r>
      <w:r>
        <w:rPr>
          <w:rFonts w:ascii="Times New Roman" w:hAnsi="Times New Roman"/>
          <w:noProof/>
          <w:sz w:val="24"/>
          <w:szCs w:val="24"/>
          <w:lang w:val="fr-BE"/>
        </w:rPr>
        <w:t>és doivent être libres d’offrir les produits couverts par le contrat de distribution en ligne, de faire de la publicité et de vendre par-delà les frontières, et de fixer leurs prix de revente.</w:t>
      </w:r>
    </w:p>
    <w:p w:rsidR="00D9323F" w:rsidRDefault="00F47CDD">
      <w:pPr>
        <w:keepNext/>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a accordé une réduction d’amende de 50 % à Guess </w:t>
      </w:r>
      <w:r>
        <w:rPr>
          <w:rFonts w:ascii="Times New Roman" w:hAnsi="Times New Roman"/>
          <w:noProof/>
          <w:sz w:val="24"/>
          <w:szCs w:val="24"/>
          <w:lang w:val="fr-BE"/>
        </w:rPr>
        <w:t>en contrepartie de sa coopération. Guess a coopéré avec la Commission en allant au-delà de son obligation juridique à cet égard, notamment en révélant une infraction aux règles de concurrence de l’UE qui n’était pas encore connue de la Commission (l’interd</w:t>
      </w:r>
      <w:r>
        <w:rPr>
          <w:rFonts w:ascii="Times New Roman" w:hAnsi="Times New Roman"/>
          <w:noProof/>
          <w:sz w:val="24"/>
          <w:szCs w:val="24"/>
          <w:lang w:val="fr-BE"/>
        </w:rPr>
        <w:t>iction d’utiliser des noms et marques commerciales de Guess aux fins de la publicité liée aux recherches en ligne). La société a également fourni des éléments de preuve d’une valeur ajoutée significative et a reconnu les faits et les infractions aux règles</w:t>
      </w:r>
      <w:r>
        <w:rPr>
          <w:rFonts w:ascii="Times New Roman" w:hAnsi="Times New Roman"/>
          <w:noProof/>
          <w:sz w:val="24"/>
          <w:szCs w:val="24"/>
          <w:lang w:val="fr-BE"/>
        </w:rPr>
        <w:t xml:space="preserve"> de concurrence de l’UE.</w:t>
      </w:r>
    </w:p>
    <w:p w:rsidR="00D9323F" w:rsidRDefault="00F47CDD">
      <w:pPr>
        <w:widowControl w:val="0"/>
        <w:spacing w:line="240" w:lineRule="auto"/>
        <w:jc w:val="both"/>
        <w:rPr>
          <w:rFonts w:ascii="Times New Roman" w:eastAsia="Times New Roman" w:hAnsi="Times New Roman"/>
          <w:noProof/>
          <w:sz w:val="24"/>
          <w:szCs w:val="24"/>
          <w:highlight w:val="lightGray"/>
          <w:lang w:val="fr-BE"/>
        </w:rPr>
      </w:pPr>
      <w:r>
        <w:rPr>
          <w:rFonts w:ascii="Times New Roman" w:hAnsi="Times New Roman"/>
          <w:noProof/>
          <w:sz w:val="24"/>
          <w:szCs w:val="24"/>
          <w:lang w:val="fr-BE"/>
        </w:rPr>
        <w:t xml:space="preserve">La Commission a poursuivi son enquête au sujet de </w:t>
      </w:r>
      <w:r>
        <w:rPr>
          <w:rFonts w:ascii="Times New Roman" w:hAnsi="Times New Roman"/>
          <w:i/>
          <w:noProof/>
          <w:sz w:val="24"/>
          <w:szCs w:val="24"/>
          <w:lang w:val="fr-BE"/>
        </w:rPr>
        <w:t>Valve Corporation</w:t>
      </w:r>
      <w:r>
        <w:rPr>
          <w:rFonts w:ascii="Times New Roman" w:hAnsi="Times New Roman"/>
          <w:noProof/>
          <w:sz w:val="24"/>
          <w:szCs w:val="24"/>
          <w:lang w:val="fr-BE"/>
        </w:rPr>
        <w:t xml:space="preserve">, propriétaire de la plateforme de distribution de jeux Steam, et de </w:t>
      </w:r>
      <w:r>
        <w:rPr>
          <w:rFonts w:ascii="Times New Roman" w:hAnsi="Times New Roman"/>
          <w:i/>
          <w:noProof/>
          <w:sz w:val="24"/>
          <w:szCs w:val="24"/>
          <w:lang w:val="fr-BE"/>
        </w:rPr>
        <w:t>cinq éditeurs de jeux vidéo sur PC, à savoir Bandai Namco, Capcom, Focus Home, Koch Media et Ze</w:t>
      </w:r>
      <w:r>
        <w:rPr>
          <w:rFonts w:ascii="Times New Roman" w:hAnsi="Times New Roman"/>
          <w:i/>
          <w:noProof/>
          <w:sz w:val="24"/>
          <w:szCs w:val="24"/>
          <w:lang w:val="fr-BE"/>
        </w:rPr>
        <w:t>niMax</w:t>
      </w:r>
      <w:r>
        <w:rPr>
          <w:rFonts w:ascii="Times New Roman" w:hAnsi="Times New Roman"/>
          <w:noProof/>
          <w:sz w:val="24"/>
          <w:szCs w:val="24"/>
          <w:vertAlign w:val="superscript"/>
        </w:rPr>
        <w:footnoteReference w:id="199"/>
      </w:r>
      <w:r>
        <w:rPr>
          <w:rFonts w:ascii="Times New Roman" w:hAnsi="Times New Roman"/>
          <w:noProof/>
          <w:sz w:val="24"/>
          <w:szCs w:val="24"/>
          <w:lang w:val="fr-BE"/>
        </w:rPr>
        <w:t xml:space="preserve"> concernant des accords bilatéraux potentiellement illicites. L’enquête vise principalement à déterminer si les accords en question nécessitent ou ont nécessité l’utilisation de technologies (des clés d’activation) aux fins du géoblocage. Plus précis</w:t>
      </w:r>
      <w:r>
        <w:rPr>
          <w:rFonts w:ascii="Times New Roman" w:hAnsi="Times New Roman"/>
          <w:noProof/>
          <w:sz w:val="24"/>
          <w:szCs w:val="24"/>
          <w:lang w:val="fr-BE"/>
        </w:rPr>
        <w:t>ément, une clé d’activation peut être conçue pour empêcher les consommateurs d'accéder à un jeu qu'ils ont acheté s'ils ne se trouvent pas dans un État membre particulier. Cette pratique peut constituer une violation des règles de concurrence de l’UE en re</w:t>
      </w:r>
      <w:r>
        <w:rPr>
          <w:rFonts w:ascii="Times New Roman" w:hAnsi="Times New Roman"/>
          <w:noProof/>
          <w:sz w:val="24"/>
          <w:szCs w:val="24"/>
          <w:lang w:val="fr-BE"/>
        </w:rPr>
        <w:t>streignant le commerce parallèle au sein du marché unique et en empêchant les consommateurs d’acheter des jeux qui seraient moins chers dans d’autres États membres.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En 2018, la Commission a poursuivi trois enquêtes distinctes en matière de pratiques antico</w:t>
      </w:r>
      <w:r>
        <w:rPr>
          <w:rFonts w:ascii="Times New Roman" w:hAnsi="Times New Roman"/>
          <w:noProof/>
          <w:sz w:val="24"/>
          <w:szCs w:val="24"/>
          <w:lang w:val="fr-BE"/>
        </w:rPr>
        <w:t>ncurrentielles contre Nike, Sanrio et Universal Studios</w:t>
      </w:r>
      <w:r>
        <w:rPr>
          <w:rFonts w:ascii="Times New Roman" w:hAnsi="Times New Roman"/>
          <w:noProof/>
          <w:sz w:val="24"/>
          <w:szCs w:val="24"/>
          <w:vertAlign w:val="superscript"/>
        </w:rPr>
        <w:footnoteReference w:id="200"/>
      </w:r>
      <w:r>
        <w:rPr>
          <w:rFonts w:ascii="Times New Roman" w:hAnsi="Times New Roman"/>
          <w:noProof/>
          <w:sz w:val="24"/>
          <w:szCs w:val="24"/>
          <w:lang w:val="fr-BE"/>
        </w:rPr>
        <w:t xml:space="preserve"> concernant des barrières potentielles à la vente transfrontière hors ligne et en ligne découlant des pratiques de ces sociétés en matière de licences. Nike, Sanrio et Universal Studios accordent des </w:t>
      </w:r>
      <w:r>
        <w:rPr>
          <w:rFonts w:ascii="Times New Roman" w:hAnsi="Times New Roman"/>
          <w:noProof/>
          <w:sz w:val="24"/>
          <w:szCs w:val="24"/>
          <w:lang w:val="fr-BE"/>
        </w:rPr>
        <w:t>licences sur les droits relatifs à certaines des marques les plus connues au niveau mondial. Le fabricant de vêtements de sport Nike accorde notamment des licences sur les droits relatifs aux produits dérivés du Fútbol Club Barcelona, Sanrio sur les droits</w:t>
      </w:r>
      <w:r>
        <w:rPr>
          <w:rFonts w:ascii="Times New Roman" w:hAnsi="Times New Roman"/>
          <w:noProof/>
          <w:sz w:val="24"/>
          <w:szCs w:val="24"/>
          <w:lang w:val="fr-BE"/>
        </w:rPr>
        <w:t xml:space="preserve"> relatifs à Hello Kitty et Universal Studios sur les droits relatifs aux films «Les Minions» et «Moi, Moche et Méchant». Les produits dérivés concernés par les enquêtes sont de diverses natures (tasses, sacs, vêtements, chaussures, jouets, etc.), mais port</w:t>
      </w:r>
      <w:r>
        <w:rPr>
          <w:rFonts w:ascii="Times New Roman" w:hAnsi="Times New Roman"/>
          <w:noProof/>
          <w:sz w:val="24"/>
          <w:szCs w:val="24"/>
          <w:lang w:val="fr-BE"/>
        </w:rPr>
        <w:t>ent tous un ou plusieurs logos ou une ou plusieurs images d’un donneur de licence. Les trois enquêtes visent à déterminer si certaines pratiques en matière de concession de licences et de distribution de ces entreprises restreignent illégalement la vente t</w:t>
      </w:r>
      <w:r>
        <w:rPr>
          <w:rFonts w:ascii="Times New Roman" w:hAnsi="Times New Roman"/>
          <w:noProof/>
          <w:sz w:val="24"/>
          <w:szCs w:val="24"/>
          <w:lang w:val="fr-BE"/>
        </w:rPr>
        <w:t>ransfrontière et en ligne de produits dérivés sous licence au sein de l’EEE.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L’enquête sur la télévision payante, ouverte en 2014, s’est poursuivie en 2018. L’enquête porte sur certaines clauses contractuelles des accords de licence conclus entre Sky UK et</w:t>
      </w:r>
      <w:r>
        <w:rPr>
          <w:rFonts w:ascii="Times New Roman" w:hAnsi="Times New Roman"/>
          <w:noProof/>
          <w:sz w:val="24"/>
          <w:szCs w:val="24"/>
          <w:lang w:val="fr-BE"/>
        </w:rPr>
        <w:t xml:space="preserve"> six grands studios de cinéma (Disney, Fox, Paramount, NBCUniversal, Sony et Warner Bros). Dans une communication des griefs adressée à Sky et aux six studios de cinéma hollywoodiens en 2015, la Commission a estimé, à titre préliminaire, que ces clauses li</w:t>
      </w:r>
      <w:r>
        <w:rPr>
          <w:rFonts w:ascii="Times New Roman" w:hAnsi="Times New Roman"/>
          <w:noProof/>
          <w:sz w:val="24"/>
          <w:szCs w:val="24"/>
          <w:lang w:val="fr-BE"/>
        </w:rPr>
        <w:t>mitaient la capacité de Sky UK (et, dans certains cas, d’autres radiodiffuseurs) d’accepter des demandes non sollicitées de consommateurs établis en dehors du Royaume-Uni et de l’Irlande, et, partant, qu’elles violaient les règles de l’UE en matière de pra</w:t>
      </w:r>
      <w:r>
        <w:rPr>
          <w:rFonts w:ascii="Times New Roman" w:hAnsi="Times New Roman"/>
          <w:noProof/>
          <w:sz w:val="24"/>
          <w:szCs w:val="24"/>
          <w:lang w:val="fr-BE"/>
        </w:rPr>
        <w:t xml:space="preserve">tiques anticoncurrentielles.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En 2016, Paramount a proposé des engagements, que la Commission a acceptés et rendus juridiquement contraignants la même année. Les engagements prévoient que, dans l’ensemble de l’EEE, Paramount supprime les restrictions contr</w:t>
      </w:r>
      <w:r>
        <w:rPr>
          <w:rFonts w:ascii="Times New Roman" w:hAnsi="Times New Roman"/>
          <w:noProof/>
          <w:sz w:val="24"/>
          <w:szCs w:val="24"/>
          <w:lang w:val="fr-BE"/>
        </w:rPr>
        <w:t>actuelles des accords de licence de télévision payante existants et ne les (ré)introduise pas pendant une période d’au moins cinq ans. Canal+, un télédiffuseur français de contenu payant, a formé un pourvoi contre cette décision. En décembre 2018, le Tribu</w:t>
      </w:r>
      <w:r>
        <w:rPr>
          <w:rFonts w:ascii="Times New Roman" w:hAnsi="Times New Roman"/>
          <w:noProof/>
          <w:sz w:val="24"/>
          <w:szCs w:val="24"/>
          <w:lang w:val="fr-BE"/>
        </w:rPr>
        <w:t>nal</w:t>
      </w:r>
      <w:r>
        <w:rPr>
          <w:rFonts w:ascii="Times New Roman" w:hAnsi="Times New Roman"/>
          <w:noProof/>
          <w:sz w:val="24"/>
          <w:szCs w:val="24"/>
          <w:vertAlign w:val="superscript"/>
        </w:rPr>
        <w:footnoteReference w:id="201"/>
      </w:r>
      <w:r>
        <w:rPr>
          <w:rFonts w:ascii="Times New Roman" w:hAnsi="Times New Roman"/>
          <w:noProof/>
          <w:sz w:val="24"/>
          <w:szCs w:val="24"/>
          <w:lang w:val="fr-BE"/>
        </w:rPr>
        <w:t xml:space="preserve"> a rejeté le pourvoi et a estimé, entre autres, que la Commission avait agi dans les limites de l’article 9 du règlement nº 1/2003 et que, en particulier, la décision de la Commission respectait le principe de proportionnalité. En outre, le Tribunal a jugé</w:t>
      </w:r>
      <w:r>
        <w:rPr>
          <w:rFonts w:ascii="Times New Roman" w:hAnsi="Times New Roman"/>
          <w:noProof/>
          <w:sz w:val="24"/>
          <w:szCs w:val="24"/>
          <w:lang w:val="fr-BE"/>
        </w:rPr>
        <w:t xml:space="preserve"> que les restrictions aux ventes passives figurant dans les accords de licence de Paramount en cause constituaient des restrictions par objet. Selon l’arrêt, la suppression de ces restrictions est conforme à l’objectif essentiel du traité d’établir un marc</w:t>
      </w:r>
      <w:r>
        <w:rPr>
          <w:rFonts w:ascii="Times New Roman" w:hAnsi="Times New Roman"/>
          <w:noProof/>
          <w:sz w:val="24"/>
          <w:szCs w:val="24"/>
          <w:lang w:val="fr-BE"/>
        </w:rPr>
        <w:t>hé sans frontières intérieures.</w:t>
      </w:r>
    </w:p>
    <w:p w:rsidR="00D9323F" w:rsidRDefault="00F47CDD">
      <w:pPr>
        <w:widowControl w:val="0"/>
        <w:spacing w:line="240" w:lineRule="auto"/>
        <w:jc w:val="both"/>
        <w:rPr>
          <w:rFonts w:ascii="Times New Roman" w:hAnsi="Times New Roman"/>
          <w:i/>
          <w:iCs/>
          <w:noProof/>
          <w:sz w:val="24"/>
          <w:szCs w:val="24"/>
          <w:lang w:val="fr-BE"/>
        </w:rPr>
      </w:pPr>
      <w:r>
        <w:rPr>
          <w:rFonts w:ascii="Times New Roman" w:hAnsi="Times New Roman"/>
          <w:noProof/>
          <w:sz w:val="24"/>
          <w:szCs w:val="24"/>
          <w:lang w:val="fr-BE"/>
        </w:rPr>
        <w:t>En novembre et décembre 2018, Sky UK et quatre studios de cinéma américains, à savoir Disney, NBCUniversal, Sony et Warner Bros., ont également proposé des engagements pour répondre aux préoccupations de la Commission. Comme</w:t>
      </w:r>
      <w:r>
        <w:rPr>
          <w:rFonts w:ascii="Times New Roman" w:hAnsi="Times New Roman"/>
          <w:noProof/>
          <w:sz w:val="24"/>
          <w:szCs w:val="24"/>
          <w:lang w:val="fr-BE"/>
        </w:rPr>
        <w:t xml:space="preserve"> Paramount, les cinq sociétés ont proposé de supprimer, dans l’ensemble de l’EEE, les restrictions contractuelles des accords de licence de télévision payante existants et de ne pas les (ré)introduire pendant une période de cinq ans. Les engagements propos</w:t>
      </w:r>
      <w:r>
        <w:rPr>
          <w:rFonts w:ascii="Times New Roman" w:hAnsi="Times New Roman"/>
          <w:noProof/>
          <w:sz w:val="24"/>
          <w:szCs w:val="24"/>
          <w:lang w:val="fr-BE"/>
        </w:rPr>
        <w:t>és couvrent toutes les filiales futures et actuelles des sociétés concernées</w:t>
      </w:r>
      <w:r>
        <w:rPr>
          <w:rFonts w:ascii="Times New Roman" w:hAnsi="Times New Roman"/>
          <w:noProof/>
          <w:sz w:val="24"/>
          <w:szCs w:val="24"/>
          <w:vertAlign w:val="superscript"/>
        </w:rPr>
        <w:footnoteReference w:id="202"/>
      </w:r>
      <w:r>
        <w:rPr>
          <w:rFonts w:ascii="Times New Roman" w:hAnsi="Times New Roman"/>
          <w:noProof/>
          <w:sz w:val="24"/>
          <w:szCs w:val="24"/>
          <w:lang w:val="fr-BE"/>
        </w:rPr>
        <w:t>. Afin de vérifier la pertinence des engagements proposés, la Commission a consulté les acteurs du marché en novembre et décembre 2018</w:t>
      </w:r>
      <w:r>
        <w:rPr>
          <w:rFonts w:ascii="Times New Roman" w:hAnsi="Times New Roman"/>
          <w:noProof/>
          <w:sz w:val="24"/>
          <w:szCs w:val="24"/>
          <w:vertAlign w:val="superscript"/>
        </w:rPr>
        <w:footnoteReference w:id="203"/>
      </w:r>
      <w:r>
        <w:rPr>
          <w:rFonts w:ascii="Times New Roman" w:hAnsi="Times New Roman"/>
          <w:noProof/>
          <w:sz w:val="24"/>
          <w:szCs w:val="24"/>
          <w:lang w:val="fr-BE"/>
        </w:rPr>
        <w:t>.</w:t>
      </w:r>
      <w:r>
        <w:rPr>
          <w:rStyle w:val="Hyperlink"/>
          <w:rFonts w:ascii="Times New Roman" w:hAnsi="Times New Roman"/>
          <w:noProof/>
          <w:sz w:val="24"/>
          <w:szCs w:val="24"/>
          <w:u w:val="none"/>
          <w:lang w:val="fr-BE"/>
        </w:rPr>
        <w:t xml:space="preserve"> </w:t>
      </w:r>
      <w:r>
        <w:rPr>
          <w:rStyle w:val="Hyperlink"/>
          <w:rFonts w:ascii="Times New Roman" w:hAnsi="Times New Roman"/>
          <w:noProof/>
          <w:color w:val="auto"/>
          <w:sz w:val="24"/>
          <w:szCs w:val="24"/>
          <w:u w:val="none"/>
          <w:lang w:val="fr-BE"/>
        </w:rPr>
        <w:t xml:space="preserve">À la lumière des résultats de </w:t>
      </w:r>
      <w:r>
        <w:rPr>
          <w:rFonts w:ascii="Times New Roman" w:hAnsi="Times New Roman"/>
          <w:noProof/>
          <w:sz w:val="24"/>
          <w:szCs w:val="24"/>
          <w:lang w:val="fr-BE"/>
        </w:rPr>
        <w:t>cette consul</w:t>
      </w:r>
      <w:r>
        <w:rPr>
          <w:rFonts w:ascii="Times New Roman" w:hAnsi="Times New Roman"/>
          <w:noProof/>
          <w:sz w:val="24"/>
          <w:szCs w:val="24"/>
          <w:lang w:val="fr-BE"/>
        </w:rPr>
        <w:t>tation, la Commission a estimé que les engagements répondaient de manière satisfaisante à ses préoccupations</w:t>
      </w:r>
      <w:r>
        <w:rPr>
          <w:rFonts w:ascii="Times New Roman" w:hAnsi="Times New Roman"/>
          <w:noProof/>
          <w:sz w:val="24"/>
          <w:szCs w:val="24"/>
          <w:vertAlign w:val="superscript"/>
        </w:rPr>
        <w:footnoteReference w:id="204"/>
      </w:r>
      <w:r>
        <w:rPr>
          <w:rFonts w:ascii="Times New Roman" w:hAnsi="Times New Roman"/>
          <w:noProof/>
          <w:sz w:val="24"/>
          <w:szCs w:val="24"/>
          <w:lang w:val="fr-BE"/>
        </w:rPr>
        <w:t>.</w:t>
      </w:r>
    </w:p>
    <w:p w:rsidR="00D9323F" w:rsidRDefault="00D9323F">
      <w:pPr>
        <w:widowControl w:val="0"/>
        <w:spacing w:line="240" w:lineRule="auto"/>
        <w:jc w:val="both"/>
        <w:rPr>
          <w:rFonts w:ascii="Times New Roman" w:hAnsi="Times New Roman"/>
          <w:i/>
          <w:iCs/>
          <w:noProof/>
          <w:sz w:val="24"/>
          <w:szCs w:val="24"/>
          <w:lang w:val="fr-BE"/>
        </w:rPr>
      </w:pPr>
    </w:p>
    <w:p w:rsidR="00D9323F" w:rsidRDefault="00F47CDD">
      <w:pPr>
        <w:widowControl w:val="0"/>
        <w:spacing w:line="240" w:lineRule="auto"/>
        <w:jc w:val="both"/>
        <w:rPr>
          <w:rFonts w:ascii="Times New Roman" w:hAnsi="Times New Roman"/>
          <w:i/>
          <w:iCs/>
          <w:noProof/>
          <w:sz w:val="24"/>
          <w:szCs w:val="24"/>
          <w:lang w:val="fr-BE"/>
        </w:rPr>
      </w:pPr>
      <w:r>
        <w:rPr>
          <w:rFonts w:ascii="Times New Roman" w:hAnsi="Times New Roman"/>
          <w:i/>
          <w:noProof/>
          <w:sz w:val="24"/>
          <w:szCs w:val="24"/>
          <w:lang w:val="fr-BE"/>
        </w:rPr>
        <w:t>Mise en œuvre des règles relatives aux pratiques anticoncurrentielles sur les marchés des technologies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Les actions de la Commission sur les marc</w:t>
      </w:r>
      <w:r>
        <w:rPr>
          <w:rFonts w:ascii="Times New Roman" w:hAnsi="Times New Roman"/>
          <w:noProof/>
          <w:sz w:val="24"/>
          <w:szCs w:val="24"/>
          <w:lang w:val="fr-BE"/>
        </w:rPr>
        <w:t xml:space="preserve">hés des technologies visent à maintenir la concurrence sur les marchés et à maximiser les incitations à l’innovation.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 24 janvier 2018, la Commission européenne a infligé à </w:t>
      </w:r>
      <w:r>
        <w:rPr>
          <w:rFonts w:ascii="Times New Roman" w:hAnsi="Times New Roman"/>
          <w:i/>
          <w:noProof/>
          <w:sz w:val="24"/>
          <w:szCs w:val="24"/>
          <w:lang w:val="fr-BE"/>
        </w:rPr>
        <w:t>Qualcomm</w:t>
      </w:r>
      <w:r>
        <w:rPr>
          <w:rFonts w:ascii="Times New Roman" w:hAnsi="Times New Roman"/>
          <w:noProof/>
          <w:sz w:val="24"/>
          <w:szCs w:val="24"/>
          <w:vertAlign w:val="superscript"/>
        </w:rPr>
        <w:footnoteReference w:id="205"/>
      </w:r>
      <w:r>
        <w:rPr>
          <w:rFonts w:ascii="Times New Roman" w:hAnsi="Times New Roman"/>
          <w:noProof/>
          <w:sz w:val="24"/>
          <w:szCs w:val="24"/>
          <w:lang w:val="fr-BE"/>
        </w:rPr>
        <w:t xml:space="preserve"> une amende de 997 millions d’EUR pour abus de position dominante sur l</w:t>
      </w:r>
      <w:r>
        <w:rPr>
          <w:rFonts w:ascii="Times New Roman" w:hAnsi="Times New Roman"/>
          <w:noProof/>
          <w:sz w:val="24"/>
          <w:szCs w:val="24"/>
          <w:lang w:val="fr-BE"/>
        </w:rPr>
        <w:t>e marché des chipsets de bande de base LTE. La décision considérait que Qualcomm empêchait ses concurrents de lui livrer concurrence sur le marché en versant à un client majeur, à savoir Apple, des montants substantiels, à la condition que ce dernier ne s’</w:t>
      </w:r>
      <w:r>
        <w:rPr>
          <w:rFonts w:ascii="Times New Roman" w:hAnsi="Times New Roman"/>
          <w:noProof/>
          <w:sz w:val="24"/>
          <w:szCs w:val="24"/>
          <w:lang w:val="fr-BE"/>
        </w:rPr>
        <w:t>approvisionne pas auprès de ses concurrents. Par conséquent, les concurrents de Qualcomm étaient privés de la possibilité d’exercer une concurrence efficace pour l’activité substantielle d’Apple, quelle que fût la qualité de leurs produits. Ils ont aussi é</w:t>
      </w:r>
      <w:r>
        <w:rPr>
          <w:rFonts w:ascii="Times New Roman" w:hAnsi="Times New Roman"/>
          <w:noProof/>
          <w:sz w:val="24"/>
          <w:szCs w:val="24"/>
          <w:lang w:val="fr-BE"/>
        </w:rPr>
        <w:t>té privés de possibilités commerciales auprès d’autres clients qui auraient pu découler du fait de compter Apple parmi leurs clients.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a également poursuivi son enquête à l’encontre de Qualcomm pour avoir pratiqué des prix inférieurs aux coûts</w:t>
      </w:r>
      <w:r>
        <w:rPr>
          <w:rFonts w:ascii="Times New Roman" w:hAnsi="Times New Roman"/>
          <w:noProof/>
          <w:sz w:val="24"/>
          <w:szCs w:val="24"/>
          <w:lang w:val="fr-BE"/>
        </w:rPr>
        <w:t xml:space="preserve"> en vue d’évincer des concurrents du marché («prix prédateurs») et lui a adressé une communication des griefs complémentaire</w:t>
      </w:r>
      <w:r>
        <w:rPr>
          <w:rFonts w:ascii="Times New Roman" w:hAnsi="Times New Roman"/>
          <w:noProof/>
          <w:sz w:val="24"/>
          <w:szCs w:val="24"/>
          <w:vertAlign w:val="superscript"/>
        </w:rPr>
        <w:footnoteReference w:id="206"/>
      </w:r>
      <w:r>
        <w:rPr>
          <w:rFonts w:ascii="Times New Roman" w:hAnsi="Times New Roman"/>
          <w:noProof/>
          <w:sz w:val="24"/>
          <w:szCs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 18 juillet 2018, la Commission a infligé à </w:t>
      </w:r>
      <w:r>
        <w:rPr>
          <w:rFonts w:ascii="Times New Roman" w:hAnsi="Times New Roman"/>
          <w:i/>
          <w:noProof/>
          <w:sz w:val="24"/>
          <w:szCs w:val="24"/>
          <w:lang w:val="fr-BE"/>
        </w:rPr>
        <w:t>Google</w:t>
      </w:r>
      <w:r>
        <w:rPr>
          <w:rFonts w:ascii="Times New Roman" w:hAnsi="Times New Roman"/>
          <w:noProof/>
          <w:sz w:val="24"/>
          <w:szCs w:val="24"/>
          <w:lang w:val="fr-BE"/>
        </w:rPr>
        <w:t xml:space="preserve"> une amende de 4,34 milliards d’EUR pour violation des règles de concurrence</w:t>
      </w:r>
      <w:r>
        <w:rPr>
          <w:rFonts w:ascii="Times New Roman" w:hAnsi="Times New Roman"/>
          <w:noProof/>
          <w:sz w:val="24"/>
          <w:szCs w:val="24"/>
          <w:lang w:val="fr-BE"/>
        </w:rPr>
        <w:t xml:space="preserve"> de l’UE</w:t>
      </w:r>
      <w:r>
        <w:rPr>
          <w:rFonts w:ascii="Times New Roman" w:hAnsi="Times New Roman"/>
          <w:noProof/>
          <w:sz w:val="24"/>
          <w:szCs w:val="24"/>
          <w:vertAlign w:val="superscript"/>
        </w:rPr>
        <w:footnoteReference w:id="207"/>
      </w:r>
      <w:r>
        <w:rPr>
          <w:rFonts w:ascii="Times New Roman" w:hAnsi="Times New Roman"/>
          <w:noProof/>
          <w:sz w:val="24"/>
          <w:szCs w:val="24"/>
          <w:lang w:val="fr-BE"/>
        </w:rPr>
        <w:t>. La Commission a estimé que Google imposait des restrictions illégales aux fabricants d’appareils Android et aux opérateurs de réseaux mobiles, afin de consolider sa position dominante sur le marché de la recherche générale sur l’internet.</w:t>
      </w:r>
    </w:p>
    <w:p w:rsidR="00D9323F" w:rsidRDefault="00D9323F">
      <w:pPr>
        <w:widowControl w:val="0"/>
        <w:spacing w:line="240" w:lineRule="auto"/>
        <w:jc w:val="both"/>
        <w:rPr>
          <w:rFonts w:ascii="Times New Roman" w:hAnsi="Times New Roman"/>
          <w:noProof/>
          <w:sz w:val="24"/>
          <w:szCs w:val="24"/>
          <w:lang w:val="fr-BE"/>
        </w:rPr>
      </w:pP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4"/>
          <w:lang w:val="fr-BE"/>
        </w:rPr>
      </w:pPr>
      <w:r>
        <w:rPr>
          <w:rFonts w:ascii="Times New Roman" w:hAnsi="Times New Roman"/>
          <w:b/>
          <w:noProof/>
          <w:sz w:val="20"/>
          <w:szCs w:val="24"/>
          <w:lang w:val="fr-BE"/>
        </w:rPr>
        <w:t>L’affaire Google Android</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Dans sa décision, la Commission a conclu que Google occupait une position dominante sur:</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les marchés nationaux de la recherche générale sur l’internet de l’ensemble de l’EEE. La Commission fondait cette conclusion sur le fait que</w:t>
      </w:r>
      <w:r>
        <w:rPr>
          <w:rFonts w:ascii="Times New Roman" w:hAnsi="Times New Roman"/>
          <w:noProof/>
          <w:sz w:val="20"/>
          <w:szCs w:val="24"/>
          <w:lang w:val="fr-BE"/>
        </w:rPr>
        <w:t xml:space="preserve"> Google détient des parts de marché de plus de 90 % dans la plupart des États membres de l’EEE et qu’il existe des barrières élevées à l’entrée sur ces marchés;</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le marché mondial (à l’exception de la Chine) des systèmes d’exploitation mobiles intelligent</w:t>
      </w:r>
      <w:r>
        <w:rPr>
          <w:rFonts w:ascii="Times New Roman" w:hAnsi="Times New Roman"/>
          <w:noProof/>
          <w:sz w:val="20"/>
          <w:szCs w:val="24"/>
          <w:lang w:val="fr-BE"/>
        </w:rPr>
        <w:t>s sous licence. La Commission fondait cette conclusion sur le fait que Google détient une part de marché de plus de 95 %, qu’il existe des barrières élevées à l’entrée et que des ressources considérables sont nécessaires pour mettre en place un système d’e</w:t>
      </w:r>
      <w:r>
        <w:rPr>
          <w:rFonts w:ascii="Times New Roman" w:hAnsi="Times New Roman"/>
          <w:noProof/>
          <w:sz w:val="20"/>
          <w:szCs w:val="24"/>
          <w:lang w:val="fr-BE"/>
        </w:rPr>
        <w:t>xploitation mobile intelligent sous licence qui soit performant. Android est différent des systèmes d’exploitation exclusivement utilisés par des développeurs verticalement intégrés (comme Apple iOS), qui ne font pas partie du même marché parce que des fab</w:t>
      </w:r>
      <w:r>
        <w:rPr>
          <w:rFonts w:ascii="Times New Roman" w:hAnsi="Times New Roman"/>
          <w:noProof/>
          <w:sz w:val="20"/>
          <w:szCs w:val="24"/>
          <w:lang w:val="fr-BE"/>
        </w:rPr>
        <w:t>ricants d’appareils tiers ne peuvent en obtenir la licence; et</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le marché mondial (à l’exception de la Chine) des boutiques d’applications en ligne pour le système d’exploitation mobile Android.</w:t>
      </w:r>
      <w:r>
        <w:rPr>
          <w:rFonts w:ascii="Times New Roman" w:hAnsi="Times New Roman"/>
          <w:noProof/>
          <w:color w:val="000000" w:themeColor="text1"/>
          <w:sz w:val="20"/>
          <w:szCs w:val="24"/>
          <w:lang w:val="fr-BE"/>
        </w:rPr>
        <w:t xml:space="preserve"> La Commission fondait cette conclusion sur le fait que plus </w:t>
      </w:r>
      <w:r>
        <w:rPr>
          <w:rFonts w:ascii="Times New Roman" w:hAnsi="Times New Roman"/>
          <w:noProof/>
          <w:color w:val="000000" w:themeColor="text1"/>
          <w:sz w:val="20"/>
          <w:szCs w:val="24"/>
          <w:lang w:val="fr-BE"/>
        </w:rPr>
        <w:t>de 90 % des applications téléchargées sur des appareils Android le sont via Play Store, la boutique d’applications de Google et que ce marché se caractérise par d’importantes barrières à l’entrée. La position dominante de la boutique d’applications en lign</w:t>
      </w:r>
      <w:r>
        <w:rPr>
          <w:rFonts w:ascii="Times New Roman" w:hAnsi="Times New Roman"/>
          <w:noProof/>
          <w:color w:val="000000" w:themeColor="text1"/>
          <w:sz w:val="20"/>
          <w:szCs w:val="24"/>
          <w:lang w:val="fr-BE"/>
        </w:rPr>
        <w:t>e de Google n’est pas entravée par l’App Store d’Apple, qui n’est disponible que sur les appareils iOS.</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 xml:space="preserve">La Commission a constaté que Google avait abusé de sa position dominante sur le marché en se livrant à </w:t>
      </w:r>
      <w:r>
        <w:rPr>
          <w:rFonts w:ascii="Times New Roman" w:hAnsi="Times New Roman"/>
          <w:noProof/>
          <w:sz w:val="20"/>
          <w:szCs w:val="24"/>
          <w:u w:val="single"/>
          <w:lang w:val="fr-BE"/>
        </w:rPr>
        <w:t>trois types distincts de pratiques</w:t>
      </w:r>
      <w:r>
        <w:rPr>
          <w:rFonts w:ascii="Times New Roman" w:hAnsi="Times New Roman"/>
          <w:noProof/>
          <w:sz w:val="20"/>
          <w:szCs w:val="24"/>
          <w:lang w:val="fr-BE"/>
        </w:rPr>
        <w:t>, qui avaient t</w:t>
      </w:r>
      <w:r>
        <w:rPr>
          <w:rFonts w:ascii="Times New Roman" w:hAnsi="Times New Roman"/>
          <w:noProof/>
          <w:sz w:val="20"/>
          <w:szCs w:val="24"/>
          <w:lang w:val="fr-BE"/>
        </w:rPr>
        <w:t>outes pour objectif de consolider sa position dominante sur le marché de la recherche générale sur l’internet:</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Vente liée illégale de l’application Google Search et du navigateur Google Chrome: Google fournissait ses services et applications mobiles aux </w:t>
      </w:r>
      <w:r>
        <w:rPr>
          <w:rFonts w:ascii="Times New Roman" w:hAnsi="Times New Roman"/>
          <w:noProof/>
          <w:sz w:val="20"/>
          <w:szCs w:val="24"/>
          <w:lang w:val="fr-BE"/>
        </w:rPr>
        <w:t>fabricants d’appareils sous la forme d’une offre groupée. Sont concernés Google Play Store, l’application Google Search et le navigateur Google Chrome. Google faisait ainsi en sorte que son application Google Search et que son navigateur mobile soient préi</w:t>
      </w:r>
      <w:r>
        <w:rPr>
          <w:rFonts w:ascii="Times New Roman" w:hAnsi="Times New Roman"/>
          <w:noProof/>
          <w:sz w:val="20"/>
          <w:szCs w:val="24"/>
          <w:lang w:val="fr-BE"/>
        </w:rPr>
        <w:t xml:space="preserve">nstallés sur pratiquement tous les appareils Android vendus dans l’EEE. La décision exposait une série d’éléments de preuve montrant que, pour la recherche et la navigation, la préinstallation constitue un avantage commercial considérable qui ne peut être </w:t>
      </w:r>
      <w:r>
        <w:rPr>
          <w:rFonts w:ascii="Times New Roman" w:hAnsi="Times New Roman"/>
          <w:noProof/>
          <w:sz w:val="20"/>
          <w:szCs w:val="24"/>
          <w:lang w:val="fr-BE"/>
        </w:rPr>
        <w:t>compensé par d’autres moyens.</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Paiements illégaux subordonnés à la préinstallation exclusive de Google Search: Google accordait des incitations financières importantes à certains des plus gros fabricants d’appareils ainsi qu’à des opérateurs de réseaux mo</w:t>
      </w:r>
      <w:r>
        <w:rPr>
          <w:rFonts w:ascii="Times New Roman" w:hAnsi="Times New Roman"/>
          <w:noProof/>
          <w:sz w:val="20"/>
          <w:szCs w:val="24"/>
          <w:lang w:val="fr-BE"/>
        </w:rPr>
        <w:t>biles, à la condition qu’ils préinstallent exclusivement Google Search sur toute leur gamme d’appareils Android. La décision exposait une série d’éléments de preuve sur la façon dont cette pratique réduisait considérablement les possibilités commerciales p</w:t>
      </w:r>
      <w:r>
        <w:rPr>
          <w:rFonts w:ascii="Times New Roman" w:hAnsi="Times New Roman"/>
          <w:noProof/>
          <w:sz w:val="20"/>
          <w:szCs w:val="24"/>
          <w:lang w:val="fr-BE"/>
        </w:rPr>
        <w:t xml:space="preserve">our les fournisseurs de services de recherche préinstallés ou rivaux.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w:t>
      </w:r>
      <w:r>
        <w:rPr>
          <w:rFonts w:ascii="Times New Roman" w:hAnsi="Times New Roman"/>
          <w:noProof/>
          <w:sz w:val="20"/>
          <w:szCs w:val="24"/>
          <w:lang w:val="fr-BE"/>
        </w:rPr>
        <w:t xml:space="preserve"> Obstruction illégale au développement et à la distribution de systèmes d’exploitation Android concurrents: Google empêchait des fabricants d’appareils d’utiliser une autre version d’A</w:t>
      </w:r>
      <w:r>
        <w:rPr>
          <w:rFonts w:ascii="Times New Roman" w:hAnsi="Times New Roman"/>
          <w:noProof/>
          <w:sz w:val="20"/>
          <w:szCs w:val="24"/>
          <w:lang w:val="fr-BE"/>
        </w:rPr>
        <w:t>ndroid non approuvée par elle (forks Android). Pour pouvoir préinstaller sur leurs appareils les applications propriétaires de Google, les fabricants devaient obtenir l’accord préalable de Google pour faire fonctionner un appareil sous un fork Android. Cet</w:t>
      </w:r>
      <w:r>
        <w:rPr>
          <w:rFonts w:ascii="Times New Roman" w:hAnsi="Times New Roman"/>
          <w:noProof/>
          <w:sz w:val="20"/>
          <w:szCs w:val="24"/>
          <w:lang w:val="fr-BE"/>
        </w:rPr>
        <w:t>te pratique a considérablement réduit la possibilité commerciale de développer et de vendre des appareils fonctionnant sous des forks Android.</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Les pratiques de Google ont empêché les services concurrents de recherche générale sur l’internet d'exercer une c</w:t>
      </w:r>
      <w:r>
        <w:rPr>
          <w:rFonts w:ascii="Times New Roman" w:hAnsi="Times New Roman"/>
          <w:noProof/>
          <w:sz w:val="20"/>
          <w:szCs w:val="24"/>
          <w:lang w:val="fr-BE"/>
        </w:rPr>
        <w:t xml:space="preserve">oncurrence par les mérites. Les pratiques de ventes liées ont garanti la préinstallation du moteur de recherche et du navigateur de Google sur la quasi-totalité des appareils Google Android, et les paiements d’exclusivité ont fortement réduit l’incitation </w:t>
      </w:r>
      <w:r>
        <w:rPr>
          <w:rFonts w:ascii="Times New Roman" w:hAnsi="Times New Roman"/>
          <w:noProof/>
          <w:sz w:val="20"/>
          <w:szCs w:val="24"/>
          <w:lang w:val="fr-BE"/>
        </w:rPr>
        <w:t xml:space="preserve">à préinstaller des moteurs de recherche concurrents. Google a également entravé le développement de forks Android, qui auraient pu fournir une plateforme permettant à des moteurs de recherche concurrents d’enregistrer un trafic accru.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4"/>
          <w:lang w:val="fr-BE"/>
        </w:rPr>
      </w:pPr>
      <w:r>
        <w:rPr>
          <w:rFonts w:ascii="Times New Roman" w:hAnsi="Times New Roman"/>
          <w:noProof/>
          <w:sz w:val="20"/>
          <w:szCs w:val="24"/>
          <w:lang w:val="fr-BE"/>
        </w:rPr>
        <w:t>Dans sa décision, la</w:t>
      </w:r>
      <w:r>
        <w:rPr>
          <w:rFonts w:ascii="Times New Roman" w:hAnsi="Times New Roman"/>
          <w:noProof/>
          <w:sz w:val="20"/>
          <w:szCs w:val="24"/>
          <w:lang w:val="fr-BE"/>
        </w:rPr>
        <w:t xml:space="preserve"> Commission exige de Google qu’elle mette fin à son comportement illégal de manière effective dans les 90 jours suivant la décision. Google doit, à tout le moins, mettre fin à chacun des trois types de pratiques et s’abstenir de s’y livrer à nouveau. La dé</w:t>
      </w:r>
      <w:r>
        <w:rPr>
          <w:rFonts w:ascii="Times New Roman" w:hAnsi="Times New Roman"/>
          <w:noProof/>
          <w:sz w:val="20"/>
          <w:szCs w:val="24"/>
          <w:lang w:val="fr-BE"/>
        </w:rPr>
        <w:t xml:space="preserve">cision requiert également de Google qu’elle s’abstienne de toute mesure ayant un objet ou un effet équivalent à ces pratiques. Il relève de la seule responsabilité de Google de veiller au respect de la décision de la Commission. La Commission surveille de </w:t>
      </w:r>
      <w:r>
        <w:rPr>
          <w:rFonts w:ascii="Times New Roman" w:hAnsi="Times New Roman"/>
          <w:noProof/>
          <w:sz w:val="20"/>
          <w:szCs w:val="24"/>
          <w:lang w:val="fr-BE"/>
        </w:rPr>
        <w:t>près le respect de la décision par Google afin de s’assurer que les mesures correctives sont efficaces et conformes à la décision.</w:t>
      </w:r>
    </w:p>
    <w:p w:rsidR="00D9323F" w:rsidRDefault="00F47CDD">
      <w:pPr>
        <w:widowControl w:val="0"/>
        <w:autoSpaceDE w:val="0"/>
        <w:autoSpaceDN w:val="0"/>
        <w:adjustRightInd w:val="0"/>
        <w:spacing w:before="200" w:line="240" w:lineRule="auto"/>
        <w:rPr>
          <w:rFonts w:ascii="Times New Roman" w:hAnsi="Times New Roman"/>
          <w:i/>
          <w:iCs/>
          <w:noProof/>
          <w:sz w:val="24"/>
          <w:szCs w:val="24"/>
          <w:lang w:val="fr-BE"/>
        </w:rPr>
      </w:pPr>
      <w:r>
        <w:rPr>
          <w:rFonts w:ascii="Times New Roman" w:hAnsi="Times New Roman"/>
          <w:i/>
          <w:noProof/>
          <w:sz w:val="24"/>
          <w:szCs w:val="24"/>
          <w:lang w:val="fr-BE"/>
        </w:rPr>
        <w:t xml:space="preserve">Garantir un cadre propice à la concurrence sur le marché des télécommunications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L'une des actions clés dans le cadre du seco</w:t>
      </w:r>
      <w:r>
        <w:rPr>
          <w:rFonts w:ascii="Times New Roman" w:hAnsi="Times New Roman"/>
          <w:noProof/>
          <w:sz w:val="24"/>
          <w:szCs w:val="24"/>
          <w:lang w:val="fr-BE"/>
        </w:rPr>
        <w:t xml:space="preserve">nd pilier de la stratégie pour un marché unique numérique est le réexamen du cadre réglementaire relatif aux télécommunications. Le 14 septembre 2016, la Commission a adopté trois propositions législatives: une proposition de directive établissant le code </w:t>
      </w:r>
      <w:r>
        <w:rPr>
          <w:rFonts w:ascii="Times New Roman" w:hAnsi="Times New Roman"/>
          <w:noProof/>
          <w:sz w:val="24"/>
          <w:szCs w:val="24"/>
          <w:lang w:val="fr-BE"/>
        </w:rPr>
        <w:t>européen des communications électroniques</w:t>
      </w:r>
      <w:r>
        <w:rPr>
          <w:rFonts w:ascii="Times New Roman" w:hAnsi="Times New Roman"/>
          <w:noProof/>
          <w:sz w:val="24"/>
          <w:szCs w:val="24"/>
          <w:vertAlign w:val="superscript"/>
        </w:rPr>
        <w:footnoteReference w:id="208"/>
      </w:r>
      <w:r>
        <w:rPr>
          <w:rFonts w:ascii="Times New Roman" w:hAnsi="Times New Roman"/>
          <w:noProof/>
          <w:sz w:val="24"/>
          <w:szCs w:val="24"/>
          <w:lang w:val="fr-BE"/>
        </w:rPr>
        <w:t>, qui consiste en une refonte des directives existantes, une proposition de règlement établissant l’Organe des régulateurs européens des communications électroniques (ORECE)</w:t>
      </w:r>
      <w:r>
        <w:rPr>
          <w:rFonts w:ascii="Times New Roman" w:hAnsi="Times New Roman"/>
          <w:noProof/>
          <w:sz w:val="24"/>
          <w:szCs w:val="24"/>
          <w:vertAlign w:val="superscript"/>
        </w:rPr>
        <w:footnoteReference w:id="209"/>
      </w:r>
      <w:r>
        <w:rPr>
          <w:rFonts w:ascii="Times New Roman" w:hAnsi="Times New Roman"/>
          <w:noProof/>
          <w:sz w:val="24"/>
          <w:szCs w:val="24"/>
          <w:lang w:val="fr-BE"/>
        </w:rPr>
        <w:t xml:space="preserve">, qui renforce le rôle de ce dernier et </w:t>
      </w:r>
      <w:r>
        <w:rPr>
          <w:rFonts w:ascii="Times New Roman" w:hAnsi="Times New Roman"/>
          <w:noProof/>
          <w:sz w:val="24"/>
          <w:szCs w:val="24"/>
          <w:lang w:val="fr-BE"/>
        </w:rPr>
        <w:t>des autorités nationales de régulation, et une proposition de règlement relatif à la promotion de la connectivité internet dans les communautés locales et les espaces publics (WiFi4EU)</w:t>
      </w:r>
      <w:r>
        <w:rPr>
          <w:rFonts w:ascii="Times New Roman" w:hAnsi="Times New Roman"/>
          <w:noProof/>
          <w:sz w:val="24"/>
          <w:szCs w:val="24"/>
          <w:vertAlign w:val="superscript"/>
        </w:rPr>
        <w:footnoteReference w:id="210"/>
      </w:r>
      <w:r>
        <w:rPr>
          <w:rFonts w:ascii="Times New Roman" w:hAnsi="Times New Roman"/>
          <w:noProof/>
          <w:sz w:val="24"/>
          <w:szCs w:val="24"/>
          <w:lang w:val="fr-BE"/>
        </w:rPr>
        <w:t>. Elles s’accompagnaient de deux communications: Connectivité pour un m</w:t>
      </w:r>
      <w:r>
        <w:rPr>
          <w:rFonts w:ascii="Times New Roman" w:hAnsi="Times New Roman"/>
          <w:noProof/>
          <w:sz w:val="24"/>
          <w:szCs w:val="24"/>
          <w:lang w:val="fr-BE"/>
        </w:rPr>
        <w:t>arché unique numérique compétitif – Vers une société européenne du gigabit</w:t>
      </w:r>
      <w:r>
        <w:rPr>
          <w:rFonts w:ascii="Times New Roman" w:hAnsi="Times New Roman"/>
          <w:noProof/>
          <w:sz w:val="24"/>
          <w:szCs w:val="24"/>
          <w:vertAlign w:val="superscript"/>
        </w:rPr>
        <w:footnoteReference w:id="211"/>
      </w:r>
      <w:r>
        <w:rPr>
          <w:rFonts w:ascii="Times New Roman" w:hAnsi="Times New Roman"/>
          <w:noProof/>
          <w:sz w:val="24"/>
          <w:szCs w:val="24"/>
          <w:lang w:val="fr-BE"/>
        </w:rPr>
        <w:t>, qui établit une série d’objectifs de connectivité pour 2025, et un plan d’action pour la 5G en Europe</w:t>
      </w:r>
      <w:r>
        <w:rPr>
          <w:rFonts w:ascii="Times New Roman" w:hAnsi="Times New Roman"/>
          <w:noProof/>
          <w:sz w:val="24"/>
          <w:szCs w:val="24"/>
          <w:vertAlign w:val="superscript"/>
        </w:rPr>
        <w:footnoteReference w:id="212"/>
      </w:r>
      <w:r>
        <w:rPr>
          <w:rFonts w:ascii="Times New Roman" w:hAnsi="Times New Roman"/>
          <w:noProof/>
          <w:sz w:val="24"/>
          <w:szCs w:val="24"/>
          <w:lang w:val="fr-BE"/>
        </w:rPr>
        <w:t xml:space="preserve">, qui définit des actions ciblées dans le but de favoriser le déploiement de </w:t>
      </w:r>
      <w:r>
        <w:rPr>
          <w:rFonts w:ascii="Times New Roman" w:hAnsi="Times New Roman"/>
          <w:noProof/>
          <w:sz w:val="24"/>
          <w:szCs w:val="24"/>
          <w:lang w:val="fr-BE"/>
        </w:rPr>
        <w:t xml:space="preserve">la 5G en Europe. </w:t>
      </w:r>
    </w:p>
    <w:p w:rsidR="00D9323F" w:rsidRDefault="00F47CDD">
      <w:pPr>
        <w:widowControl w:val="0"/>
        <w:spacing w:line="240" w:lineRule="auto"/>
        <w:jc w:val="both"/>
        <w:rPr>
          <w:rFonts w:ascii="Times New Roman" w:hAnsi="Times New Roman"/>
          <w:noProof/>
          <w:sz w:val="24"/>
          <w:szCs w:val="24"/>
          <w:lang w:val="fr-BE"/>
        </w:rPr>
      </w:pPr>
      <w:r>
        <w:rPr>
          <w:rFonts w:ascii="Times New Roman" w:eastAsiaTheme="minorHAnsi" w:hAnsi="Times New Roman"/>
          <w:noProof/>
          <w:sz w:val="24"/>
          <w:szCs w:val="24"/>
          <w:lang w:val="fr-BE"/>
        </w:rPr>
        <w:t xml:space="preserve">Un accord politique sur les propositions relatives à un code des communications électroniques et à un règlement instituant l’ORECE a été </w:t>
      </w:r>
      <w:r>
        <w:rPr>
          <w:rFonts w:ascii="Times New Roman" w:hAnsi="Times New Roman"/>
          <w:noProof/>
          <w:sz w:val="24"/>
          <w:szCs w:val="24"/>
          <w:lang w:val="fr-BE"/>
        </w:rPr>
        <w:t>conclu en juin 2018. Les actes juridiques ont été adoptés le 11 décembre 2018</w:t>
      </w:r>
      <w:r>
        <w:rPr>
          <w:rFonts w:ascii="Times New Roman" w:eastAsiaTheme="minorHAnsi" w:hAnsi="Times New Roman"/>
          <w:noProof/>
          <w:sz w:val="24"/>
          <w:szCs w:val="24"/>
          <w:vertAlign w:val="superscript"/>
        </w:rPr>
        <w:footnoteReference w:id="213"/>
      </w:r>
      <w:r>
        <w:rPr>
          <w:rFonts w:ascii="Times New Roman" w:hAnsi="Times New Roman"/>
          <w:noProof/>
          <w:sz w:val="24"/>
          <w:szCs w:val="24"/>
          <w:lang w:val="fr-BE"/>
        </w:rPr>
        <w:t>.</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 texte approuvé du </w:t>
      </w:r>
      <w:r>
        <w:rPr>
          <w:rFonts w:ascii="Times New Roman" w:hAnsi="Times New Roman"/>
          <w:noProof/>
          <w:sz w:val="24"/>
          <w:szCs w:val="24"/>
          <w:lang w:val="fr-BE"/>
        </w:rPr>
        <w:t>code des communications électroniques introduit un nouvel objectif de connectivité (c’est-à-dire d’investissement) des réseaux à très grande capacité en tant qu’objectif politique complémentaire, parallèlement aux autres objectifs du cadre, à savoir préser</w:t>
      </w:r>
      <w:r>
        <w:rPr>
          <w:rFonts w:ascii="Times New Roman" w:hAnsi="Times New Roman"/>
          <w:noProof/>
          <w:sz w:val="24"/>
          <w:szCs w:val="24"/>
          <w:lang w:val="fr-BE"/>
        </w:rPr>
        <w:t>ver la concurrence, le marché intérieur et la protection des consommateurs. En effet, le fait de stimuler la concurrence favorise non seulement l’investissement, mais aussi une baisse des prix, une amélioration de la qualité et un élargissement du choix. P</w:t>
      </w:r>
      <w:r>
        <w:rPr>
          <w:rFonts w:ascii="Times New Roman" w:hAnsi="Times New Roman"/>
          <w:noProof/>
          <w:sz w:val="24"/>
          <w:szCs w:val="24"/>
          <w:lang w:val="fr-BE"/>
        </w:rPr>
        <w:t>arallèlement, l’investissement n’est pas une fin en soi, car il ne profite pas directement aux consommateurs. C’est l’effet de l’investissement sur les paramètres de la concurrence tels que la baisse des prix, l’amélioration de la qualité du service ou une</w:t>
      </w:r>
      <w:r>
        <w:rPr>
          <w:rFonts w:ascii="Times New Roman" w:hAnsi="Times New Roman"/>
          <w:noProof/>
          <w:sz w:val="24"/>
          <w:szCs w:val="24"/>
          <w:lang w:val="fr-BE"/>
        </w:rPr>
        <w:t xml:space="preserve"> adoption plus large, qui se traduit par des avantages pour le consommateur.</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opérateurs disposant d’une puissance significative sur le marché (PSM) devront toujours garantir l’accès à leur réseau aux autres opérateurs, lorsque cela est nécessaire pour </w:t>
      </w:r>
      <w:r>
        <w:rPr>
          <w:rFonts w:ascii="Times New Roman" w:hAnsi="Times New Roman"/>
          <w:noProof/>
          <w:sz w:val="24"/>
          <w:szCs w:val="24"/>
          <w:lang w:val="fr-BE"/>
        </w:rPr>
        <w:t>assurer une véritable concurrence sur le marché de détail. Une dérégulation est possible lorsque la concurrence est effective sur un marché des télécommunications donné. La proposition contient également de nouveaux éléments visant à stimuler les investiss</w:t>
      </w:r>
      <w:r>
        <w:rPr>
          <w:rFonts w:ascii="Times New Roman" w:hAnsi="Times New Roman"/>
          <w:noProof/>
          <w:sz w:val="24"/>
          <w:szCs w:val="24"/>
          <w:lang w:val="fr-BE"/>
        </w:rPr>
        <w:t>ements, tout en préservant une concurrence effective. À titre d’exemple, l’accès à l’infrastructure civile est encouragé et un cadre récompensant le co-investissement dans les réseaux de très haute capacité est établi, encourageant le déploiement de la fib</w:t>
      </w:r>
      <w:r>
        <w:rPr>
          <w:rFonts w:ascii="Times New Roman" w:hAnsi="Times New Roman"/>
          <w:noProof/>
          <w:sz w:val="24"/>
          <w:szCs w:val="24"/>
          <w:lang w:val="fr-BE"/>
        </w:rPr>
        <w:t xml:space="preserve">re à la fois par les opérateurs historiques et par les opérateurs cherchant à obtenir un accès.   </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szCs w:val="24"/>
          <w:lang w:val="fr-BE"/>
        </w:rPr>
        <w:t>Les services de communication fournis par des fournisseurs par contournement (Over-the-Top - OTT) comme Skype et WhatsApp relèveraient du champ d’application</w:t>
      </w:r>
      <w:r>
        <w:rPr>
          <w:rFonts w:ascii="Times New Roman" w:eastAsiaTheme="minorHAnsi" w:hAnsi="Times New Roman"/>
          <w:noProof/>
          <w:sz w:val="24"/>
          <w:szCs w:val="24"/>
          <w:lang w:val="fr-BE"/>
        </w:rPr>
        <w:t xml:space="preserve"> proposé du nouveau code des communications électroniques et </w:t>
      </w:r>
      <w:r>
        <w:rPr>
          <w:rFonts w:ascii="Times New Roman" w:hAnsi="Times New Roman"/>
          <w:noProof/>
          <w:sz w:val="24"/>
          <w:szCs w:val="24"/>
          <w:lang w:val="fr-BE"/>
        </w:rPr>
        <w:t>entreraient dans la nouvelle rubrique des services de communications interpersonnelles. Les OTT sont généralement présents à des niveaux différents de la chaîne de valeur puisque, contrairement à</w:t>
      </w:r>
      <w:r>
        <w:rPr>
          <w:rFonts w:ascii="Times New Roman" w:hAnsi="Times New Roman"/>
          <w:noProof/>
          <w:sz w:val="24"/>
          <w:szCs w:val="24"/>
          <w:lang w:val="fr-BE"/>
        </w:rPr>
        <w:t xml:space="preserve"> eux, les opérateurs de télécommunications possèdent leur propre infrastructure de réseau. En ce qui concerne le spectre, le projet de code des communications électroniques approuvé contient des mesures visant à renforcer la sécurité des investissements (l</w:t>
      </w:r>
      <w:r>
        <w:rPr>
          <w:rFonts w:ascii="Times New Roman" w:hAnsi="Times New Roman"/>
          <w:noProof/>
          <w:sz w:val="24"/>
          <w:szCs w:val="24"/>
          <w:lang w:val="fr-BE"/>
        </w:rPr>
        <w:t>es colégislateurs sont convenus d’une durée minimale de licence de 20 ans, de la disponibilité du spectre sur le marché en temps utile et d’une meilleure coordination des autorisations de spectre entre régulateurs) et à promouvoir la concurrence (par exemp</w:t>
      </w:r>
      <w:r>
        <w:rPr>
          <w:rFonts w:ascii="Times New Roman" w:hAnsi="Times New Roman"/>
          <w:noProof/>
          <w:sz w:val="24"/>
          <w:szCs w:val="24"/>
          <w:lang w:val="fr-BE"/>
        </w:rPr>
        <w:t>le la possibilité d’appliquer des plafonds en matière de spectre, la réservation du spectre à de nouveaux venus ou des obligations d’accès en gros). Le texte approuvé maintient également le rôle des régulateurs nationaux et de l’ORECE, afin d’assurer l’app</w:t>
      </w:r>
      <w:r>
        <w:rPr>
          <w:rFonts w:ascii="Times New Roman" w:hAnsi="Times New Roman"/>
          <w:noProof/>
          <w:sz w:val="24"/>
          <w:szCs w:val="24"/>
          <w:lang w:val="fr-BE"/>
        </w:rPr>
        <w:t>lication cohérente et prévisible des règles de télécommunications.</w:t>
      </w:r>
    </w:p>
    <w:p w:rsidR="00D9323F" w:rsidRDefault="00F47CDD">
      <w:pPr>
        <w:widowControl w:val="0"/>
        <w:spacing w:line="240" w:lineRule="auto"/>
        <w:jc w:val="both"/>
        <w:rPr>
          <w:rFonts w:ascii="Times New Roman" w:hAnsi="Times New Roman"/>
          <w:noProof/>
          <w:sz w:val="24"/>
          <w:szCs w:val="24"/>
          <w:lang w:val="fr-BE"/>
        </w:rPr>
      </w:pPr>
      <w:r>
        <w:rPr>
          <w:rFonts w:ascii="Times New Roman" w:eastAsiaTheme="minorHAnsi" w:hAnsi="Times New Roman"/>
          <w:noProof/>
          <w:sz w:val="24"/>
          <w:szCs w:val="24"/>
          <w:lang w:val="fr-BE"/>
        </w:rPr>
        <w:t>La Commission a également adopté de nouvelles lignes directrices sur la puissance significative sur le marché</w:t>
      </w:r>
      <w:r>
        <w:rPr>
          <w:rFonts w:ascii="Times New Roman" w:eastAsiaTheme="minorHAnsi" w:hAnsi="Times New Roman"/>
          <w:noProof/>
          <w:sz w:val="24"/>
          <w:szCs w:val="24"/>
          <w:vertAlign w:val="superscript"/>
        </w:rPr>
        <w:footnoteReference w:id="214"/>
      </w:r>
      <w:r>
        <w:rPr>
          <w:rFonts w:ascii="Times New Roman" w:eastAsiaTheme="minorHAnsi" w:hAnsi="Times New Roman"/>
          <w:noProof/>
          <w:sz w:val="24"/>
          <w:szCs w:val="24"/>
          <w:lang w:val="fr-BE"/>
        </w:rPr>
        <w:t xml:space="preserve"> dans le domaine des télécommunications. Elles remplacent les lignes directrice</w:t>
      </w:r>
      <w:r>
        <w:rPr>
          <w:rFonts w:ascii="Times New Roman" w:eastAsiaTheme="minorHAnsi" w:hAnsi="Times New Roman"/>
          <w:noProof/>
          <w:sz w:val="24"/>
          <w:szCs w:val="24"/>
          <w:lang w:val="fr-BE"/>
        </w:rPr>
        <w:t>s précédentes adoptées en 2002 sur la base de l’article 15, paragraphe 2, de la directive-cadre afin de fournir des orientations aux autorités réglementaires nationales pour l’analyse des marchés et la concurrence effective au regard du cadre réglementaire</w:t>
      </w:r>
      <w:r>
        <w:rPr>
          <w:rFonts w:ascii="Times New Roman" w:eastAsiaTheme="minorHAnsi" w:hAnsi="Times New Roman"/>
          <w:noProof/>
          <w:sz w:val="24"/>
          <w:szCs w:val="24"/>
          <w:vertAlign w:val="superscript"/>
        </w:rPr>
        <w:footnoteReference w:id="215"/>
      </w:r>
      <w:r>
        <w:rPr>
          <w:rFonts w:ascii="Times New Roman" w:eastAsiaTheme="minorHAnsi" w:hAnsi="Times New Roman"/>
          <w:noProof/>
          <w:sz w:val="24"/>
          <w:szCs w:val="24"/>
          <w:lang w:val="fr-BE"/>
        </w:rPr>
        <w:t>.</w:t>
      </w:r>
      <w:r>
        <w:rPr>
          <w:rFonts w:ascii="Times New Roman" w:hAnsi="Times New Roman"/>
          <w:noProof/>
          <w:sz w:val="24"/>
          <w:szCs w:val="24"/>
          <w:lang w:val="fr-BE"/>
        </w:rPr>
        <w:t xml:space="preserve"> </w:t>
      </w:r>
      <w:r>
        <w:rPr>
          <w:rFonts w:ascii="Times New Roman" w:eastAsiaTheme="minorHAnsi" w:hAnsi="Times New Roman"/>
          <w:noProof/>
          <w:sz w:val="24"/>
          <w:szCs w:val="24"/>
          <w:lang w:val="fr-BE"/>
        </w:rPr>
        <w:t xml:space="preserve">Après 15 ans, il était nécessaire de revoir les lignes directrices PSM afin d’apporter plus de clarté, en particulier en ce qui concerne les critères de constatation de la </w:t>
      </w:r>
      <w:r>
        <w:rPr>
          <w:rFonts w:ascii="Times New Roman" w:hAnsi="Times New Roman"/>
          <w:noProof/>
          <w:sz w:val="24"/>
          <w:szCs w:val="24"/>
          <w:lang w:val="fr-BE"/>
        </w:rPr>
        <w:t>puissance significative conjointe, conformément à la jurisprudence des juridictio</w:t>
      </w:r>
      <w:r>
        <w:rPr>
          <w:rFonts w:ascii="Times New Roman" w:hAnsi="Times New Roman"/>
          <w:noProof/>
          <w:sz w:val="24"/>
          <w:szCs w:val="24"/>
          <w:lang w:val="fr-BE"/>
        </w:rPr>
        <w:t xml:space="preserve">ns européennes. </w:t>
      </w:r>
    </w:p>
    <w:p w:rsidR="00D9323F" w:rsidRDefault="00F47CDD">
      <w:pPr>
        <w:widowControl w:val="0"/>
        <w:autoSpaceDE w:val="0"/>
        <w:autoSpaceDN w:val="0"/>
        <w:adjustRightInd w:val="0"/>
        <w:spacing w:line="240" w:lineRule="auto"/>
        <w:rPr>
          <w:rFonts w:ascii="Times New Roman" w:hAnsi="Times New Roman"/>
          <w:i/>
          <w:iCs/>
          <w:noProof/>
          <w:sz w:val="24"/>
          <w:szCs w:val="24"/>
          <w:lang w:val="fr-BE"/>
        </w:rPr>
      </w:pPr>
      <w:r>
        <w:rPr>
          <w:rFonts w:ascii="Times New Roman" w:hAnsi="Times New Roman"/>
          <w:i/>
          <w:noProof/>
          <w:sz w:val="24"/>
          <w:szCs w:val="24"/>
          <w:lang w:val="fr-BE"/>
        </w:rPr>
        <w:t>Application des règles relatives aux pratiques anticoncurrentielles dans le secteur des télécommunications</w:t>
      </w:r>
    </w:p>
    <w:p w:rsidR="00D9323F" w:rsidRDefault="00F47CDD">
      <w:pPr>
        <w:widowControl w:val="0"/>
        <w:spacing w:line="240" w:lineRule="auto"/>
        <w:jc w:val="both"/>
        <w:rPr>
          <w:rFonts w:ascii="Times New Roman" w:hAnsi="Times New Roman"/>
          <w:bCs/>
          <w:noProof/>
          <w:sz w:val="24"/>
          <w:szCs w:val="24"/>
          <w:lang w:val="fr-BE"/>
        </w:rPr>
      </w:pPr>
      <w:r>
        <w:rPr>
          <w:rFonts w:ascii="Times New Roman" w:hAnsi="Times New Roman"/>
          <w:noProof/>
          <w:sz w:val="24"/>
          <w:szCs w:val="24"/>
          <w:lang w:val="fr-BE"/>
        </w:rPr>
        <w:t>En 2018, la Commission a poursuivi son enquête sur un accord de partage de réseau mobile entre les deux plus grands opérateurs de la</w:t>
      </w:r>
      <w:r>
        <w:rPr>
          <w:rFonts w:ascii="Times New Roman" w:hAnsi="Times New Roman"/>
          <w:noProof/>
          <w:sz w:val="24"/>
          <w:szCs w:val="24"/>
          <w:lang w:val="fr-BE"/>
        </w:rPr>
        <w:t xml:space="preserve"> République tchèque, </w:t>
      </w:r>
      <w:r>
        <w:rPr>
          <w:rFonts w:ascii="Times New Roman" w:hAnsi="Times New Roman"/>
          <w:i/>
          <w:noProof/>
          <w:sz w:val="24"/>
          <w:szCs w:val="24"/>
          <w:lang w:val="fr-BE"/>
        </w:rPr>
        <w:t>O2 CZ/CETIN</w:t>
      </w:r>
      <w:r>
        <w:rPr>
          <w:rFonts w:ascii="Times New Roman" w:hAnsi="Times New Roman"/>
          <w:noProof/>
          <w:sz w:val="24"/>
          <w:szCs w:val="24"/>
          <w:lang w:val="fr-BE"/>
        </w:rPr>
        <w:t xml:space="preserve"> et </w:t>
      </w:r>
      <w:r>
        <w:rPr>
          <w:rFonts w:ascii="Times New Roman" w:hAnsi="Times New Roman"/>
          <w:i/>
          <w:noProof/>
          <w:sz w:val="24"/>
          <w:szCs w:val="24"/>
          <w:lang w:val="fr-BE"/>
        </w:rPr>
        <w:t>T-Mobile CZ</w:t>
      </w:r>
      <w:r>
        <w:rPr>
          <w:rFonts w:ascii="Times New Roman" w:hAnsi="Times New Roman"/>
          <w:noProof/>
          <w:sz w:val="24"/>
          <w:szCs w:val="24"/>
          <w:vertAlign w:val="superscript"/>
        </w:rPr>
        <w:footnoteReference w:id="216"/>
      </w:r>
      <w:r>
        <w:rPr>
          <w:rFonts w:ascii="Times New Roman" w:hAnsi="Times New Roman"/>
          <w:noProof/>
          <w:sz w:val="24"/>
          <w:szCs w:val="24"/>
          <w:lang w:val="fr-BE"/>
        </w:rPr>
        <w:t>. La Commission enquête notamment pour déterminer si la coopération entre O2 CZ/CETIN et T-Mobile CZ risque de ralentir les améliorations de la qualité des infrastructures existantes et de retarder ou d’entra</w:t>
      </w:r>
      <w:r>
        <w:rPr>
          <w:rFonts w:ascii="Times New Roman" w:hAnsi="Times New Roman"/>
          <w:noProof/>
          <w:sz w:val="24"/>
          <w:szCs w:val="24"/>
          <w:lang w:val="fr-BE"/>
        </w:rPr>
        <w:t xml:space="preserve">ver le déploiement de nouvelles technologies, telles que la 4G/LTE, ainsi que de nouveaux services fondés sur celles-ci, notamment dans les zones densément peuplées. </w:t>
      </w:r>
    </w:p>
    <w:p w:rsidR="00D9323F" w:rsidRDefault="00F47CDD">
      <w:pPr>
        <w:keepNext/>
        <w:spacing w:after="240" w:line="240" w:lineRule="auto"/>
        <w:jc w:val="both"/>
        <w:rPr>
          <w:rFonts w:ascii="Times New Roman" w:hAnsi="Times New Roman"/>
          <w:i/>
          <w:noProof/>
          <w:sz w:val="24"/>
          <w:szCs w:val="24"/>
          <w:lang w:val="fr-BE"/>
        </w:rPr>
      </w:pPr>
      <w:r>
        <w:rPr>
          <w:rFonts w:ascii="Times New Roman" w:hAnsi="Times New Roman"/>
          <w:i/>
          <w:noProof/>
          <w:sz w:val="24"/>
          <w:szCs w:val="24"/>
          <w:lang w:val="fr-BE"/>
        </w:rPr>
        <w:t xml:space="preserve">Contrôle des concentrations dans les TIC et les médias </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eastAsiaTheme="minorHAnsi" w:hAnsi="Times New Roman"/>
          <w:noProof/>
          <w:sz w:val="24"/>
          <w:szCs w:val="24"/>
          <w:lang w:val="fr-BE"/>
        </w:rPr>
        <w:t xml:space="preserve">Dans le secteur des télécommunications, la Commission a confirmé en mai, à la suite d’une nouvelle enquête, l’autorisation du rachat, sous conditions, de </w:t>
      </w:r>
      <w:r>
        <w:rPr>
          <w:rFonts w:ascii="Times New Roman" w:hAnsi="Times New Roman"/>
          <w:i/>
          <w:noProof/>
          <w:color w:val="000000"/>
          <w:sz w:val="24"/>
          <w:szCs w:val="24"/>
          <w:lang w:val="fr-BE"/>
        </w:rPr>
        <w:t>Ziggo</w:t>
      </w:r>
      <w:r>
        <w:rPr>
          <w:rFonts w:ascii="Times New Roman" w:eastAsiaTheme="minorHAnsi" w:hAnsi="Times New Roman"/>
          <w:noProof/>
          <w:sz w:val="24"/>
          <w:szCs w:val="24"/>
          <w:lang w:val="fr-BE"/>
        </w:rPr>
        <w:t xml:space="preserve"> par </w:t>
      </w:r>
      <w:r>
        <w:rPr>
          <w:rFonts w:ascii="Times New Roman" w:hAnsi="Times New Roman"/>
          <w:i/>
          <w:noProof/>
          <w:color w:val="000000"/>
          <w:sz w:val="24"/>
          <w:szCs w:val="24"/>
          <w:lang w:val="fr-BE"/>
        </w:rPr>
        <w:t>Liberty Global</w:t>
      </w:r>
      <w:r>
        <w:rPr>
          <w:rFonts w:ascii="Times New Roman" w:hAnsi="Times New Roman"/>
          <w:noProof/>
          <w:color w:val="000000"/>
          <w:sz w:val="24"/>
          <w:szCs w:val="24"/>
          <w:vertAlign w:val="superscript"/>
        </w:rPr>
        <w:footnoteReference w:id="217"/>
      </w:r>
      <w:r>
        <w:rPr>
          <w:rFonts w:ascii="Times New Roman" w:eastAsiaTheme="minorHAnsi" w:hAnsi="Times New Roman"/>
          <w:noProof/>
          <w:sz w:val="24"/>
          <w:szCs w:val="24"/>
          <w:lang w:val="fr-BE"/>
        </w:rPr>
        <w:t>.</w:t>
      </w:r>
      <w:r>
        <w:rPr>
          <w:rFonts w:ascii="Times New Roman" w:hAnsi="Times New Roman"/>
          <w:noProof/>
          <w:color w:val="000000"/>
          <w:sz w:val="24"/>
          <w:szCs w:val="24"/>
          <w:lang w:val="fr-BE"/>
        </w:rPr>
        <w:t xml:space="preserve">Avant l’opération, Ziggo et Liberty Global étaient deux câblo-opérateurs de </w:t>
      </w:r>
      <w:r>
        <w:rPr>
          <w:rFonts w:ascii="Times New Roman" w:hAnsi="Times New Roman"/>
          <w:noProof/>
          <w:color w:val="000000"/>
          <w:sz w:val="24"/>
          <w:szCs w:val="24"/>
          <w:lang w:val="fr-BE"/>
        </w:rPr>
        <w:t xml:space="preserve">télévision distincts qui fournissaient essentiellement des services de télécommunications fixes opérant dans des zones distinctes des Pays-Bas. La Commission avait approuvé cette concentration pour la première fois en 2014, </w:t>
      </w:r>
      <w:r>
        <w:rPr>
          <w:rFonts w:ascii="Times New Roman" w:hAnsi="Times New Roman"/>
          <w:noProof/>
          <w:sz w:val="24"/>
          <w:szCs w:val="24"/>
          <w:lang w:val="fr-BE"/>
        </w:rPr>
        <w:t xml:space="preserve">à certaines conditions, mais le </w:t>
      </w:r>
      <w:r>
        <w:rPr>
          <w:rFonts w:ascii="Times New Roman" w:hAnsi="Times New Roman"/>
          <w:noProof/>
          <w:sz w:val="24"/>
          <w:szCs w:val="24"/>
          <w:lang w:val="fr-BE"/>
        </w:rPr>
        <w:t>Tribunal l’avait annulée en octobre 2017 au motif que la Commission n’avait pas indiqué toutes les raisons pour lesquelles la concentration n’aurait pas d’effets anticoncurrentiels verticaux sur le marché potentiel des chaînes sportives premium payantes. L</w:t>
      </w:r>
      <w:r>
        <w:rPr>
          <w:rFonts w:ascii="Times New Roman" w:hAnsi="Times New Roman"/>
          <w:noProof/>
          <w:sz w:val="24"/>
          <w:szCs w:val="24"/>
          <w:lang w:val="fr-BE"/>
        </w:rPr>
        <w:t>a Commission a réévalué la concentration et son enquête a confirmé sa crainte exprimée en 2014, à savoir que la concentration aurait augmenté le pouvoir de négociation de Liberty Global vis-à-vis des télédiffuseurs et aurait, de ce fait, entravé l’innovati</w:t>
      </w:r>
      <w:r>
        <w:rPr>
          <w:rFonts w:ascii="Times New Roman" w:hAnsi="Times New Roman"/>
          <w:noProof/>
          <w:sz w:val="24"/>
          <w:szCs w:val="24"/>
          <w:lang w:val="fr-BE"/>
        </w:rPr>
        <w:t>on dans la fourniture de contenu audiovisuel sur l’internet (services dits «par contournement» ou «OTT»). L’autorisation renouvelée est donc une nouvelle fois subordonnée à la mise en œuvre d’une série d’engagements. Le réexamen a également confirmé l’abse</w:t>
      </w:r>
      <w:r>
        <w:rPr>
          <w:rFonts w:ascii="Times New Roman" w:hAnsi="Times New Roman"/>
          <w:noProof/>
          <w:sz w:val="24"/>
          <w:szCs w:val="24"/>
          <w:lang w:val="fr-BE"/>
        </w:rPr>
        <w:t>nce de problème pour le marché des chaînes sportives premium payantes et cette conclusion est intégralement motivée dans la décision.</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En outre, la Commission a autorisé sans condition deux concentrations entre un opérateur de services de télécommunications</w:t>
      </w:r>
      <w:r>
        <w:rPr>
          <w:rFonts w:ascii="Times New Roman" w:hAnsi="Times New Roman"/>
          <w:noProof/>
          <w:color w:val="000000"/>
          <w:sz w:val="24"/>
          <w:szCs w:val="24"/>
          <w:lang w:val="fr-BE"/>
        </w:rPr>
        <w:t xml:space="preserve"> fixes et un opérateur de services de télécommunications mobiles en Autriche (</w:t>
      </w:r>
      <w:r>
        <w:rPr>
          <w:rFonts w:ascii="Times New Roman" w:hAnsi="Times New Roman"/>
          <w:i/>
          <w:noProof/>
          <w:color w:val="000000"/>
          <w:sz w:val="24"/>
          <w:szCs w:val="24"/>
          <w:lang w:val="fr-BE"/>
        </w:rPr>
        <w:t>T-Mobile Austria / UPC Austria</w:t>
      </w:r>
      <w:r>
        <w:rPr>
          <w:rFonts w:ascii="Times New Roman" w:hAnsi="Times New Roman"/>
          <w:noProof/>
          <w:color w:val="000000"/>
          <w:sz w:val="24"/>
          <w:szCs w:val="24"/>
          <w:vertAlign w:val="superscript"/>
        </w:rPr>
        <w:footnoteReference w:id="218"/>
      </w:r>
      <w:r>
        <w:rPr>
          <w:rFonts w:ascii="Times New Roman" w:hAnsi="Times New Roman"/>
          <w:noProof/>
          <w:color w:val="000000"/>
          <w:sz w:val="24"/>
          <w:szCs w:val="24"/>
          <w:lang w:val="fr-BE"/>
        </w:rPr>
        <w:t>) et en Suède (</w:t>
      </w:r>
      <w:r>
        <w:rPr>
          <w:rFonts w:ascii="Times New Roman" w:hAnsi="Times New Roman"/>
          <w:i/>
          <w:noProof/>
          <w:color w:val="000000"/>
          <w:sz w:val="24"/>
          <w:szCs w:val="24"/>
          <w:lang w:val="fr-BE"/>
        </w:rPr>
        <w:t>Tele2/Com Hem Holding</w:t>
      </w:r>
      <w:r>
        <w:rPr>
          <w:rFonts w:ascii="Times New Roman" w:hAnsi="Times New Roman"/>
          <w:noProof/>
          <w:color w:val="000000"/>
          <w:sz w:val="24"/>
          <w:szCs w:val="24"/>
          <w:vertAlign w:val="superscript"/>
        </w:rPr>
        <w:footnoteReference w:id="219"/>
      </w:r>
      <w:r>
        <w:rPr>
          <w:rFonts w:ascii="Times New Roman" w:hAnsi="Times New Roman"/>
          <w:noProof/>
          <w:color w:val="000000"/>
          <w:sz w:val="24"/>
          <w:szCs w:val="24"/>
          <w:lang w:val="fr-BE"/>
        </w:rPr>
        <w:t>). L’incidence de ces opérations sur les marchés des télécommunications fixes et mobiles en Autriche et en Suè</w:t>
      </w:r>
      <w:r>
        <w:rPr>
          <w:rFonts w:ascii="Times New Roman" w:hAnsi="Times New Roman"/>
          <w:noProof/>
          <w:color w:val="000000"/>
          <w:sz w:val="24"/>
          <w:szCs w:val="24"/>
          <w:lang w:val="fr-BE"/>
        </w:rPr>
        <w:t>de était très faible. Plus particulièrement, si les activités de T-Mobile et d’UPC en Autriche ont trait à l’offre de services d’accès à l’internet à une clientèle résidentielle, les produits d’accès à l’internet fixe d’UPC diffèrent considérablement des p</w:t>
      </w:r>
      <w:r>
        <w:rPr>
          <w:rFonts w:ascii="Times New Roman" w:hAnsi="Times New Roman"/>
          <w:noProof/>
          <w:color w:val="000000"/>
          <w:sz w:val="24"/>
          <w:szCs w:val="24"/>
          <w:lang w:val="fr-BE"/>
        </w:rPr>
        <w:t>roduits de haut débit mobile de T-Mobile. De même, bien que les activités de Tele2 et de Com Hem en Suède concernent le marché de détail des services de télécommunications mobiles, le marché de détail des services d’accès à l’internet fixe et le marché des</w:t>
      </w:r>
      <w:r>
        <w:rPr>
          <w:rFonts w:ascii="Times New Roman" w:hAnsi="Times New Roman"/>
          <w:noProof/>
          <w:color w:val="000000"/>
          <w:sz w:val="24"/>
          <w:szCs w:val="24"/>
          <w:lang w:val="fr-BE"/>
        </w:rPr>
        <w:t xml:space="preserve"> services d’accès multiples, Com Hem joue un rôle marginal dans la prestation de services de télécommunications mobiles, et les activités de télécommunications fixes de Tele2 sont limitées. La Commission a également constaté que les entités issues de la co</w:t>
      </w:r>
      <w:r>
        <w:rPr>
          <w:rFonts w:ascii="Times New Roman" w:hAnsi="Times New Roman"/>
          <w:noProof/>
          <w:color w:val="000000"/>
          <w:sz w:val="24"/>
          <w:szCs w:val="24"/>
          <w:lang w:val="fr-BE"/>
        </w:rPr>
        <w:t xml:space="preserve">ncentration resteraient confrontées à une concurrence importante de la part d’autres acteurs en Autriche (tels qu’A1 Telekom Austria et Hutchison Drei Austria) et en Suède (tels que Telia, Telenor et Tre). En outre, en Autriche comme en Suède, les entités </w:t>
      </w:r>
      <w:r>
        <w:rPr>
          <w:rFonts w:ascii="Times New Roman" w:hAnsi="Times New Roman"/>
          <w:noProof/>
          <w:color w:val="000000"/>
          <w:sz w:val="24"/>
          <w:szCs w:val="24"/>
          <w:lang w:val="fr-BE"/>
        </w:rPr>
        <w:t>issues de la concentration ne seraient pas à même d’utiliser leur pouvoir de marché pour évincer ou marginaliser leurs concurrents dans le domaine des télécommunications fixes ou mobiles en groupant les produits fixes et mobiles.</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Après une enquête approfon</w:t>
      </w:r>
      <w:r>
        <w:rPr>
          <w:rFonts w:ascii="Times New Roman" w:hAnsi="Times New Roman"/>
          <w:noProof/>
          <w:color w:val="000000"/>
          <w:sz w:val="24"/>
          <w:szCs w:val="24"/>
          <w:lang w:val="fr-BE"/>
        </w:rPr>
        <w:t>die</w:t>
      </w:r>
      <w:r>
        <w:rPr>
          <w:rFonts w:ascii="Times New Roman" w:hAnsi="Times New Roman"/>
          <w:noProof/>
          <w:color w:val="000000"/>
          <w:sz w:val="24"/>
          <w:szCs w:val="24"/>
          <w:vertAlign w:val="superscript"/>
        </w:rPr>
        <w:footnoteReference w:id="220"/>
      </w:r>
      <w:r>
        <w:rPr>
          <w:rFonts w:ascii="Times New Roman" w:hAnsi="Times New Roman"/>
          <w:noProof/>
          <w:color w:val="000000"/>
          <w:sz w:val="24"/>
          <w:szCs w:val="24"/>
          <w:lang w:val="fr-BE"/>
        </w:rPr>
        <w:t xml:space="preserve">, la Commission a autorisé le 27 novembre 2018 une concentration entre les opérateurs de réseaux mobiles </w:t>
      </w:r>
      <w:r>
        <w:rPr>
          <w:rFonts w:ascii="Times New Roman" w:hAnsi="Times New Roman"/>
          <w:i/>
          <w:noProof/>
          <w:color w:val="000000"/>
          <w:sz w:val="24"/>
          <w:szCs w:val="24"/>
          <w:lang w:val="fr-BE"/>
        </w:rPr>
        <w:t>T-Mobile NL</w:t>
      </w:r>
      <w:r>
        <w:rPr>
          <w:rFonts w:ascii="Times New Roman" w:hAnsi="Times New Roman"/>
          <w:noProof/>
          <w:color w:val="000000"/>
          <w:sz w:val="24"/>
          <w:szCs w:val="24"/>
          <w:lang w:val="fr-BE"/>
        </w:rPr>
        <w:t xml:space="preserve"> et </w:t>
      </w:r>
      <w:r>
        <w:rPr>
          <w:rFonts w:ascii="Times New Roman" w:hAnsi="Times New Roman"/>
          <w:i/>
          <w:noProof/>
          <w:color w:val="000000"/>
          <w:sz w:val="24"/>
          <w:szCs w:val="24"/>
          <w:lang w:val="fr-BE"/>
        </w:rPr>
        <w:t>Tele2 NL</w:t>
      </w:r>
      <w:r>
        <w:rPr>
          <w:rFonts w:ascii="Times New Roman" w:hAnsi="Times New Roman"/>
          <w:noProof/>
          <w:color w:val="000000"/>
          <w:sz w:val="24"/>
          <w:szCs w:val="24"/>
          <w:lang w:val="fr-BE"/>
        </w:rPr>
        <w:t xml:space="preserve"> aux Pays-Bas</w:t>
      </w:r>
      <w:r>
        <w:rPr>
          <w:rFonts w:ascii="Times New Roman" w:hAnsi="Times New Roman"/>
          <w:noProof/>
          <w:color w:val="000000"/>
          <w:sz w:val="24"/>
          <w:szCs w:val="24"/>
          <w:vertAlign w:val="superscript"/>
        </w:rPr>
        <w:footnoteReference w:id="221"/>
      </w:r>
      <w:r>
        <w:rPr>
          <w:rFonts w:ascii="Times New Roman" w:hAnsi="Times New Roman"/>
          <w:noProof/>
          <w:color w:val="000000"/>
          <w:sz w:val="24"/>
          <w:szCs w:val="24"/>
          <w:lang w:val="fr-BE"/>
        </w:rPr>
        <w:t>.</w:t>
      </w:r>
      <w:r>
        <w:rPr>
          <w:rFonts w:ascii="Times New Roman" w:hAnsi="Times New Roman"/>
          <w:noProof/>
          <w:color w:val="000000"/>
          <w:sz w:val="24"/>
          <w:szCs w:val="24"/>
          <w:vertAlign w:val="superscript"/>
          <w:lang w:val="fr-BE"/>
        </w:rPr>
        <w:t xml:space="preserve"> </w:t>
      </w:r>
      <w:r>
        <w:rPr>
          <w:rFonts w:ascii="Times New Roman" w:hAnsi="Times New Roman"/>
          <w:noProof/>
          <w:color w:val="000000"/>
          <w:sz w:val="24"/>
          <w:szCs w:val="24"/>
          <w:lang w:val="fr-BE"/>
        </w:rPr>
        <w:t>Le 11 décembre 2018, la Commission européenne a ouvert une enquête approfondie afin d’apprécier le projet d’</w:t>
      </w:r>
      <w:r>
        <w:rPr>
          <w:rFonts w:ascii="Times New Roman" w:hAnsi="Times New Roman"/>
          <w:noProof/>
          <w:color w:val="000000"/>
          <w:sz w:val="24"/>
          <w:szCs w:val="24"/>
          <w:lang w:val="fr-BE"/>
        </w:rPr>
        <w:t xml:space="preserve">acquisition par Vodafone des activités de </w:t>
      </w:r>
      <w:r>
        <w:rPr>
          <w:rFonts w:ascii="Times New Roman" w:hAnsi="Times New Roman"/>
          <w:i/>
          <w:noProof/>
          <w:color w:val="000000"/>
          <w:sz w:val="24"/>
          <w:szCs w:val="24"/>
          <w:shd w:val="clear" w:color="auto" w:fill="FFFFFF"/>
          <w:lang w:val="fr-BE"/>
        </w:rPr>
        <w:t>Liberty Global</w:t>
      </w:r>
      <w:r>
        <w:rPr>
          <w:rFonts w:ascii="Times New Roman" w:hAnsi="Times New Roman"/>
          <w:noProof/>
          <w:color w:val="000000"/>
          <w:sz w:val="24"/>
          <w:szCs w:val="24"/>
          <w:lang w:val="fr-BE"/>
        </w:rPr>
        <w:t xml:space="preserve"> en Tchéquie, en Allemagne, en Hongrie et en Roumanie au titre du règlement de l’UE sur les concentrations. La Commission craint que le rachat nuise à la concurrence en Allemagne et en Tchéquie</w:t>
      </w:r>
      <w:r>
        <w:rPr>
          <w:rFonts w:ascii="Times New Roman" w:hAnsi="Times New Roman"/>
          <w:noProof/>
          <w:color w:val="000000"/>
          <w:sz w:val="24"/>
          <w:szCs w:val="24"/>
          <w:vertAlign w:val="superscript"/>
        </w:rPr>
        <w:footnoteReference w:id="222"/>
      </w:r>
      <w:r>
        <w:rPr>
          <w:rFonts w:ascii="Times New Roman" w:hAnsi="Times New Roman"/>
          <w:noProof/>
          <w:color w:val="000000"/>
          <w:sz w:val="24"/>
          <w:szCs w:val="24"/>
          <w:lang w:val="fr-BE"/>
        </w:rPr>
        <w:t xml:space="preserve">. </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Dan</w:t>
      </w:r>
      <w:r>
        <w:rPr>
          <w:rFonts w:ascii="Times New Roman" w:hAnsi="Times New Roman"/>
          <w:noProof/>
          <w:color w:val="000000"/>
          <w:sz w:val="24"/>
          <w:szCs w:val="24"/>
          <w:lang w:val="fr-BE"/>
        </w:rPr>
        <w:t xml:space="preserve">s le secteur informatique, la Commission a autorisé en septembre 2018 le rachat de </w:t>
      </w:r>
      <w:r>
        <w:rPr>
          <w:rFonts w:ascii="Times New Roman" w:hAnsi="Times New Roman"/>
          <w:i/>
          <w:noProof/>
          <w:color w:val="000000"/>
          <w:sz w:val="24"/>
          <w:szCs w:val="24"/>
          <w:lang w:val="fr-BE"/>
        </w:rPr>
        <w:t>Shazam</w:t>
      </w:r>
      <w:r>
        <w:rPr>
          <w:rFonts w:ascii="Times New Roman" w:hAnsi="Times New Roman"/>
          <w:noProof/>
          <w:color w:val="000000"/>
          <w:sz w:val="24"/>
          <w:szCs w:val="24"/>
          <w:lang w:val="fr-BE"/>
        </w:rPr>
        <w:t xml:space="preserve"> par </w:t>
      </w:r>
      <w:r>
        <w:rPr>
          <w:rFonts w:ascii="Times New Roman" w:hAnsi="Times New Roman"/>
          <w:i/>
          <w:noProof/>
          <w:color w:val="000000"/>
          <w:sz w:val="24"/>
          <w:szCs w:val="24"/>
          <w:lang w:val="fr-BE"/>
        </w:rPr>
        <w:t>Apple</w:t>
      </w:r>
      <w:r>
        <w:rPr>
          <w:rFonts w:ascii="Times New Roman" w:hAnsi="Times New Roman"/>
          <w:noProof/>
          <w:color w:val="000000"/>
          <w:sz w:val="24"/>
          <w:szCs w:val="24"/>
          <w:vertAlign w:val="superscript"/>
        </w:rPr>
        <w:footnoteReference w:id="223"/>
      </w:r>
      <w:r>
        <w:rPr>
          <w:rFonts w:ascii="Times New Roman" w:hAnsi="Times New Roman"/>
          <w:noProof/>
          <w:color w:val="000000"/>
          <w:sz w:val="24"/>
          <w:szCs w:val="24"/>
          <w:lang w:val="fr-BE"/>
        </w:rPr>
        <w:t>. Les entreprises parties à la concentration proposent pour l’essentiel des services complémentaires, Apple exploitant «Apple Music», le deuxième plus grand</w:t>
      </w:r>
      <w:r>
        <w:rPr>
          <w:rFonts w:ascii="Times New Roman" w:hAnsi="Times New Roman"/>
          <w:noProof/>
          <w:color w:val="000000"/>
          <w:sz w:val="24"/>
          <w:szCs w:val="24"/>
          <w:lang w:val="fr-BE"/>
        </w:rPr>
        <w:t xml:space="preserve"> service de diffusion de musique en continu en Europe, et Shazam, une application de reconnaissance musicale très utilisée.</w:t>
      </w:r>
      <w:r>
        <w:rPr>
          <w:rFonts w:ascii="Times New Roman" w:eastAsiaTheme="minorHAnsi" w:hAnsi="Times New Roman"/>
          <w:noProof/>
          <w:sz w:val="24"/>
          <w:szCs w:val="24"/>
          <w:lang w:val="fr-BE"/>
        </w:rPr>
        <w:t xml:space="preserve"> La Commission avait ouvert une enquête approfondie en avril, craignant qu’Apple n’obtienne l’accès à des données commercialement sen</w:t>
      </w:r>
      <w:r>
        <w:rPr>
          <w:rFonts w:ascii="Times New Roman" w:eastAsiaTheme="minorHAnsi" w:hAnsi="Times New Roman"/>
          <w:noProof/>
          <w:sz w:val="24"/>
          <w:szCs w:val="24"/>
          <w:lang w:val="fr-BE"/>
        </w:rPr>
        <w:t>sibles concernant les clients des concurrents d’Apple Music ainsi qu’en vue de déterminer si ces concurrents subiraient un préjudice dans le cas où Apple cessait d’émettre des recommandations les concernant depuis l’application Shazam. L’enquête a démontré</w:t>
      </w:r>
      <w:r>
        <w:rPr>
          <w:rFonts w:ascii="Times New Roman" w:eastAsiaTheme="minorHAnsi" w:hAnsi="Times New Roman"/>
          <w:noProof/>
          <w:sz w:val="24"/>
          <w:szCs w:val="24"/>
          <w:lang w:val="fr-BE"/>
        </w:rPr>
        <w:t xml:space="preserve"> que l’entité issue de la concentration ne serait pas en mesure d’évincer les fournisseurs concurrents de services de diffusion numérique de musique en continu.</w:t>
      </w:r>
      <w:r>
        <w:rPr>
          <w:rFonts w:ascii="Times New Roman" w:hAnsi="Times New Roman"/>
          <w:noProof/>
          <w:color w:val="000000"/>
          <w:sz w:val="24"/>
          <w:szCs w:val="24"/>
          <w:lang w:val="fr-BE"/>
        </w:rPr>
        <w:t xml:space="preserve"> L’accès aux données de Shazam n’augmenterait pas significativement la capacité d’Apple de cible</w:t>
      </w:r>
      <w:r>
        <w:rPr>
          <w:rFonts w:ascii="Times New Roman" w:hAnsi="Times New Roman"/>
          <w:noProof/>
          <w:color w:val="000000"/>
          <w:sz w:val="24"/>
          <w:szCs w:val="24"/>
          <w:lang w:val="fr-BE"/>
        </w:rPr>
        <w:t>r les amateurs de musique, et toute pratique visant à inciter les clients à changer de fournisseur n’aurait qu’un effet négligeable. Par ailleurs, l’application de Shazam ne constitue qu’un point d’entrée d’importance limitée pour les services de diffusion</w:t>
      </w:r>
      <w:r>
        <w:rPr>
          <w:rFonts w:ascii="Times New Roman" w:hAnsi="Times New Roman"/>
          <w:noProof/>
          <w:color w:val="000000"/>
          <w:sz w:val="24"/>
          <w:szCs w:val="24"/>
          <w:lang w:val="fr-BE"/>
        </w:rPr>
        <w:t xml:space="preserve"> de musique en continu des concurrents d’Apple Music. En outre, l’intégration des jeux de données de Shazam et d’Apple concernant les données des utilisateurs ne conférerait pas d’avantage unique à l’entité issue de la concentration sur les marchés où elle</w:t>
      </w:r>
      <w:r>
        <w:rPr>
          <w:rFonts w:ascii="Times New Roman" w:hAnsi="Times New Roman"/>
          <w:noProof/>
          <w:color w:val="000000"/>
          <w:sz w:val="24"/>
          <w:szCs w:val="24"/>
          <w:lang w:val="fr-BE"/>
        </w:rPr>
        <w:t xml:space="preserve"> exerce ses activités dès lors que les données de Shazam ne sont pas uniques et que les concurrents d’Apple conserveraient la possibilité d’accéder à des bases de données analogues et de les utiliser. Bien que l’opération n’atteignait pas les seuils de chi</w:t>
      </w:r>
      <w:r>
        <w:rPr>
          <w:rFonts w:ascii="Times New Roman" w:hAnsi="Times New Roman"/>
          <w:noProof/>
          <w:color w:val="000000"/>
          <w:sz w:val="24"/>
          <w:szCs w:val="24"/>
          <w:lang w:val="fr-BE"/>
        </w:rPr>
        <w:t xml:space="preserve">ffre d’affaires prévus par le règlement de l’UE sur les concentrations, la Commission s’est penchée sur l’opération après acceptation d’une demande de renvoi émanant de l’Autriche, </w:t>
      </w:r>
      <w:r>
        <w:rPr>
          <w:rFonts w:ascii="Times New Roman" w:hAnsi="Times New Roman"/>
          <w:noProof/>
          <w:sz w:val="24"/>
          <w:szCs w:val="24"/>
          <w:lang w:val="fr-BE"/>
        </w:rPr>
        <w:t xml:space="preserve">de l'Espagne, de la France, de l’Islande, de l’Italie, de la Norvège et de </w:t>
      </w:r>
      <w:r>
        <w:rPr>
          <w:rFonts w:ascii="Times New Roman" w:hAnsi="Times New Roman"/>
          <w:noProof/>
          <w:sz w:val="24"/>
          <w:szCs w:val="24"/>
          <w:lang w:val="fr-BE"/>
        </w:rPr>
        <w:t xml:space="preserve">la Suède. </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Le 11 décembre 2018, la Commission a autorisé, sous conditions, le projet d’acquisition de </w:t>
      </w:r>
      <w:r>
        <w:rPr>
          <w:rFonts w:ascii="Times New Roman" w:hAnsi="Times New Roman"/>
          <w:i/>
          <w:noProof/>
          <w:color w:val="000000"/>
          <w:sz w:val="24"/>
          <w:szCs w:val="24"/>
          <w:lang w:val="fr-BE"/>
        </w:rPr>
        <w:t>Gemalto</w:t>
      </w:r>
      <w:r>
        <w:rPr>
          <w:rFonts w:ascii="Times New Roman" w:hAnsi="Times New Roman"/>
          <w:noProof/>
          <w:color w:val="000000"/>
          <w:sz w:val="24"/>
          <w:szCs w:val="24"/>
          <w:lang w:val="fr-BE"/>
        </w:rPr>
        <w:t xml:space="preserve"> par </w:t>
      </w:r>
      <w:r>
        <w:rPr>
          <w:rFonts w:ascii="Times New Roman" w:hAnsi="Times New Roman"/>
          <w:i/>
          <w:noProof/>
          <w:color w:val="000000"/>
          <w:sz w:val="24"/>
          <w:szCs w:val="24"/>
          <w:lang w:val="fr-BE"/>
        </w:rPr>
        <w:t>Thales</w:t>
      </w:r>
      <w:r>
        <w:rPr>
          <w:rFonts w:ascii="Times New Roman" w:hAnsi="Times New Roman"/>
          <w:noProof/>
          <w:color w:val="000000"/>
          <w:sz w:val="24"/>
          <w:szCs w:val="24"/>
          <w:vertAlign w:val="superscript"/>
        </w:rPr>
        <w:footnoteReference w:id="224"/>
      </w:r>
      <w:r>
        <w:rPr>
          <w:rFonts w:ascii="Times New Roman" w:hAnsi="Times New Roman"/>
          <w:noProof/>
          <w:color w:val="000000"/>
          <w:sz w:val="24"/>
          <w:szCs w:val="24"/>
          <w:lang w:val="fr-BE"/>
        </w:rPr>
        <w:t xml:space="preserve">, qui combine les deux plus gros fournisseurs de modules matériels de sécurité à usage général (hardware security modules - HSM) </w:t>
      </w:r>
      <w:r>
        <w:rPr>
          <w:rFonts w:ascii="Times New Roman" w:hAnsi="Times New Roman"/>
          <w:noProof/>
          <w:color w:val="000000"/>
          <w:sz w:val="24"/>
          <w:szCs w:val="24"/>
          <w:lang w:val="fr-BE"/>
        </w:rPr>
        <w:t xml:space="preserve">utilisés dans le cadre de solutions de gestion de clés pour les entreprises, tant dans l’Espace économique européen (EEE) qu’au niveau mondial. Les HSM sont des dispositifs matériels dédiés utilisant un logiciel de cryptage pour générer, protéger et gérer </w:t>
      </w:r>
      <w:r>
        <w:rPr>
          <w:rFonts w:ascii="Times New Roman" w:hAnsi="Times New Roman"/>
          <w:noProof/>
          <w:color w:val="000000"/>
          <w:sz w:val="24"/>
          <w:szCs w:val="24"/>
          <w:lang w:val="fr-BE"/>
        </w:rPr>
        <w:t>des clés de chiffrement visant à protéger des données dans un module inviolable sécurisé. La Commission avait ouvert une enquête approfondie en juillet, craignant que la concentration soit susceptible d’entraîner une hausse des prix et une diminution du ch</w:t>
      </w:r>
      <w:r>
        <w:rPr>
          <w:rFonts w:ascii="Times New Roman" w:hAnsi="Times New Roman"/>
          <w:noProof/>
          <w:color w:val="000000"/>
          <w:sz w:val="24"/>
          <w:szCs w:val="24"/>
          <w:lang w:val="fr-BE"/>
        </w:rPr>
        <w:t xml:space="preserve">oix et de l’innovation pour les utilisateurs de modules matériels de sécurité. La Commission a estimé que le projet de concentration conduirait à des parts de marché cumulées très élevées dans le marché des HSM à usage général et éliminerait les pressions </w:t>
      </w:r>
      <w:r>
        <w:rPr>
          <w:rFonts w:ascii="Times New Roman" w:hAnsi="Times New Roman"/>
          <w:noProof/>
          <w:color w:val="000000"/>
          <w:sz w:val="24"/>
          <w:szCs w:val="24"/>
          <w:lang w:val="fr-BE"/>
        </w:rPr>
        <w:t>concurrentielles que Thales et Gemalto exercent l’une sur l’autre. La Commission a également constaté que les fournisseurs de services d’informatique en nuage offrant des HSM en nuage n’exerçaient pas de pression concurrentielle forte et ne devraient pas l</w:t>
      </w:r>
      <w:r>
        <w:rPr>
          <w:rFonts w:ascii="Times New Roman" w:hAnsi="Times New Roman"/>
          <w:noProof/>
          <w:color w:val="000000"/>
          <w:sz w:val="24"/>
          <w:szCs w:val="24"/>
          <w:lang w:val="fr-BE"/>
        </w:rPr>
        <w:t>e faire dans un avenir proche. L’autorisation est subordonnée à la cession de l’activité de Thales concernant les HSM à usage général.</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En octobre, la Commission européenne a autorisé sans condition l’acquisition par </w:t>
      </w:r>
      <w:r>
        <w:rPr>
          <w:rFonts w:ascii="Times New Roman" w:hAnsi="Times New Roman"/>
          <w:i/>
          <w:noProof/>
          <w:color w:val="000000"/>
          <w:sz w:val="24"/>
          <w:szCs w:val="24"/>
          <w:lang w:val="fr-BE"/>
        </w:rPr>
        <w:t>Microsoft</w:t>
      </w:r>
      <w:r>
        <w:rPr>
          <w:rFonts w:ascii="Times New Roman" w:hAnsi="Times New Roman"/>
          <w:noProof/>
          <w:color w:val="000000"/>
          <w:sz w:val="24"/>
          <w:szCs w:val="24"/>
          <w:lang w:val="fr-BE"/>
        </w:rPr>
        <w:t xml:space="preserve"> de </w:t>
      </w:r>
      <w:r>
        <w:rPr>
          <w:rFonts w:ascii="Times New Roman" w:hAnsi="Times New Roman"/>
          <w:i/>
          <w:noProof/>
          <w:color w:val="000000"/>
          <w:sz w:val="24"/>
          <w:szCs w:val="24"/>
          <w:lang w:val="fr-BE"/>
        </w:rPr>
        <w:t>GitHub</w:t>
      </w:r>
      <w:r>
        <w:rPr>
          <w:rFonts w:ascii="Times New Roman" w:hAnsi="Times New Roman"/>
          <w:noProof/>
          <w:color w:val="000000"/>
          <w:sz w:val="24"/>
          <w:szCs w:val="24"/>
          <w:vertAlign w:val="superscript"/>
        </w:rPr>
        <w:footnoteReference w:id="225"/>
      </w:r>
      <w:r>
        <w:rPr>
          <w:rFonts w:ascii="Times New Roman" w:hAnsi="Times New Roman"/>
          <w:noProof/>
          <w:color w:val="000000"/>
          <w:sz w:val="24"/>
          <w:szCs w:val="24"/>
          <w:lang w:val="fr-BE"/>
        </w:rPr>
        <w:t>, une entreprise act</w:t>
      </w:r>
      <w:r>
        <w:rPr>
          <w:rFonts w:ascii="Times New Roman" w:hAnsi="Times New Roman"/>
          <w:noProof/>
          <w:color w:val="000000"/>
          <w:sz w:val="24"/>
          <w:szCs w:val="24"/>
          <w:lang w:val="fr-BE"/>
        </w:rPr>
        <w:t>ive dans la fourniture d’outils utilisés pour le développement et le lancement de logiciels (outils «DevOps»).</w:t>
      </w:r>
      <w:r>
        <w:rPr>
          <w:rFonts w:ascii="Times New Roman" w:hAnsi="Times New Roman"/>
          <w:noProof/>
          <w:sz w:val="24"/>
          <w:szCs w:val="24"/>
          <w:lang w:val="fr-BE"/>
        </w:rPr>
        <w:t xml:space="preserve"> </w:t>
      </w:r>
      <w:r>
        <w:rPr>
          <w:rFonts w:ascii="Times New Roman" w:hAnsi="Times New Roman"/>
          <w:noProof/>
          <w:color w:val="000000"/>
          <w:sz w:val="24"/>
          <w:szCs w:val="24"/>
          <w:lang w:val="fr-BE"/>
        </w:rPr>
        <w:t>Microsoft et GitHub fournissent un accès à des plateformes de développement de logiciels et fournissent des éditeurs de code (programmes informat</w:t>
      </w:r>
      <w:r>
        <w:rPr>
          <w:rFonts w:ascii="Times New Roman" w:hAnsi="Times New Roman"/>
          <w:noProof/>
          <w:color w:val="000000"/>
          <w:sz w:val="24"/>
          <w:szCs w:val="24"/>
          <w:lang w:val="fr-BE"/>
        </w:rPr>
        <w:t>iques conçus spécifiquement pour l’édition de codes sources), ainsi que des environnements de développement intégré (applications consistant en un éditeur de code doté de caractéristiques supplémentaires telles que la complétion de code intelligente). La C</w:t>
      </w:r>
      <w:r>
        <w:rPr>
          <w:rFonts w:ascii="Times New Roman" w:hAnsi="Times New Roman"/>
          <w:noProof/>
          <w:color w:val="000000"/>
          <w:sz w:val="24"/>
          <w:szCs w:val="24"/>
          <w:lang w:val="fr-BE"/>
        </w:rPr>
        <w:t>ommission a constaté que l’entité issue de la concentration resterait confrontée à une concurrence importante de la part d’autres acteurs sur ces deux marchés. La Commission s’est également attachée à déterminer s’il existait un risque d’affaiblissement de</w:t>
      </w:r>
      <w:r>
        <w:rPr>
          <w:rFonts w:ascii="Times New Roman" w:hAnsi="Times New Roman"/>
          <w:noProof/>
          <w:color w:val="000000"/>
          <w:sz w:val="24"/>
          <w:szCs w:val="24"/>
          <w:lang w:val="fr-BE"/>
        </w:rPr>
        <w:t xml:space="preserve"> la concurrence si Microsoft devait tirer parti de la popularité de la plateforme de développement de logiciels GitHub pour stimuler ses propres ventes d’outils DevOps et de services en nuage. Elle a toutefois constaté que Microsoft n’aurait aucune raison </w:t>
      </w:r>
      <w:r>
        <w:rPr>
          <w:rFonts w:ascii="Times New Roman" w:hAnsi="Times New Roman"/>
          <w:noProof/>
          <w:color w:val="000000"/>
          <w:sz w:val="24"/>
          <w:szCs w:val="24"/>
          <w:lang w:val="fr-BE"/>
        </w:rPr>
        <w:t>de s’en prendre à la nature ouverte de la plateforme GitHub au détriment d’outils DevOps et de services en nuage concurrents dès lors que cela réduirait la valeur de GitHub aux yeux des développeurs désireux et en mesure de changer de plateforme.</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Dans le s</w:t>
      </w:r>
      <w:r>
        <w:rPr>
          <w:rFonts w:ascii="Times New Roman" w:hAnsi="Times New Roman"/>
          <w:noProof/>
          <w:color w:val="000000"/>
          <w:sz w:val="24"/>
          <w:szCs w:val="24"/>
          <w:lang w:val="fr-BE"/>
        </w:rPr>
        <w:t xml:space="preserve">ecteur des médias, en février 2018, la Commission a autorisé sous conditions le rachat de </w:t>
      </w:r>
      <w:r>
        <w:rPr>
          <w:rFonts w:ascii="Times New Roman" w:hAnsi="Times New Roman"/>
          <w:i/>
          <w:noProof/>
          <w:color w:val="000000"/>
          <w:sz w:val="24"/>
          <w:szCs w:val="24"/>
          <w:lang w:val="fr-BE"/>
        </w:rPr>
        <w:t>Scripps</w:t>
      </w:r>
      <w:r>
        <w:rPr>
          <w:rFonts w:ascii="Times New Roman" w:hAnsi="Times New Roman"/>
          <w:noProof/>
          <w:color w:val="000000"/>
          <w:sz w:val="24"/>
          <w:szCs w:val="24"/>
          <w:lang w:val="fr-BE"/>
        </w:rPr>
        <w:t xml:space="preserve"> par </w:t>
      </w:r>
      <w:r>
        <w:rPr>
          <w:rFonts w:ascii="Times New Roman" w:hAnsi="Times New Roman"/>
          <w:i/>
          <w:noProof/>
          <w:color w:val="000000"/>
          <w:sz w:val="24"/>
          <w:szCs w:val="24"/>
          <w:lang w:val="fr-BE"/>
        </w:rPr>
        <w:t>Discovery</w:t>
      </w:r>
      <w:r>
        <w:rPr>
          <w:rFonts w:ascii="Times New Roman" w:hAnsi="Times New Roman"/>
          <w:noProof/>
          <w:color w:val="000000"/>
          <w:sz w:val="24"/>
          <w:szCs w:val="24"/>
          <w:vertAlign w:val="superscript"/>
        </w:rPr>
        <w:footnoteReference w:id="226"/>
      </w:r>
      <w:r>
        <w:rPr>
          <w:rFonts w:ascii="Times New Roman" w:hAnsi="Times New Roman"/>
          <w:noProof/>
          <w:color w:val="000000"/>
          <w:sz w:val="24"/>
          <w:szCs w:val="24"/>
          <w:lang w:val="fr-BE"/>
        </w:rPr>
        <w:t>, deux fournisseurs de chaînes de télévision de base payantes à des distributeurs de télévision. Scripps est surtout présente au Royaume-Uni, où</w:t>
      </w:r>
      <w:r>
        <w:rPr>
          <w:rFonts w:ascii="Times New Roman" w:hAnsi="Times New Roman"/>
          <w:noProof/>
          <w:color w:val="000000"/>
          <w:sz w:val="24"/>
          <w:szCs w:val="24"/>
          <w:lang w:val="fr-BE"/>
        </w:rPr>
        <w:t xml:space="preserve"> elle exploite UKTV en partenariat avec la BBC, et en Pologne, par l’intermédiaire de TVN.</w:t>
      </w:r>
      <w:r>
        <w:rPr>
          <w:rFonts w:ascii="Times New Roman" w:hAnsi="Times New Roman"/>
          <w:noProof/>
          <w:sz w:val="24"/>
          <w:szCs w:val="24"/>
          <w:lang w:val="fr-BE"/>
        </w:rPr>
        <w:t xml:space="preserve"> Au Royaume-Uni, les activités des sociétés n’entraînaient qu’un chevauchement limité.</w:t>
      </w:r>
      <w:r>
        <w:rPr>
          <w:rFonts w:ascii="Times New Roman" w:hAnsi="Times New Roman"/>
          <w:noProof/>
          <w:color w:val="000000"/>
          <w:sz w:val="24"/>
          <w:szCs w:val="24"/>
          <w:lang w:val="fr-BE"/>
        </w:rPr>
        <w:t xml:space="preserve"> Toutefois, en Pologne, l’opération envisagée risquait d’accroître le pouvoir de</w:t>
      </w:r>
      <w:r>
        <w:rPr>
          <w:rFonts w:ascii="Times New Roman" w:hAnsi="Times New Roman"/>
          <w:noProof/>
          <w:color w:val="000000"/>
          <w:sz w:val="24"/>
          <w:szCs w:val="24"/>
          <w:lang w:val="fr-BE"/>
        </w:rPr>
        <w:t xml:space="preserve"> négociation de Discovery vis-à-vis des distributeurs de télévision du fait de l’acquisition de certaines chaînes qui revêtent une importance particulière dans les bouquets de base de chaînes payantes proposés par les distributeurs, notamment TVN24, la cha</w:t>
      </w:r>
      <w:r>
        <w:rPr>
          <w:rFonts w:ascii="Times New Roman" w:hAnsi="Times New Roman"/>
          <w:noProof/>
          <w:color w:val="000000"/>
          <w:sz w:val="24"/>
          <w:szCs w:val="24"/>
          <w:lang w:val="fr-BE"/>
        </w:rPr>
        <w:t>îne d’information phare de TVN. Discovery aurait été en mesure d’imposer la cession sous licence de l’ensemble de son portefeuille de chaînes de télévision et d’augmenter ses droits de licence au détriment des consommateurs polonais et de la concurrence. P</w:t>
      </w:r>
      <w:r>
        <w:rPr>
          <w:rFonts w:ascii="Times New Roman" w:hAnsi="Times New Roman"/>
          <w:noProof/>
          <w:color w:val="000000"/>
          <w:sz w:val="24"/>
          <w:szCs w:val="24"/>
          <w:lang w:val="fr-BE"/>
        </w:rPr>
        <w:t xml:space="preserve">our dissiper ces craintes, Discovery s’est engagée à mettre la chaîne TVN24 à la disposition des distributeurs de chaînes de télévision en Pologne contre une redevance raisonnable définie au regard d’accords comparables pendant une période de sept ans. En </w:t>
      </w:r>
      <w:r>
        <w:rPr>
          <w:rFonts w:ascii="Times New Roman" w:hAnsi="Times New Roman"/>
          <w:noProof/>
          <w:color w:val="000000"/>
          <w:sz w:val="24"/>
          <w:szCs w:val="24"/>
          <w:lang w:val="fr-BE"/>
        </w:rPr>
        <w:t xml:space="preserve">parallèle, la Commission a rejeté une demande visant à renvoyer la concentration à l’autorité polonaise de la concurrence, dès lors que la Commission était mieux à même </w:t>
      </w:r>
      <w:r>
        <w:rPr>
          <w:rFonts w:ascii="Times New Roman" w:hAnsi="Times New Roman"/>
          <w:noProof/>
          <w:sz w:val="24"/>
          <w:szCs w:val="24"/>
          <w:lang w:val="fr-BE"/>
        </w:rPr>
        <w:t>de traiter ce cas et que les éventuels problèmes de concurrence étaient totalement réso</w:t>
      </w:r>
      <w:r>
        <w:rPr>
          <w:rFonts w:ascii="Times New Roman" w:hAnsi="Times New Roman"/>
          <w:noProof/>
          <w:sz w:val="24"/>
          <w:szCs w:val="24"/>
          <w:lang w:val="fr-BE"/>
        </w:rPr>
        <w:t>lus par les engagements.</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En octobre, la Commission a approuvé sans condition le projet d’acquisition par </w:t>
      </w:r>
      <w:r>
        <w:rPr>
          <w:rFonts w:ascii="Times New Roman" w:hAnsi="Times New Roman"/>
          <w:i/>
          <w:noProof/>
          <w:color w:val="000000"/>
          <w:sz w:val="24"/>
          <w:szCs w:val="24"/>
          <w:lang w:val="fr-BE"/>
        </w:rPr>
        <w:t>Sony</w:t>
      </w:r>
      <w:r>
        <w:rPr>
          <w:rFonts w:ascii="Times New Roman" w:hAnsi="Times New Roman"/>
          <w:noProof/>
          <w:color w:val="000000"/>
          <w:sz w:val="24"/>
          <w:szCs w:val="24"/>
          <w:lang w:val="fr-BE"/>
        </w:rPr>
        <w:t xml:space="preserve"> de la propriété et du contrôle exclusifs d’</w:t>
      </w:r>
      <w:r>
        <w:rPr>
          <w:rFonts w:ascii="Times New Roman" w:hAnsi="Times New Roman"/>
          <w:i/>
          <w:noProof/>
          <w:color w:val="000000"/>
          <w:sz w:val="24"/>
          <w:szCs w:val="24"/>
          <w:lang w:val="fr-BE"/>
        </w:rPr>
        <w:t>EMI Music Publishing</w:t>
      </w:r>
      <w:r>
        <w:rPr>
          <w:rFonts w:ascii="Times New Roman" w:hAnsi="Times New Roman"/>
          <w:noProof/>
          <w:color w:val="000000"/>
          <w:sz w:val="24"/>
          <w:szCs w:val="24"/>
          <w:lang w:val="fr-BE"/>
        </w:rPr>
        <w:t xml:space="preserve"> (EMI MP)</w:t>
      </w:r>
      <w:r>
        <w:rPr>
          <w:rFonts w:ascii="Times New Roman" w:hAnsi="Times New Roman"/>
          <w:noProof/>
          <w:color w:val="000000"/>
          <w:sz w:val="24"/>
          <w:szCs w:val="24"/>
          <w:vertAlign w:val="superscript"/>
        </w:rPr>
        <w:footnoteReference w:id="227"/>
      </w:r>
      <w:r>
        <w:rPr>
          <w:rFonts w:ascii="Times New Roman" w:hAnsi="Times New Roman"/>
          <w:noProof/>
          <w:color w:val="000000"/>
          <w:sz w:val="24"/>
          <w:szCs w:val="24"/>
          <w:lang w:val="fr-BE"/>
        </w:rPr>
        <w:t>. Étant donné que Sony partageait déjà le contrôle d’EMI MP (avec Mubadal</w:t>
      </w:r>
      <w:r>
        <w:rPr>
          <w:rFonts w:ascii="Times New Roman" w:hAnsi="Times New Roman"/>
          <w:noProof/>
          <w:color w:val="000000"/>
          <w:sz w:val="24"/>
          <w:szCs w:val="24"/>
          <w:lang w:val="fr-BE"/>
        </w:rPr>
        <w:t>a) depuis 2012, l’opération ne devrait pas entraîner d’augmentation des parts de marché sur les marchés où Sony et EMI MP sont acti</w:t>
      </w:r>
      <w:r>
        <w:rPr>
          <w:rFonts w:ascii="Times New Roman" w:hAnsi="Times New Roman"/>
          <w:noProof/>
          <w:sz w:val="24"/>
          <w:szCs w:val="24"/>
          <w:lang w:val="fr-BE"/>
        </w:rPr>
        <w:t>ves. La Commission a évalué si Mubadala avait agi comme un frein sur la capacité de Sony de tirer parti des droits d’enregist</w:t>
      </w:r>
      <w:r>
        <w:rPr>
          <w:rFonts w:ascii="Times New Roman" w:hAnsi="Times New Roman"/>
          <w:noProof/>
          <w:sz w:val="24"/>
          <w:szCs w:val="24"/>
          <w:lang w:val="fr-BE"/>
        </w:rPr>
        <w:t>rement et d’édition musicale et s’est intéressée, en particulier, à l’incidence éventuelle de la suppression de ce frein. Dès lors que Sony/ATV administre déjà le catalogue d’EMI MP, l’opération ne modifie pas la position concurrentielle d’EMI MP. En outre</w:t>
      </w:r>
      <w:r>
        <w:rPr>
          <w:rFonts w:ascii="Times New Roman" w:hAnsi="Times New Roman"/>
          <w:noProof/>
          <w:sz w:val="24"/>
          <w:szCs w:val="24"/>
          <w:lang w:val="fr-BE"/>
        </w:rPr>
        <w:t>, l’opération n’aurait pas pour effet d’augmenter sensiblement le pouvoir de négociation de Sony à l’égard des plateformes musicales en ligne.</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En novembre 2018, la Commission a autorisé, sous conditions, l’acquisition par </w:t>
      </w:r>
      <w:r>
        <w:rPr>
          <w:rFonts w:ascii="Times New Roman" w:hAnsi="Times New Roman"/>
          <w:i/>
          <w:noProof/>
          <w:color w:val="000000"/>
          <w:sz w:val="24"/>
          <w:szCs w:val="24"/>
          <w:lang w:val="fr-BE"/>
        </w:rPr>
        <w:t>Disney</w:t>
      </w:r>
      <w:r>
        <w:rPr>
          <w:rFonts w:ascii="Times New Roman" w:hAnsi="Times New Roman"/>
          <w:noProof/>
          <w:color w:val="000000"/>
          <w:sz w:val="24"/>
          <w:szCs w:val="24"/>
          <w:lang w:val="fr-BE"/>
        </w:rPr>
        <w:t xml:space="preserve"> des studios de cinéma et de</w:t>
      </w:r>
      <w:r>
        <w:rPr>
          <w:rFonts w:ascii="Times New Roman" w:hAnsi="Times New Roman"/>
          <w:noProof/>
          <w:color w:val="000000"/>
          <w:sz w:val="24"/>
          <w:szCs w:val="24"/>
          <w:lang w:val="fr-BE"/>
        </w:rPr>
        <w:t xml:space="preserve"> télévision et des activités de télédiffusion internationale et par câble de Fox</w:t>
      </w:r>
      <w:r>
        <w:rPr>
          <w:rFonts w:ascii="Times New Roman" w:hAnsi="Times New Roman"/>
          <w:noProof/>
          <w:color w:val="000000"/>
          <w:sz w:val="24"/>
          <w:szCs w:val="24"/>
          <w:vertAlign w:val="superscript"/>
        </w:rPr>
        <w:footnoteReference w:id="228"/>
      </w:r>
      <w:r>
        <w:rPr>
          <w:rFonts w:ascii="Times New Roman" w:hAnsi="Times New Roman"/>
          <w:noProof/>
          <w:color w:val="000000"/>
          <w:sz w:val="24"/>
          <w:szCs w:val="24"/>
          <w:lang w:val="fr-BE"/>
        </w:rPr>
        <w:t xml:space="preserve">. Ces sociétés sont deux des six grands studios hollywoodiens et sont également des fournisseurs de chaînes de télévision. En ce qui concerne la production et la distribution </w:t>
      </w:r>
      <w:r>
        <w:rPr>
          <w:rFonts w:ascii="Times New Roman" w:hAnsi="Times New Roman"/>
          <w:noProof/>
          <w:color w:val="000000"/>
          <w:sz w:val="24"/>
          <w:szCs w:val="24"/>
          <w:lang w:val="fr-BE"/>
        </w:rPr>
        <w:t>de films pour les salles de cinéma et la distribution de contenus destinés au divertissement à domicile et la cession sous licence de films et d’autres contenus télévisuels, la Commission a constaté que l’entité issue de la concentration resterait confront</w:t>
      </w:r>
      <w:r>
        <w:rPr>
          <w:rFonts w:ascii="Times New Roman" w:hAnsi="Times New Roman"/>
          <w:noProof/>
          <w:color w:val="000000"/>
          <w:sz w:val="24"/>
          <w:szCs w:val="24"/>
          <w:lang w:val="fr-BE"/>
        </w:rPr>
        <w:t xml:space="preserve">ée à une concurrence importante de la part d’autres acteurs tels que </w:t>
      </w:r>
      <w:r>
        <w:rPr>
          <w:rFonts w:ascii="Times New Roman" w:hAnsi="Times New Roman"/>
          <w:noProof/>
          <w:sz w:val="24"/>
          <w:szCs w:val="24"/>
          <w:lang w:val="fr-BE"/>
        </w:rPr>
        <w:t>Universal, Warner Bros et Sony. Toutefois, la Commission a constaté que l’opération envisagée poserait des problèmes de concurrence sur le marché de la fourniture en gros de «chaînes fact</w:t>
      </w:r>
      <w:r>
        <w:rPr>
          <w:rFonts w:ascii="Times New Roman" w:hAnsi="Times New Roman"/>
          <w:noProof/>
          <w:sz w:val="24"/>
          <w:szCs w:val="24"/>
          <w:lang w:val="fr-BE"/>
        </w:rPr>
        <w:t xml:space="preserve">uelles» (qui diffusent des documentaires, des fictions et des programmes à caractère scientifique), tels que National Geographic, dès lors que l’opération aurait éliminé la concurrence entre deux fournisseurs importants de chaînes de ce type. Disney s’est </w:t>
      </w:r>
      <w:r>
        <w:rPr>
          <w:rFonts w:ascii="Times New Roman" w:hAnsi="Times New Roman"/>
          <w:noProof/>
          <w:sz w:val="24"/>
          <w:szCs w:val="24"/>
          <w:lang w:val="fr-BE"/>
        </w:rPr>
        <w:t>engagée à céder sa participation dans les chaînes History, H2 et Crime &amp; Investigation qu’elle contrôle au sein de l’EEE, supprimant ainsi complètement le chevauchement d’activités entre Fox et Disney sur marché de la fourniture en gros de chaînes factuell</w:t>
      </w:r>
      <w:r>
        <w:rPr>
          <w:rFonts w:ascii="Times New Roman" w:hAnsi="Times New Roman"/>
          <w:noProof/>
          <w:sz w:val="24"/>
          <w:szCs w:val="24"/>
          <w:lang w:val="fr-BE"/>
        </w:rPr>
        <w:t>es dans l’EEE.</w:t>
      </w:r>
    </w:p>
    <w:p w:rsidR="00D9323F" w:rsidRDefault="00F47CDD">
      <w:pPr>
        <w:widowControl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Dans une décision distincte de juin 2018, la Commission avait déjà autorisé le projet d’acquisition de </w:t>
      </w:r>
      <w:r>
        <w:rPr>
          <w:rFonts w:ascii="Times New Roman" w:hAnsi="Times New Roman"/>
          <w:i/>
          <w:noProof/>
          <w:color w:val="000000"/>
          <w:sz w:val="24"/>
          <w:szCs w:val="24"/>
          <w:lang w:val="fr-BE"/>
        </w:rPr>
        <w:t>Sky</w:t>
      </w:r>
      <w:r>
        <w:rPr>
          <w:rFonts w:ascii="Times New Roman" w:hAnsi="Times New Roman"/>
          <w:noProof/>
          <w:color w:val="000000"/>
          <w:sz w:val="24"/>
          <w:szCs w:val="24"/>
          <w:lang w:val="fr-BE"/>
        </w:rPr>
        <w:t xml:space="preserve"> par </w:t>
      </w:r>
      <w:r>
        <w:rPr>
          <w:rFonts w:ascii="Times New Roman" w:hAnsi="Times New Roman"/>
          <w:i/>
          <w:noProof/>
          <w:color w:val="000000"/>
          <w:sz w:val="24"/>
          <w:szCs w:val="24"/>
          <w:lang w:val="fr-BE"/>
        </w:rPr>
        <w:t>Comcast</w:t>
      </w:r>
      <w:r>
        <w:rPr>
          <w:rFonts w:ascii="Times New Roman" w:hAnsi="Times New Roman"/>
          <w:noProof/>
          <w:color w:val="000000"/>
          <w:sz w:val="24"/>
          <w:szCs w:val="24"/>
          <w:lang w:val="fr-BE"/>
        </w:rPr>
        <w:t>.</w:t>
      </w:r>
      <w:r>
        <w:rPr>
          <w:rFonts w:ascii="Times New Roman" w:hAnsi="Times New Roman"/>
          <w:noProof/>
          <w:color w:val="000000"/>
          <w:sz w:val="24"/>
          <w:szCs w:val="24"/>
          <w:vertAlign w:val="superscript"/>
        </w:rPr>
        <w:footnoteReference w:id="229"/>
      </w:r>
      <w:r>
        <w:rPr>
          <w:rFonts w:ascii="Times New Roman" w:hAnsi="Times New Roman"/>
          <w:noProof/>
          <w:color w:val="000000"/>
          <w:sz w:val="24"/>
          <w:szCs w:val="24"/>
          <w:lang w:val="fr-BE"/>
        </w:rPr>
        <w:t xml:space="preserve"> Comcast et Sky n’étaient en concurrence que pour une part limitée de leurs activités en </w:t>
      </w:r>
      <w:r>
        <w:rPr>
          <w:rFonts w:ascii="Times New Roman" w:hAnsi="Times New Roman"/>
          <w:noProof/>
          <w:sz w:val="24"/>
          <w:szCs w:val="24"/>
          <w:lang w:val="fr-BE"/>
        </w:rPr>
        <w:t>Allemagne, en Autriche, en Espag</w:t>
      </w:r>
      <w:r>
        <w:rPr>
          <w:rFonts w:ascii="Times New Roman" w:hAnsi="Times New Roman"/>
          <w:noProof/>
          <w:sz w:val="24"/>
          <w:szCs w:val="24"/>
          <w:lang w:val="fr-BE"/>
        </w:rPr>
        <w:t>ne, en Irlande, en Italie et au Royaume-Uni. La Commission a constaté que les distributeurs de télévision payante auraient toujours accès aux contenus des concurrents de Comcast et à de nombreuses autres chaînes dotées d’une programmation et d’un public co</w:t>
      </w:r>
      <w:r>
        <w:rPr>
          <w:rFonts w:ascii="Times New Roman" w:hAnsi="Times New Roman"/>
          <w:noProof/>
          <w:sz w:val="24"/>
          <w:szCs w:val="24"/>
          <w:lang w:val="fr-BE"/>
        </w:rPr>
        <w:t>mparables dans les États membres concernés. Il est également peu probable que Sky serait incitée à ne plus acquérir de contenus auprès des concurrents de Comcast dans la mesure où Sky réduirait ainsi la qualité de son offre de produits. La Commission a éga</w:t>
      </w:r>
      <w:r>
        <w:rPr>
          <w:rFonts w:ascii="Times New Roman" w:hAnsi="Times New Roman"/>
          <w:noProof/>
          <w:sz w:val="24"/>
          <w:szCs w:val="24"/>
          <w:lang w:val="fr-BE"/>
        </w:rPr>
        <w:t>lement rejeté les craintes selon lesquelles Sky pourrait empêcher des chaînes concurrentes d’accéder à sa plateforme.</w:t>
      </w:r>
    </w:p>
    <w:p w:rsidR="00D9323F" w:rsidRDefault="00F47CDD">
      <w:pPr>
        <w:widowControl w:val="0"/>
        <w:spacing w:line="240" w:lineRule="auto"/>
        <w:jc w:val="both"/>
        <w:rPr>
          <w:rFonts w:ascii="Times New Roman" w:hAnsi="Times New Roman"/>
          <w:i/>
          <w:noProof/>
          <w:sz w:val="24"/>
          <w:lang w:val="fr-BE"/>
        </w:rPr>
      </w:pPr>
      <w:r>
        <w:rPr>
          <w:rFonts w:ascii="Times New Roman" w:hAnsi="Times New Roman"/>
          <w:i/>
          <w:noProof/>
          <w:sz w:val="24"/>
          <w:lang w:val="fr-BE"/>
        </w:rPr>
        <w:t>Mise en œuvre des règles en matière d’aides d’État dans les secteurs des TIC et des médias</w:t>
      </w:r>
    </w:p>
    <w:p w:rsidR="00D9323F" w:rsidRDefault="00F47CDD">
      <w:pPr>
        <w:widowControl w:val="0"/>
        <w:spacing w:line="240" w:lineRule="auto"/>
        <w:jc w:val="both"/>
        <w:rPr>
          <w:rFonts w:ascii="Times New Roman" w:hAnsi="Times New Roman"/>
          <w:b/>
          <w:noProof/>
          <w:color w:val="000000"/>
          <w:sz w:val="20"/>
          <w:szCs w:val="20"/>
          <w:lang w:val="fr-BE"/>
        </w:rPr>
      </w:pPr>
      <w:r>
        <w:rPr>
          <w:rFonts w:ascii="Times New Roman" w:hAnsi="Times New Roman"/>
          <w:b/>
          <w:noProof/>
          <w:color w:val="000000"/>
          <w:sz w:val="20"/>
          <w:lang w:val="fr-BE"/>
        </w:rPr>
        <w:t>Déploiement du haut débit</w:t>
      </w:r>
    </w:p>
    <w:p w:rsidR="00D9323F" w:rsidRDefault="00F47CDD">
      <w:pPr>
        <w:widowControl w:val="0"/>
        <w:spacing w:line="240" w:lineRule="auto"/>
        <w:jc w:val="both"/>
        <w:rPr>
          <w:rFonts w:ascii="Times New Roman" w:hAnsi="Times New Roman"/>
          <w:noProof/>
          <w:color w:val="000000"/>
          <w:lang w:val="fr-BE"/>
        </w:rPr>
      </w:pPr>
      <w:r>
        <w:rPr>
          <w:rFonts w:ascii="Times New Roman" w:hAnsi="Times New Roman"/>
          <w:noProof/>
          <w:color w:val="000000"/>
          <w:lang w:val="fr-BE"/>
        </w:rPr>
        <w:t xml:space="preserve">Malgré des progrès substantiels, la réalisation des </w:t>
      </w:r>
      <w:r>
        <w:rPr>
          <w:rFonts w:ascii="Times New Roman" w:hAnsi="Times New Roman"/>
          <w:i/>
          <w:noProof/>
          <w:color w:val="000000"/>
          <w:lang w:val="fr-BE"/>
        </w:rPr>
        <w:t>objectifs en matière de haut débit en Europe</w:t>
      </w:r>
      <w:r>
        <w:rPr>
          <w:rFonts w:ascii="Times New Roman" w:hAnsi="Times New Roman"/>
          <w:noProof/>
          <w:color w:val="000000"/>
          <w:vertAlign w:val="superscript"/>
        </w:rPr>
        <w:footnoteReference w:id="230"/>
      </w:r>
      <w:r>
        <w:rPr>
          <w:rFonts w:ascii="Times New Roman" w:hAnsi="Times New Roman"/>
          <w:noProof/>
          <w:color w:val="000000"/>
          <w:lang w:val="fr-BE"/>
        </w:rPr>
        <w:t xml:space="preserve"> représente une difficulté de taille, notamment en ce qui concerne le déploiement de réseaux ultrarapides</w:t>
      </w:r>
      <w:r>
        <w:rPr>
          <w:rFonts w:ascii="Times New Roman" w:hAnsi="Times New Roman"/>
          <w:noProof/>
          <w:color w:val="000000"/>
          <w:vertAlign w:val="superscript"/>
        </w:rPr>
        <w:footnoteReference w:id="231"/>
      </w:r>
      <w:r>
        <w:rPr>
          <w:rFonts w:ascii="Times New Roman" w:hAnsi="Times New Roman"/>
          <w:noProof/>
          <w:color w:val="000000"/>
          <w:lang w:val="fr-BE"/>
        </w:rPr>
        <w:t>.</w:t>
      </w:r>
      <w:r>
        <w:rPr>
          <w:rFonts w:ascii="Times New Roman" w:hAnsi="Times New Roman"/>
          <w:noProof/>
          <w:color w:val="000000"/>
          <w:sz w:val="24"/>
          <w:lang w:val="fr-BE"/>
        </w:rPr>
        <w:t>Pour atteindre les objectifs de connectivité du marc</w:t>
      </w:r>
      <w:r>
        <w:rPr>
          <w:rFonts w:ascii="Times New Roman" w:hAnsi="Times New Roman"/>
          <w:noProof/>
          <w:color w:val="000000"/>
          <w:sz w:val="24"/>
          <w:lang w:val="fr-BE"/>
        </w:rPr>
        <w:t>hé unique numérique pour 2020 et 2025, il est estimé qu’un investissement total d’environ 500 milliards d’euros serait nécessaire au cours des dix prochaines années, ce qui représente un montant supplémentaire de 155 milliards d’euros par rapport à une sim</w:t>
      </w:r>
      <w:r>
        <w:rPr>
          <w:rFonts w:ascii="Times New Roman" w:hAnsi="Times New Roman"/>
          <w:noProof/>
          <w:color w:val="000000"/>
          <w:sz w:val="24"/>
          <w:lang w:val="fr-BE"/>
        </w:rPr>
        <w:t>ple poursuite de l’évolution actuelle des efforts accomplis par les fournisseurs de connectivité en ce qui concerne l’investissement dans les réseaux et la modernisation de ces derniers</w:t>
      </w:r>
      <w:r>
        <w:rPr>
          <w:rFonts w:ascii="Times New Roman" w:hAnsi="Times New Roman"/>
          <w:noProof/>
          <w:color w:val="000000"/>
          <w:vertAlign w:val="superscript"/>
        </w:rPr>
        <w:footnoteReference w:id="232"/>
      </w:r>
      <w:r>
        <w:rPr>
          <w:rFonts w:ascii="Times New Roman" w:hAnsi="Times New Roman"/>
          <w:noProof/>
          <w:color w:val="000000"/>
          <w:sz w:val="24"/>
          <w:lang w:val="fr-BE"/>
        </w:rPr>
        <w:t>.</w:t>
      </w:r>
      <w:r>
        <w:rPr>
          <w:rFonts w:ascii="Times New Roman" w:hAnsi="Times New Roman"/>
          <w:noProof/>
          <w:color w:val="000000"/>
          <w:lang w:val="fr-BE"/>
        </w:rPr>
        <w:t xml:space="preserve"> </w:t>
      </w:r>
    </w:p>
    <w:p w:rsidR="00D9323F" w:rsidRDefault="00F47CDD">
      <w:pPr>
        <w:widowControl w:val="0"/>
        <w:spacing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lang w:val="fr-BE"/>
        </w:rPr>
        <w:t xml:space="preserve">L’essentiel du financement pour la mise à niveau et le déploiement </w:t>
      </w:r>
      <w:r>
        <w:rPr>
          <w:rFonts w:ascii="Times New Roman" w:eastAsiaTheme="minorHAnsi" w:hAnsi="Times New Roman"/>
          <w:noProof/>
          <w:color w:val="000000"/>
          <w:sz w:val="24"/>
          <w:lang w:val="fr-BE"/>
        </w:rPr>
        <w:t>des réseaux de nouvelle génération dans le secteur du haut débit provient d’entreprises privées. Ces dernières ont tendance à investir essentiellement dans les zones urbaines à forte densité de population, ce qui permet un retour rapide sur investissement.</w:t>
      </w:r>
      <w:r>
        <w:rPr>
          <w:rFonts w:ascii="Times New Roman" w:eastAsiaTheme="minorHAnsi" w:hAnsi="Times New Roman"/>
          <w:noProof/>
          <w:color w:val="000000"/>
          <w:sz w:val="24"/>
          <w:lang w:val="fr-BE"/>
        </w:rPr>
        <w:t xml:space="preserve"> En conséquence, dans certaines zones défavorisées, surtout rurales, des fonds publics soutiennent le déploiement des réseaux à haut débit, dans le cadre des objectifs plus généraux d’inclusion et de développement économique. Le contrôle des aides d’État v</w:t>
      </w:r>
      <w:r>
        <w:rPr>
          <w:rFonts w:ascii="Times New Roman" w:eastAsiaTheme="minorHAnsi" w:hAnsi="Times New Roman"/>
          <w:noProof/>
          <w:color w:val="000000"/>
          <w:sz w:val="24"/>
          <w:lang w:val="fr-BE"/>
        </w:rPr>
        <w:t>ise à garantir que ces investissements n’évincent pas les investissements privés (prévus) et que la compétition en aval reste possible par l’intermédiaire du réseau subventionné.</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b/>
          <w:noProof/>
          <w:sz w:val="20"/>
          <w:szCs w:val="20"/>
          <w:lang w:val="fr-BE"/>
        </w:rPr>
      </w:pPr>
      <w:r>
        <w:rPr>
          <w:rFonts w:ascii="Times New Roman" w:eastAsiaTheme="minorHAnsi" w:hAnsi="Times New Roman"/>
          <w:b/>
          <w:noProof/>
          <w:sz w:val="20"/>
          <w:lang w:val="fr-BE"/>
        </w:rPr>
        <w:t>Principes proconcurrentiels applicables aux financements publics visant à sou</w:t>
      </w:r>
      <w:r>
        <w:rPr>
          <w:rFonts w:ascii="Times New Roman" w:eastAsiaTheme="minorHAnsi" w:hAnsi="Times New Roman"/>
          <w:b/>
          <w:noProof/>
          <w:sz w:val="20"/>
          <w:lang w:val="fr-BE"/>
        </w:rPr>
        <w:t>tenir le déploiement de réseaux à haut débit</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 xml:space="preserve">Les États membres qui octroient des financements ou disposent d’une marge d’appréciation pour dépenser des fonds européens doivent respecter un certain nombre de principes proconcurrentiels qui sont basés sur </w:t>
      </w:r>
      <w:r>
        <w:rPr>
          <w:rFonts w:ascii="Times New Roman" w:eastAsiaTheme="minorHAnsi" w:hAnsi="Times New Roman"/>
          <w:noProof/>
          <w:sz w:val="20"/>
          <w:lang w:val="fr-BE"/>
        </w:rPr>
        <w:t>les règles en matière d’aides d’État:</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i) le soutien public doit reposer sur un besoin d’investissement clairement défini, fondé sur une cartographie des infrastructures et une consultation du marché adéquates, afin d’éviter l’éviction des initiatives privé</w:t>
      </w:r>
      <w:r>
        <w:rPr>
          <w:rFonts w:ascii="Times New Roman" w:eastAsiaTheme="minorHAnsi" w:hAnsi="Times New Roman"/>
          <w:noProof/>
          <w:sz w:val="20"/>
          <w:lang w:val="fr-BE"/>
        </w:rPr>
        <w:t>es (définition de la défaillance du marché);</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 xml:space="preserve">ii) il doit être possible d’utiliser différentes technologies pour faire offre en vue de la réalisation des objectifs de connectivité fixés (principe de neutralité technologique);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iii) un processus de sélection</w:t>
      </w:r>
      <w:r>
        <w:rPr>
          <w:rFonts w:ascii="Times New Roman" w:eastAsiaTheme="minorHAnsi" w:hAnsi="Times New Roman"/>
          <w:noProof/>
          <w:sz w:val="20"/>
          <w:lang w:val="fr-BE"/>
        </w:rPr>
        <w:t xml:space="preserve"> concurrentiel doit avoir lieu afin de garantir la sélection de la meilleure offre au meilleur prix;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iv) afin d’éviter de «subventionner un monopole», les projets financés par des fonds publics doivent être ouverts à tous les utilisateurs dans des conditi</w:t>
      </w:r>
      <w:r>
        <w:rPr>
          <w:rFonts w:ascii="Times New Roman" w:eastAsiaTheme="minorHAnsi" w:hAnsi="Times New Roman"/>
          <w:noProof/>
          <w:sz w:val="20"/>
          <w:lang w:val="fr-BE"/>
        </w:rPr>
        <w:t xml:space="preserve">ons équitables, raisonnables et appropriées. </w:t>
      </w:r>
    </w:p>
    <w:p w:rsidR="00D9323F" w:rsidRDefault="00F47CDD">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val="fr-BE"/>
        </w:rPr>
      </w:pPr>
      <w:r>
        <w:rPr>
          <w:rFonts w:ascii="Times New Roman" w:eastAsiaTheme="minorHAnsi" w:hAnsi="Times New Roman"/>
          <w:noProof/>
          <w:sz w:val="20"/>
          <w:lang w:val="fr-BE"/>
        </w:rPr>
        <w:t>Ces principes sont également ancrés dans le règlement général d’exemption par catégorie (RGEC)</w:t>
      </w:r>
      <w:r>
        <w:rPr>
          <w:rFonts w:ascii="Times New Roman" w:eastAsiaTheme="minorHAnsi" w:hAnsi="Times New Roman"/>
          <w:noProof/>
          <w:color w:val="000000"/>
          <w:sz w:val="20"/>
          <w:vertAlign w:val="superscript"/>
        </w:rPr>
        <w:footnoteReference w:id="233"/>
      </w:r>
      <w:r>
        <w:rPr>
          <w:rFonts w:ascii="Times New Roman" w:eastAsiaTheme="minorHAnsi" w:hAnsi="Times New Roman"/>
          <w:noProof/>
          <w:sz w:val="20"/>
          <w:lang w:val="fr-BE"/>
        </w:rPr>
        <w:t>, qui vise particulièrement les zones complètement défavorisées (zones «blanches») et permet aux États membres de d</w:t>
      </w:r>
      <w:r>
        <w:rPr>
          <w:rFonts w:ascii="Times New Roman" w:eastAsiaTheme="minorHAnsi" w:hAnsi="Times New Roman"/>
          <w:noProof/>
          <w:sz w:val="20"/>
          <w:lang w:val="fr-BE"/>
        </w:rPr>
        <w:t xml:space="preserve">éployer des réseaux à haut débit sans avoir à notifier les aides d’État correspondantes. Lors de l’appréciation de mesures ne devant pas être notifiées, il est vérifié que les États membres et les opérateurs sélectionnés remplissent bien un certain nombre </w:t>
      </w:r>
      <w:r>
        <w:rPr>
          <w:rFonts w:ascii="Times New Roman" w:eastAsiaTheme="minorHAnsi" w:hAnsi="Times New Roman"/>
          <w:noProof/>
          <w:sz w:val="20"/>
          <w:lang w:val="fr-BE"/>
        </w:rPr>
        <w:t>de conditions, précisées dans les lignes directrices sur les aides d’État relatives au haut débit</w:t>
      </w:r>
      <w:r>
        <w:rPr>
          <w:rFonts w:ascii="Times New Roman" w:eastAsiaTheme="minorHAnsi" w:hAnsi="Times New Roman"/>
          <w:noProof/>
          <w:sz w:val="20"/>
          <w:vertAlign w:val="superscript"/>
        </w:rPr>
        <w:footnoteReference w:id="234"/>
      </w:r>
      <w:r>
        <w:rPr>
          <w:rFonts w:ascii="Times New Roman" w:eastAsiaTheme="minorHAnsi" w:hAnsi="Times New Roman"/>
          <w:noProof/>
          <w:sz w:val="20"/>
          <w:lang w:val="fr-BE"/>
        </w:rPr>
        <w:t>.</w:t>
      </w:r>
    </w:p>
    <w:p w:rsidR="00D9323F" w:rsidRDefault="00F47CDD">
      <w:pPr>
        <w:widowControl w:val="0"/>
        <w:autoSpaceDE w:val="0"/>
        <w:autoSpaceDN w:val="0"/>
        <w:adjustRightInd w:val="0"/>
        <w:spacing w:line="240" w:lineRule="auto"/>
        <w:jc w:val="both"/>
        <w:rPr>
          <w:rFonts w:ascii="Times New Roman" w:eastAsiaTheme="minorHAnsi" w:hAnsi="Times New Roman"/>
          <w:noProof/>
          <w:color w:val="000000"/>
          <w:sz w:val="24"/>
          <w:lang w:val="fr-BE"/>
        </w:rPr>
      </w:pPr>
      <w:r>
        <w:rPr>
          <w:rFonts w:ascii="Times New Roman" w:eastAsiaTheme="minorHAnsi" w:hAnsi="Times New Roman"/>
          <w:noProof/>
          <w:color w:val="000000"/>
          <w:sz w:val="24"/>
          <w:lang w:val="fr-BE"/>
        </w:rPr>
        <w:t>Tous les États membres ont adopté ou actualisé leurs stratégies nationales et/ou régionales en matière de haut débit</w:t>
      </w:r>
      <w:r>
        <w:rPr>
          <w:rFonts w:ascii="Times New Roman" w:eastAsiaTheme="minorHAnsi" w:hAnsi="Times New Roman"/>
          <w:noProof/>
          <w:color w:val="000000"/>
          <w:sz w:val="24"/>
          <w:vertAlign w:val="superscript"/>
        </w:rPr>
        <w:footnoteReference w:id="235"/>
      </w:r>
      <w:r>
        <w:rPr>
          <w:rFonts w:ascii="Times New Roman" w:eastAsiaTheme="minorHAnsi" w:hAnsi="Times New Roman"/>
          <w:noProof/>
          <w:color w:val="000000"/>
          <w:sz w:val="24"/>
          <w:lang w:val="fr-BE"/>
        </w:rPr>
        <w:t>.</w:t>
      </w:r>
      <w:r>
        <w:rPr>
          <w:noProof/>
          <w:lang w:val="fr-BE"/>
        </w:rPr>
        <w:t xml:space="preserve"> </w:t>
      </w:r>
      <w:r>
        <w:rPr>
          <w:rFonts w:ascii="Times New Roman" w:eastAsiaTheme="minorHAnsi" w:hAnsi="Times New Roman"/>
          <w:noProof/>
          <w:color w:val="000000"/>
          <w:sz w:val="24"/>
          <w:lang w:val="fr-BE"/>
        </w:rPr>
        <w:t xml:space="preserve">Comme proposé dans la communication </w:t>
      </w:r>
      <w:r>
        <w:rPr>
          <w:rFonts w:ascii="Times New Roman" w:eastAsiaTheme="minorHAnsi" w:hAnsi="Times New Roman"/>
          <w:noProof/>
          <w:color w:val="000000"/>
          <w:sz w:val="24"/>
          <w:lang w:val="fr-BE"/>
        </w:rPr>
        <w:t>de la Commission du 14 septembre 2016</w:t>
      </w:r>
      <w:r>
        <w:rPr>
          <w:rFonts w:ascii="Times New Roman" w:eastAsiaTheme="minorHAnsi" w:hAnsi="Times New Roman"/>
          <w:noProof/>
          <w:color w:val="000000"/>
          <w:sz w:val="24"/>
          <w:vertAlign w:val="superscript"/>
        </w:rPr>
        <w:footnoteReference w:id="236"/>
      </w:r>
      <w:r>
        <w:rPr>
          <w:rFonts w:ascii="Times New Roman" w:eastAsiaTheme="minorHAnsi" w:hAnsi="Times New Roman"/>
          <w:noProof/>
          <w:color w:val="000000"/>
          <w:sz w:val="24"/>
          <w:lang w:val="fr-BE"/>
        </w:rPr>
        <w:t>, les États membres ont engagé un processus d’adaptation de leurs stratégies nationales en matière de haut débit aux nouveaux objectifs stratégiques de connectivité pour 2025 qui sont proposés par la Commission. Des ré</w:t>
      </w:r>
      <w:r>
        <w:rPr>
          <w:rFonts w:ascii="Times New Roman" w:eastAsiaTheme="minorHAnsi" w:hAnsi="Times New Roman"/>
          <w:noProof/>
          <w:color w:val="000000"/>
          <w:sz w:val="24"/>
          <w:lang w:val="fr-BE"/>
        </w:rPr>
        <w:t>gimes nationaux et régionaux de grande ampleur en faveur du haut débit ont été autorisés par la Commission au cours de l’année 2018, en particulier pour la Lituanie</w:t>
      </w:r>
      <w:r>
        <w:rPr>
          <w:rFonts w:ascii="Times New Roman" w:eastAsiaTheme="minorHAnsi" w:hAnsi="Times New Roman"/>
          <w:noProof/>
          <w:color w:val="000000"/>
          <w:sz w:val="24"/>
          <w:vertAlign w:val="superscript"/>
        </w:rPr>
        <w:footnoteReference w:id="237"/>
      </w:r>
      <w:r>
        <w:rPr>
          <w:rFonts w:ascii="Times New Roman" w:eastAsiaTheme="minorHAnsi" w:hAnsi="Times New Roman"/>
          <w:noProof/>
          <w:color w:val="000000"/>
          <w:sz w:val="24"/>
          <w:lang w:val="fr-BE"/>
        </w:rPr>
        <w:t>, les Pays-Bas</w:t>
      </w:r>
      <w:r>
        <w:rPr>
          <w:rFonts w:ascii="Times New Roman" w:eastAsiaTheme="minorHAnsi" w:hAnsi="Times New Roman"/>
          <w:noProof/>
          <w:color w:val="000000"/>
          <w:sz w:val="24"/>
          <w:vertAlign w:val="superscript"/>
        </w:rPr>
        <w:footnoteReference w:id="238"/>
      </w:r>
      <w:r>
        <w:rPr>
          <w:rFonts w:ascii="Times New Roman" w:eastAsiaTheme="minorHAnsi" w:hAnsi="Times New Roman"/>
          <w:noProof/>
          <w:color w:val="000000"/>
          <w:sz w:val="24"/>
          <w:lang w:val="fr-BE"/>
        </w:rPr>
        <w:t xml:space="preserve"> et l’Autriche</w:t>
      </w:r>
      <w:r>
        <w:rPr>
          <w:rFonts w:ascii="Times New Roman" w:eastAsiaTheme="minorHAnsi" w:hAnsi="Times New Roman"/>
          <w:noProof/>
          <w:color w:val="000000"/>
          <w:sz w:val="24"/>
          <w:vertAlign w:val="superscript"/>
        </w:rPr>
        <w:footnoteReference w:id="239"/>
      </w:r>
      <w:r>
        <w:rPr>
          <w:rFonts w:ascii="Times New Roman" w:eastAsiaTheme="minorHAnsi" w:hAnsi="Times New Roman"/>
          <w:noProof/>
          <w:color w:val="000000"/>
          <w:sz w:val="24"/>
          <w:lang w:val="fr-BE"/>
        </w:rPr>
        <w:t>. Certains États membres ont complété ou modifié d’anciens ré</w:t>
      </w:r>
      <w:r>
        <w:rPr>
          <w:rFonts w:ascii="Times New Roman" w:eastAsiaTheme="minorHAnsi" w:hAnsi="Times New Roman"/>
          <w:noProof/>
          <w:color w:val="000000"/>
          <w:sz w:val="24"/>
          <w:lang w:val="fr-BE"/>
        </w:rPr>
        <w:t>gimes en faveur du haut débit en investissant davantage dans le déploiement de réseaux d’accès de nouvelle génération, en particulier l’Allemagne</w:t>
      </w:r>
      <w:r>
        <w:rPr>
          <w:rFonts w:ascii="Times New Roman" w:eastAsiaTheme="minorHAnsi" w:hAnsi="Times New Roman"/>
          <w:noProof/>
          <w:color w:val="000000"/>
          <w:sz w:val="24"/>
          <w:vertAlign w:val="superscript"/>
        </w:rPr>
        <w:footnoteReference w:id="240"/>
      </w:r>
      <w:r>
        <w:rPr>
          <w:rFonts w:ascii="Times New Roman" w:eastAsiaTheme="minorHAnsi" w:hAnsi="Times New Roman"/>
          <w:noProof/>
          <w:color w:val="000000"/>
          <w:sz w:val="24"/>
          <w:lang w:val="fr-BE"/>
        </w:rPr>
        <w:t xml:space="preserve"> et le Royaume-Uni</w:t>
      </w:r>
      <w:r>
        <w:rPr>
          <w:rFonts w:ascii="Times New Roman" w:eastAsiaTheme="minorHAnsi" w:hAnsi="Times New Roman"/>
          <w:noProof/>
          <w:color w:val="000000"/>
          <w:sz w:val="24"/>
          <w:vertAlign w:val="superscript"/>
        </w:rPr>
        <w:footnoteReference w:id="241"/>
      </w:r>
      <w:r>
        <w:rPr>
          <w:rFonts w:ascii="Times New Roman" w:eastAsiaTheme="minorHAnsi" w:hAnsi="Times New Roman"/>
          <w:noProof/>
          <w:color w:val="000000"/>
          <w:sz w:val="24"/>
          <w:lang w:val="fr-BE"/>
        </w:rPr>
        <w:t xml:space="preserve">. </w:t>
      </w:r>
    </w:p>
    <w:p w:rsidR="00D9323F" w:rsidRDefault="00D9323F">
      <w:pPr>
        <w:widowControl w:val="0"/>
        <w:autoSpaceDE w:val="0"/>
        <w:autoSpaceDN w:val="0"/>
        <w:adjustRightInd w:val="0"/>
        <w:spacing w:line="240" w:lineRule="auto"/>
        <w:jc w:val="both"/>
        <w:rPr>
          <w:rFonts w:ascii="Times New Roman" w:eastAsiaTheme="minorHAnsi" w:hAnsi="Times New Roman"/>
          <w:noProof/>
          <w:color w:val="000000"/>
          <w:sz w:val="24"/>
          <w:szCs w:val="24"/>
          <w:lang w:val="fr-BE"/>
        </w:rPr>
      </w:pPr>
    </w:p>
    <w:tbl>
      <w:tblPr>
        <w:tblStyle w:val="TableGrid"/>
        <w:tblW w:w="0" w:type="auto"/>
        <w:tblLook w:val="04A0" w:firstRow="1" w:lastRow="0" w:firstColumn="1" w:lastColumn="0" w:noHBand="0" w:noVBand="1"/>
      </w:tblPr>
      <w:tblGrid>
        <w:gridCol w:w="9286"/>
      </w:tblGrid>
      <w:tr w:rsidR="00D9323F" w:rsidRPr="00F47CDD">
        <w:tc>
          <w:tcPr>
            <w:tcW w:w="9286" w:type="dxa"/>
          </w:tcPr>
          <w:p w:rsidR="00D9323F" w:rsidRDefault="00F47CDD">
            <w:pPr>
              <w:spacing w:before="100" w:beforeAutospacing="1" w:after="100" w:afterAutospacing="1" w:line="240" w:lineRule="auto"/>
              <w:rPr>
                <w:rFonts w:ascii="Times New Roman" w:eastAsia="Times New Roman" w:hAnsi="Times New Roman" w:cs="Times New Roman"/>
                <w:noProof/>
                <w:sz w:val="20"/>
                <w:szCs w:val="20"/>
                <w:lang w:val="fr-BE"/>
              </w:rPr>
            </w:pPr>
            <w:r>
              <w:rPr>
                <w:rFonts w:ascii="Times New Roman" w:hAnsi="Times New Roman"/>
                <w:b/>
                <w:noProof/>
                <w:sz w:val="20"/>
                <w:lang w:val="fr-BE"/>
              </w:rPr>
              <w:t>Aides d’État pour l’infrastructure gigabit – le projet pilote bavarois sur les gigabits</w:t>
            </w:r>
            <w:r>
              <w:rPr>
                <w:rFonts w:ascii="Times New Roman" w:hAnsi="Times New Roman"/>
                <w:noProof/>
                <w:sz w:val="20"/>
                <w:vertAlign w:val="superscript"/>
              </w:rPr>
              <w:footnoteReference w:id="242"/>
            </w:r>
          </w:p>
          <w:p w:rsidR="00D9323F" w:rsidRDefault="00F47CDD">
            <w:pPr>
              <w:spacing w:before="100" w:beforeAutospacing="1" w:after="100" w:afterAutospacing="1" w:line="240" w:lineRule="auto"/>
              <w:jc w:val="both"/>
              <w:rPr>
                <w:rFonts w:ascii="Times New Roman" w:eastAsia="Times New Roman" w:hAnsi="Times New Roman" w:cs="Times New Roman"/>
                <w:noProof/>
                <w:sz w:val="20"/>
                <w:szCs w:val="20"/>
                <w:lang w:val="fr-BE"/>
              </w:rPr>
            </w:pPr>
            <w:r>
              <w:rPr>
                <w:rFonts w:ascii="Times New Roman" w:hAnsi="Times New Roman"/>
                <w:noProof/>
                <w:sz w:val="20"/>
                <w:lang w:val="fr-BE"/>
              </w:rPr>
              <w:t>Sur la base des objectifs actuels de l’Union européenne en matière de haut débit à l’horizon 2020, la Commission a défini, dans sa communication sur le gigabit de 2016, les besoins de connectivité pour construire une société européenne du gigabit, dans l</w:t>
            </w:r>
            <w:r>
              <w:rPr>
                <w:rFonts w:ascii="Times New Roman" w:hAnsi="Times New Roman"/>
                <w:noProof/>
                <w:sz w:val="20"/>
                <w:lang w:val="fr-BE"/>
              </w:rPr>
              <w:t>aquelle des réseaux à très haute capacité permettront une utilisation à grande échelle et le développement de produits, de services et d’applications dans le marché unique numérique.</w:t>
            </w:r>
          </w:p>
          <w:p w:rsidR="00D9323F" w:rsidRDefault="00F47CDD">
            <w:pPr>
              <w:spacing w:before="100" w:beforeAutospacing="1" w:after="100" w:afterAutospacing="1" w:line="240" w:lineRule="auto"/>
              <w:jc w:val="both"/>
              <w:rPr>
                <w:rFonts w:ascii="Times New Roman" w:eastAsia="Times New Roman" w:hAnsi="Times New Roman" w:cs="Times New Roman"/>
                <w:noProof/>
                <w:sz w:val="20"/>
                <w:szCs w:val="20"/>
                <w:lang w:val="fr-BE"/>
              </w:rPr>
            </w:pPr>
            <w:r>
              <w:rPr>
                <w:rFonts w:ascii="Times New Roman" w:hAnsi="Times New Roman"/>
                <w:noProof/>
                <w:sz w:val="20"/>
                <w:lang w:val="fr-BE"/>
              </w:rPr>
              <w:t xml:space="preserve">Dans ce contexte, en 2018, la Commission européenne a autorisé, en vertu </w:t>
            </w:r>
            <w:r>
              <w:rPr>
                <w:rFonts w:ascii="Times New Roman" w:hAnsi="Times New Roman"/>
                <w:noProof/>
                <w:sz w:val="20"/>
                <w:lang w:val="fr-BE"/>
              </w:rPr>
              <w:t>des règles de l’Union européenne en matière d’aides d’État, un projet bavarois visant à déployer des réseaux à très haute capacité dans six municipalités. Il s’agissait de la première fois que la Commission se penchait sur une mesure de soutien telle qu’en</w:t>
            </w:r>
            <w:r>
              <w:rPr>
                <w:rFonts w:ascii="Times New Roman" w:hAnsi="Times New Roman"/>
                <w:noProof/>
                <w:sz w:val="20"/>
                <w:lang w:val="fr-BE"/>
              </w:rPr>
              <w:t>visagée dans les objectifs de la communication sur le gigabit. Cette aide vise à fournir un accès au haut débit très rapide à des clients dans des zones dans lesquelles le marché ne les approvisionne pas, conformément aux objectifs de l’Union européenne en</w:t>
            </w:r>
            <w:r>
              <w:rPr>
                <w:rFonts w:ascii="Times New Roman" w:hAnsi="Times New Roman"/>
                <w:noProof/>
                <w:sz w:val="20"/>
                <w:lang w:val="fr-BE"/>
              </w:rPr>
              <w:t xml:space="preserve"> matière de connectivité à haut débit. Ce projet représentait une première étape vers un futur déploiement à plus grande échelle de cette infrastructure en Allemagne.</w:t>
            </w:r>
          </w:p>
          <w:p w:rsidR="00D9323F" w:rsidRDefault="00F47CDD">
            <w:pPr>
              <w:widowControl w:val="0"/>
              <w:autoSpaceDE w:val="0"/>
              <w:autoSpaceDN w:val="0"/>
              <w:adjustRightInd w:val="0"/>
              <w:spacing w:line="240" w:lineRule="auto"/>
              <w:jc w:val="both"/>
              <w:rPr>
                <w:rFonts w:ascii="Times New Roman" w:eastAsia="Calibri" w:hAnsi="Times New Roman" w:cs="Times New Roman"/>
                <w:noProof/>
                <w:color w:val="000000"/>
                <w:sz w:val="24"/>
                <w:szCs w:val="24"/>
                <w:lang w:val="fr-BE"/>
              </w:rPr>
            </w:pPr>
            <w:r>
              <w:rPr>
                <w:rFonts w:ascii="Times New Roman" w:hAnsi="Times New Roman"/>
                <w:noProof/>
                <w:sz w:val="20"/>
                <w:lang w:val="fr-BE"/>
              </w:rPr>
              <w:t>Le nouveau réseau sera en mesure d’offrir des vitesses de 200 mégabits par seconde (Mbps)</w:t>
            </w:r>
            <w:r>
              <w:rPr>
                <w:rFonts w:ascii="Times New Roman" w:hAnsi="Times New Roman"/>
                <w:noProof/>
                <w:sz w:val="20"/>
                <w:lang w:val="fr-BE"/>
              </w:rPr>
              <w:t xml:space="preserve"> pour les ménages et de 1 gigabit par seconde (Gbps) pour les entreprises et les institutions publiques. Ces vitesses de transmission sont nettement supérieures à celles que les utilisateurs ont connues jusqu’alors dans les zones ciblées. Les nouveaux rése</w:t>
            </w:r>
            <w:r>
              <w:rPr>
                <w:rFonts w:ascii="Times New Roman" w:hAnsi="Times New Roman"/>
                <w:noProof/>
                <w:sz w:val="20"/>
                <w:lang w:val="fr-BE"/>
              </w:rPr>
              <w:t>aux entraîneront par conséquent une amélioration importante conforme aux objectifs stratégiques de la communication sur le gigabit</w:t>
            </w:r>
            <w:hyperlink r:id="rId25"/>
            <w:r>
              <w:rPr>
                <w:rFonts w:ascii="Times New Roman" w:hAnsi="Times New Roman"/>
                <w:noProof/>
                <w:sz w:val="20"/>
                <w:lang w:val="fr-BE"/>
              </w:rPr>
              <w:t>.</w:t>
            </w:r>
          </w:p>
        </w:tc>
      </w:tr>
    </w:tbl>
    <w:p w:rsidR="00D9323F" w:rsidRDefault="00F47CDD">
      <w:pPr>
        <w:widowControl w:val="0"/>
        <w:autoSpaceDE w:val="0"/>
        <w:autoSpaceDN w:val="0"/>
        <w:adjustRightInd w:val="0"/>
        <w:spacing w:before="200" w:line="240" w:lineRule="auto"/>
        <w:jc w:val="both"/>
        <w:rPr>
          <w:rFonts w:ascii="Times New Roman" w:eastAsiaTheme="minorHAnsi" w:hAnsi="Times New Roman"/>
          <w:noProof/>
          <w:color w:val="000000"/>
          <w:sz w:val="24"/>
          <w:szCs w:val="24"/>
          <w:lang w:val="fr-BE"/>
        </w:rPr>
      </w:pPr>
      <w:r>
        <w:rPr>
          <w:rFonts w:ascii="Times New Roman" w:eastAsiaTheme="minorHAnsi" w:hAnsi="Times New Roman"/>
          <w:noProof/>
          <w:color w:val="000000"/>
          <w:sz w:val="24"/>
          <w:lang w:val="fr-BE"/>
        </w:rPr>
        <w:t>Au cours de la période 2009-2018, la Commission a</w:t>
      </w:r>
      <w:r>
        <w:rPr>
          <w:rFonts w:ascii="Times New Roman" w:eastAsiaTheme="minorHAnsi" w:hAnsi="Times New Roman"/>
          <w:noProof/>
          <w:color w:val="000000"/>
          <w:sz w:val="24"/>
          <w:lang w:val="fr-BE"/>
        </w:rPr>
        <w:t xml:space="preserve"> autorisé des aides d’État en faveur du haut débit pour un montant total de 39 milliards d’euros. Les États membres ont en réalité dépensé 30 % de ce montant, souvent avec un cofinancement au titre de fonds européens</w:t>
      </w:r>
      <w:r>
        <w:rPr>
          <w:rFonts w:ascii="Times New Roman" w:eastAsiaTheme="minorHAnsi" w:hAnsi="Times New Roman"/>
          <w:noProof/>
          <w:color w:val="000000"/>
          <w:sz w:val="24"/>
          <w:vertAlign w:val="superscript"/>
        </w:rPr>
        <w:footnoteReference w:id="243"/>
      </w:r>
      <w:r>
        <w:rPr>
          <w:rFonts w:ascii="Times New Roman" w:eastAsiaTheme="minorHAnsi" w:hAnsi="Times New Roman"/>
          <w:noProof/>
          <w:color w:val="000000"/>
          <w:sz w:val="24"/>
          <w:lang w:val="fr-BE"/>
        </w:rPr>
        <w:t xml:space="preserve"> d’un montant d’environ 3 milliards d’e</w:t>
      </w:r>
      <w:r>
        <w:rPr>
          <w:rFonts w:ascii="Times New Roman" w:eastAsiaTheme="minorHAnsi" w:hAnsi="Times New Roman"/>
          <w:noProof/>
          <w:color w:val="000000"/>
          <w:sz w:val="24"/>
          <w:lang w:val="fr-BE"/>
        </w:rPr>
        <w:t>uros. Durant la même période, les États membres ont adopté 126 mesures d’aide d’État en faveur du haut débit bénéficiant du RGEC.</w:t>
      </w:r>
    </w:p>
    <w:p w:rsidR="00D9323F" w:rsidRDefault="00F47CDD">
      <w:pPr>
        <w:widowControl w:val="0"/>
        <w:autoSpaceDE w:val="0"/>
        <w:autoSpaceDN w:val="0"/>
        <w:adjustRightInd w:val="0"/>
        <w:jc w:val="both"/>
        <w:rPr>
          <w:rFonts w:ascii="Times New Roman" w:eastAsiaTheme="minorHAnsi" w:hAnsi="Times New Roman"/>
          <w:b/>
          <w:noProof/>
          <w:color w:val="000000"/>
          <w:sz w:val="20"/>
          <w:szCs w:val="20"/>
          <w:lang w:val="fr-BE"/>
        </w:rPr>
      </w:pPr>
      <w:r>
        <w:rPr>
          <w:rFonts w:ascii="Times New Roman" w:eastAsiaTheme="minorHAnsi" w:hAnsi="Times New Roman"/>
          <w:b/>
          <w:noProof/>
          <w:color w:val="000000"/>
          <w:sz w:val="20"/>
          <w:lang w:val="fr-BE"/>
        </w:rPr>
        <w:t>Médias, culture et radiodiffusion</w:t>
      </w:r>
    </w:p>
    <w:p w:rsidR="00D9323F" w:rsidRDefault="00F47CDD">
      <w:pPr>
        <w:widowControl w:val="0"/>
        <w:autoSpaceDE w:val="0"/>
        <w:autoSpaceDN w:val="0"/>
        <w:adjustRightInd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Sur les marchés des médias et de la radiodiffusion, les mesures de soutien constituant des </w:t>
      </w:r>
      <w:r>
        <w:rPr>
          <w:rFonts w:ascii="Times New Roman" w:eastAsiaTheme="minorHAnsi" w:hAnsi="Times New Roman"/>
          <w:noProof/>
          <w:sz w:val="24"/>
          <w:lang w:val="fr-BE"/>
        </w:rPr>
        <w:t>aides d’État peuvent également se justifier pour remédier à des défaillances du marché et remplir des missions de service public. Dans ce domaine, la Commission s’appuie sur les orientations de la communication sur le cinéma</w:t>
      </w:r>
      <w:r>
        <w:rPr>
          <w:rFonts w:ascii="Times New Roman" w:eastAsiaTheme="minorHAnsi" w:hAnsi="Times New Roman"/>
          <w:noProof/>
          <w:sz w:val="24"/>
          <w:vertAlign w:val="superscript"/>
        </w:rPr>
        <w:footnoteReference w:id="244"/>
      </w:r>
      <w:r>
        <w:rPr>
          <w:rFonts w:ascii="Times New Roman" w:eastAsiaTheme="minorHAnsi" w:hAnsi="Times New Roman"/>
          <w:noProof/>
          <w:sz w:val="24"/>
          <w:lang w:val="fr-BE"/>
        </w:rPr>
        <w:t xml:space="preserve"> et de la communication sur la </w:t>
      </w:r>
      <w:r>
        <w:rPr>
          <w:rFonts w:ascii="Times New Roman" w:eastAsiaTheme="minorHAnsi" w:hAnsi="Times New Roman"/>
          <w:noProof/>
          <w:sz w:val="24"/>
          <w:lang w:val="fr-BE"/>
        </w:rPr>
        <w:t>radiodiffusion</w:t>
      </w:r>
      <w:r>
        <w:rPr>
          <w:rFonts w:ascii="Times New Roman" w:eastAsiaTheme="minorHAnsi" w:hAnsi="Times New Roman"/>
          <w:noProof/>
          <w:sz w:val="24"/>
          <w:vertAlign w:val="superscript"/>
        </w:rPr>
        <w:footnoteReference w:id="245"/>
      </w:r>
      <w:r>
        <w:rPr>
          <w:rFonts w:ascii="Times New Roman" w:eastAsiaTheme="minorHAnsi" w:hAnsi="Times New Roman"/>
          <w:noProof/>
          <w:sz w:val="24"/>
          <w:lang w:val="fr-BE"/>
        </w:rPr>
        <w:t xml:space="preserve"> pour veiller à ce que le soutien soit conçu de manière à répondre aux objectifs sous-jacents d’intérêt commun tout en limitant les effets négatifs sur la concurrence.</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2018, la Commission a adopté neuf décisions concernant les médias et l</w:t>
      </w:r>
      <w:r>
        <w:rPr>
          <w:rFonts w:ascii="Times New Roman" w:eastAsiaTheme="minorHAnsi" w:hAnsi="Times New Roman"/>
          <w:noProof/>
          <w:sz w:val="24"/>
          <w:lang w:val="fr-BE"/>
        </w:rPr>
        <w:t xml:space="preserve">es activités culturelles. Elle a notamment autorisé un régime d’aides conçu par la </w:t>
      </w:r>
      <w:r>
        <w:rPr>
          <w:rFonts w:ascii="Times New Roman" w:eastAsiaTheme="minorHAnsi" w:hAnsi="Times New Roman"/>
          <w:i/>
          <w:noProof/>
          <w:sz w:val="24"/>
          <w:lang w:val="fr-BE"/>
        </w:rPr>
        <w:t>Suède</w:t>
      </w:r>
      <w:r>
        <w:rPr>
          <w:rFonts w:ascii="Times New Roman" w:eastAsiaTheme="minorHAnsi" w:hAnsi="Times New Roman"/>
          <w:noProof/>
          <w:sz w:val="24"/>
          <w:vertAlign w:val="superscript"/>
        </w:rPr>
        <w:footnoteReference w:id="246"/>
      </w:r>
      <w:r>
        <w:rPr>
          <w:rFonts w:ascii="Times New Roman" w:eastAsiaTheme="minorHAnsi" w:hAnsi="Times New Roman"/>
          <w:noProof/>
          <w:sz w:val="24"/>
          <w:lang w:val="fr-BE"/>
        </w:rPr>
        <w:t xml:space="preserve"> pour soutenir son secteur des médias et des régimes d’aides pour la </w:t>
      </w:r>
      <w:r>
        <w:rPr>
          <w:rFonts w:ascii="Times New Roman" w:eastAsiaTheme="minorHAnsi" w:hAnsi="Times New Roman"/>
          <w:i/>
          <w:noProof/>
          <w:sz w:val="24"/>
          <w:lang w:val="fr-BE"/>
        </w:rPr>
        <w:t>Belgique</w:t>
      </w:r>
      <w:r>
        <w:rPr>
          <w:rFonts w:ascii="Times New Roman" w:eastAsiaTheme="minorHAnsi" w:hAnsi="Times New Roman"/>
          <w:noProof/>
          <w:sz w:val="24"/>
          <w:vertAlign w:val="superscript"/>
        </w:rPr>
        <w:footnoteReference w:id="247"/>
      </w:r>
      <w:r>
        <w:rPr>
          <w:rFonts w:ascii="Times New Roman" w:eastAsiaTheme="minorHAnsi" w:hAnsi="Times New Roman"/>
          <w:noProof/>
          <w:sz w:val="24"/>
          <w:lang w:val="fr-BE"/>
        </w:rPr>
        <w:t xml:space="preserve">, la </w:t>
      </w:r>
      <w:r>
        <w:rPr>
          <w:rFonts w:ascii="Times New Roman" w:eastAsiaTheme="minorHAnsi" w:hAnsi="Times New Roman"/>
          <w:i/>
          <w:noProof/>
          <w:sz w:val="24"/>
          <w:lang w:val="fr-BE"/>
        </w:rPr>
        <w:t>France</w:t>
      </w:r>
      <w:r>
        <w:rPr>
          <w:rFonts w:ascii="Times New Roman" w:eastAsiaTheme="minorHAnsi" w:hAnsi="Times New Roman"/>
          <w:noProof/>
          <w:sz w:val="24"/>
          <w:vertAlign w:val="superscript"/>
        </w:rPr>
        <w:footnoteReference w:id="248"/>
      </w:r>
      <w:r>
        <w:rPr>
          <w:rFonts w:ascii="Times New Roman" w:eastAsiaTheme="minorHAnsi" w:hAnsi="Times New Roman"/>
          <w:noProof/>
          <w:sz w:val="24"/>
          <w:lang w:val="fr-BE"/>
        </w:rPr>
        <w:t xml:space="preserve"> et l’</w:t>
      </w:r>
      <w:r>
        <w:rPr>
          <w:rFonts w:ascii="Times New Roman" w:eastAsiaTheme="minorHAnsi" w:hAnsi="Times New Roman"/>
          <w:i/>
          <w:noProof/>
          <w:sz w:val="24"/>
          <w:lang w:val="fr-BE"/>
        </w:rPr>
        <w:t>Allemagne</w:t>
      </w:r>
      <w:r>
        <w:rPr>
          <w:rFonts w:ascii="Times New Roman" w:eastAsiaTheme="minorHAnsi" w:hAnsi="Times New Roman"/>
          <w:noProof/>
          <w:sz w:val="24"/>
          <w:vertAlign w:val="superscript"/>
        </w:rPr>
        <w:footnoteReference w:id="249"/>
      </w:r>
      <w:r>
        <w:rPr>
          <w:rFonts w:ascii="Times New Roman" w:eastAsiaTheme="minorHAnsi" w:hAnsi="Times New Roman"/>
          <w:noProof/>
          <w:sz w:val="24"/>
          <w:lang w:val="fr-BE"/>
        </w:rPr>
        <w:t xml:space="preserve"> visant à favoriser le développement et la promotion de jeux </w:t>
      </w:r>
      <w:r>
        <w:rPr>
          <w:rFonts w:ascii="Times New Roman" w:eastAsiaTheme="minorHAnsi" w:hAnsi="Times New Roman"/>
          <w:noProof/>
          <w:sz w:val="24"/>
          <w:lang w:val="fr-BE"/>
        </w:rPr>
        <w:t>vidéo éducatifs et d’intérêt culturel qui n’auraient pu survivre dans les conditions normales du marché. Les jeux vidéo sont devenus un produit commercial dynamique et à succès. Dans ce secteur, la présence de défaillances du marché doit être soigneusement</w:t>
      </w:r>
      <w:r>
        <w:rPr>
          <w:rFonts w:ascii="Times New Roman" w:eastAsiaTheme="minorHAnsi" w:hAnsi="Times New Roman"/>
          <w:noProof/>
          <w:sz w:val="24"/>
          <w:lang w:val="fr-BE"/>
        </w:rPr>
        <w:t xml:space="preserve"> examinée, car le potentiel de distorsion de la concurrence sur un marché qui fonctionne bien est plus élevé. Étant donné que l’aide pour les jeux vidéo est autorisée en tant qu’aide culturelle, la Commission procède à une appréciation plus particulière de</w:t>
      </w:r>
      <w:r>
        <w:rPr>
          <w:rFonts w:ascii="Times New Roman" w:eastAsiaTheme="minorHAnsi" w:hAnsi="Times New Roman"/>
          <w:noProof/>
          <w:sz w:val="24"/>
          <w:lang w:val="fr-BE"/>
        </w:rPr>
        <w:t xml:space="preserve">s caractéristiques culturelles des jeux que des longs métrages. </w:t>
      </w:r>
    </w:p>
    <w:p w:rsidR="00D9323F" w:rsidRDefault="00F47CDD">
      <w:pPr>
        <w:widowControl w:val="0"/>
        <w:spacing w:line="240" w:lineRule="auto"/>
        <w:jc w:val="both"/>
        <w:rPr>
          <w:rFonts w:ascii="Times New Roman" w:eastAsiaTheme="minorHAnsi" w:hAnsi="Times New Roman"/>
          <w:noProof/>
          <w:sz w:val="24"/>
          <w:szCs w:val="24"/>
          <w:vertAlign w:val="superscript"/>
          <w:lang w:val="fr-BE"/>
        </w:rPr>
      </w:pPr>
      <w:r>
        <w:rPr>
          <w:rFonts w:ascii="Times New Roman" w:eastAsiaTheme="minorHAnsi" w:hAnsi="Times New Roman"/>
          <w:noProof/>
          <w:sz w:val="24"/>
          <w:lang w:val="fr-BE"/>
        </w:rPr>
        <w:t>Depuis l’inclusion de projets promouvant la culture et la conservation du patrimoine dans le RGEC en 2014, les États membres ont eu recours à cette possibilité offerte par ce règlement. En 20</w:t>
      </w:r>
      <w:r>
        <w:rPr>
          <w:rFonts w:ascii="Times New Roman" w:eastAsiaTheme="minorHAnsi" w:hAnsi="Times New Roman"/>
          <w:noProof/>
          <w:sz w:val="24"/>
          <w:lang w:val="fr-BE"/>
        </w:rPr>
        <w:t>18, 466 régimes étaient couverts par l’article 53 du RGEC relatif aux aides en faveur de la culture et de la conservation du patrimoine, et 77 régimes étaient couverts par l’article 54 du RGEC ayant trait aux régimes d’aides en faveur des œuvres audiovisue</w:t>
      </w:r>
      <w:r>
        <w:rPr>
          <w:rFonts w:ascii="Times New Roman" w:eastAsiaTheme="minorHAnsi" w:hAnsi="Times New Roman"/>
          <w:noProof/>
          <w:sz w:val="24"/>
          <w:lang w:val="fr-BE"/>
        </w:rPr>
        <w:t>lles</w:t>
      </w:r>
      <w:r>
        <w:rPr>
          <w:rFonts w:ascii="Times New Roman" w:eastAsiaTheme="minorHAnsi" w:hAnsi="Times New Roman"/>
          <w:noProof/>
          <w:sz w:val="24"/>
          <w:vertAlign w:val="superscript"/>
        </w:rPr>
        <w:footnoteReference w:id="250"/>
      </w:r>
      <w:r>
        <w:rPr>
          <w:rFonts w:ascii="Times New Roman" w:eastAsiaTheme="minorHAnsi" w:hAnsi="Times New Roman"/>
          <w:noProof/>
          <w:sz w:val="24"/>
          <w:lang w:val="fr-BE"/>
        </w:rPr>
        <w:t>.</w:t>
      </w:r>
    </w:p>
    <w:p w:rsidR="00D9323F" w:rsidRDefault="00F47CDD">
      <w:pPr>
        <w:widowControl w:val="0"/>
        <w:jc w:val="both"/>
        <w:rPr>
          <w:rFonts w:ascii="Times New Roman" w:eastAsiaTheme="minorHAnsi" w:hAnsi="Times New Roman"/>
          <w:b/>
          <w:noProof/>
          <w:sz w:val="20"/>
          <w:szCs w:val="20"/>
          <w:lang w:val="fr-BE"/>
        </w:rPr>
      </w:pPr>
      <w:r>
        <w:rPr>
          <w:rFonts w:ascii="Times New Roman" w:eastAsiaTheme="minorHAnsi" w:hAnsi="Times New Roman"/>
          <w:b/>
          <w:noProof/>
          <w:sz w:val="20"/>
          <w:lang w:val="fr-BE"/>
        </w:rPr>
        <w:t xml:space="preserve">Migration du spectre des radiodiffuseurs </w:t>
      </w:r>
    </w:p>
    <w:p w:rsidR="00D9323F" w:rsidRDefault="00F47CDD">
      <w:pPr>
        <w:widowControl w:val="0"/>
        <w:spacing w:line="240" w:lineRule="auto"/>
        <w:jc w:val="both"/>
        <w:rPr>
          <w:rFonts w:ascii="Times New Roman" w:eastAsiaTheme="minorHAnsi" w:hAnsi="Times New Roman"/>
          <w:noProof/>
          <w:sz w:val="24"/>
          <w:lang w:val="fr-BE"/>
        </w:rPr>
      </w:pPr>
      <w:r>
        <w:rPr>
          <w:rFonts w:ascii="Times New Roman" w:eastAsiaTheme="minorHAnsi" w:hAnsi="Times New Roman"/>
          <w:noProof/>
          <w:sz w:val="24"/>
          <w:lang w:val="fr-BE"/>
        </w:rPr>
        <w:t xml:space="preserve">En 2018, la Commission a autorisé, en vertu des règles de l’Union européenne en matière d’aides d’État, des projets allemands visant à compenser les coûts directs supportés par les opérateurs de services de </w:t>
      </w:r>
      <w:r>
        <w:rPr>
          <w:rFonts w:ascii="Times New Roman" w:eastAsiaTheme="minorHAnsi" w:hAnsi="Times New Roman"/>
          <w:noProof/>
          <w:sz w:val="24"/>
          <w:lang w:val="fr-BE"/>
        </w:rPr>
        <w:t>télévision terrestre pour passer de la bande de fréquences 694-790 MHz (la «bande de 700 MHz») à des fréquences inférieures. Cette migration fait suite à une décision de 2017</w:t>
      </w:r>
      <w:r>
        <w:rPr>
          <w:rFonts w:ascii="Times New Roman" w:eastAsiaTheme="minorHAnsi" w:hAnsi="Times New Roman"/>
          <w:noProof/>
          <w:sz w:val="24"/>
          <w:vertAlign w:val="superscript"/>
        </w:rPr>
        <w:footnoteReference w:id="251"/>
      </w:r>
      <w:r>
        <w:rPr>
          <w:rFonts w:ascii="Times New Roman" w:eastAsiaTheme="minorHAnsi" w:hAnsi="Times New Roman"/>
          <w:noProof/>
          <w:sz w:val="24"/>
          <w:lang w:val="fr-BE"/>
        </w:rPr>
        <w:t xml:space="preserve"> du Parlement européen et du Conseil qui imposait la disponibilité de la bande de</w:t>
      </w:r>
      <w:r>
        <w:rPr>
          <w:rFonts w:ascii="Times New Roman" w:eastAsiaTheme="minorHAnsi" w:hAnsi="Times New Roman"/>
          <w:noProof/>
          <w:sz w:val="24"/>
          <w:lang w:val="fr-BE"/>
        </w:rPr>
        <w:t xml:space="preserve"> 700 MHz pour le déploiement des services à haut débit sans fil à partir de juin 2020, obligeant ainsi les utilisateurs actuels - dont les fournisseurs de services de télévision terrestre - à libérer cette bande de fréquences. Cependant, cette décision pré</w:t>
      </w:r>
      <w:r>
        <w:rPr>
          <w:rFonts w:ascii="Times New Roman" w:eastAsiaTheme="minorHAnsi" w:hAnsi="Times New Roman"/>
          <w:noProof/>
          <w:sz w:val="24"/>
          <w:lang w:val="fr-BE"/>
        </w:rPr>
        <w:t>voit que les États membres doivent veiller à la disponibilité de la bande de fréquences inférieure à 700 MHz jusqu’en 2030 pour la fourniture de services de télévision terrestre. Elle prévoit aussi la possibilité de compenser certains coûts directs support</w:t>
      </w:r>
      <w:r>
        <w:rPr>
          <w:rFonts w:ascii="Times New Roman" w:eastAsiaTheme="minorHAnsi" w:hAnsi="Times New Roman"/>
          <w:noProof/>
          <w:sz w:val="24"/>
          <w:lang w:val="fr-BE"/>
        </w:rPr>
        <w:t>és par les opérateurs de télévision terrestre pour la migration du spectre. La Commission a examiné cette mesure d’aide et a conclu que l’aide se limite aux coûts qui sont strictement nécessaires pour la migration et n’a pas d’incidence significative sur l</w:t>
      </w:r>
      <w:r>
        <w:rPr>
          <w:rFonts w:ascii="Times New Roman" w:eastAsiaTheme="minorHAnsi" w:hAnsi="Times New Roman"/>
          <w:noProof/>
          <w:sz w:val="24"/>
          <w:lang w:val="fr-BE"/>
        </w:rPr>
        <w:t xml:space="preserve">es échanges et la concurrence. Par ailleurs, cette mesure contribuera à l’objectif de l’Union européenne consistant à introduire des services mobiles 5G, tout en maintenant la disponibilité des services de télévision terrestre pour les consommateurs. </w:t>
      </w:r>
    </w:p>
    <w:p w:rsidR="00D9323F" w:rsidRDefault="00F47CDD">
      <w:pPr>
        <w:rPr>
          <w:noProof/>
          <w:lang w:val="fr-BE"/>
        </w:rPr>
      </w:pPr>
      <w:r>
        <w:rPr>
          <w:noProof/>
          <w:lang w:val="fr-BE"/>
        </w:rPr>
        <w:br w:type="page"/>
      </w:r>
    </w:p>
    <w:p w:rsidR="00D9323F" w:rsidRDefault="00F47CDD">
      <w:pPr>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bookmarkStart w:id="39" w:name="_Toc438208176"/>
      <w:r>
        <w:rPr>
          <w:noProof/>
          <w:lang w:val="fr-BE"/>
        </w:rPr>
        <w:tab/>
      </w:r>
      <w:bookmarkStart w:id="40" w:name="_Toc19019204"/>
      <w:r>
        <w:rPr>
          <w:rFonts w:ascii="Times New Roman" w:hAnsi="Times New Roman"/>
          <w:b/>
          <w:smallCaps/>
          <w:noProof/>
          <w:sz w:val="24"/>
          <w:lang w:val="fr-BE"/>
        </w:rPr>
        <w:t>3. Services financiers</w:t>
      </w:r>
      <w:bookmarkEnd w:id="40"/>
    </w:p>
    <w:p w:rsidR="00D9323F" w:rsidRDefault="00F47CDD">
      <w:pPr>
        <w:widowControl w:val="0"/>
        <w:autoSpaceDE w:val="0"/>
        <w:autoSpaceDN w:val="0"/>
        <w:adjustRightInd w:val="0"/>
        <w:spacing w:line="240" w:lineRule="auto"/>
        <w:jc w:val="both"/>
        <w:rPr>
          <w:rFonts w:ascii="Times New Roman" w:hAnsi="Times New Roman"/>
          <w:b/>
          <w:bCs/>
          <w:noProof/>
          <w:color w:val="000000"/>
          <w:sz w:val="24"/>
          <w:szCs w:val="24"/>
          <w:lang w:val="fr-BE"/>
        </w:rPr>
      </w:pPr>
      <w:r>
        <w:rPr>
          <w:rFonts w:ascii="Times New Roman" w:hAnsi="Times New Roman"/>
          <w:b/>
          <w:noProof/>
          <w:color w:val="000000"/>
          <w:sz w:val="24"/>
          <w:lang w:val="fr-BE"/>
        </w:rPr>
        <w:t>Aperçu des principaux problèmes auxquels le secteur est confronté</w:t>
      </w:r>
    </w:p>
    <w:p w:rsidR="00D9323F" w:rsidRDefault="00F47CDD">
      <w:pPr>
        <w:spacing w:line="240" w:lineRule="auto"/>
        <w:jc w:val="both"/>
        <w:rPr>
          <w:rFonts w:ascii="Times New Roman" w:hAnsi="Times New Roman"/>
          <w:noProof/>
          <w:color w:val="000000"/>
          <w:sz w:val="24"/>
          <w:szCs w:val="24"/>
          <w:lang w:val="fr-BE"/>
        </w:rPr>
      </w:pPr>
      <w:r>
        <w:rPr>
          <w:rFonts w:ascii="Times New Roman" w:hAnsi="Times New Roman"/>
          <w:noProof/>
          <w:color w:val="000000"/>
          <w:sz w:val="24"/>
          <w:lang w:val="fr-BE"/>
        </w:rPr>
        <w:t>Le secteur des services financiers a continué à se stabiliser. De manière générale, les banques de l’Union européenne ont réduit leurs actifs historiques et sont dotée</w:t>
      </w:r>
      <w:r>
        <w:rPr>
          <w:rFonts w:ascii="Times New Roman" w:hAnsi="Times New Roman"/>
          <w:noProof/>
          <w:color w:val="000000"/>
          <w:sz w:val="24"/>
          <w:lang w:val="fr-BE"/>
        </w:rPr>
        <w:t>s de marges de capital plus élevées. Elles ont aussi limité leur exposition aux risques du marché, principalement en réduisant leurs portefeuilles d’obligations et de produits dérivés. Par conséquent, elles sont plus résilientes en cas de conditions défavo</w:t>
      </w:r>
      <w:r>
        <w:rPr>
          <w:rFonts w:ascii="Times New Roman" w:hAnsi="Times New Roman"/>
          <w:noProof/>
          <w:color w:val="000000"/>
          <w:sz w:val="24"/>
          <w:lang w:val="fr-BE"/>
        </w:rPr>
        <w:t>rables. L’exigence minimale de fonds propres et d’engagements éligibles, telle qu’elle est fixée actuellement avec des objectifs contraignants par les autorités de résolution compétentes pour les banques relevant de leur compétence, renforcera cette résili</w:t>
      </w:r>
      <w:r>
        <w:rPr>
          <w:rFonts w:ascii="Times New Roman" w:hAnsi="Times New Roman"/>
          <w:noProof/>
          <w:color w:val="000000"/>
          <w:sz w:val="24"/>
          <w:lang w:val="fr-BE"/>
        </w:rPr>
        <w:t xml:space="preserve">ence. </w:t>
      </w:r>
    </w:p>
    <w:p w:rsidR="00D9323F" w:rsidRDefault="00F47CDD">
      <w:pPr>
        <w:spacing w:line="240" w:lineRule="auto"/>
        <w:jc w:val="both"/>
        <w:rPr>
          <w:rFonts w:ascii="Times New Roman" w:hAnsi="Times New Roman"/>
          <w:noProof/>
          <w:color w:val="000000"/>
          <w:sz w:val="24"/>
          <w:szCs w:val="24"/>
          <w:lang w:val="fr-BE"/>
        </w:rPr>
      </w:pPr>
      <w:r>
        <w:rPr>
          <w:rFonts w:ascii="Times New Roman" w:hAnsi="Times New Roman"/>
          <w:noProof/>
          <w:color w:val="000000"/>
          <w:sz w:val="24"/>
          <w:lang w:val="fr-BE"/>
        </w:rPr>
        <w:t>Cependant, des problèmes subsistent. Le niveau des prêts improductifs est toujours trop élevé pour certaines banques de quelques États membres. La rentabilité des banques est toujours sous pression en raison du contexte de faiblesse du taux d’intérê</w:t>
      </w:r>
      <w:r>
        <w:rPr>
          <w:rFonts w:ascii="Times New Roman" w:hAnsi="Times New Roman"/>
          <w:noProof/>
          <w:color w:val="000000"/>
          <w:sz w:val="24"/>
          <w:lang w:val="fr-BE"/>
        </w:rPr>
        <w:t xml:space="preserve">t et des étroites marges d’intérêt. Ces conditions concernent aussi le secteur des assurances, en particulier des assurances vie.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color w:val="000000"/>
          <w:sz w:val="24"/>
          <w:lang w:val="fr-BE"/>
        </w:rPr>
        <w:t>Le cadre législatif actuel de l’union bancaire, notamment la directive sur le redressement et la résolution des banques</w:t>
      </w:r>
      <w:r>
        <w:rPr>
          <w:rFonts w:ascii="Times New Roman" w:hAnsi="Times New Roman"/>
          <w:noProof/>
          <w:color w:val="000000"/>
          <w:sz w:val="24"/>
          <w:vertAlign w:val="superscript"/>
        </w:rPr>
        <w:footnoteReference w:id="252"/>
      </w:r>
      <w:r>
        <w:rPr>
          <w:rFonts w:ascii="Times New Roman" w:hAnsi="Times New Roman"/>
          <w:noProof/>
          <w:color w:val="000000"/>
          <w:sz w:val="24"/>
          <w:lang w:val="fr-BE"/>
        </w:rPr>
        <w:t>, est</w:t>
      </w:r>
      <w:r>
        <w:rPr>
          <w:rFonts w:ascii="Times New Roman" w:hAnsi="Times New Roman"/>
          <w:noProof/>
          <w:color w:val="000000"/>
          <w:sz w:val="24"/>
          <w:lang w:val="fr-BE"/>
        </w:rPr>
        <w:t xml:space="preserve"> pleinement en vigueur depuis deux ans. Bien que le soutien des banques par l’État et, partant, le nombre d’affaires d’aide d’État aient diminué, il existe toujours certaines situations historiques dans lesquelles un soutien du budget public pour aider les</w:t>
      </w:r>
      <w:r>
        <w:rPr>
          <w:rFonts w:ascii="Times New Roman" w:hAnsi="Times New Roman"/>
          <w:noProof/>
          <w:color w:val="000000"/>
          <w:sz w:val="24"/>
          <w:lang w:val="fr-BE"/>
        </w:rPr>
        <w:t xml:space="preserve"> banques à se retirer du marché ou en tant que solution tampon est nécessaire.</w:t>
      </w:r>
      <w:r>
        <w:rPr>
          <w:rFonts w:ascii="Times New Roman" w:hAnsi="Times New Roman"/>
          <w:noProof/>
          <w:sz w:val="24"/>
          <w:lang w:val="fr-BE"/>
        </w:rPr>
        <w:t xml:space="preserve"> </w:t>
      </w:r>
    </w:p>
    <w:p w:rsidR="00D9323F" w:rsidRDefault="00F47CDD">
      <w:pPr>
        <w:spacing w:line="240" w:lineRule="auto"/>
        <w:jc w:val="both"/>
        <w:rPr>
          <w:rFonts w:ascii="Times New Roman" w:hAnsi="Times New Roman"/>
          <w:noProof/>
          <w:color w:val="000000"/>
          <w:sz w:val="24"/>
          <w:szCs w:val="24"/>
          <w:lang w:val="fr-BE"/>
        </w:rPr>
      </w:pPr>
      <w:r>
        <w:rPr>
          <w:rFonts w:ascii="Times New Roman" w:hAnsi="Times New Roman"/>
          <w:noProof/>
          <w:color w:val="000000"/>
          <w:sz w:val="24"/>
          <w:lang w:val="fr-BE"/>
        </w:rPr>
        <w:t>De plus, une pression croissante est exercée par de nouveaux types d’établissements financiers, ainsi que par les sociétés dites «de technologie financière», et redessine l’int</w:t>
      </w:r>
      <w:r>
        <w:rPr>
          <w:rFonts w:ascii="Times New Roman" w:hAnsi="Times New Roman"/>
          <w:noProof/>
          <w:color w:val="000000"/>
          <w:sz w:val="24"/>
          <w:lang w:val="fr-BE"/>
        </w:rPr>
        <w:t>eraction avec les clients dans des domaines tels que les plateformes de paiements, de prêts et de courtage. Le secteur financier fait actuellement l’objet d’efforts de restructuration, l’accent étant davantage placé sur les services numériques.</w:t>
      </w:r>
    </w:p>
    <w:p w:rsidR="00D9323F" w:rsidRDefault="00F47CDD">
      <w:pPr>
        <w:spacing w:line="240" w:lineRule="auto"/>
        <w:jc w:val="both"/>
        <w:rPr>
          <w:rFonts w:ascii="Times New Roman" w:eastAsia="Times New Roman" w:hAnsi="Times New Roman"/>
          <w:noProof/>
          <w:sz w:val="24"/>
          <w:szCs w:val="24"/>
          <w:lang w:val="fr-BE"/>
        </w:rPr>
      </w:pPr>
      <w:r>
        <w:rPr>
          <w:rFonts w:ascii="Times New Roman" w:hAnsi="Times New Roman"/>
          <w:noProof/>
          <w:color w:val="000000"/>
          <w:sz w:val="24"/>
          <w:lang w:val="fr-BE"/>
        </w:rPr>
        <w:t>La politiqu</w:t>
      </w:r>
      <w:r>
        <w:rPr>
          <w:rFonts w:ascii="Times New Roman" w:hAnsi="Times New Roman"/>
          <w:noProof/>
          <w:color w:val="000000"/>
          <w:sz w:val="24"/>
          <w:lang w:val="fr-BE"/>
        </w:rPr>
        <w:t>e de concurrence de l’Union européenne et ses trois instruments de mise en œuvre – contrôle des concentrations, des fusions et des aides d’État – jouent un rôle important pour garantir que la concurrence se déroule de manière juste et équitable dans tout l</w:t>
      </w:r>
      <w:r>
        <w:rPr>
          <w:rFonts w:ascii="Times New Roman" w:hAnsi="Times New Roman"/>
          <w:noProof/>
          <w:color w:val="000000"/>
          <w:sz w:val="24"/>
          <w:lang w:val="fr-BE"/>
        </w:rPr>
        <w:t>e secteur. L’application des règles de concurrence reste essentielle pour garantir une concurrence juste qui bénéficie aux consommateurs.</w:t>
      </w:r>
      <w:r>
        <w:rPr>
          <w:rFonts w:ascii="Times New Roman" w:hAnsi="Times New Roman"/>
          <w:noProof/>
          <w:sz w:val="24"/>
          <w:lang w:val="fr-BE"/>
        </w:rPr>
        <w:t xml:space="preserve"> </w:t>
      </w:r>
    </w:p>
    <w:p w:rsidR="00D9323F" w:rsidRDefault="00F47CDD">
      <w:pPr>
        <w:widowControl w:val="0"/>
        <w:autoSpaceDE w:val="0"/>
        <w:autoSpaceDN w:val="0"/>
        <w:adjustRightInd w:val="0"/>
        <w:spacing w:line="240" w:lineRule="auto"/>
        <w:jc w:val="both"/>
        <w:rPr>
          <w:rFonts w:ascii="Times New Roman" w:hAnsi="Times New Roman"/>
          <w:noProof/>
          <w:color w:val="000000"/>
          <w:sz w:val="24"/>
          <w:szCs w:val="24"/>
          <w:lang w:val="fr-BE"/>
        </w:rPr>
      </w:pPr>
      <w:r>
        <w:rPr>
          <w:rFonts w:ascii="Times New Roman" w:hAnsi="Times New Roman"/>
          <w:noProof/>
          <w:color w:val="000000"/>
          <w:sz w:val="24"/>
          <w:lang w:val="fr-BE"/>
        </w:rPr>
        <w:t>C’est par exemple le cas du domaine des paiements, dans lequel la Commission suit de près l’évolution technologique e</w:t>
      </w:r>
      <w:r>
        <w:rPr>
          <w:rFonts w:ascii="Times New Roman" w:hAnsi="Times New Roman"/>
          <w:noProof/>
          <w:color w:val="000000"/>
          <w:sz w:val="24"/>
          <w:lang w:val="fr-BE"/>
        </w:rPr>
        <w:t>n cours et l’émergence de nouveaux prestataires de services financiers.</w:t>
      </w:r>
      <w:r>
        <w:rPr>
          <w:rFonts w:ascii="Times New Roman" w:hAnsi="Times New Roman"/>
          <w:noProof/>
          <w:sz w:val="24"/>
          <w:lang w:val="fr-BE"/>
        </w:rPr>
        <w:t xml:space="preserve"> La Commission intervient, dans d’autres domaines, lorsqu’elle détecte un comportement anticoncurrentiel. De même, la Commission a continué d’utiliser son instrument de contrôle des con</w:t>
      </w:r>
      <w:r>
        <w:rPr>
          <w:rFonts w:ascii="Times New Roman" w:hAnsi="Times New Roman"/>
          <w:noProof/>
          <w:sz w:val="24"/>
          <w:lang w:val="fr-BE"/>
        </w:rPr>
        <w:t>centrations pour garantir que les concentrations et les entreprises communes n’entravent pas de manière significative une concurrence effective. Enfin, le contrôle des aides d’État porte sur des cas de soutien public à des sociétés de service public en vue</w:t>
      </w:r>
      <w:r>
        <w:rPr>
          <w:rFonts w:ascii="Times New Roman" w:hAnsi="Times New Roman"/>
          <w:noProof/>
          <w:sz w:val="24"/>
          <w:lang w:val="fr-BE"/>
        </w:rPr>
        <w:t xml:space="preserve"> de limiter les </w:t>
      </w:r>
      <w:r>
        <w:rPr>
          <w:rFonts w:ascii="Times New Roman" w:hAnsi="Times New Roman"/>
          <w:noProof/>
          <w:color w:val="000000"/>
          <w:sz w:val="24"/>
          <w:lang w:val="fr-BE"/>
        </w:rPr>
        <w:t>distorsions de la concurrence et de</w:t>
      </w:r>
      <w:r>
        <w:rPr>
          <w:rFonts w:ascii="Times New Roman" w:hAnsi="Times New Roman"/>
          <w:noProof/>
          <w:sz w:val="24"/>
          <w:lang w:val="fr-BE"/>
        </w:rPr>
        <w:t xml:space="preserve"> garantir, par exemple, que les banques non viables quittent le marché et ne sont pas maintenues artificiellement.</w:t>
      </w:r>
      <w:r>
        <w:rPr>
          <w:rFonts w:ascii="Times New Roman" w:hAnsi="Times New Roman"/>
          <w:noProof/>
          <w:color w:val="000000"/>
          <w:sz w:val="24"/>
          <w:lang w:val="fr-BE"/>
        </w:rPr>
        <w:t xml:space="preserve"> </w:t>
      </w:r>
    </w:p>
    <w:p w:rsidR="00D9323F" w:rsidRDefault="00F47CDD">
      <w:pPr>
        <w:spacing w:after="240" w:line="240" w:lineRule="auto"/>
        <w:rPr>
          <w:rFonts w:ascii="Times New Roman" w:eastAsia="Times New Roman" w:hAnsi="Times New Roman"/>
          <w:noProof/>
          <w:sz w:val="24"/>
          <w:szCs w:val="24"/>
          <w:lang w:val="fr-BE"/>
        </w:rPr>
      </w:pPr>
      <w:r>
        <w:rPr>
          <w:rFonts w:ascii="Times New Roman" w:hAnsi="Times New Roman"/>
          <w:b/>
          <w:noProof/>
          <w:sz w:val="24"/>
          <w:lang w:val="fr-BE"/>
        </w:rPr>
        <w:t xml:space="preserve">Contribution de la politique de concurrence de l’Union européenne à la résolution des problèmes </w:t>
      </w:r>
    </w:p>
    <w:p w:rsidR="00D9323F" w:rsidRDefault="00F47CDD">
      <w:pPr>
        <w:widowControl w:val="0"/>
        <w:autoSpaceDE w:val="0"/>
        <w:autoSpaceDN w:val="0"/>
        <w:adjustRightInd w:val="0"/>
        <w:spacing w:line="240" w:lineRule="auto"/>
        <w:jc w:val="both"/>
        <w:rPr>
          <w:rFonts w:ascii="Times New Roman" w:hAnsi="Times New Roman"/>
          <w:i/>
          <w:iCs/>
          <w:noProof/>
          <w:sz w:val="24"/>
          <w:szCs w:val="24"/>
          <w:lang w:val="fr-BE"/>
        </w:rPr>
      </w:pPr>
      <w:r>
        <w:rPr>
          <w:rFonts w:ascii="Times New Roman" w:hAnsi="Times New Roman"/>
          <w:i/>
          <w:noProof/>
          <w:sz w:val="24"/>
          <w:lang w:val="fr-BE"/>
        </w:rPr>
        <w:t>Contribution de la politique de concurrence de l’Union européenne à l’innovation et à l’équité dans le domaine des paiements</w:t>
      </w:r>
    </w:p>
    <w:p w:rsidR="00D9323F" w:rsidRDefault="00F47CDD">
      <w:pPr>
        <w:widowControl w:val="0"/>
        <w:spacing w:line="240" w:lineRule="auto"/>
        <w:jc w:val="both"/>
        <w:rPr>
          <w:rFonts w:ascii="Times New Roman" w:eastAsia="Times New Roman" w:hAnsi="Times New Roman"/>
          <w:noProof/>
          <w:sz w:val="24"/>
          <w:szCs w:val="24"/>
          <w:lang w:val="fr-BE"/>
        </w:rPr>
      </w:pPr>
      <w:r>
        <w:rPr>
          <w:rFonts w:ascii="Times New Roman" w:hAnsi="Times New Roman"/>
          <w:noProof/>
          <w:sz w:val="24"/>
          <w:lang w:val="fr-BE"/>
        </w:rPr>
        <w:t>La Commission continue de surveill</w:t>
      </w:r>
      <w:r>
        <w:rPr>
          <w:rFonts w:ascii="Times New Roman" w:hAnsi="Times New Roman"/>
          <w:noProof/>
          <w:sz w:val="24"/>
          <w:lang w:val="fr-BE"/>
        </w:rPr>
        <w:t>er la mise en œuvre du règlement relatif aux commissions d’interchange</w:t>
      </w:r>
      <w:r>
        <w:rPr>
          <w:rFonts w:ascii="Times New Roman" w:hAnsi="Times New Roman"/>
          <w:noProof/>
          <w:sz w:val="24"/>
          <w:vertAlign w:val="superscript"/>
        </w:rPr>
        <w:footnoteReference w:id="253"/>
      </w:r>
      <w:r>
        <w:rPr>
          <w:rFonts w:ascii="Times New Roman" w:hAnsi="Times New Roman"/>
          <w:noProof/>
          <w:sz w:val="24"/>
          <w:lang w:val="fr-BE"/>
        </w:rPr>
        <w:t xml:space="preserve"> (ci-après le «RCI»). Elle a commandé une étude qui a été lancée en septembre 2018. Le but de cette étude est de collecter et d’analyser des informations qualitatives et quantitatives c</w:t>
      </w:r>
      <w:r>
        <w:rPr>
          <w:rFonts w:ascii="Times New Roman" w:hAnsi="Times New Roman"/>
          <w:noProof/>
          <w:sz w:val="24"/>
          <w:lang w:val="fr-BE"/>
        </w:rPr>
        <w:t>lés sur le marché émanant de tous les États membres concernant l’application du règlement relatif aux commissions d’interchange. Elle vise à fournir des informations à la Commission européenne en vue de l’élaboration du rapport destiné au Parlement europée</w:t>
      </w:r>
      <w:r>
        <w:rPr>
          <w:rFonts w:ascii="Times New Roman" w:hAnsi="Times New Roman"/>
          <w:noProof/>
          <w:sz w:val="24"/>
          <w:lang w:val="fr-BE"/>
        </w:rPr>
        <w:t>n et au Conseil sur la mise en œuvre du RCI.</w:t>
      </w:r>
    </w:p>
    <w:p w:rsidR="00D9323F" w:rsidRDefault="00F47CDD">
      <w:pPr>
        <w:spacing w:line="240" w:lineRule="auto"/>
        <w:jc w:val="both"/>
        <w:rPr>
          <w:rFonts w:ascii="Times New Roman" w:eastAsia="Times New Roman" w:hAnsi="Times New Roman"/>
          <w:noProof/>
          <w:sz w:val="24"/>
          <w:szCs w:val="24"/>
          <w:lang w:val="fr-BE"/>
        </w:rPr>
      </w:pPr>
      <w:r>
        <w:rPr>
          <w:rFonts w:ascii="Times New Roman" w:hAnsi="Times New Roman"/>
          <w:noProof/>
          <w:sz w:val="24"/>
          <w:lang w:val="fr-BE"/>
        </w:rPr>
        <w:t>Le 18 janvier 2018, la Commission a publié des normes techniques de réglementation</w:t>
      </w:r>
      <w:r>
        <w:rPr>
          <w:rFonts w:ascii="Times New Roman" w:hAnsi="Times New Roman"/>
          <w:noProof/>
          <w:sz w:val="24"/>
          <w:vertAlign w:val="superscript"/>
        </w:rPr>
        <w:footnoteReference w:id="254"/>
      </w:r>
      <w:r>
        <w:rPr>
          <w:rFonts w:ascii="Times New Roman" w:hAnsi="Times New Roman"/>
          <w:noProof/>
          <w:sz w:val="24"/>
          <w:lang w:val="fr-BE"/>
        </w:rPr>
        <w:t xml:space="preserve"> (ci-après les «NTR») en vertu du RCI, lesquelles fixent les exigences applicables aux schémas de cartes de paiement et aux enti</w:t>
      </w:r>
      <w:r>
        <w:rPr>
          <w:rFonts w:ascii="Times New Roman" w:hAnsi="Times New Roman"/>
          <w:noProof/>
          <w:sz w:val="24"/>
          <w:lang w:val="fr-BE"/>
        </w:rPr>
        <w:t>tés de traitement afin de garantir leur indépendance sur le plan comptable, organisationnel et décisionnel. Les NTR sont devenues applicables le 7 février 2018. Elles portent sur la mise en œuvre de l’exigence du RCI relative à l’indépendance des schémas d</w:t>
      </w:r>
      <w:r>
        <w:rPr>
          <w:rFonts w:ascii="Times New Roman" w:hAnsi="Times New Roman"/>
          <w:noProof/>
          <w:sz w:val="24"/>
          <w:lang w:val="fr-BE"/>
        </w:rPr>
        <w:t xml:space="preserve">e cartes et des entités de traitement. </w:t>
      </w:r>
    </w:p>
    <w:p w:rsidR="00D9323F" w:rsidRDefault="00F47CDD">
      <w:pPr>
        <w:widowControl w:val="0"/>
        <w:spacing w:line="240" w:lineRule="auto"/>
        <w:jc w:val="both"/>
        <w:rPr>
          <w:rFonts w:ascii="Times New Roman" w:eastAsia="Times New Roman" w:hAnsi="Times New Roman"/>
          <w:noProof/>
          <w:sz w:val="24"/>
          <w:szCs w:val="24"/>
          <w:lang w:val="fr-BE"/>
        </w:rPr>
      </w:pPr>
      <w:r>
        <w:rPr>
          <w:rFonts w:ascii="Times New Roman" w:hAnsi="Times New Roman"/>
          <w:noProof/>
          <w:sz w:val="24"/>
          <w:lang w:val="fr-BE"/>
        </w:rPr>
        <w:t>Le 7 février 2018, le Tribunal a rendu une décision dans l’affaire American Express</w:t>
      </w:r>
      <w:r>
        <w:rPr>
          <w:rFonts w:ascii="Times New Roman" w:hAnsi="Times New Roman"/>
          <w:noProof/>
          <w:sz w:val="24"/>
          <w:vertAlign w:val="superscript"/>
        </w:rPr>
        <w:footnoteReference w:id="255"/>
      </w:r>
      <w:r>
        <w:rPr>
          <w:rFonts w:ascii="Times New Roman" w:hAnsi="Times New Roman"/>
          <w:noProof/>
          <w:sz w:val="24"/>
          <w:lang w:val="fr-BE"/>
        </w:rPr>
        <w:t xml:space="preserve"> concernant l’application du règlement relatif aux commissions d’interchange aux schémas tripartites. Il a précisé qu’un schéma trip</w:t>
      </w:r>
      <w:r>
        <w:rPr>
          <w:rFonts w:ascii="Times New Roman" w:hAnsi="Times New Roman"/>
          <w:noProof/>
          <w:sz w:val="24"/>
          <w:lang w:val="fr-BE"/>
        </w:rPr>
        <w:t>artite qui émet un instrument de paiement avec un partenaire de comarquage ou par l’intermédiaire d’un agent est considéré comme étant un schéma quadripartite et est donc soumis aux dispositions pertinentes du RCI, que le partenaire de comarquage ou l’agen</w:t>
      </w:r>
      <w:r>
        <w:rPr>
          <w:rFonts w:ascii="Times New Roman" w:hAnsi="Times New Roman"/>
          <w:noProof/>
          <w:sz w:val="24"/>
          <w:lang w:val="fr-BE"/>
        </w:rPr>
        <w:t>t agisse ou non en tant qu’émetteur. Dans la plupart des États membres, les cartes de crédit sont le principal moyen de paiement sur l’internet. Or, les paiements par carte sur l’internet peuvent être fastidieux, onéreux pour les commerçants et peu sécuris</w:t>
      </w:r>
      <w:r>
        <w:rPr>
          <w:rFonts w:ascii="Times New Roman" w:hAnsi="Times New Roman"/>
          <w:noProof/>
          <w:sz w:val="24"/>
          <w:lang w:val="fr-BE"/>
        </w:rPr>
        <w:t>és, donnant lieu à un niveau élevé de fraude</w:t>
      </w:r>
      <w:r>
        <w:rPr>
          <w:rFonts w:ascii="Times New Roman" w:hAnsi="Times New Roman"/>
          <w:noProof/>
          <w:sz w:val="24"/>
          <w:vertAlign w:val="superscript"/>
        </w:rPr>
        <w:footnoteReference w:id="256"/>
      </w:r>
      <w:r>
        <w:rPr>
          <w:rFonts w:ascii="Times New Roman" w:hAnsi="Times New Roman"/>
          <w:noProof/>
          <w:sz w:val="24"/>
          <w:lang w:val="fr-BE"/>
        </w:rPr>
        <w:t>. De plus, seuls 60 % des citoyens de l’Union possèdent de telles cartes. La directive sur les services de paiement</w:t>
      </w:r>
      <w:r>
        <w:rPr>
          <w:rFonts w:ascii="Times New Roman" w:hAnsi="Times New Roman"/>
          <w:noProof/>
          <w:sz w:val="24"/>
          <w:vertAlign w:val="superscript"/>
        </w:rPr>
        <w:footnoteReference w:id="257"/>
      </w:r>
      <w:r>
        <w:rPr>
          <w:rFonts w:ascii="Times New Roman" w:hAnsi="Times New Roman"/>
          <w:noProof/>
          <w:sz w:val="24"/>
          <w:lang w:val="fr-BE"/>
        </w:rPr>
        <w:t xml:space="preserve"> (ci-après la «DSP II») tient compte des prestataires tiers (détenus ou non par des banques) so</w:t>
      </w:r>
      <w:r>
        <w:rPr>
          <w:rFonts w:ascii="Times New Roman" w:hAnsi="Times New Roman"/>
          <w:noProof/>
          <w:sz w:val="24"/>
          <w:lang w:val="fr-BE"/>
        </w:rPr>
        <w:t>umis à réglementation, qui proposent d’autres moyens de paiement sur l’internet (par exemple, virements par l’intermédiaire du site web de la banque du consommateur, dont le système de virement de l’espace unique de paiements en euros] ou qui permettent au</w:t>
      </w:r>
      <w:r>
        <w:rPr>
          <w:rFonts w:ascii="Times New Roman" w:hAnsi="Times New Roman"/>
          <w:noProof/>
          <w:sz w:val="24"/>
          <w:lang w:val="fr-BE"/>
        </w:rPr>
        <w:t xml:space="preserve">x consommateurs d’avoir une vue d’ensemble de leur situation financière et de leurs habitudes de dépenses sur tous leurs comptes bancaires. </w:t>
      </w:r>
    </w:p>
    <w:p w:rsidR="00D9323F" w:rsidRDefault="00F47CDD">
      <w:pPr>
        <w:widowControl w:val="0"/>
        <w:autoSpaceDE w:val="0"/>
        <w:autoSpaceDN w:val="0"/>
        <w:adjustRightInd w:val="0"/>
        <w:spacing w:line="240" w:lineRule="auto"/>
        <w:jc w:val="both"/>
        <w:rPr>
          <w:rFonts w:ascii="Times New Roman" w:eastAsia="Times New Roman" w:hAnsi="Times New Roman"/>
          <w:noProof/>
          <w:sz w:val="24"/>
          <w:szCs w:val="24"/>
          <w:lang w:val="fr-BE"/>
        </w:rPr>
      </w:pPr>
      <w:r>
        <w:rPr>
          <w:rFonts w:ascii="Times New Roman" w:hAnsi="Times New Roman"/>
          <w:noProof/>
          <w:sz w:val="24"/>
          <w:lang w:val="fr-BE"/>
        </w:rPr>
        <w:t>La mise en œuvre du RCI et de la DSP II ouvre la voie à davantage de concurrence et d’innovation dans le secteur de</w:t>
      </w:r>
      <w:r>
        <w:rPr>
          <w:rFonts w:ascii="Times New Roman" w:hAnsi="Times New Roman"/>
          <w:noProof/>
          <w:sz w:val="24"/>
          <w:lang w:val="fr-BE"/>
        </w:rPr>
        <w:t xml:space="preserve">s paiements, dans l’intérêt des consommateurs et des commerçants. </w:t>
      </w:r>
    </w:p>
    <w:p w:rsidR="00D9323F" w:rsidRDefault="00F47CDD">
      <w:pPr>
        <w:widowControl w:val="0"/>
        <w:autoSpaceDE w:val="0"/>
        <w:autoSpaceDN w:val="0"/>
        <w:adjustRightInd w:val="0"/>
        <w:spacing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lang w:val="fr-BE"/>
        </w:rPr>
        <w:t>Enquêtes en matière d’ententes et d’abus de position dominante dans le secteur des services financiers</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En 2018, la Commission a poursuivi ses enquêtes en matière d’ententes dans le secteur </w:t>
      </w:r>
      <w:r>
        <w:rPr>
          <w:rFonts w:ascii="Times New Roman" w:eastAsiaTheme="minorHAnsi" w:hAnsi="Times New Roman"/>
          <w:noProof/>
          <w:sz w:val="24"/>
          <w:lang w:val="fr-BE"/>
        </w:rPr>
        <w:t>financier, l’un des domaines d’action prioritaires de la Commission pour parvenir à un marché intérieur plus intégré et plus équitable. La Commission a également continué de surveiller la concurrence sur les marchés de capitaux, et s’est penchée en particu</w:t>
      </w:r>
      <w:r>
        <w:rPr>
          <w:rFonts w:ascii="Times New Roman" w:eastAsiaTheme="minorHAnsi" w:hAnsi="Times New Roman"/>
          <w:noProof/>
          <w:sz w:val="24"/>
          <w:lang w:val="fr-BE"/>
        </w:rPr>
        <w:t>lier sur le marché des données relatives aux actions et sur le marché des actions sur lesquels des commissions/prix élevés persistent. Dans le domaine de l’assurance automobile, la Commission a continué d’enquêter sur des allégations de violations des arti</w:t>
      </w:r>
      <w:r>
        <w:rPr>
          <w:rFonts w:ascii="Times New Roman" w:eastAsiaTheme="minorHAnsi" w:hAnsi="Times New Roman"/>
          <w:noProof/>
          <w:sz w:val="24"/>
          <w:lang w:val="fr-BE"/>
        </w:rPr>
        <w:t xml:space="preserve">cles 101 et 102 du TFUE sur le marché irlandais. De plus, la Commission a progressé dans son enquête sur les règles d’acquisition transfrontalière de </w:t>
      </w:r>
      <w:r>
        <w:rPr>
          <w:rFonts w:ascii="Times New Roman" w:eastAsiaTheme="minorHAnsi" w:hAnsi="Times New Roman"/>
          <w:i/>
          <w:noProof/>
          <w:sz w:val="24"/>
          <w:lang w:val="fr-BE"/>
        </w:rPr>
        <w:t>Mastercard</w:t>
      </w:r>
      <w:r>
        <w:rPr>
          <w:rFonts w:ascii="Times New Roman" w:eastAsiaTheme="minorHAnsi" w:hAnsi="Times New Roman"/>
          <w:noProof/>
          <w:sz w:val="24"/>
          <w:lang w:val="fr-BE"/>
        </w:rPr>
        <w:t>, qui empêcheraient les commerçants situés dans des pays appliquant des commissions d’interchang</w:t>
      </w:r>
      <w:r>
        <w:rPr>
          <w:rFonts w:ascii="Times New Roman" w:eastAsiaTheme="minorHAnsi" w:hAnsi="Times New Roman"/>
          <w:noProof/>
          <w:sz w:val="24"/>
          <w:lang w:val="fr-BE"/>
        </w:rPr>
        <w:t xml:space="preserve">e élevées de chercher à acquérir des services moins chers auprès d’acquéreurs établis dans les États membres appliquant des commissions d’interchange moins élevées. </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outre, la Commission a poursuivi ses enquêtes en matière d’ententes portant sur les com</w:t>
      </w:r>
      <w:r>
        <w:rPr>
          <w:rFonts w:ascii="Times New Roman" w:eastAsiaTheme="minorHAnsi" w:hAnsi="Times New Roman"/>
          <w:noProof/>
          <w:sz w:val="24"/>
          <w:lang w:val="fr-BE"/>
        </w:rPr>
        <w:t xml:space="preserve">missions multilatérales d’interchange (ci-après les «CMI») appliquées par </w:t>
      </w:r>
      <w:r>
        <w:rPr>
          <w:rFonts w:ascii="Times New Roman" w:eastAsiaTheme="minorHAnsi" w:hAnsi="Times New Roman"/>
          <w:i/>
          <w:noProof/>
          <w:sz w:val="24"/>
          <w:lang w:val="fr-BE"/>
        </w:rPr>
        <w:t>MasterCard, Visa Inc.</w:t>
      </w:r>
      <w:r>
        <w:rPr>
          <w:rFonts w:ascii="Times New Roman" w:eastAsiaTheme="minorHAnsi" w:hAnsi="Times New Roman"/>
          <w:noProof/>
          <w:sz w:val="24"/>
          <w:lang w:val="fr-BE"/>
        </w:rPr>
        <w:t xml:space="preserve"> et </w:t>
      </w:r>
      <w:r>
        <w:rPr>
          <w:rFonts w:ascii="Times New Roman" w:eastAsiaTheme="minorHAnsi" w:hAnsi="Times New Roman"/>
          <w:i/>
          <w:noProof/>
          <w:sz w:val="24"/>
          <w:lang w:val="fr-BE"/>
        </w:rPr>
        <w:t>Visa International</w:t>
      </w:r>
      <w:r>
        <w:rPr>
          <w:rFonts w:ascii="Times New Roman" w:eastAsiaTheme="minorHAnsi" w:hAnsi="Times New Roman"/>
          <w:noProof/>
          <w:sz w:val="24"/>
          <w:vertAlign w:val="superscript"/>
        </w:rPr>
        <w:footnoteReference w:id="258"/>
      </w:r>
      <w:r>
        <w:rPr>
          <w:rFonts w:ascii="Times New Roman" w:eastAsiaTheme="minorHAnsi" w:hAnsi="Times New Roman"/>
          <w:noProof/>
          <w:sz w:val="24"/>
          <w:lang w:val="fr-BE"/>
        </w:rPr>
        <w:t xml:space="preserve"> aux opérations réalisées dans l’EEE à l’aide de cartes émises en dehors de l’EEE (ci-après les «CMI interrégionales»). Les CMI interrégionales ne sont pas plafonnées par le règlement relatif aux commissions d’interchange. Ces commissions représentent touj</w:t>
      </w:r>
      <w:r>
        <w:rPr>
          <w:rFonts w:ascii="Times New Roman" w:eastAsiaTheme="minorHAnsi" w:hAnsi="Times New Roman"/>
          <w:noProof/>
          <w:sz w:val="24"/>
          <w:lang w:val="fr-BE"/>
        </w:rPr>
        <w:t>ours une charge significative pour les commerçants européens et augmentent les prix de détail pour tous les consommateurs. La Commission a adressé à Visa Inc. et à Visa International une communication des griefs supplémentaire concernant les CMI interrégio</w:t>
      </w:r>
      <w:r>
        <w:rPr>
          <w:rFonts w:ascii="Times New Roman" w:eastAsiaTheme="minorHAnsi" w:hAnsi="Times New Roman"/>
          <w:noProof/>
          <w:sz w:val="24"/>
          <w:lang w:val="fr-BE"/>
        </w:rPr>
        <w:t>nales en août 2017</w:t>
      </w:r>
      <w:r>
        <w:rPr>
          <w:rFonts w:ascii="Times New Roman" w:eastAsiaTheme="minorHAnsi" w:hAnsi="Times New Roman"/>
          <w:noProof/>
          <w:sz w:val="24"/>
          <w:vertAlign w:val="superscript"/>
        </w:rPr>
        <w:footnoteReference w:id="259"/>
      </w:r>
      <w:r>
        <w:rPr>
          <w:rFonts w:ascii="Times New Roman" w:eastAsiaTheme="minorHAnsi" w:hAnsi="Times New Roman"/>
          <w:noProof/>
          <w:sz w:val="24"/>
          <w:lang w:val="fr-BE"/>
        </w:rPr>
        <w:t xml:space="preserve"> et l’audition a eu lieu en février 2018. </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En novembre 2018, Mastercard et Visa ont proposé des engagements visant à répondre aux problèmes de concurrence décelés par la Commission. Les deux schémas de cartes ont proposé de réduire le ni</w:t>
      </w:r>
      <w:r>
        <w:rPr>
          <w:rFonts w:ascii="Times New Roman" w:eastAsiaTheme="minorHAnsi" w:hAnsi="Times New Roman"/>
          <w:noProof/>
          <w:sz w:val="24"/>
          <w:lang w:val="fr-BE"/>
        </w:rPr>
        <w:t>veau actuel des CMI interrégionales à un seuil inférieur ou égal à des plafonds contraignants. De plus, Mastercard et Visa ont accepté de publier toutes les CMI interrégionales couvertes par les engagements de manière clairement visible sur leur site web r</w:t>
      </w:r>
      <w:r>
        <w:rPr>
          <w:rFonts w:ascii="Times New Roman" w:eastAsiaTheme="minorHAnsi" w:hAnsi="Times New Roman"/>
          <w:noProof/>
          <w:sz w:val="24"/>
          <w:lang w:val="fr-BE"/>
        </w:rPr>
        <w:t>espectif. Afin de vérifier la pertinence des engagements proposés, la Commission a consulté les acteurs du marché le 5 décembre 2018</w:t>
      </w:r>
      <w:r>
        <w:rPr>
          <w:rFonts w:ascii="Times New Roman" w:eastAsiaTheme="minorHAnsi" w:hAnsi="Times New Roman"/>
          <w:noProof/>
          <w:sz w:val="24"/>
          <w:vertAlign w:val="superscript"/>
        </w:rPr>
        <w:footnoteReference w:id="260"/>
      </w:r>
      <w:r>
        <w:rPr>
          <w:rFonts w:ascii="Times New Roman" w:eastAsiaTheme="minorHAnsi" w:hAnsi="Times New Roman"/>
          <w:noProof/>
          <w:sz w:val="24"/>
          <w:lang w:val="fr-BE"/>
        </w:rPr>
        <w:t>.</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À l’heure où les technologies permettent l’émergence de nouveaux services, tels que les paiements électroniques et </w:t>
      </w:r>
      <w:r>
        <w:rPr>
          <w:rFonts w:ascii="Times New Roman" w:eastAsiaTheme="minorHAnsi" w:hAnsi="Times New Roman"/>
          <w:noProof/>
          <w:sz w:val="24"/>
          <w:lang w:val="fr-BE"/>
        </w:rPr>
        <w:t>mobiles, qui apportent des bienfaits potentiels considérables aux consommateurs et aux entreprises, notamment dans le cadre du marché unique numérique, la Commission a continué de suivre l’évolution des nouveaux services de paiement et a poursuivi l’enquêt</w:t>
      </w:r>
      <w:r>
        <w:rPr>
          <w:rFonts w:ascii="Times New Roman" w:eastAsiaTheme="minorHAnsi" w:hAnsi="Times New Roman"/>
          <w:noProof/>
          <w:sz w:val="24"/>
          <w:lang w:val="fr-BE"/>
        </w:rPr>
        <w:t>e en matière d’ententes concernant des allégations selon lesquelles les banques pourraient empêcher des fournisseurs de services concurrents non détenus par des banques d’avoir accès en ligne aux informations bancaires [de leurs clients], et ce afin d’excl</w:t>
      </w:r>
      <w:r>
        <w:rPr>
          <w:rFonts w:ascii="Times New Roman" w:eastAsiaTheme="minorHAnsi" w:hAnsi="Times New Roman"/>
          <w:noProof/>
          <w:sz w:val="24"/>
          <w:lang w:val="fr-BE"/>
        </w:rPr>
        <w:t>ure ces fournisseurs du marché</w:t>
      </w:r>
      <w:r>
        <w:rPr>
          <w:rFonts w:ascii="Times New Roman" w:eastAsiaTheme="minorHAnsi" w:hAnsi="Times New Roman"/>
          <w:noProof/>
          <w:sz w:val="24"/>
          <w:vertAlign w:val="superscript"/>
        </w:rPr>
        <w:footnoteReference w:id="261"/>
      </w:r>
      <w:r>
        <w:rPr>
          <w:rFonts w:ascii="Times New Roman" w:eastAsiaTheme="minorHAnsi" w:hAnsi="Times New Roman"/>
          <w:noProof/>
          <w:sz w:val="24"/>
          <w:lang w:val="fr-BE"/>
        </w:rPr>
        <w:t>. Il importe de faire en sorte que tous services nouveaux et innovants aient de bonnes chances de se développer et que les opérateurs historiques n’excluent pas de nouveaux entrants sur le marché ou ne tentent pas de s’accapa</w:t>
      </w:r>
      <w:r>
        <w:rPr>
          <w:rFonts w:ascii="Times New Roman" w:eastAsiaTheme="minorHAnsi" w:hAnsi="Times New Roman"/>
          <w:noProof/>
          <w:sz w:val="24"/>
          <w:lang w:val="fr-BE"/>
        </w:rPr>
        <w:t>rer des parts de marché substantielles.</w:t>
      </w:r>
    </w:p>
    <w:p w:rsidR="00D9323F" w:rsidRDefault="00F47CDD">
      <w:pPr>
        <w:widowControl w:val="0"/>
        <w:autoSpaceDE w:val="0"/>
        <w:autoSpaceDN w:val="0"/>
        <w:adjustRightInd w:val="0"/>
        <w:spacing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lang w:val="fr-BE"/>
        </w:rPr>
        <w:t>Enquêtes sur les opérations de concentration dans le secteur financier</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La Commission a continué de veiller à ce que les concentrations dans le secteur des services financiers n’aboutissent pas à des prix plus élevés </w:t>
      </w:r>
      <w:r>
        <w:rPr>
          <w:rFonts w:ascii="Times New Roman" w:eastAsiaTheme="minorHAnsi" w:hAnsi="Times New Roman"/>
          <w:noProof/>
          <w:sz w:val="24"/>
          <w:lang w:val="fr-BE"/>
        </w:rPr>
        <w:t>et à un choix réduit pour les consommateurs. En 2018, la Commission a traité plusieurs affaires dans ce secteur, concernant notamment des activités d’assurance, bancaires et de paiement, qui ne constituaient pas une menace concurrentielle et pouvaient être</w:t>
      </w:r>
      <w:r>
        <w:rPr>
          <w:rFonts w:ascii="Times New Roman" w:eastAsiaTheme="minorHAnsi" w:hAnsi="Times New Roman"/>
          <w:noProof/>
          <w:sz w:val="24"/>
          <w:lang w:val="fr-BE"/>
        </w:rPr>
        <w:t xml:space="preserve"> autorisées sans exiger de recours</w:t>
      </w:r>
      <w:r>
        <w:rPr>
          <w:rFonts w:ascii="Times New Roman" w:eastAsiaTheme="minorHAnsi" w:hAnsi="Times New Roman"/>
          <w:noProof/>
          <w:sz w:val="24"/>
          <w:vertAlign w:val="superscript"/>
        </w:rPr>
        <w:footnoteReference w:id="262"/>
      </w:r>
      <w:r>
        <w:rPr>
          <w:rFonts w:ascii="Times New Roman" w:eastAsiaTheme="minorHAnsi" w:hAnsi="Times New Roman"/>
          <w:noProof/>
          <w:sz w:val="24"/>
          <w:lang w:val="fr-BE"/>
        </w:rPr>
        <w:t xml:space="preserve">. </w:t>
      </w:r>
    </w:p>
    <w:p w:rsidR="00D9323F" w:rsidRDefault="00F47CDD">
      <w:pPr>
        <w:widowControl w:val="0"/>
        <w:autoSpaceDE w:val="0"/>
        <w:autoSpaceDN w:val="0"/>
        <w:adjustRightInd w:val="0"/>
        <w:spacing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lang w:val="fr-BE"/>
        </w:rPr>
        <w:t>Enquêtes sur les aides d’État dans le secteur financier</w:t>
      </w:r>
    </w:p>
    <w:p w:rsidR="00D9323F" w:rsidRDefault="00F47CDD">
      <w:pPr>
        <w:autoSpaceDE w:val="0"/>
        <w:autoSpaceDN w:val="0"/>
        <w:adjustRightInd w:val="0"/>
        <w:spacing w:line="240" w:lineRule="auto"/>
        <w:jc w:val="both"/>
        <w:rPr>
          <w:rFonts w:ascii="Times New Roman" w:eastAsiaTheme="minorHAnsi" w:hAnsi="Times New Roman"/>
          <w:noProof/>
          <w:sz w:val="24"/>
          <w:szCs w:val="24"/>
          <w:lang w:val="fr-BE"/>
        </w:rPr>
      </w:pPr>
      <w:r>
        <w:rPr>
          <w:rFonts w:ascii="Times New Roman" w:hAnsi="Times New Roman"/>
          <w:noProof/>
          <w:sz w:val="24"/>
          <w:lang w:val="fr-BE"/>
        </w:rPr>
        <w:t>La stabilisation générale du secteur financier a entraîné une réduction des affaires d’aide d’État. De plus, la Commission a pu clore le suivi de dix autres banqu</w:t>
      </w:r>
      <w:r>
        <w:rPr>
          <w:rFonts w:ascii="Times New Roman" w:hAnsi="Times New Roman"/>
          <w:noProof/>
          <w:sz w:val="24"/>
          <w:lang w:val="fr-BE"/>
        </w:rPr>
        <w:t>es concernant les obligations d’engagement résultant de décisions antérieures en matière d’aides d’État. En dépit de cette évolution globalement positive, le secteur bancaire de l’Union européenne rencontre toujours des problèmes, et en 2018 également, des</w:t>
      </w:r>
      <w:r>
        <w:rPr>
          <w:rFonts w:ascii="Times New Roman" w:hAnsi="Times New Roman"/>
          <w:noProof/>
          <w:sz w:val="24"/>
          <w:lang w:val="fr-BE"/>
        </w:rPr>
        <w:t xml:space="preserve"> banques ont demandé un soutien public. </w:t>
      </w:r>
    </w:p>
    <w:p w:rsidR="00D9323F" w:rsidRDefault="00F47CDD">
      <w:pPr>
        <w:autoSpaceDE w:val="0"/>
        <w:autoSpaceDN w:val="0"/>
        <w:adjustRightInd w:val="0"/>
        <w:spacing w:line="240" w:lineRule="auto"/>
        <w:jc w:val="both"/>
        <w:rPr>
          <w:rFonts w:ascii="Times New Roman" w:hAnsi="Times New Roman"/>
          <w:noProof/>
          <w:sz w:val="24"/>
          <w:szCs w:val="24"/>
          <w:lang w:val="fr-BE"/>
        </w:rPr>
      </w:pPr>
      <w:r>
        <w:rPr>
          <w:rFonts w:ascii="Times New Roman" w:eastAsiaTheme="minorHAnsi" w:hAnsi="Times New Roman"/>
          <w:noProof/>
          <w:sz w:val="24"/>
          <w:lang w:val="fr-BE"/>
        </w:rPr>
        <w:t xml:space="preserve">En 2018, la Commission a continué d’appliquer les règles de l’Union européenne en matière d’aides d’État pour les banques, en particulier la </w:t>
      </w:r>
      <w:r>
        <w:rPr>
          <w:rFonts w:ascii="Times New Roman" w:eastAsiaTheme="minorHAnsi" w:hAnsi="Times New Roman"/>
          <w:i/>
          <w:noProof/>
          <w:sz w:val="24"/>
          <w:lang w:val="fr-BE"/>
        </w:rPr>
        <w:t>communication concernant le secteur bancaire de 2013</w:t>
      </w:r>
      <w:r>
        <w:rPr>
          <w:rFonts w:ascii="Times New Roman" w:hAnsi="Times New Roman"/>
          <w:noProof/>
          <w:sz w:val="24"/>
          <w:vertAlign w:val="superscript"/>
        </w:rPr>
        <w:footnoteReference w:id="263"/>
      </w:r>
      <w:r>
        <w:rPr>
          <w:rFonts w:ascii="Times New Roman" w:eastAsiaTheme="minorHAnsi" w:hAnsi="Times New Roman"/>
          <w:noProof/>
          <w:sz w:val="24"/>
          <w:lang w:val="fr-BE"/>
        </w:rPr>
        <w:t>, tout en assurant un</w:t>
      </w:r>
      <w:r>
        <w:rPr>
          <w:rFonts w:ascii="Times New Roman" w:eastAsiaTheme="minorHAnsi" w:hAnsi="Times New Roman"/>
          <w:noProof/>
          <w:sz w:val="24"/>
          <w:lang w:val="fr-BE"/>
        </w:rPr>
        <w:t>e étroite coordination avec les autorités qui sont chargées de la surveillance bancaire et sont liées au cadre de l’union bancaire</w:t>
      </w:r>
      <w:r>
        <w:rPr>
          <w:rFonts w:ascii="Times New Roman" w:eastAsiaTheme="minorHAnsi" w:hAnsi="Times New Roman"/>
          <w:noProof/>
          <w:sz w:val="24"/>
          <w:vertAlign w:val="superscript"/>
        </w:rPr>
        <w:footnoteReference w:id="264"/>
      </w:r>
      <w:r>
        <w:rPr>
          <w:rFonts w:ascii="Times New Roman" w:eastAsiaTheme="minorHAnsi" w:hAnsi="Times New Roman"/>
          <w:noProof/>
          <w:sz w:val="24"/>
          <w:lang w:val="fr-BE"/>
        </w:rPr>
        <w:t>. Pour ce qui est des banques défaillantes, les règles en matière d’aides d’État opèrent une distinction entre celles qui peu</w:t>
      </w:r>
      <w:r>
        <w:rPr>
          <w:rFonts w:ascii="Times New Roman" w:eastAsiaTheme="minorHAnsi" w:hAnsi="Times New Roman"/>
          <w:noProof/>
          <w:sz w:val="24"/>
          <w:lang w:val="fr-BE"/>
        </w:rPr>
        <w:t xml:space="preserve">vent être restructurées et redevenir viables et les banques non viables qui doivent quitter le marché. </w:t>
      </w:r>
    </w:p>
    <w:p w:rsidR="00D9323F" w:rsidRDefault="00F47CDD">
      <w:pPr>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À l’heure actuelle, l’une des principales inquiétudes est le niveau des prêts improductifs qui demeure élevé dans certains États membres. Les ratios éle</w:t>
      </w:r>
      <w:r>
        <w:rPr>
          <w:rFonts w:ascii="Times New Roman" w:hAnsi="Times New Roman"/>
          <w:noProof/>
          <w:sz w:val="24"/>
          <w:lang w:val="fr-BE"/>
        </w:rPr>
        <w:t>vés de prêts improductifs affaiblissent les banques qui sont accablées de pertes héritées du passé et d’importantes provisions et rendent presque impossibles leurs tentatives de générer des revenus suffisants. Parallèlement, il est souvent très difficile p</w:t>
      </w:r>
      <w:r>
        <w:rPr>
          <w:rFonts w:ascii="Times New Roman" w:hAnsi="Times New Roman"/>
          <w:noProof/>
          <w:sz w:val="24"/>
          <w:lang w:val="fr-BE"/>
        </w:rPr>
        <w:t>our les banques concernées de trouver de nouveaux capitaux sur le marché.</w:t>
      </w:r>
    </w:p>
    <w:p w:rsidR="00D9323F" w:rsidRDefault="00F47CDD">
      <w:pPr>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Des banques qui sont gênées par des ratios élevés de prêts improductifs ont donc demandé une aide pour soutenir leurs efforts de restructuration, par exemple au moyen de la défaisanc</w:t>
      </w:r>
      <w:r>
        <w:rPr>
          <w:rFonts w:ascii="Times New Roman" w:hAnsi="Times New Roman"/>
          <w:noProof/>
          <w:sz w:val="24"/>
          <w:lang w:val="fr-BE"/>
        </w:rPr>
        <w:t>e des prêts improductifs. Pour limiter les distorsions de la concurrence, la Commission pouvait toutefois seulement autoriser un soutien à une banque non viable à condition qu’elle se retire du marché. En 2018, par exemple, la Commission a autorisé une aid</w:t>
      </w:r>
      <w:r>
        <w:rPr>
          <w:rFonts w:ascii="Times New Roman" w:hAnsi="Times New Roman"/>
          <w:noProof/>
          <w:sz w:val="24"/>
          <w:lang w:val="fr-BE"/>
        </w:rPr>
        <w:t>e d’État pour la vente de la deuxième plus grande banque chypriote, Cyprus Cooperative Bank, et la liquidation de l’entité résiduelle en tant qu’aide à la liquidation</w:t>
      </w:r>
      <w:r>
        <w:rPr>
          <w:rFonts w:ascii="Times New Roman" w:eastAsiaTheme="minorHAnsi" w:hAnsi="Times New Roman"/>
          <w:noProof/>
          <w:sz w:val="24"/>
          <w:vertAlign w:val="superscript"/>
        </w:rPr>
        <w:footnoteReference w:id="265"/>
      </w:r>
      <w:r>
        <w:rPr>
          <w:rFonts w:ascii="Times New Roman" w:hAnsi="Times New Roman"/>
          <w:noProof/>
          <w:sz w:val="24"/>
          <w:lang w:val="fr-BE"/>
        </w:rPr>
        <w:t>. Cela a permis à la banque, qui avait déjà reçu deux fois un soutien de l’État par le pa</w:t>
      </w:r>
      <w:r>
        <w:rPr>
          <w:rFonts w:ascii="Times New Roman" w:hAnsi="Times New Roman"/>
          <w:noProof/>
          <w:sz w:val="24"/>
          <w:lang w:val="fr-BE"/>
        </w:rPr>
        <w:t xml:space="preserve">ssé, de se retirer du marché de manière ordonnée. </w:t>
      </w:r>
    </w:p>
    <w:p w:rsidR="00D9323F" w:rsidRDefault="00F47CDD">
      <w:pPr>
        <w:widowControl w:val="0"/>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 xml:space="preserve">Des progrès ont également été accomplis concernant les régimes de garantie de certains États membres. Par exemple, le </w:t>
      </w:r>
      <w:r>
        <w:rPr>
          <w:rFonts w:ascii="Times New Roman" w:eastAsiaTheme="minorHAnsi" w:hAnsi="Times New Roman"/>
          <w:i/>
          <w:noProof/>
          <w:sz w:val="24"/>
          <w:lang w:val="fr-BE"/>
        </w:rPr>
        <w:t>régime italien de garantie visant à faciliter la titrisation des prêts improductifs</w:t>
      </w:r>
      <w:r>
        <w:rPr>
          <w:rFonts w:ascii="Times New Roman" w:eastAsiaTheme="minorHAnsi" w:hAnsi="Times New Roman"/>
          <w:noProof/>
          <w:sz w:val="24"/>
          <w:lang w:val="fr-BE"/>
        </w:rPr>
        <w:t xml:space="preserve"> (GA</w:t>
      </w:r>
      <w:r>
        <w:rPr>
          <w:rFonts w:ascii="Times New Roman" w:eastAsiaTheme="minorHAnsi" w:hAnsi="Times New Roman"/>
          <w:noProof/>
          <w:sz w:val="24"/>
          <w:lang w:val="fr-BE"/>
        </w:rPr>
        <w:t>CS), initialement autorisé en février 2016, a été prolongé une deuxième fois le 31 août 2018</w:t>
      </w:r>
      <w:r>
        <w:rPr>
          <w:rFonts w:ascii="Times New Roman" w:eastAsiaTheme="minorHAnsi" w:hAnsi="Times New Roman"/>
          <w:noProof/>
          <w:sz w:val="24"/>
          <w:vertAlign w:val="superscript"/>
        </w:rPr>
        <w:footnoteReference w:id="266"/>
      </w:r>
      <w:r>
        <w:rPr>
          <w:rFonts w:ascii="Times New Roman" w:eastAsiaTheme="minorHAnsi" w:hAnsi="Times New Roman"/>
          <w:noProof/>
          <w:sz w:val="24"/>
          <w:lang w:val="fr-BE"/>
        </w:rPr>
        <w:t>. Conformément à ce régime, les banques italiennes qui satisfont à certaines conditions continueront de pouvoir solliciter une garantie d’État couvrant les produit</w:t>
      </w:r>
      <w:r>
        <w:rPr>
          <w:rFonts w:ascii="Times New Roman" w:eastAsiaTheme="minorHAnsi" w:hAnsi="Times New Roman"/>
          <w:noProof/>
          <w:sz w:val="24"/>
          <w:lang w:val="fr-BE"/>
        </w:rPr>
        <w:t>s de titrisation «senior» moins risqués émis par les instruments de titrisation privés qui contribuent au financement du rachat de leurs portefeuilles de prêts improductifs. Le mécanisme du GACS est configuré de façon à ce que les garanties d’État couvrant</w:t>
      </w:r>
      <w:r>
        <w:rPr>
          <w:rFonts w:ascii="Times New Roman" w:eastAsiaTheme="minorHAnsi" w:hAnsi="Times New Roman"/>
          <w:noProof/>
          <w:sz w:val="24"/>
          <w:lang w:val="fr-BE"/>
        </w:rPr>
        <w:t xml:space="preserve"> les produits de titrisation «senior» continuent d’être rémunérées aux conditions du marché en fonction du risque encouru, c’est-à-dire d’une manière acceptable pour un acteur privé opérant aux conditions du marché. Entre son entrée en vigueur et la mi-nov</w:t>
      </w:r>
      <w:r>
        <w:rPr>
          <w:rFonts w:ascii="Times New Roman" w:eastAsiaTheme="minorHAnsi" w:hAnsi="Times New Roman"/>
          <w:noProof/>
          <w:sz w:val="24"/>
          <w:lang w:val="fr-BE"/>
        </w:rPr>
        <w:t>embre 2018, il a été fait appel à ce régime 17 fois, ce qui a permis de retirer environ 51 milliards d’euros (valeur comptable brute) de prêts improductifs du système bancaire italien, ce qui correspond à plus de 60 % de la réduction totale des prêts impro</w:t>
      </w:r>
      <w:r>
        <w:rPr>
          <w:rFonts w:ascii="Times New Roman" w:eastAsiaTheme="minorHAnsi" w:hAnsi="Times New Roman"/>
          <w:noProof/>
          <w:sz w:val="24"/>
          <w:lang w:val="fr-BE"/>
        </w:rPr>
        <w:t>ductifs en Italie au cours de cette période.</w:t>
      </w:r>
    </w:p>
    <w:p w:rsidR="00D9323F" w:rsidRDefault="00F47CDD">
      <w:pPr>
        <w:widowControl w:val="0"/>
        <w:spacing w:line="240" w:lineRule="auto"/>
        <w:jc w:val="both"/>
        <w:rPr>
          <w:rFonts w:ascii="Times New Roman" w:hAnsi="Times New Roman"/>
          <w:noProof/>
          <w:sz w:val="24"/>
          <w:lang w:val="fr-BE"/>
        </w:rPr>
      </w:pPr>
      <w:r>
        <w:rPr>
          <w:rFonts w:ascii="Times New Roman" w:hAnsi="Times New Roman"/>
          <w:noProof/>
          <w:sz w:val="24"/>
          <w:lang w:val="fr-BE"/>
        </w:rPr>
        <w:t>Comme les années précédentes, le contrôle des aides d’État en 2018 incluait des affaires qui précédaient l’entrée en vigueur de la directive sur le redressement et la résolution des banques. La Commission a contrôlé le respect, par les États membres, des e</w:t>
      </w:r>
      <w:r>
        <w:rPr>
          <w:rFonts w:ascii="Times New Roman" w:hAnsi="Times New Roman"/>
          <w:noProof/>
          <w:sz w:val="24"/>
          <w:lang w:val="fr-BE"/>
        </w:rPr>
        <w:t xml:space="preserve">ngagements qu’ils ont pris dans le cadre de décisions antérieures. Lorsqu’une évaluation supplémentaire était nécessaire, la Commission a adopté une décision supplémentaire. Cela a été le cas dans l’affaire de la banque allemande </w:t>
      </w:r>
      <w:r>
        <w:rPr>
          <w:rFonts w:ascii="Times New Roman" w:eastAsiaTheme="minorHAnsi" w:hAnsi="Times New Roman"/>
          <w:i/>
          <w:noProof/>
          <w:sz w:val="24"/>
          <w:lang w:val="fr-BE"/>
        </w:rPr>
        <w:t>HSH Nordbank</w:t>
      </w:r>
      <w:r>
        <w:rPr>
          <w:rFonts w:ascii="Times New Roman" w:hAnsi="Times New Roman"/>
          <w:noProof/>
          <w:sz w:val="24"/>
          <w:lang w:val="fr-BE"/>
        </w:rPr>
        <w:t>, dans laquell</w:t>
      </w:r>
      <w:r>
        <w:rPr>
          <w:rFonts w:ascii="Times New Roman" w:hAnsi="Times New Roman"/>
          <w:noProof/>
          <w:sz w:val="24"/>
          <w:lang w:val="fr-BE"/>
        </w:rPr>
        <w:t>e la Commission a approuvé en 2016 le plafond de garantie de la banque - qui avait été réaugmenté en 2013 pour atteindre le niveau de 2011 -, mais a adopté une décision supplémentaire dans laquelle elle évalue le respect, par l’Allemagne, de son engagement</w:t>
      </w:r>
      <w:r>
        <w:rPr>
          <w:rFonts w:ascii="Times New Roman" w:hAnsi="Times New Roman"/>
          <w:noProof/>
          <w:sz w:val="24"/>
          <w:lang w:val="fr-BE"/>
        </w:rPr>
        <w:t xml:space="preserve"> de diviser la banque et de privatiser la filiale opérationnelle, ou en cas d’échec de la vente, de cesser toute nouvelle activité et de céder ses actifs</w:t>
      </w:r>
      <w:r>
        <w:rPr>
          <w:rFonts w:ascii="Times New Roman" w:eastAsiaTheme="minorHAnsi" w:hAnsi="Times New Roman"/>
          <w:noProof/>
          <w:sz w:val="24"/>
          <w:vertAlign w:val="superscript"/>
        </w:rPr>
        <w:footnoteReference w:id="267"/>
      </w:r>
      <w:r>
        <w:rPr>
          <w:rFonts w:ascii="Times New Roman" w:hAnsi="Times New Roman"/>
          <w:noProof/>
          <w:sz w:val="24"/>
          <w:lang w:val="fr-BE"/>
        </w:rPr>
        <w:t>.</w:t>
      </w:r>
    </w:p>
    <w:p w:rsidR="00D9323F" w:rsidRDefault="00F47CDD">
      <w:pPr>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r>
        <w:rPr>
          <w:noProof/>
          <w:lang w:val="fr-BE"/>
        </w:rPr>
        <w:tab/>
      </w:r>
      <w:bookmarkStart w:id="41" w:name="_Toc19019205"/>
      <w:r>
        <w:rPr>
          <w:rFonts w:ascii="Times New Roman" w:hAnsi="Times New Roman"/>
          <w:b/>
          <w:smallCaps/>
          <w:noProof/>
          <w:sz w:val="24"/>
          <w:lang w:val="fr-BE"/>
        </w:rPr>
        <w:t>4. Fiscalité et aides d’État</w:t>
      </w:r>
      <w:bookmarkEnd w:id="41"/>
      <w:r>
        <w:rPr>
          <w:rFonts w:ascii="Times New Roman" w:hAnsi="Times New Roman"/>
          <w:b/>
          <w:smallCaps/>
          <w:noProof/>
          <w:sz w:val="24"/>
          <w:lang w:val="fr-BE"/>
        </w:rPr>
        <w:t xml:space="preserve"> </w:t>
      </w:r>
    </w:p>
    <w:p w:rsidR="00D9323F" w:rsidRDefault="00F47CDD">
      <w:pPr>
        <w:widowControl w:val="0"/>
        <w:tabs>
          <w:tab w:val="num" w:pos="360"/>
        </w:tabs>
        <w:spacing w:line="240" w:lineRule="auto"/>
        <w:jc w:val="both"/>
        <w:rPr>
          <w:rFonts w:ascii="Times New Roman" w:hAnsi="Times New Roman"/>
          <w:b/>
          <w:noProof/>
          <w:color w:val="000000"/>
          <w:sz w:val="24"/>
          <w:szCs w:val="24"/>
          <w:lang w:val="fr-BE"/>
        </w:rPr>
      </w:pPr>
      <w:r>
        <w:rPr>
          <w:rFonts w:ascii="Times New Roman" w:hAnsi="Times New Roman"/>
          <w:b/>
          <w:noProof/>
          <w:color w:val="000000"/>
          <w:sz w:val="24"/>
          <w:lang w:val="fr-BE"/>
        </w:rPr>
        <w:t>Aperçu des principaux problèmes en matière de fraude et d’évasion fis</w:t>
      </w:r>
      <w:r>
        <w:rPr>
          <w:rFonts w:ascii="Times New Roman" w:hAnsi="Times New Roman"/>
          <w:b/>
          <w:noProof/>
          <w:color w:val="000000"/>
          <w:sz w:val="24"/>
          <w:lang w:val="fr-BE"/>
        </w:rPr>
        <w:t>cales et d’aides fiscales</w:t>
      </w:r>
    </w:p>
    <w:p w:rsidR="00D9323F" w:rsidRDefault="00F47CDD">
      <w:pPr>
        <w:widowControl w:val="0"/>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L’accent placé par la Commission sur la lutte contre la fraude et l’évasion fiscales fait écho aux priorités qui ont été fixées par le président Juncker dans ses orientations politiques et qui figurent également dans la lettre de </w:t>
      </w:r>
      <w:r>
        <w:rPr>
          <w:rFonts w:ascii="Times New Roman" w:hAnsi="Times New Roman"/>
          <w:noProof/>
          <w:sz w:val="24"/>
          <w:lang w:val="fr-BE"/>
        </w:rPr>
        <w:t>mission qu’il a adressée à la commissaire Vestager. Ce choix stratégique rejoint par ailleurs les efforts déployés au niveau international, plus précisément par l’OCDE, pour combattre l’érosion de la base d’imposition et le transfert de bénéfices afin de m</w:t>
      </w:r>
      <w:r>
        <w:rPr>
          <w:rFonts w:ascii="Times New Roman" w:hAnsi="Times New Roman"/>
          <w:noProof/>
          <w:sz w:val="24"/>
          <w:lang w:val="fr-BE"/>
        </w:rPr>
        <w:t>ieux aligner les droits d’imposition sur l’activité économique</w:t>
      </w:r>
      <w:r>
        <w:rPr>
          <w:rFonts w:ascii="Times New Roman" w:hAnsi="Times New Roman"/>
          <w:noProof/>
          <w:sz w:val="24"/>
          <w:vertAlign w:val="superscript"/>
        </w:rPr>
        <w:footnoteReference w:id="268"/>
      </w:r>
      <w:r>
        <w:rPr>
          <w:rFonts w:ascii="Times New Roman" w:hAnsi="Times New Roman"/>
          <w:noProof/>
          <w:sz w:val="24"/>
          <w:lang w:val="fr-BE"/>
        </w:rPr>
        <w:t>. Les enquêtes relatives aux aides d’État portant sur les pratiques des États membres en matière de décisions fiscales anticipées (également appelées «rescrits fiscaux»), qui ont débuté en 2013</w:t>
      </w:r>
      <w:r>
        <w:rPr>
          <w:rFonts w:ascii="Times New Roman" w:hAnsi="Times New Roman"/>
          <w:noProof/>
          <w:sz w:val="24"/>
          <w:lang w:val="fr-BE"/>
        </w:rPr>
        <w:t>, soit avant les révélations dans l’affaire LuxLeaks, sont l’un des instruments dont dispose la Commission pour s’assurer que les sociétés paient les impôts dus dans les États membres dans lesquels elles génèrent une valeur économique.</w:t>
      </w:r>
    </w:p>
    <w:p w:rsidR="00D9323F" w:rsidRDefault="00F47CDD">
      <w:pPr>
        <w:widowControl w:val="0"/>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La fraude et l’évasi</w:t>
      </w:r>
      <w:r>
        <w:rPr>
          <w:rFonts w:ascii="Times New Roman" w:hAnsi="Times New Roman"/>
          <w:noProof/>
          <w:sz w:val="24"/>
          <w:lang w:val="fr-BE"/>
        </w:rPr>
        <w:t xml:space="preserve">on fiscales peuvent résulter d’une planification fiscale agressive, dans la mesure où elles transfèrent les bénéfices vers des juridictions où la charge fiscale est faible ou nulle et dans lesquelles l’activité économique est minime ou inexistante, ce qui </w:t>
      </w:r>
      <w:r>
        <w:rPr>
          <w:rFonts w:ascii="Times New Roman" w:hAnsi="Times New Roman"/>
          <w:noProof/>
          <w:sz w:val="24"/>
          <w:lang w:val="fr-BE"/>
        </w:rPr>
        <w:t>permet de ne payer que peu, voire pas, d’impôt sur les sociétés. Une planification fiscale agressive peut être mise en œuvre en recourant à un régime fiscal préférentiel ou en demandant des décisions fiscales anticipées à titre individuel. Tous ces disposi</w:t>
      </w:r>
      <w:r>
        <w:rPr>
          <w:rFonts w:ascii="Times New Roman" w:hAnsi="Times New Roman"/>
          <w:noProof/>
          <w:sz w:val="24"/>
          <w:lang w:val="fr-BE"/>
        </w:rPr>
        <w:t>tifs ont pour point commun d’entraîner une perte de recettes fiscales pour l’État membre dans lequel la valeur économique est créée, mais non imposée, ainsi que pour l’Europe dans son ensemble, parce que l’impôt acquitté en définitive est inférieur à ce qu</w:t>
      </w:r>
      <w:r>
        <w:rPr>
          <w:rFonts w:ascii="Times New Roman" w:hAnsi="Times New Roman"/>
          <w:noProof/>
          <w:sz w:val="24"/>
          <w:lang w:val="fr-BE"/>
        </w:rPr>
        <w:t>’il aurait été si les bénéfices n’avaient pas été transférés.</w:t>
      </w:r>
    </w:p>
    <w:p w:rsidR="00D9323F" w:rsidRDefault="00F47CDD">
      <w:pPr>
        <w:widowControl w:val="0"/>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Une planification fiscale agressive a des effets secondaires particulièrement néfastes pour l’Union européenne: premièrement, elle entraîne des allégements fiscaux indus qui faussent la concurre</w:t>
      </w:r>
      <w:r>
        <w:rPr>
          <w:rFonts w:ascii="Times New Roman" w:hAnsi="Times New Roman"/>
          <w:noProof/>
          <w:sz w:val="24"/>
          <w:lang w:val="fr-BE"/>
        </w:rPr>
        <w:t>nce en favorisant uniquement certaines entreprises; deuxièmement, elle pose un problème d’équité sociale, parce qu’il faut compenser les recettes non perçues sur les multinationales qui échappent à l’impôt, ce qui déplace généralement la charge vers les re</w:t>
      </w:r>
      <w:r>
        <w:rPr>
          <w:rFonts w:ascii="Times New Roman" w:hAnsi="Times New Roman"/>
          <w:noProof/>
          <w:sz w:val="24"/>
          <w:lang w:val="fr-BE"/>
        </w:rPr>
        <w:t>venus moins mobiles des PME et du travail; et troisièmement, du point de vue de la délocalisation de l’activité économique, la planification fiscale agressive peut menacer la croissance durable du marché intérieur, si certains États membres offrent aux mul</w:t>
      </w:r>
      <w:r>
        <w:rPr>
          <w:rFonts w:ascii="Times New Roman" w:hAnsi="Times New Roman"/>
          <w:noProof/>
          <w:sz w:val="24"/>
          <w:lang w:val="fr-BE"/>
        </w:rPr>
        <w:t>tinationales des échappatoires pour les bénéfices qu’elles réalisent en Europe, en échange de la création d’emplois sur leur territoire et d’un impôt modeste.</w:t>
      </w:r>
    </w:p>
    <w:p w:rsidR="00D9323F" w:rsidRDefault="00F47CDD">
      <w:pPr>
        <w:widowControl w:val="0"/>
        <w:autoSpaceDE w:val="0"/>
        <w:autoSpaceDN w:val="0"/>
        <w:adjustRightInd w:val="0"/>
        <w:spacing w:line="240" w:lineRule="auto"/>
        <w:jc w:val="both"/>
        <w:rPr>
          <w:rFonts w:ascii="Times New Roman" w:hAnsi="Times New Roman"/>
          <w:noProof/>
          <w:sz w:val="24"/>
          <w:szCs w:val="24"/>
          <w:lang w:val="fr-BE"/>
        </w:rPr>
      </w:pPr>
      <w:r>
        <w:rPr>
          <w:rFonts w:ascii="Times New Roman" w:hAnsi="Times New Roman"/>
          <w:noProof/>
          <w:sz w:val="24"/>
          <w:lang w:val="fr-BE"/>
        </w:rPr>
        <w:t>La législation fiscale et la perception des impôts sont des compétences qui relèvent des États me</w:t>
      </w:r>
      <w:r>
        <w:rPr>
          <w:rFonts w:ascii="Times New Roman" w:hAnsi="Times New Roman"/>
          <w:noProof/>
          <w:sz w:val="24"/>
          <w:lang w:val="fr-BE"/>
        </w:rPr>
        <w:t>mbres. Toutefois, même dans ce domaine dans lequel les États membres jouissent d’une autonomie fiscale, toutes les mesures fiscales nationales adoptées doivent respecter les règles du marché intérieur et, notamment, se conformer au droit de la concurrence</w:t>
      </w:r>
      <w:r>
        <w:rPr>
          <w:rFonts w:ascii="Times New Roman" w:hAnsi="Times New Roman"/>
          <w:noProof/>
          <w:sz w:val="24"/>
          <w:vertAlign w:val="superscript"/>
        </w:rPr>
        <w:footnoteReference w:id="269"/>
      </w:r>
      <w:r>
        <w:rPr>
          <w:rFonts w:ascii="Times New Roman" w:hAnsi="Times New Roman"/>
          <w:noProof/>
          <w:sz w:val="24"/>
          <w:lang w:val="fr-BE"/>
        </w:rPr>
        <w:t>.</w:t>
      </w:r>
    </w:p>
    <w:p w:rsidR="00D9323F" w:rsidRDefault="00F47CDD">
      <w:pPr>
        <w:spacing w:after="240" w:line="240" w:lineRule="auto"/>
        <w:rPr>
          <w:rFonts w:ascii="Times New Roman" w:hAnsi="Times New Roman"/>
          <w:i/>
          <w:iCs/>
          <w:noProof/>
          <w:color w:val="000000"/>
          <w:sz w:val="24"/>
          <w:szCs w:val="24"/>
          <w:lang w:val="fr-BE"/>
        </w:rPr>
      </w:pPr>
      <w:r>
        <w:rPr>
          <w:rFonts w:ascii="Times New Roman" w:hAnsi="Times New Roman"/>
          <w:b/>
          <w:noProof/>
          <w:color w:val="000000"/>
          <w:sz w:val="24"/>
          <w:lang w:val="fr-BE"/>
        </w:rPr>
        <w:t>Contribution de la politique de concurrence de l’Union européenne à la résolution des problèmes</w:t>
      </w:r>
    </w:p>
    <w:p w:rsidR="00D9323F" w:rsidRDefault="00F47CDD">
      <w:pPr>
        <w:widowControl w:val="0"/>
        <w:tabs>
          <w:tab w:val="num" w:pos="360"/>
        </w:tabs>
        <w:spacing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lang w:val="fr-BE"/>
        </w:rPr>
        <w:t>Enquêtes en matière d’aides d’État et décisions relatives à la planification fiscale agressive</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De 2014 à 2018, la Commission a continué de recueillir des </w:t>
      </w:r>
      <w:r>
        <w:rPr>
          <w:rFonts w:ascii="Times New Roman" w:hAnsi="Times New Roman"/>
          <w:noProof/>
          <w:sz w:val="24"/>
          <w:lang w:val="fr-BE"/>
        </w:rPr>
        <w:t>informations sur les pratiques de planification fiscale, pour se renseigner sur la pratique en matière de décisions fiscales anticipées et d’éventuels régimes d’aide fiscale dans l’ensemble des États membres. Cette enquête vise à faire la lumière sur les a</w:t>
      </w:r>
      <w:r>
        <w:rPr>
          <w:rFonts w:ascii="Times New Roman" w:hAnsi="Times New Roman"/>
          <w:noProof/>
          <w:sz w:val="24"/>
          <w:lang w:val="fr-BE"/>
        </w:rPr>
        <w:t>llégations selon lesquelles les décisions fiscales anticipées peuvent constituer des aides d’État et à permettre à la Commission de se forger un avis éclairé sur les pratiques de tous les États membres. En tout, la Commission a examiné plus de 1 000 décisi</w:t>
      </w:r>
      <w:r>
        <w:rPr>
          <w:rFonts w:ascii="Times New Roman" w:hAnsi="Times New Roman"/>
          <w:noProof/>
          <w:sz w:val="24"/>
          <w:lang w:val="fr-BE"/>
        </w:rPr>
        <w:t>ons anticipées.</w:t>
      </w:r>
    </w:p>
    <w:p w:rsidR="00D9323F" w:rsidRDefault="00F47CDD">
      <w:pPr>
        <w:spacing w:before="200" w:after="0" w:line="240" w:lineRule="auto"/>
        <w:jc w:val="both"/>
        <w:rPr>
          <w:rFonts w:ascii="Times New Roman" w:hAnsi="Times New Roman"/>
          <w:noProof/>
          <w:spacing w:val="-2"/>
          <w:sz w:val="24"/>
          <w:szCs w:val="24"/>
          <w:lang w:val="fr-BE"/>
        </w:rPr>
      </w:pPr>
      <w:r>
        <w:rPr>
          <w:rFonts w:ascii="Times New Roman" w:hAnsi="Times New Roman"/>
          <w:noProof/>
          <w:spacing w:val="-2"/>
          <w:sz w:val="24"/>
          <w:lang w:val="fr-BE"/>
        </w:rPr>
        <w:t>Les sociétés de financement sont des sociétés qui fournissent des services financiers intragroupe et tirent leurs bénéfices de la rémunération qu’elles perçoivent pour leurs activités de financement. Cette rémunération doit être conforme au</w:t>
      </w:r>
      <w:r>
        <w:rPr>
          <w:rFonts w:ascii="Times New Roman" w:hAnsi="Times New Roman"/>
          <w:noProof/>
          <w:spacing w:val="-2"/>
          <w:sz w:val="24"/>
          <w:lang w:val="fr-BE"/>
        </w:rPr>
        <w:t xml:space="preserve"> principe de pleine concurrence. Cette question constitue une des priorités majeures de la Commission depuis qu’elle a entrepris d’enquêter sur les pratiques des États membres en matière de décisions fiscales anticipées. Le document de travail publié en ju</w:t>
      </w:r>
      <w:r>
        <w:rPr>
          <w:rFonts w:ascii="Times New Roman" w:hAnsi="Times New Roman"/>
          <w:noProof/>
          <w:spacing w:val="-2"/>
          <w:sz w:val="24"/>
          <w:lang w:val="fr-BE"/>
        </w:rPr>
        <w:t>in 2016 dans le cadre de cet exercice fait état de préoccupations en ce qui concerne certaines décisions fiscales anticipées prises à l’égard de sociétés de financement et validant des marges très faibles et des revenus imposables modestes</w:t>
      </w:r>
      <w:r>
        <w:rPr>
          <w:rFonts w:ascii="Times New Roman" w:hAnsi="Times New Roman"/>
          <w:noProof/>
          <w:spacing w:val="-2"/>
          <w:sz w:val="24"/>
          <w:vertAlign w:val="superscript"/>
        </w:rPr>
        <w:footnoteReference w:id="270"/>
      </w:r>
      <w:r>
        <w:rPr>
          <w:rFonts w:ascii="Times New Roman" w:hAnsi="Times New Roman"/>
          <w:noProof/>
          <w:spacing w:val="-2"/>
          <w:sz w:val="24"/>
          <w:lang w:val="fr-BE"/>
        </w:rPr>
        <w:t xml:space="preserve">. </w:t>
      </w:r>
    </w:p>
    <w:p w:rsidR="00D9323F" w:rsidRDefault="00F47CDD">
      <w:pPr>
        <w:spacing w:before="200" w:after="0" w:line="240" w:lineRule="auto"/>
        <w:jc w:val="both"/>
        <w:rPr>
          <w:rFonts w:ascii="Times New Roman" w:hAnsi="Times New Roman"/>
          <w:noProof/>
          <w:spacing w:val="-2"/>
          <w:sz w:val="24"/>
          <w:szCs w:val="24"/>
          <w:lang w:val="fr-BE"/>
        </w:rPr>
      </w:pPr>
      <w:r>
        <w:rPr>
          <w:rFonts w:ascii="Times New Roman" w:hAnsi="Times New Roman"/>
          <w:noProof/>
          <w:spacing w:val="-2"/>
          <w:sz w:val="24"/>
          <w:lang w:val="fr-BE"/>
        </w:rPr>
        <w:t>Dans ce conte</w:t>
      </w:r>
      <w:r>
        <w:rPr>
          <w:rFonts w:ascii="Times New Roman" w:hAnsi="Times New Roman"/>
          <w:noProof/>
          <w:spacing w:val="-2"/>
          <w:sz w:val="24"/>
          <w:lang w:val="fr-BE"/>
        </w:rPr>
        <w:t>xte, la Commission a aidé le Luxembourg et Chypre à modifier leurs règles fiscales afin d’éviter que des avantages indus soient octroyés aux sociétés de financement. Le Luxembourg a modifié sa réglementation relative aux sociétés de financement à la fin de</w:t>
      </w:r>
      <w:r>
        <w:rPr>
          <w:rFonts w:ascii="Times New Roman" w:hAnsi="Times New Roman"/>
          <w:noProof/>
          <w:spacing w:val="-2"/>
          <w:sz w:val="24"/>
          <w:lang w:val="fr-BE"/>
        </w:rPr>
        <w:t xml:space="preserve"> l’année 2016 par l’adoption d’une circulaire administrative</w:t>
      </w:r>
      <w:r>
        <w:rPr>
          <w:rFonts w:ascii="Times New Roman" w:hAnsi="Times New Roman"/>
          <w:noProof/>
          <w:spacing w:val="-2"/>
          <w:sz w:val="24"/>
          <w:vertAlign w:val="superscript"/>
        </w:rPr>
        <w:footnoteReference w:id="271"/>
      </w:r>
      <w:r>
        <w:rPr>
          <w:rFonts w:ascii="Times New Roman" w:hAnsi="Times New Roman"/>
          <w:noProof/>
          <w:spacing w:val="-2"/>
          <w:sz w:val="24"/>
          <w:lang w:val="fr-BE"/>
        </w:rPr>
        <w:t>. Ces règles sont entrées en vigueur le 1</w:t>
      </w:r>
      <w:r>
        <w:rPr>
          <w:rFonts w:ascii="Times New Roman" w:hAnsi="Times New Roman"/>
          <w:noProof/>
          <w:spacing w:val="-2"/>
          <w:sz w:val="24"/>
          <w:vertAlign w:val="superscript"/>
          <w:lang w:val="fr-BE"/>
        </w:rPr>
        <w:t>er</w:t>
      </w:r>
      <w:r>
        <w:rPr>
          <w:rFonts w:ascii="Times New Roman" w:hAnsi="Times New Roman"/>
          <w:noProof/>
          <w:spacing w:val="-2"/>
          <w:sz w:val="24"/>
          <w:lang w:val="fr-BE"/>
        </w:rPr>
        <w:t> janvier 2017. De même, par une circulaire datée du 30 juin 2017, les autorités chypriotes ont apporté des modifications à leur législation nationale po</w:t>
      </w:r>
      <w:r>
        <w:rPr>
          <w:rFonts w:ascii="Times New Roman" w:hAnsi="Times New Roman"/>
          <w:noProof/>
          <w:spacing w:val="-2"/>
          <w:sz w:val="24"/>
          <w:lang w:val="fr-BE"/>
        </w:rPr>
        <w:t>ur la rendre plus exigeante en ce qui concerne le traitement fiscal des sociétés de financement. Le 3 septembre 2018, Chypre a apporté des modifications supplémentaires aux règles relatives aux apports de capitaux ne devant pas être remboursés. Le 21 décem</w:t>
      </w:r>
      <w:r>
        <w:rPr>
          <w:rFonts w:ascii="Times New Roman" w:hAnsi="Times New Roman"/>
          <w:noProof/>
          <w:spacing w:val="-2"/>
          <w:sz w:val="24"/>
          <w:lang w:val="fr-BE"/>
        </w:rPr>
        <w:t>bre 2018, le Luxembourg a abordé certains problèmes ayant trait à l’article 22</w:t>
      </w:r>
      <w:r>
        <w:rPr>
          <w:rFonts w:ascii="Times New Roman" w:hAnsi="Times New Roman"/>
          <w:i/>
          <w:noProof/>
          <w:spacing w:val="-2"/>
          <w:sz w:val="24"/>
          <w:lang w:val="fr-BE"/>
        </w:rPr>
        <w:t>bis</w:t>
      </w:r>
      <w:r>
        <w:rPr>
          <w:rFonts w:ascii="Times New Roman" w:hAnsi="Times New Roman"/>
          <w:noProof/>
          <w:spacing w:val="-2"/>
          <w:sz w:val="24"/>
          <w:lang w:val="fr-BE"/>
        </w:rPr>
        <w:t xml:space="preserve"> de la loi concernant l’impôt sur le revenu</w:t>
      </w:r>
      <w:r>
        <w:rPr>
          <w:rFonts w:ascii="Times New Roman" w:hAnsi="Times New Roman"/>
          <w:noProof/>
          <w:sz w:val="24"/>
          <w:vertAlign w:val="superscript"/>
        </w:rPr>
        <w:footnoteReference w:id="272"/>
      </w:r>
      <w:r>
        <w:rPr>
          <w:rFonts w:ascii="Times New Roman" w:hAnsi="Times New Roman"/>
          <w:noProof/>
          <w:spacing w:val="-2"/>
          <w:sz w:val="24"/>
          <w:lang w:val="fr-BE"/>
        </w:rPr>
        <w:t xml:space="preserve"> et à l’article 16 de la loi d’adaptation fiscale</w:t>
      </w:r>
      <w:r>
        <w:rPr>
          <w:rFonts w:ascii="Times New Roman" w:hAnsi="Times New Roman"/>
          <w:noProof/>
          <w:sz w:val="24"/>
          <w:vertAlign w:val="superscript"/>
        </w:rPr>
        <w:footnoteReference w:id="273"/>
      </w:r>
      <w:r>
        <w:rPr>
          <w:rFonts w:ascii="Times New Roman" w:hAnsi="Times New Roman"/>
          <w:noProof/>
          <w:spacing w:val="-2"/>
          <w:sz w:val="24"/>
          <w:lang w:val="fr-BE"/>
        </w:rPr>
        <w:t>.</w:t>
      </w:r>
      <w:r>
        <w:rPr>
          <w:rFonts w:ascii="Times New Roman" w:hAnsi="Times New Roman"/>
          <w:noProof/>
          <w:sz w:val="24"/>
          <w:vertAlign w:val="superscript"/>
          <w:lang w:val="fr-BE"/>
        </w:rPr>
        <w:t xml:space="preserve"> </w:t>
      </w:r>
    </w:p>
    <w:p w:rsidR="00D9323F" w:rsidRDefault="00F47CDD">
      <w:pPr>
        <w:widowControl w:val="0"/>
        <w:tabs>
          <w:tab w:val="num" w:pos="360"/>
        </w:tabs>
        <w:spacing w:before="240"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lang w:val="fr-BE"/>
        </w:rPr>
        <w:t>Affaires importantes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20 juin 2018, la Commission a adopté une décision exig</w:t>
      </w:r>
      <w:r>
        <w:rPr>
          <w:rFonts w:ascii="Times New Roman" w:hAnsi="Times New Roman"/>
          <w:noProof/>
          <w:sz w:val="24"/>
          <w:lang w:val="fr-BE"/>
        </w:rPr>
        <w:t xml:space="preserve">eant que le Luxembourg recouvre un avantage fiscal sélectif accordé à </w:t>
      </w:r>
      <w:r>
        <w:rPr>
          <w:rFonts w:ascii="Times New Roman" w:hAnsi="Times New Roman"/>
          <w:i/>
          <w:noProof/>
          <w:sz w:val="24"/>
          <w:lang w:val="fr-BE"/>
        </w:rPr>
        <w:t>Engie</w:t>
      </w:r>
      <w:r>
        <w:rPr>
          <w:rFonts w:ascii="Times New Roman" w:hAnsi="Times New Roman"/>
          <w:noProof/>
          <w:sz w:val="24"/>
          <w:vertAlign w:val="superscript"/>
        </w:rPr>
        <w:footnoteReference w:id="274"/>
      </w:r>
      <w:r>
        <w:rPr>
          <w:rFonts w:ascii="Times New Roman" w:hAnsi="Times New Roman"/>
          <w:noProof/>
          <w:sz w:val="24"/>
          <w:lang w:val="fr-BE"/>
        </w:rPr>
        <w:t xml:space="preserve"> au moyen de plusieurs décisions fiscales anticipées pour un montant de plus de 120 millions d’euros.</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lang w:val="fr-BE"/>
        </w:rPr>
      </w:pPr>
      <w:r>
        <w:rPr>
          <w:rFonts w:ascii="Times New Roman" w:hAnsi="Times New Roman"/>
          <w:b/>
          <w:noProof/>
          <w:color w:val="000000"/>
          <w:sz w:val="20"/>
          <w:lang w:val="fr-BE"/>
        </w:rPr>
        <w:t xml:space="preserve">Luxembourg – la décision Engie </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Respectivement en 2008 et 2010, Engie a mis en</w:t>
      </w:r>
      <w:r>
        <w:rPr>
          <w:rFonts w:ascii="Times New Roman" w:hAnsi="Times New Roman"/>
          <w:noProof/>
          <w:sz w:val="20"/>
          <w:lang w:val="fr-BE"/>
        </w:rPr>
        <w:t xml:space="preserve"> œuvre deux structures complexes de financement intragroupe au Luxembourg. Il s’agissait d’opérations de financement triangulaires dans le cadre desquelles deux holdings du groupe Engie apporteraient un financement, par l’entremise de sociétés intermédiair</w:t>
      </w:r>
      <w:r>
        <w:rPr>
          <w:rFonts w:ascii="Times New Roman" w:hAnsi="Times New Roman"/>
          <w:noProof/>
          <w:sz w:val="20"/>
          <w:lang w:val="fr-BE"/>
        </w:rPr>
        <w:t>es, à deux filiales, Engie LNG Supply et Engie Treasury Management, sous la forme d’emprunts convertibles très complexes.</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Des décisions fiscales anticipées ultérieures prises par l’administration fiscale luxembourgeoise à partir de 2008 approuvaient un tra</w:t>
      </w:r>
      <w:r>
        <w:rPr>
          <w:rFonts w:ascii="Times New Roman" w:hAnsi="Times New Roman"/>
          <w:noProof/>
          <w:sz w:val="20"/>
          <w:lang w:val="fr-BE"/>
        </w:rPr>
        <w:t>itement fiscal dans le cadre duquel une même opération de financement était traitée comme une dette au niveau d’Engie LNG Supply et d’Engie Treasury Management et comme des fonds propres au niveau des holdings. D’après les décisions fiscales anticipées, En</w:t>
      </w:r>
      <w:r>
        <w:rPr>
          <w:rFonts w:ascii="Times New Roman" w:hAnsi="Times New Roman"/>
          <w:noProof/>
          <w:sz w:val="20"/>
          <w:lang w:val="fr-BE"/>
        </w:rPr>
        <w:t xml:space="preserve">gie LNG Supply et Engie Treasury Management peuvent déduire chaque année de leur base d’imposition les intérêts liés aux emprunts convertibles, lesquels représentaient dans la pratique plus de 99 % de leurs bénéfices. Ces intérêts ne sont toutefois versés </w:t>
      </w:r>
      <w:r>
        <w:rPr>
          <w:rFonts w:ascii="Times New Roman" w:hAnsi="Times New Roman"/>
          <w:noProof/>
          <w:sz w:val="20"/>
          <w:lang w:val="fr-BE"/>
        </w:rPr>
        <w:t>que lors de la conversion et sous la forme d’actions aux intermédiaires, lesquels transmettraient ces actions aux holdings. Les holdings annulaient ensuite les actions pour encaisser les bénéfices réalisés par Engie LNG Supply et Engie Treasury Management,</w:t>
      </w:r>
      <w:r>
        <w:rPr>
          <w:rFonts w:ascii="Times New Roman" w:hAnsi="Times New Roman"/>
          <w:noProof/>
          <w:sz w:val="20"/>
          <w:lang w:val="fr-BE"/>
        </w:rPr>
        <w:t xml:space="preserve"> bénéfices qui seraient exonérés d’impôt en application de l’exonération de participation. En conséquence, Engie n’a payé aucun impôt sur plus de 99 % des bénéfices générés par Engie LNG Supply Engie et Engie Treasury Management au Luxembourg.</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La Commissio</w:t>
      </w:r>
      <w:r>
        <w:rPr>
          <w:rFonts w:ascii="Times New Roman" w:hAnsi="Times New Roman"/>
          <w:noProof/>
          <w:sz w:val="20"/>
          <w:lang w:val="fr-BE"/>
        </w:rPr>
        <w:t>n a conclu que les décisions fiscales anticipées approuvaient un traitement fiscal incohérent d’une même opération de financement, donnant lieu à une non-imposition à tous les niveaux. Il s’agit là d’un traitement plus favorable que celui prévu par la légi</w:t>
      </w:r>
      <w:r>
        <w:rPr>
          <w:rFonts w:ascii="Times New Roman" w:hAnsi="Times New Roman"/>
          <w:noProof/>
          <w:sz w:val="20"/>
          <w:lang w:val="fr-BE"/>
        </w:rPr>
        <w:t>slation fiscale luxembourgeoise ordinaire, qui exonère d’impôt les revenus qu’un actionnaire reçoit de sa filiale, pour autant que les revenus soient en général imposés au niveau de la filiale. Le Luxembourg n’a pas fourni de justification valable pour cet</w:t>
      </w:r>
      <w:r>
        <w:rPr>
          <w:rFonts w:ascii="Times New Roman" w:hAnsi="Times New Roman"/>
          <w:noProof/>
          <w:sz w:val="20"/>
          <w:lang w:val="fr-BE"/>
        </w:rPr>
        <w:t xml:space="preserve">te dérogation. Par conséquent, le traitement fiscal octroyé à Engie constitue un avantage sélectif. </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 xml:space="preserve">La Commission estime que cet avantage fiscal injuste s’élevait à 120 millions d’euros, correspondant aux bénéfices générés par Engie LNG Supply entre 2009 </w:t>
      </w:r>
      <w:r>
        <w:rPr>
          <w:rFonts w:ascii="Times New Roman" w:hAnsi="Times New Roman"/>
          <w:noProof/>
          <w:sz w:val="20"/>
          <w:lang w:val="fr-BE"/>
        </w:rPr>
        <w:t>et 2014 et exonérés au niveau du holding après la conversion partielle de l’emprunt convertible en 2014. Pour ce qui est d’Engie Treasury Management, ses bénéfices devront être imposés conformément à la législation fiscale luxembourgeoise ordinaire, dès qu</w:t>
      </w:r>
      <w:r>
        <w:rPr>
          <w:rFonts w:ascii="Times New Roman" w:hAnsi="Times New Roman"/>
          <w:noProof/>
          <w:sz w:val="20"/>
          <w:lang w:val="fr-BE"/>
        </w:rPr>
        <w:t>e l’emprunt aura été converti.</w:t>
      </w:r>
    </w:p>
    <w:p w:rsidR="00D9323F" w:rsidRDefault="00F47CDD">
      <w:pPr>
        <w:widowControl w:val="0"/>
        <w:spacing w:line="240" w:lineRule="auto"/>
        <w:jc w:val="both"/>
        <w:rPr>
          <w:rFonts w:ascii="Times New Roman" w:hAnsi="Times New Roman"/>
          <w:noProof/>
          <w:spacing w:val="-2"/>
          <w:sz w:val="24"/>
          <w:lang w:val="fr-BE"/>
        </w:rPr>
      </w:pPr>
      <w:r>
        <w:rPr>
          <w:rFonts w:ascii="Times New Roman" w:hAnsi="Times New Roman"/>
          <w:noProof/>
          <w:spacing w:val="-2"/>
          <w:sz w:val="24"/>
          <w:lang w:val="fr-BE"/>
        </w:rPr>
        <w:t xml:space="preserve">Le 19 septembre 2018, la Commission a décidé que l’absence d’imposition de certains bénéfices de </w:t>
      </w:r>
      <w:r>
        <w:rPr>
          <w:rFonts w:ascii="Times New Roman" w:hAnsi="Times New Roman"/>
          <w:i/>
          <w:noProof/>
          <w:spacing w:val="-2"/>
          <w:sz w:val="24"/>
          <w:lang w:val="fr-BE"/>
        </w:rPr>
        <w:t>McDonald’s</w:t>
      </w:r>
      <w:r>
        <w:rPr>
          <w:rFonts w:ascii="Times New Roman" w:hAnsi="Times New Roman"/>
          <w:noProof/>
          <w:spacing w:val="-2"/>
          <w:sz w:val="24"/>
          <w:vertAlign w:val="superscript"/>
        </w:rPr>
        <w:footnoteReference w:id="275"/>
      </w:r>
      <w:r>
        <w:rPr>
          <w:rFonts w:ascii="Times New Roman" w:hAnsi="Times New Roman"/>
          <w:noProof/>
          <w:spacing w:val="-2"/>
          <w:sz w:val="24"/>
          <w:lang w:val="fr-BE"/>
        </w:rPr>
        <w:t xml:space="preserve"> au Luxembourg n’entraînait pas d’aide d’État illégale, étant donné qu’elle était conforme à la législation fiscale n</w:t>
      </w:r>
      <w:r>
        <w:rPr>
          <w:rFonts w:ascii="Times New Roman" w:hAnsi="Times New Roman"/>
          <w:noProof/>
          <w:spacing w:val="-2"/>
          <w:sz w:val="24"/>
          <w:lang w:val="fr-BE"/>
        </w:rPr>
        <w:t>ationale et à la convention relative aux doubles impositions entre le Luxembourg et les États-Unis.</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lang w:val="fr-BE"/>
        </w:rPr>
      </w:pPr>
      <w:r>
        <w:rPr>
          <w:rFonts w:ascii="Times New Roman" w:hAnsi="Times New Roman"/>
          <w:b/>
          <w:noProof/>
          <w:color w:val="000000"/>
          <w:sz w:val="20"/>
          <w:lang w:val="fr-BE"/>
        </w:rPr>
        <w:t xml:space="preserve">Luxembourg – la décision McDonald’s </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 xml:space="preserve">McDonald’s Europe Franchising est une filiale de McDonald’s Corporation, qui est basée aux États-Unis. La société a sa </w:t>
      </w:r>
      <w:r>
        <w:rPr>
          <w:rFonts w:ascii="Times New Roman" w:hAnsi="Times New Roman"/>
          <w:noProof/>
          <w:sz w:val="20"/>
          <w:lang w:val="fr-BE"/>
        </w:rPr>
        <w:t>résidence fiscale au Luxembourg et compte deux succursales, l’une aux États-Unis et l’autre en Suisse. En 2009, McDonald’s Europe Franchising a acquis un certain nombre de droits de franchise de McDonald’s auprès de McDonald’s Corporation aux États-Unis, d</w:t>
      </w:r>
      <w:r>
        <w:rPr>
          <w:rFonts w:ascii="Times New Roman" w:hAnsi="Times New Roman"/>
          <w:noProof/>
          <w:sz w:val="20"/>
          <w:lang w:val="fr-BE"/>
        </w:rPr>
        <w:t xml:space="preserve">roits qu’elle a ensuite attribués en interne à la succursale américaine de la société. En conséquence, McDonald’s Europe Franchising a perçu des redevances de franchisés exploitant des établissements de restauration rapide McDonald’s en Europe, en Ukraine </w:t>
      </w:r>
      <w:r>
        <w:rPr>
          <w:rFonts w:ascii="Times New Roman" w:hAnsi="Times New Roman"/>
          <w:noProof/>
          <w:sz w:val="20"/>
          <w:lang w:val="fr-BE"/>
        </w:rPr>
        <w:t xml:space="preserve">et en Russie en échange du droit pour ces derniers d’utiliser la marque McDonald’s. </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McDonald’s Europe Franchising a aussi créé une succursale suisse responsable de la cession de licences sur les droits de franchise à des franchiseurs et par l’intermédiair</w:t>
      </w:r>
      <w:r>
        <w:rPr>
          <w:rFonts w:ascii="Times New Roman" w:hAnsi="Times New Roman"/>
          <w:noProof/>
          <w:sz w:val="20"/>
          <w:lang w:val="fr-BE"/>
        </w:rPr>
        <w:t>e de laquelle les redevances versées étaient transférées du Luxembourg vers la succursale américaine de la société. Les décisions fiscales anticipées émises par les autorités luxembourgeoises ont confirmé que McDonald’s Europe Franchising n’était pas tenue</w:t>
      </w:r>
      <w:r>
        <w:rPr>
          <w:rFonts w:ascii="Times New Roman" w:hAnsi="Times New Roman"/>
          <w:noProof/>
          <w:sz w:val="20"/>
          <w:lang w:val="fr-BE"/>
        </w:rPr>
        <w:t xml:space="preserve"> de payer l’impôt sur les sociétés au Luxembourg, étant donné que ses bénéfices devaient être attribués à la succursale aux États-Unis. Cela se justifiait par référence à la convention relative aux doubles impositions entre le Luxembourg et les États-Unis,</w:t>
      </w:r>
      <w:r>
        <w:rPr>
          <w:rFonts w:ascii="Times New Roman" w:hAnsi="Times New Roman"/>
          <w:noProof/>
          <w:sz w:val="20"/>
          <w:lang w:val="fr-BE"/>
        </w:rPr>
        <w:t xml:space="preserve"> même si les États-Unis ne reconnaissaient pas la succursale américaine de McDonlad’s comme une entité imposable.</w:t>
      </w:r>
    </w:p>
    <w:p w:rsidR="00D9323F" w:rsidRDefault="00F47CDD">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val="fr-BE"/>
        </w:rPr>
      </w:pPr>
      <w:r>
        <w:rPr>
          <w:rFonts w:ascii="Times New Roman" w:hAnsi="Times New Roman"/>
          <w:noProof/>
          <w:sz w:val="20"/>
          <w:lang w:val="fr-BE"/>
        </w:rPr>
        <w:t>Après avoir mené une enquête approfondie et examiné soigneusement les arguments des autorités luxembourgeoises et de McDonald’s en réponse à l</w:t>
      </w:r>
      <w:r>
        <w:rPr>
          <w:rFonts w:ascii="Times New Roman" w:hAnsi="Times New Roman"/>
          <w:noProof/>
          <w:sz w:val="20"/>
          <w:lang w:val="fr-BE"/>
        </w:rPr>
        <w:t>a décision d’ouvrir la procédure, en particulier concernant l’application correcte de la convention relative aux doubles impositions entre le Luxembourg et les États-Unis par les autorités fiscales luxembourgeoises, la Commission a conclu que les inquiétud</w:t>
      </w:r>
      <w:r>
        <w:rPr>
          <w:rFonts w:ascii="Times New Roman" w:hAnsi="Times New Roman"/>
          <w:noProof/>
          <w:sz w:val="20"/>
          <w:lang w:val="fr-BE"/>
        </w:rPr>
        <w:t xml:space="preserve">es au titre des règles de l’Union européenne en matière d’aides d’État qu’elle avait soulevées dans la décision d’ouvrir la procédure n’étaient pas fondées. Elle a en particulier conclu que le Luxembourg n’avait pas mal appliqué la convention relative aux </w:t>
      </w:r>
      <w:r>
        <w:rPr>
          <w:rFonts w:ascii="Times New Roman" w:hAnsi="Times New Roman"/>
          <w:noProof/>
          <w:sz w:val="20"/>
          <w:lang w:val="fr-BE"/>
        </w:rPr>
        <w:t>doubles impositions entre le Luxembourg et les États-Unis et que les décisions fiscales anticipées contestées ne favorisaient dès lors pas sélectivement McDonald’s Europe par rapport à d’autres sociétés se trouvant dans une situation juridique et factuelle</w:t>
      </w:r>
      <w:r>
        <w:rPr>
          <w:rFonts w:ascii="Times New Roman" w:hAnsi="Times New Roman"/>
          <w:noProof/>
          <w:sz w:val="20"/>
          <w:lang w:val="fr-BE"/>
        </w:rPr>
        <w:t xml:space="preserve"> similaire.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En outre, la Commission a adopté, le 19 décembre 2018</w:t>
      </w:r>
      <w:r>
        <w:rPr>
          <w:rFonts w:ascii="Times New Roman" w:hAnsi="Times New Roman"/>
          <w:noProof/>
          <w:color w:val="000000"/>
          <w:sz w:val="20"/>
          <w:vertAlign w:val="superscript"/>
        </w:rPr>
        <w:footnoteReference w:id="276"/>
      </w:r>
      <w:r>
        <w:rPr>
          <w:rFonts w:ascii="Times New Roman" w:hAnsi="Times New Roman"/>
          <w:noProof/>
          <w:sz w:val="24"/>
          <w:lang w:val="fr-BE"/>
        </w:rPr>
        <w:t xml:space="preserve">, une décision finale sur le régime d’imposition des revenus des sociétés (y compris la pratique en matière de décisions fiscales anticipées) à </w:t>
      </w:r>
      <w:r>
        <w:rPr>
          <w:rFonts w:ascii="Times New Roman" w:hAnsi="Times New Roman"/>
          <w:i/>
          <w:noProof/>
          <w:sz w:val="24"/>
          <w:lang w:val="fr-BE"/>
        </w:rPr>
        <w:t>Gibraltar</w:t>
      </w:r>
      <w:r>
        <w:rPr>
          <w:rFonts w:ascii="Times New Roman" w:hAnsi="Times New Roman"/>
          <w:noProof/>
          <w:sz w:val="24"/>
          <w:lang w:val="fr-BE"/>
        </w:rPr>
        <w:t>.</w:t>
      </w:r>
      <w:r>
        <w:rPr>
          <w:rFonts w:ascii="Times New Roman" w:hAnsi="Times New Roman"/>
          <w:noProof/>
          <w:color w:val="000000"/>
          <w:sz w:val="24"/>
          <w:lang w:val="fr-BE"/>
        </w:rPr>
        <w:t xml:space="preserve"> </w:t>
      </w:r>
      <w:r>
        <w:rPr>
          <w:rFonts w:ascii="Times New Roman" w:hAnsi="Times New Roman"/>
          <w:noProof/>
          <w:sz w:val="24"/>
          <w:lang w:val="fr-BE"/>
        </w:rPr>
        <w:t xml:space="preserve">Elle a conclu que l’exonération </w:t>
      </w:r>
      <w:r>
        <w:rPr>
          <w:rFonts w:ascii="Times New Roman" w:hAnsi="Times New Roman"/>
          <w:noProof/>
          <w:sz w:val="24"/>
          <w:lang w:val="fr-BE"/>
        </w:rPr>
        <w:t>des intérêts et des redevances (entre 2011 et 2013) en vertu de la loi sur l’impôt des sociétés de 2010 visait à attirer des multinationales et avait effectivement réduit la facture fiscale d’un nombre limité de sociétés appartenant à des groupes multinati</w:t>
      </w:r>
      <w:r>
        <w:rPr>
          <w:rFonts w:ascii="Times New Roman" w:hAnsi="Times New Roman"/>
          <w:noProof/>
          <w:sz w:val="24"/>
          <w:lang w:val="fr-BE"/>
        </w:rPr>
        <w:t>onaux. En outre, l’enquête a également permis de confirmer que cinq décisions fiscales anticipées octroyées en 2011 et 2012 par les autorités fiscales de Gibraltar à de grandes multinationales impliquent des aides d’État illégales, en ce qu’elles continuai</w:t>
      </w:r>
      <w:r>
        <w:rPr>
          <w:rFonts w:ascii="Times New Roman" w:hAnsi="Times New Roman"/>
          <w:noProof/>
          <w:sz w:val="24"/>
          <w:lang w:val="fr-BE"/>
        </w:rPr>
        <w:t>ent d’exonérer les intérêts et les redevances d’impôt même après l’adoption par Gibraltar d’amendements législatifs visant à imposer ces types de revenus. Par sa décision, la Commission a confirmé que ces mesures supposent des aides illégales et incompatib</w:t>
      </w:r>
      <w:r>
        <w:rPr>
          <w:rFonts w:ascii="Times New Roman" w:hAnsi="Times New Roman"/>
          <w:noProof/>
          <w:sz w:val="24"/>
          <w:lang w:val="fr-BE"/>
        </w:rPr>
        <w:t>les avec le marché intérieur, et a ordonné le recouvrement des impôts non perçus.</w:t>
      </w:r>
    </w:p>
    <w:p w:rsidR="00D9323F" w:rsidRDefault="00F47CDD">
      <w:pPr>
        <w:widowControl w:val="0"/>
        <w:tabs>
          <w:tab w:val="num" w:pos="360"/>
        </w:tabs>
        <w:spacing w:line="240" w:lineRule="auto"/>
        <w:jc w:val="both"/>
        <w:rPr>
          <w:rFonts w:ascii="Times New Roman" w:hAnsi="Times New Roman"/>
          <w:noProof/>
          <w:spacing w:val="-2"/>
          <w:sz w:val="24"/>
          <w:szCs w:val="24"/>
          <w:lang w:val="fr-BE"/>
        </w:rPr>
      </w:pPr>
      <w:r>
        <w:rPr>
          <w:rFonts w:ascii="Times New Roman" w:hAnsi="Times New Roman"/>
          <w:noProof/>
          <w:color w:val="000000"/>
          <w:sz w:val="24"/>
          <w:lang w:val="fr-BE"/>
        </w:rPr>
        <w:t>Dans le contexte de cette affaire,</w:t>
      </w:r>
      <w:r>
        <w:rPr>
          <w:rFonts w:ascii="Times New Roman" w:hAnsi="Times New Roman"/>
          <w:noProof/>
          <w:spacing w:val="-2"/>
          <w:sz w:val="24"/>
          <w:lang w:val="fr-BE"/>
        </w:rPr>
        <w:t xml:space="preserve"> la Commission a aussi aidé Gibraltar à prendre des mesures pour fournir des clarifications et des orientations concernant sa réglementation</w:t>
      </w:r>
      <w:r>
        <w:rPr>
          <w:rFonts w:ascii="Times New Roman" w:hAnsi="Times New Roman"/>
          <w:noProof/>
          <w:spacing w:val="-2"/>
          <w:sz w:val="24"/>
          <w:lang w:val="fr-BE"/>
        </w:rPr>
        <w:t xml:space="preserve"> fiscale en vue d’atténuer les risques d’évasion fiscale transfrontalière et d’éviter que l’éventuel pouvoir d’appréciation exercé par les autorités fiscales dans la prise de décisions fiscales anticipées ne donne lieu à des aides d’État indues. À cette fi</w:t>
      </w:r>
      <w:r>
        <w:rPr>
          <w:rFonts w:ascii="Times New Roman" w:hAnsi="Times New Roman"/>
          <w:noProof/>
          <w:spacing w:val="-2"/>
          <w:sz w:val="24"/>
          <w:lang w:val="fr-BE"/>
        </w:rPr>
        <w:t>n, en octobre 2018, les autorités de Gibraltar ont apporté des modifications à leur loi relative à l’impôt sur le revenu</w:t>
      </w:r>
      <w:r>
        <w:rPr>
          <w:rFonts w:ascii="Times New Roman" w:hAnsi="Times New Roman"/>
          <w:noProof/>
          <w:spacing w:val="-2"/>
          <w:sz w:val="24"/>
          <w:vertAlign w:val="superscript"/>
        </w:rPr>
        <w:footnoteReference w:id="277"/>
      </w:r>
      <w:r>
        <w:rPr>
          <w:rFonts w:ascii="Times New Roman" w:hAnsi="Times New Roman"/>
          <w:noProof/>
          <w:spacing w:val="-2"/>
          <w:sz w:val="24"/>
          <w:lang w:val="fr-BE"/>
        </w:rPr>
        <w:t xml:space="preserve"> et adopté des notes d’orientation sur la territorialité</w:t>
      </w:r>
      <w:r>
        <w:rPr>
          <w:rFonts w:ascii="Times New Roman" w:hAnsi="Times New Roman"/>
          <w:noProof/>
          <w:spacing w:val="-2"/>
          <w:sz w:val="24"/>
          <w:vertAlign w:val="superscript"/>
        </w:rPr>
        <w:footnoteReference w:id="278"/>
      </w:r>
      <w:r>
        <w:rPr>
          <w:rFonts w:ascii="Times New Roman" w:hAnsi="Times New Roman"/>
          <w:noProof/>
          <w:spacing w:val="-2"/>
          <w:sz w:val="24"/>
          <w:lang w:val="fr-BE"/>
        </w:rPr>
        <w:t xml:space="preserve"> et la procédure concernant les décisions fiscales anticipées</w:t>
      </w:r>
      <w:r>
        <w:rPr>
          <w:rFonts w:ascii="Times New Roman" w:hAnsi="Times New Roman"/>
          <w:noProof/>
          <w:spacing w:val="-2"/>
          <w:sz w:val="24"/>
          <w:vertAlign w:val="superscript"/>
        </w:rPr>
        <w:footnoteReference w:id="279"/>
      </w:r>
      <w:r>
        <w:rPr>
          <w:rFonts w:ascii="Times New Roman" w:hAnsi="Times New Roman"/>
          <w:noProof/>
          <w:spacing w:val="-2"/>
          <w:sz w:val="24"/>
          <w:lang w:val="fr-BE"/>
        </w:rPr>
        <w:t>.</w:t>
      </w:r>
    </w:p>
    <w:p w:rsidR="00D9323F" w:rsidRDefault="00F47CDD">
      <w:pPr>
        <w:widowControl w:val="0"/>
        <w:tabs>
          <w:tab w:val="num" w:pos="360"/>
        </w:tabs>
        <w:spacing w:line="240" w:lineRule="auto"/>
        <w:jc w:val="both"/>
        <w:rPr>
          <w:rFonts w:ascii="Times New Roman" w:hAnsi="Times New Roman"/>
          <w:i/>
          <w:noProof/>
          <w:color w:val="000000"/>
          <w:sz w:val="24"/>
          <w:szCs w:val="24"/>
          <w:lang w:val="fr-BE"/>
        </w:rPr>
      </w:pPr>
      <w:r>
        <w:rPr>
          <w:rFonts w:ascii="Times New Roman" w:hAnsi="Times New Roman"/>
          <w:i/>
          <w:noProof/>
          <w:color w:val="000000"/>
          <w:sz w:val="24"/>
          <w:lang w:val="fr-BE"/>
        </w:rPr>
        <w:t>Lutte contre l</w:t>
      </w:r>
      <w:r>
        <w:rPr>
          <w:rFonts w:ascii="Times New Roman" w:hAnsi="Times New Roman"/>
          <w:i/>
          <w:noProof/>
          <w:color w:val="000000"/>
          <w:sz w:val="24"/>
          <w:lang w:val="fr-BE"/>
        </w:rPr>
        <w:t xml:space="preserve">es régimes et mesures fiscaux discriminatoires protégeant des entreprises nationales contre la concurrence au sein du marché intérieur </w:t>
      </w:r>
    </w:p>
    <w:p w:rsidR="00D9323F" w:rsidRDefault="00F47CDD">
      <w:pPr>
        <w:widowControl w:val="0"/>
        <w:tabs>
          <w:tab w:val="num" w:pos="360"/>
        </w:tabs>
        <w:spacing w:line="240" w:lineRule="auto"/>
        <w:jc w:val="both"/>
        <w:rPr>
          <w:rFonts w:ascii="Times New Roman" w:hAnsi="Times New Roman"/>
          <w:noProof/>
          <w:spacing w:val="-2"/>
          <w:sz w:val="24"/>
          <w:lang w:val="fr-BE"/>
        </w:rPr>
      </w:pPr>
      <w:r>
        <w:rPr>
          <w:rFonts w:ascii="Times New Roman" w:hAnsi="Times New Roman"/>
          <w:noProof/>
          <w:spacing w:val="-2"/>
          <w:sz w:val="24"/>
          <w:lang w:val="fr-BE"/>
        </w:rPr>
        <w:t xml:space="preserve">Outre les affaires portant sur des décisions fiscales anticipées, la Commission reste attentive à ce que les États </w:t>
      </w:r>
      <w:r>
        <w:rPr>
          <w:rFonts w:ascii="Times New Roman" w:hAnsi="Times New Roman"/>
          <w:noProof/>
          <w:spacing w:val="-2"/>
          <w:sz w:val="24"/>
          <w:lang w:val="fr-BE"/>
        </w:rPr>
        <w:t>membres ne se servent pas d’instruments fiscaux pour favoriser indûment certaines entreprises ou certains secteurs et protéger des entreprises nationales contre la concurrence au sein du marché intérieur.</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Concernant l’enquête sur les aides fiscales aux por</w:t>
      </w:r>
      <w:r>
        <w:rPr>
          <w:rFonts w:ascii="Times New Roman" w:hAnsi="Times New Roman"/>
          <w:noProof/>
          <w:sz w:val="24"/>
          <w:lang w:val="fr-BE"/>
        </w:rPr>
        <w:t>ts, outre les décisions négatives adoptées en janvier 2016</w:t>
      </w:r>
      <w:r>
        <w:rPr>
          <w:rFonts w:ascii="Times New Roman" w:hAnsi="Times New Roman"/>
          <w:noProof/>
          <w:sz w:val="24"/>
          <w:vertAlign w:val="superscript"/>
        </w:rPr>
        <w:footnoteReference w:id="280"/>
      </w:r>
      <w:r>
        <w:rPr>
          <w:rFonts w:ascii="Times New Roman" w:hAnsi="Times New Roman"/>
          <w:noProof/>
          <w:sz w:val="24"/>
          <w:lang w:val="fr-BE"/>
        </w:rPr>
        <w:t xml:space="preserve"> (ports maritimes néerlandais) et en juillet 2017 (ports belges</w:t>
      </w:r>
      <w:r>
        <w:rPr>
          <w:rFonts w:ascii="Times New Roman" w:hAnsi="Times New Roman"/>
          <w:noProof/>
          <w:sz w:val="24"/>
          <w:vertAlign w:val="superscript"/>
        </w:rPr>
        <w:footnoteReference w:id="281"/>
      </w:r>
      <w:r>
        <w:rPr>
          <w:rFonts w:ascii="Times New Roman" w:hAnsi="Times New Roman"/>
          <w:noProof/>
          <w:sz w:val="24"/>
          <w:lang w:val="fr-BE"/>
        </w:rPr>
        <w:t xml:space="preserve"> et français</w:t>
      </w:r>
      <w:r>
        <w:rPr>
          <w:rFonts w:ascii="Times New Roman" w:hAnsi="Times New Roman"/>
          <w:noProof/>
          <w:sz w:val="24"/>
          <w:vertAlign w:val="superscript"/>
        </w:rPr>
        <w:footnoteReference w:id="282"/>
      </w:r>
      <w:r>
        <w:rPr>
          <w:rFonts w:ascii="Times New Roman" w:hAnsi="Times New Roman"/>
          <w:noProof/>
          <w:sz w:val="24"/>
          <w:lang w:val="fr-BE"/>
        </w:rPr>
        <w:t xml:space="preserve">), la Commission a engagé en avril 2018 la procédure de coopération au regard des exonérations d’impôt sur les sociétés </w:t>
      </w:r>
      <w:r>
        <w:rPr>
          <w:rFonts w:ascii="Times New Roman" w:hAnsi="Times New Roman"/>
          <w:noProof/>
          <w:sz w:val="24"/>
          <w:lang w:val="fr-BE"/>
        </w:rPr>
        <w:t>bénéficiant à des ports en Espagne et en Italie. L’action de la Commission tient compte de la nécessité de garantir que toutes les entreprises paient leur juste part de l’impôt et qu’aucun secteur ni aucune entreprise en particulier ne bénéficie indument d</w:t>
      </w:r>
      <w:r>
        <w:rPr>
          <w:rFonts w:ascii="Times New Roman" w:hAnsi="Times New Roman"/>
          <w:noProof/>
          <w:sz w:val="24"/>
          <w:lang w:val="fr-BE"/>
        </w:rPr>
        <w:t>’un traitement en matière d’impôt sur les sociétés plus favorable. Les ports sont essentiels pour l’économie de l’Union européenne et la Commission n’empêche pas les États membres d’octroyer des aides à leurs ports, notamment lorsque celles-ci sont nécessa</w:t>
      </w:r>
      <w:r>
        <w:rPr>
          <w:rFonts w:ascii="Times New Roman" w:hAnsi="Times New Roman"/>
          <w:noProof/>
          <w:sz w:val="24"/>
          <w:lang w:val="fr-BE"/>
        </w:rPr>
        <w:t>ires pour développer l’infrastructure portuaire, mais les exonérations d’impôt sur les sociétés procurent un plus grand avantage aux bénéficiaires les plus rentables. Elles ne sont ni transparentes, ni limitées ou ciblées sur des activités de financement o</w:t>
      </w:r>
      <w:r>
        <w:rPr>
          <w:rFonts w:ascii="Times New Roman" w:hAnsi="Times New Roman"/>
          <w:noProof/>
          <w:sz w:val="24"/>
          <w:lang w:val="fr-BE"/>
        </w:rPr>
        <w:t xml:space="preserve">u des investissements nécessaires et justifiés par des objectifs d’intérêt commun.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Plus généralement, tout au long de 2018, la Commission a fourni des orientations aux États membres et les a aidés à concevoir des mesures fiscales conformes aux règles en </w:t>
      </w:r>
      <w:r>
        <w:rPr>
          <w:rFonts w:ascii="Times New Roman" w:hAnsi="Times New Roman"/>
          <w:noProof/>
          <w:sz w:val="24"/>
          <w:lang w:val="fr-BE"/>
        </w:rPr>
        <w:t>matière d’aides d’État, comme des impôts liés à la santé</w:t>
      </w:r>
      <w:r>
        <w:rPr>
          <w:rFonts w:ascii="Times New Roman" w:hAnsi="Times New Roman"/>
          <w:noProof/>
          <w:sz w:val="24"/>
          <w:vertAlign w:val="superscript"/>
        </w:rPr>
        <w:footnoteReference w:id="283"/>
      </w:r>
      <w:r>
        <w:rPr>
          <w:rFonts w:ascii="Times New Roman" w:hAnsi="Times New Roman"/>
          <w:noProof/>
          <w:sz w:val="24"/>
          <w:lang w:val="fr-BE"/>
        </w:rPr>
        <w:t xml:space="preserve"> ou des impôts fonciers</w:t>
      </w:r>
      <w:r>
        <w:rPr>
          <w:rFonts w:ascii="Times New Roman" w:hAnsi="Times New Roman"/>
          <w:noProof/>
          <w:sz w:val="24"/>
          <w:vertAlign w:val="superscript"/>
        </w:rPr>
        <w:footnoteReference w:id="284"/>
      </w:r>
      <w:r>
        <w:rPr>
          <w:rFonts w:ascii="Times New Roman" w:hAnsi="Times New Roman"/>
          <w:noProof/>
          <w:sz w:val="24"/>
          <w:lang w:val="fr-BE"/>
        </w:rPr>
        <w:t>.</w:t>
      </w:r>
    </w:p>
    <w:bookmarkEnd w:id="39"/>
    <w:p w:rsidR="00D9323F" w:rsidRDefault="00F47CDD">
      <w:pPr>
        <w:keepNext/>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r>
        <w:rPr>
          <w:noProof/>
          <w:lang w:val="fr-BE"/>
        </w:rPr>
        <w:tab/>
      </w:r>
      <w:bookmarkStart w:id="42" w:name="_Toc19019206"/>
      <w:r>
        <w:rPr>
          <w:rFonts w:ascii="Times New Roman" w:hAnsi="Times New Roman"/>
          <w:b/>
          <w:smallCaps/>
          <w:noProof/>
          <w:sz w:val="24"/>
          <w:lang w:val="fr-BE"/>
        </w:rPr>
        <w:t>5. Industries de base et industrie manufacturière</w:t>
      </w:r>
      <w:bookmarkEnd w:id="42"/>
    </w:p>
    <w:p w:rsidR="00D9323F" w:rsidRDefault="00F47CDD">
      <w:pPr>
        <w:keepNext/>
        <w:widowControl w:val="0"/>
        <w:spacing w:line="240" w:lineRule="auto"/>
        <w:jc w:val="both"/>
        <w:rPr>
          <w:rFonts w:ascii="Times New Roman" w:eastAsia="Times New Roman" w:hAnsi="Times New Roman"/>
          <w:b/>
          <w:noProof/>
          <w:sz w:val="24"/>
          <w:szCs w:val="24"/>
          <w:lang w:val="fr-BE"/>
        </w:rPr>
      </w:pPr>
      <w:r>
        <w:rPr>
          <w:rFonts w:ascii="Times New Roman" w:hAnsi="Times New Roman"/>
          <w:b/>
          <w:noProof/>
          <w:sz w:val="24"/>
          <w:lang w:val="fr-BE"/>
        </w:rPr>
        <w:t>Aperçu des principaux problèmes auxquels le secteur est confronté</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L’industrie manufacturière est importante pour l’économi</w:t>
      </w:r>
      <w:r>
        <w:rPr>
          <w:rFonts w:ascii="Times New Roman" w:eastAsiaTheme="minorHAnsi" w:hAnsi="Times New Roman"/>
          <w:noProof/>
          <w:sz w:val="24"/>
          <w:lang w:val="fr-BE"/>
        </w:rPr>
        <w:t>e de l’Union européenne en tant que moteur de croissance et d’emploi. Près de 30 millions de personnes, soit plus de 20 % de la main-d’œuvre européenne, travaillent dans ce secteur. Les progrès considérables de l’automatisation et l’usage de plus en plus r</w:t>
      </w:r>
      <w:r>
        <w:rPr>
          <w:rFonts w:ascii="Times New Roman" w:eastAsiaTheme="minorHAnsi" w:hAnsi="Times New Roman"/>
          <w:noProof/>
          <w:sz w:val="24"/>
          <w:lang w:val="fr-BE"/>
        </w:rPr>
        <w:t>épandu de la robotique dans de nombreuses industries ces dernières décennies ont entraîné d’importantes restructurations et pertes d’emploi dans toute l’Europe. Le secteur manufacturier est confronté à de nouveaux défis, en raison de la délocalisation d’em</w:t>
      </w:r>
      <w:r>
        <w:rPr>
          <w:rFonts w:ascii="Times New Roman" w:eastAsiaTheme="minorHAnsi" w:hAnsi="Times New Roman"/>
          <w:noProof/>
          <w:sz w:val="24"/>
          <w:lang w:val="fr-BE"/>
        </w:rPr>
        <w:t>plois vers des pays dans lesquels le coût de la main-d’œuvre est inférieur et de l’essor des chaînes d’approvisionnement mondiales dont les producteurs se trouvent en dehors de l’Union européenne. De plus, les prix élevés de l’énergie et la faible croissan</w:t>
      </w:r>
      <w:r>
        <w:rPr>
          <w:rFonts w:ascii="Times New Roman" w:eastAsiaTheme="minorHAnsi" w:hAnsi="Times New Roman"/>
          <w:noProof/>
          <w:sz w:val="24"/>
          <w:lang w:val="fr-BE"/>
        </w:rPr>
        <w:t>ce de la productivité par rapport à la moyenne de l’OCDE entravent la compétitivité des entreprises européennes. Si les nouvelles technologies et la transformation numérique contribuent à augmenter les rendements et à réduire les coûts, les économies concu</w:t>
      </w:r>
      <w:r>
        <w:rPr>
          <w:rFonts w:ascii="Times New Roman" w:eastAsiaTheme="minorHAnsi" w:hAnsi="Times New Roman"/>
          <w:noProof/>
          <w:sz w:val="24"/>
          <w:lang w:val="fr-BE"/>
        </w:rPr>
        <w:t>rrentes disposent aussi de ces techniques.</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La stratégie revisitée pour la politique industrielle de l’Union européenne</w:t>
      </w:r>
      <w:r>
        <w:rPr>
          <w:rFonts w:ascii="Times New Roman" w:eastAsiaTheme="minorHAnsi" w:hAnsi="Times New Roman"/>
          <w:noProof/>
          <w:sz w:val="24"/>
          <w:vertAlign w:val="superscript"/>
        </w:rPr>
        <w:footnoteReference w:id="285"/>
      </w:r>
      <w:r>
        <w:rPr>
          <w:rFonts w:ascii="Times New Roman" w:eastAsiaTheme="minorHAnsi" w:hAnsi="Times New Roman"/>
          <w:noProof/>
          <w:sz w:val="24"/>
          <w:lang w:val="fr-BE"/>
        </w:rPr>
        <w:t xml:space="preserve"> vise à relever ces défis en stimulant les investissements dans une industrie intelligente, innovante et durable. L’application des règle</w:t>
      </w:r>
      <w:r>
        <w:rPr>
          <w:rFonts w:ascii="Times New Roman" w:eastAsiaTheme="minorHAnsi" w:hAnsi="Times New Roman"/>
          <w:noProof/>
          <w:sz w:val="24"/>
          <w:lang w:val="fr-BE"/>
        </w:rPr>
        <w:t>s de concurrence dans le secteur manufacturier contribue à ces objectifs, notamment en garantissant que les entreprises peuvent se faire concurrence dans des conditions loyales et équitables au sein du marché intérieur. En outre, les règles en matière d’ai</w:t>
      </w:r>
      <w:r>
        <w:rPr>
          <w:rFonts w:ascii="Times New Roman" w:eastAsiaTheme="minorHAnsi" w:hAnsi="Times New Roman"/>
          <w:noProof/>
          <w:sz w:val="24"/>
          <w:lang w:val="fr-BE"/>
        </w:rPr>
        <w:t xml:space="preserve">des d’État sont utilisées pour canaliser les fonds publics vers la recherche, la formation et l’efficacité énergétique. Seules les sociétés innovantes disposant d’un plan de développement durable peuvent fournir des produits et services intelligents à des </w:t>
      </w:r>
      <w:r>
        <w:rPr>
          <w:rFonts w:ascii="Times New Roman" w:eastAsiaTheme="minorHAnsi" w:hAnsi="Times New Roman"/>
          <w:noProof/>
          <w:sz w:val="24"/>
          <w:lang w:val="fr-BE"/>
        </w:rPr>
        <w:t>prix compétitifs pour les entreprises et consommateurs européens. Améliorer le rendement et la compétitivité à long terme des entreprises dans leur pays leur permet également d’être en mesure de soutenir la concurrence sur le marché mondial.</w:t>
      </w:r>
    </w:p>
    <w:p w:rsidR="00D9323F" w:rsidRDefault="00D9323F">
      <w:pPr>
        <w:widowControl w:val="0"/>
        <w:tabs>
          <w:tab w:val="num" w:pos="360"/>
        </w:tabs>
        <w:spacing w:line="240" w:lineRule="auto"/>
        <w:jc w:val="both"/>
        <w:rPr>
          <w:rFonts w:ascii="Times New Roman" w:hAnsi="Times New Roman"/>
          <w:b/>
          <w:noProof/>
          <w:sz w:val="24"/>
          <w:lang w:val="fr-BE"/>
        </w:rPr>
      </w:pPr>
    </w:p>
    <w:p w:rsidR="00D9323F" w:rsidRDefault="00F47CDD">
      <w:pPr>
        <w:widowControl w:val="0"/>
        <w:tabs>
          <w:tab w:val="num" w:pos="360"/>
        </w:tabs>
        <w:spacing w:line="240" w:lineRule="auto"/>
        <w:jc w:val="both"/>
        <w:rPr>
          <w:rFonts w:ascii="Times New Roman" w:hAnsi="Times New Roman"/>
          <w:b/>
          <w:noProof/>
          <w:sz w:val="24"/>
          <w:lang w:val="fr-BE"/>
        </w:rPr>
      </w:pPr>
      <w:r>
        <w:rPr>
          <w:rFonts w:ascii="Times New Roman" w:hAnsi="Times New Roman"/>
          <w:b/>
          <w:noProof/>
          <w:sz w:val="24"/>
          <w:lang w:val="fr-BE"/>
        </w:rPr>
        <w:t xml:space="preserve">Contribution </w:t>
      </w:r>
      <w:r>
        <w:rPr>
          <w:rFonts w:ascii="Times New Roman" w:hAnsi="Times New Roman"/>
          <w:b/>
          <w:noProof/>
          <w:sz w:val="24"/>
          <w:lang w:val="fr-BE"/>
        </w:rPr>
        <w:t>de la politique de concurrence de l’Union européenne à la résolution des problèmes</w:t>
      </w:r>
    </w:p>
    <w:p w:rsidR="00D9323F" w:rsidRDefault="00F47CDD">
      <w:pPr>
        <w:keepNext/>
        <w:keepLines/>
        <w:tabs>
          <w:tab w:val="num" w:pos="360"/>
        </w:tabs>
        <w:spacing w:line="240" w:lineRule="auto"/>
        <w:jc w:val="both"/>
        <w:rPr>
          <w:rFonts w:ascii="Times New Roman" w:hAnsi="Times New Roman"/>
          <w:i/>
          <w:noProof/>
          <w:sz w:val="24"/>
          <w:lang w:val="fr-BE"/>
        </w:rPr>
      </w:pPr>
      <w:r>
        <w:rPr>
          <w:rFonts w:ascii="Times New Roman" w:hAnsi="Times New Roman"/>
          <w:i/>
          <w:noProof/>
          <w:sz w:val="24"/>
          <w:lang w:val="fr-BE"/>
        </w:rPr>
        <w:t>Enquêtes en matière d’ententes dans les industries de base</w:t>
      </w:r>
    </w:p>
    <w:p w:rsidR="00D9323F" w:rsidRDefault="00F47CDD">
      <w:pPr>
        <w:tabs>
          <w:tab w:val="num" w:pos="360"/>
        </w:tabs>
        <w:spacing w:line="240" w:lineRule="auto"/>
        <w:jc w:val="both"/>
        <w:rPr>
          <w:rFonts w:ascii="Times New Roman" w:eastAsia="Times New Roman" w:hAnsi="Times New Roman"/>
          <w:bCs/>
          <w:iCs/>
          <w:noProof/>
          <w:color w:val="000000"/>
          <w:sz w:val="24"/>
          <w:szCs w:val="20"/>
          <w:lang w:val="fr-BE"/>
        </w:rPr>
      </w:pPr>
      <w:r>
        <w:rPr>
          <w:rFonts w:ascii="Times New Roman" w:hAnsi="Times New Roman"/>
          <w:noProof/>
          <w:color w:val="000000"/>
          <w:sz w:val="24"/>
          <w:lang w:val="fr-BE"/>
        </w:rPr>
        <w:t>L’industrie manufacturière de base et l’industrie des biens de consommation continuent de représenter une part importante de la pratique de la Commission en matière de mise en œuvre. En 2018, la Commission a poursuivi ses lignes d’action (notamment en ce q</w:t>
      </w:r>
      <w:r>
        <w:rPr>
          <w:rFonts w:ascii="Times New Roman" w:hAnsi="Times New Roman"/>
          <w:noProof/>
          <w:color w:val="000000"/>
          <w:sz w:val="24"/>
          <w:lang w:val="fr-BE"/>
        </w:rPr>
        <w:t>ui concerne le traitement des dossiers, la surveillance des marchés et les actions de sensibilisation) dans ces secteurs, notamment dans les secteurs des véhicules à moteur et des biens de consommation. Une industrie manufacturière européenne à forte valeu</w:t>
      </w:r>
      <w:r>
        <w:rPr>
          <w:rFonts w:ascii="Times New Roman" w:hAnsi="Times New Roman"/>
          <w:noProof/>
          <w:color w:val="000000"/>
          <w:sz w:val="24"/>
          <w:lang w:val="fr-BE"/>
        </w:rPr>
        <w:t>r ajoutée exige d’accéder à des matières premières à des prix abordables qui reflètent les conditions de coût au niveau international. En 2018, la Commission a surveillé activement les marchés de ces intrants pour s’assurer que les entreprises ont un accès</w:t>
      </w:r>
      <w:r>
        <w:rPr>
          <w:rFonts w:ascii="Times New Roman" w:hAnsi="Times New Roman"/>
          <w:noProof/>
          <w:color w:val="000000"/>
          <w:sz w:val="24"/>
          <w:lang w:val="fr-BE"/>
        </w:rPr>
        <w:t xml:space="preserve"> adéquat dans un environnement sain et compétitif. </w:t>
      </w:r>
    </w:p>
    <w:p w:rsidR="00D9323F" w:rsidRDefault="00F47CDD">
      <w:pPr>
        <w:widowControl w:val="0"/>
        <w:tabs>
          <w:tab w:val="num" w:pos="360"/>
        </w:tabs>
        <w:spacing w:line="240" w:lineRule="auto"/>
        <w:jc w:val="both"/>
        <w:rPr>
          <w:rFonts w:ascii="Times New Roman" w:hAnsi="Times New Roman"/>
          <w:i/>
          <w:noProof/>
          <w:sz w:val="24"/>
          <w:szCs w:val="24"/>
          <w:lang w:val="fr-BE"/>
        </w:rPr>
      </w:pPr>
      <w:r>
        <w:rPr>
          <w:rFonts w:ascii="Times New Roman" w:hAnsi="Times New Roman"/>
          <w:i/>
          <w:noProof/>
          <w:sz w:val="24"/>
          <w:lang w:val="fr-BE"/>
        </w:rPr>
        <w:t>Enquêtes sur les opérations de concentration dans les industries de base et l’industrie manufacturière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Les principales enquêtes sur les opérations de concentration menées par la Commission dans les indust</w:t>
      </w:r>
      <w:r>
        <w:rPr>
          <w:rFonts w:ascii="Times New Roman" w:hAnsi="Times New Roman"/>
          <w:noProof/>
          <w:sz w:val="24"/>
          <w:lang w:val="fr-BE"/>
        </w:rPr>
        <w:t>ries de base concernaient notamment le secteur de l’acier, mais aussi toute une série d’autres secteurs, dont la fabrication de machines et de composants d’aéronefs, les robots nettoyeurs pour piscines, les matériaux de construction, le papier et le carton</w:t>
      </w:r>
      <w:r>
        <w:rPr>
          <w:rFonts w:ascii="Times New Roman" w:hAnsi="Times New Roman"/>
          <w:noProof/>
          <w:sz w:val="24"/>
          <w:lang w:val="fr-BE"/>
        </w:rPr>
        <w:t>, ainsi que les aliments pour animaux de compagnie.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Parmi ces enquêtes, la plus notable est celle sur l’acquisition d’</w:t>
      </w:r>
      <w:r>
        <w:rPr>
          <w:rFonts w:ascii="Times New Roman" w:hAnsi="Times New Roman"/>
          <w:i/>
          <w:noProof/>
          <w:sz w:val="24"/>
          <w:lang w:val="fr-BE"/>
        </w:rPr>
        <w:t>Ilva</w:t>
      </w:r>
      <w:r>
        <w:rPr>
          <w:rFonts w:ascii="Times New Roman" w:hAnsi="Times New Roman"/>
          <w:noProof/>
          <w:sz w:val="24"/>
          <w:lang w:val="fr-BE"/>
        </w:rPr>
        <w:t xml:space="preserve"> par </w:t>
      </w:r>
      <w:r>
        <w:rPr>
          <w:rFonts w:ascii="Times New Roman" w:hAnsi="Times New Roman"/>
          <w:i/>
          <w:noProof/>
          <w:sz w:val="24"/>
          <w:lang w:val="fr-BE"/>
        </w:rPr>
        <w:t>ArcelorMittal</w:t>
      </w:r>
      <w:r>
        <w:rPr>
          <w:rFonts w:ascii="Times New Roman" w:hAnsi="Times New Roman"/>
          <w:noProof/>
          <w:sz w:val="24"/>
          <w:vertAlign w:val="superscript"/>
        </w:rPr>
        <w:footnoteReference w:id="286"/>
      </w:r>
      <w:r>
        <w:rPr>
          <w:rFonts w:ascii="Times New Roman" w:hAnsi="Times New Roman"/>
          <w:noProof/>
          <w:sz w:val="24"/>
          <w:lang w:val="fr-BE"/>
        </w:rPr>
        <w:t>. Cette concentration a réuni ArcelorMittal, le premier producteur européen et mondial de produits plats en acier a</w:t>
      </w:r>
      <w:r>
        <w:rPr>
          <w:rFonts w:ascii="Times New Roman" w:hAnsi="Times New Roman"/>
          <w:noProof/>
          <w:sz w:val="24"/>
          <w:lang w:val="fr-BE"/>
        </w:rPr>
        <w:t>u carbone, et les principaux actifs d’Ilva, notamment son aciérie de Tarente, en Italie, la plus grande usine intégrée sur site unique en Europe de produits plats en acier au carbone. Les deux sociétés sont, en Europe, des producteurs importants de produit</w:t>
      </w:r>
      <w:r>
        <w:rPr>
          <w:rFonts w:ascii="Times New Roman" w:hAnsi="Times New Roman"/>
          <w:noProof/>
          <w:sz w:val="24"/>
          <w:lang w:val="fr-BE"/>
        </w:rPr>
        <w:t xml:space="preserve">s plats en acier au carbone laminés à chaud, laminés à froid et galvanisés. ArcelorMittal dispose d’un vaste réseau de production dans l’EEE et Ilva possède d’importants actifs de production en Italie.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Après une enquête approfondie, au cours de laquelle l</w:t>
      </w:r>
      <w:r>
        <w:rPr>
          <w:rFonts w:ascii="Times New Roman" w:hAnsi="Times New Roman"/>
          <w:noProof/>
          <w:sz w:val="24"/>
          <w:lang w:val="fr-BE"/>
        </w:rPr>
        <w:t>a Commission a recensé des problèmes de concurrence, elle a subordonné la décision d’autorisation à la cession, proposée par ArcelorMittal, d’un vaste ensemble d’actifs, destinée à préserver une concurrence effective sur les marchés européens de l’acier, a</w:t>
      </w:r>
      <w:r>
        <w:rPr>
          <w:rFonts w:ascii="Times New Roman" w:hAnsi="Times New Roman"/>
          <w:noProof/>
          <w:sz w:val="24"/>
          <w:lang w:val="fr-BE"/>
        </w:rPr>
        <w:t>u bénéfice des consommateurs et des entreprises.</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L’acier est un intrant capital pour de nombreuses industries européennes et pour beaucoup de produits utilisés chaque jour. L’intervention de la Commission a veillé à ce que l’acquisition d’Ilva par ArcelorM</w:t>
      </w:r>
      <w:r>
        <w:rPr>
          <w:rFonts w:ascii="Times New Roman" w:hAnsi="Times New Roman"/>
          <w:noProof/>
          <w:sz w:val="24"/>
          <w:lang w:val="fr-BE"/>
        </w:rPr>
        <w:t>ittal, qui donne naissance à ce qui est, de loin, le plus important sidérurgiste européen, ne provoque pas une hausse des prix de l’acier au détriment des industries européennes, des personnes qu’elles emploient et des consommateurs. ArcelorMittal a propos</w:t>
      </w:r>
      <w:r>
        <w:rPr>
          <w:rFonts w:ascii="Times New Roman" w:hAnsi="Times New Roman"/>
          <w:noProof/>
          <w:sz w:val="24"/>
          <w:lang w:val="fr-BE"/>
        </w:rPr>
        <w:t>é de vendre plusieurs aciéries à travers l’Europe à un ou plusieurs acquéreurs, qui les exploiteront pour concurrencer ArcelorMittal sur le long terme. La concurrence effective sur les marchés européens de l’acier sera ainsi préservée. Cette décision va de</w:t>
      </w:r>
      <w:r>
        <w:rPr>
          <w:rFonts w:ascii="Times New Roman" w:hAnsi="Times New Roman"/>
          <w:noProof/>
          <w:sz w:val="24"/>
          <w:lang w:val="fr-BE"/>
        </w:rPr>
        <w:t xml:space="preserve"> pair avec les mesures énergiques prises par l’Union européenne pour protéger la sidérurgie européenne contre les distorsions indues de la concurrence provoquées dans les pays tiers.</w:t>
      </w:r>
    </w:p>
    <w:p w:rsidR="00D9323F" w:rsidRDefault="00F47CDD">
      <w:pPr>
        <w:spacing w:line="240" w:lineRule="auto"/>
        <w:jc w:val="both"/>
        <w:rPr>
          <w:rFonts w:ascii="Times New Roman" w:eastAsiaTheme="minorHAnsi" w:hAnsi="Times New Roman"/>
          <w:noProof/>
          <w:sz w:val="24"/>
          <w:szCs w:val="24"/>
          <w:lang w:val="fr-BE"/>
        </w:rPr>
      </w:pPr>
      <w:r>
        <w:rPr>
          <w:rFonts w:ascii="Times New Roman" w:eastAsiaTheme="minorHAnsi" w:hAnsi="Times New Roman"/>
          <w:noProof/>
          <w:sz w:val="24"/>
          <w:lang w:val="fr-BE"/>
        </w:rPr>
        <w:t>Le 13 juillet 2018, la Commission a ouvert, en vertu du règlement de l’Un</w:t>
      </w:r>
      <w:r>
        <w:rPr>
          <w:rFonts w:ascii="Times New Roman" w:eastAsiaTheme="minorHAnsi" w:hAnsi="Times New Roman"/>
          <w:noProof/>
          <w:sz w:val="24"/>
          <w:lang w:val="fr-BE"/>
        </w:rPr>
        <w:t>ion européenne sur les concentrations, une enquête approfondie</w:t>
      </w:r>
      <w:r>
        <w:rPr>
          <w:rFonts w:ascii="Times New Roman" w:eastAsiaTheme="minorHAnsi" w:hAnsi="Times New Roman"/>
          <w:noProof/>
          <w:sz w:val="24"/>
          <w:vertAlign w:val="superscript"/>
        </w:rPr>
        <w:footnoteReference w:id="287"/>
      </w:r>
      <w:r>
        <w:rPr>
          <w:rFonts w:ascii="Times New Roman" w:eastAsiaTheme="minorHAnsi" w:hAnsi="Times New Roman"/>
          <w:noProof/>
          <w:sz w:val="24"/>
          <w:lang w:val="fr-BE"/>
        </w:rPr>
        <w:t xml:space="preserve"> visant à examiner le projet de rachat d’</w:t>
      </w:r>
      <w:r>
        <w:rPr>
          <w:rFonts w:ascii="Times New Roman" w:eastAsiaTheme="minorHAnsi" w:hAnsi="Times New Roman"/>
          <w:i/>
          <w:noProof/>
          <w:sz w:val="24"/>
          <w:lang w:val="fr-BE"/>
        </w:rPr>
        <w:t>Alstom</w:t>
      </w:r>
      <w:r>
        <w:rPr>
          <w:rFonts w:ascii="Times New Roman" w:eastAsiaTheme="minorHAnsi" w:hAnsi="Times New Roman"/>
          <w:noProof/>
          <w:sz w:val="24"/>
          <w:lang w:val="fr-BE"/>
        </w:rPr>
        <w:t xml:space="preserve"> par </w:t>
      </w:r>
      <w:r>
        <w:rPr>
          <w:rFonts w:ascii="Times New Roman" w:eastAsiaTheme="minorHAnsi" w:hAnsi="Times New Roman"/>
          <w:i/>
          <w:noProof/>
          <w:sz w:val="24"/>
          <w:lang w:val="fr-BE"/>
        </w:rPr>
        <w:t>Siemens</w:t>
      </w:r>
      <w:r>
        <w:rPr>
          <w:rFonts w:ascii="Times New Roman" w:eastAsiaTheme="minorHAnsi" w:hAnsi="Times New Roman"/>
          <w:noProof/>
          <w:sz w:val="24"/>
          <w:lang w:val="fr-BE"/>
        </w:rPr>
        <w:t>. La branche «mobilité» de Siemens propose un vaste éventail de trains (matériel roulant), de matériel d’automatisation et de signalis</w:t>
      </w:r>
      <w:r>
        <w:rPr>
          <w:rFonts w:ascii="Times New Roman" w:eastAsiaTheme="minorHAnsi" w:hAnsi="Times New Roman"/>
          <w:noProof/>
          <w:sz w:val="24"/>
          <w:lang w:val="fr-BE"/>
        </w:rPr>
        <w:t>ation ferroviaires, ainsi que de systèmes d’électrification ferroviaire. Alstom est un acteur mondial exerçant ses activités dans l’industrie du transport ferroviaire et proposant un vaste éventail de matériel roulant (des trains à grande vitesse aux métro</w:t>
      </w:r>
      <w:r>
        <w:rPr>
          <w:rFonts w:ascii="Times New Roman" w:eastAsiaTheme="minorHAnsi" w:hAnsi="Times New Roman"/>
          <w:noProof/>
          <w:sz w:val="24"/>
          <w:lang w:val="fr-BE"/>
        </w:rPr>
        <w:t>s et trams), ainsi que des systèmes de signalisation et d’électrification ferroviaire. Le 6 février 2019, en application du règlement de l’Union européenne sur les concentrations, la Commission a interdit l’opération envisagée</w:t>
      </w:r>
      <w:r>
        <w:rPr>
          <w:rStyle w:val="FootnoteReference"/>
          <w:rFonts w:ascii="Times New Roman" w:eastAsiaTheme="minorHAnsi" w:hAnsi="Times New Roman"/>
          <w:noProof/>
          <w:sz w:val="24"/>
        </w:rPr>
        <w:footnoteReference w:id="288"/>
      </w:r>
      <w:r>
        <w:rPr>
          <w:rFonts w:ascii="Times New Roman" w:eastAsiaTheme="minorHAnsi" w:hAnsi="Times New Roman"/>
          <w:noProof/>
          <w:sz w:val="24"/>
          <w:lang w:val="fr-BE"/>
        </w:rPr>
        <w:t>. Cette dernière aurait réuni</w:t>
      </w:r>
      <w:r>
        <w:rPr>
          <w:rFonts w:ascii="Times New Roman" w:eastAsiaTheme="minorHAnsi" w:hAnsi="Times New Roman"/>
          <w:noProof/>
          <w:sz w:val="24"/>
          <w:lang w:val="fr-BE"/>
        </w:rPr>
        <w:t xml:space="preserve"> les deux plus grands fournisseurs de trains et de solutions de signalisation au sein de l’EEE non seulement en termes d’activités combinées, mais également sur le plan de leur empreinte géographique. La Commission a considéré que la concentration aurait r</w:t>
      </w:r>
      <w:r>
        <w:rPr>
          <w:rFonts w:ascii="Times New Roman" w:eastAsiaTheme="minorHAnsi" w:hAnsi="Times New Roman"/>
          <w:noProof/>
          <w:sz w:val="24"/>
          <w:lang w:val="fr-BE"/>
        </w:rPr>
        <w:t>éduit la concurrence pour la fourniture de plusieurs types de trains et de systèmes de signalisation au sein de l’EEE.</w:t>
      </w:r>
    </w:p>
    <w:p w:rsidR="00D9323F" w:rsidRDefault="00F47CDD">
      <w:pPr>
        <w:widowControl w:val="0"/>
        <w:tabs>
          <w:tab w:val="num" w:pos="360"/>
        </w:tabs>
        <w:spacing w:line="240" w:lineRule="auto"/>
        <w:jc w:val="both"/>
        <w:rPr>
          <w:rFonts w:ascii="Times New Roman" w:hAnsi="Times New Roman"/>
          <w:i/>
          <w:noProof/>
          <w:sz w:val="24"/>
          <w:szCs w:val="24"/>
          <w:lang w:val="fr-BE"/>
        </w:rPr>
      </w:pPr>
      <w:r>
        <w:rPr>
          <w:rFonts w:ascii="Times New Roman" w:hAnsi="Times New Roman"/>
          <w:i/>
          <w:noProof/>
          <w:sz w:val="24"/>
          <w:lang w:val="fr-BE"/>
        </w:rPr>
        <w:t>Enquêtes sur les aides d’État dans le secteur des industries de base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La croissance économique n’est possible que si les entreprises perfo</w:t>
      </w:r>
      <w:r>
        <w:rPr>
          <w:rFonts w:ascii="Times New Roman" w:hAnsi="Times New Roman"/>
          <w:noProof/>
          <w:sz w:val="24"/>
          <w:lang w:val="fr-BE"/>
        </w:rPr>
        <w:t xml:space="preserve">rmantes et innovantes ont des possibilités d’expansion. Pour que cela soit possible, les entreprises moins efficaces qui proposent des produits obsolètes doivent quitter le marché. Le fait de subventionner des entreprises inefficaces perturbe ce processus </w:t>
      </w:r>
      <w:r>
        <w:rPr>
          <w:rFonts w:ascii="Times New Roman" w:hAnsi="Times New Roman"/>
          <w:noProof/>
          <w:sz w:val="24"/>
          <w:lang w:val="fr-BE"/>
        </w:rPr>
        <w:t>et risque de ralentir considérablement la croissance économique. Les règles en matière d’aides d’État relatives aux restructurations industrielles garantissent que les financements publics sont alloués à des entreprises qui règlent leurs problèmes pour dev</w:t>
      </w:r>
      <w:r>
        <w:rPr>
          <w:rFonts w:ascii="Times New Roman" w:hAnsi="Times New Roman"/>
          <w:noProof/>
          <w:sz w:val="24"/>
          <w:lang w:val="fr-BE"/>
        </w:rPr>
        <w:t xml:space="preserve">enir viables d’elles-mêmes.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la Commission a conclu son enquête approfondie sur la restructuration de l’entreprise pétrochimique roumaine </w:t>
      </w:r>
      <w:r>
        <w:rPr>
          <w:rFonts w:ascii="Times New Roman" w:hAnsi="Times New Roman"/>
          <w:i/>
          <w:noProof/>
          <w:sz w:val="24"/>
          <w:lang w:val="fr-BE"/>
        </w:rPr>
        <w:t>Oltchim</w:t>
      </w:r>
      <w:r>
        <w:rPr>
          <w:rFonts w:ascii="Times New Roman" w:hAnsi="Times New Roman"/>
          <w:noProof/>
          <w:sz w:val="24"/>
          <w:vertAlign w:val="superscript"/>
        </w:rPr>
        <w:footnoteReference w:id="289"/>
      </w:r>
      <w:r>
        <w:rPr>
          <w:rFonts w:ascii="Times New Roman" w:hAnsi="Times New Roman"/>
          <w:noProof/>
          <w:sz w:val="24"/>
          <w:lang w:val="fr-BE"/>
        </w:rPr>
        <w:t>.Elle a constaté qu’Oltchim avait bénéficié d’une aide d’État incompatible d’environ 335 millions d’</w:t>
      </w:r>
      <w:r>
        <w:rPr>
          <w:rFonts w:ascii="Times New Roman" w:hAnsi="Times New Roman"/>
          <w:noProof/>
          <w:sz w:val="24"/>
          <w:lang w:val="fr-BE"/>
        </w:rPr>
        <w:t>euros octroyée par la Roumanie depuis l’échec de la privatisation de l’entreprise en septembre 2012, ce qui a conféré à l’entreprise un avantage économique indu par rapport à ses concurrents, qui doivent travailler sans bénéficier de telles subventions. Ol</w:t>
      </w:r>
      <w:r>
        <w:rPr>
          <w:rFonts w:ascii="Times New Roman" w:hAnsi="Times New Roman"/>
          <w:noProof/>
          <w:sz w:val="24"/>
          <w:lang w:val="fr-BE"/>
        </w:rPr>
        <w:t>tchim doit maintenant rembourser l’argent à l’État roumain afin de réparer la distorsion de concurrence créée par l’aide. Parallèlement, la Commission s’est assurée que la vente des actifs d’Oltchim soit réalisée dans les conditions du marché, et donc qu’a</w:t>
      </w:r>
      <w:r>
        <w:rPr>
          <w:rFonts w:ascii="Times New Roman" w:hAnsi="Times New Roman"/>
          <w:noProof/>
          <w:sz w:val="24"/>
          <w:lang w:val="fr-BE"/>
        </w:rPr>
        <w:t>ucune des aides antérieures ne soit répercutée sur les acquéreurs. En effet, après l’ouverture de l’enquête approfondie par la Commission en avril 2016, la Roumanie a modifié les conditions de vente, en particulier en autorisant les investisseurs intéressé</w:t>
      </w:r>
      <w:r>
        <w:rPr>
          <w:rFonts w:ascii="Times New Roman" w:hAnsi="Times New Roman"/>
          <w:noProof/>
          <w:sz w:val="24"/>
          <w:lang w:val="fr-BE"/>
        </w:rPr>
        <w:t xml:space="preserve">s à soumissionner pour n’importe lequel des neuf lots d’actifs, augmentant ainsi la probabilité d’une vente réussie et le produit de la vente des actifs, ce qui a dissipé les doutes initiaux de la Commission.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mai 2018, la Commission a également ouvert une enquête approfondie sur la restructuration de </w:t>
      </w:r>
      <w:r>
        <w:rPr>
          <w:rFonts w:ascii="Times New Roman" w:hAnsi="Times New Roman"/>
          <w:i/>
          <w:noProof/>
          <w:sz w:val="24"/>
          <w:lang w:val="fr-BE"/>
        </w:rPr>
        <w:t>CNU</w:t>
      </w:r>
      <w:r>
        <w:rPr>
          <w:rFonts w:ascii="Times New Roman" w:hAnsi="Times New Roman"/>
          <w:noProof/>
          <w:sz w:val="24"/>
          <w:vertAlign w:val="superscript"/>
        </w:rPr>
        <w:footnoteReference w:id="290"/>
      </w:r>
      <w:r>
        <w:rPr>
          <w:rFonts w:ascii="Times New Roman" w:hAnsi="Times New Roman"/>
          <w:noProof/>
          <w:sz w:val="24"/>
          <w:lang w:val="fr-BE"/>
        </w:rPr>
        <w:t>, une entreprise roumaine active dans l’extraction d’uranium et sa transformation en combustible nucléaire. Après un prêt de sauvetage d’environ 13 millions</w:t>
      </w:r>
      <w:r>
        <w:rPr>
          <w:rFonts w:ascii="Times New Roman" w:hAnsi="Times New Roman"/>
          <w:noProof/>
          <w:sz w:val="24"/>
          <w:lang w:val="fr-BE"/>
        </w:rPr>
        <w:t xml:space="preserve"> d’euros pour maintenir l’entreprise à flot, que la Commission avait autorisé à titre temporaire en 2016, la Roumanie entend octroyer à CNU une aide à la restructuration de quelque 95 millions d’euros. L’enquête de la Commission vise à garantir en particul</w:t>
      </w:r>
      <w:r>
        <w:rPr>
          <w:rFonts w:ascii="Times New Roman" w:hAnsi="Times New Roman"/>
          <w:noProof/>
          <w:sz w:val="24"/>
          <w:lang w:val="fr-BE"/>
        </w:rPr>
        <w:t xml:space="preserve">ier que l’entreprise s’attaque aux problèmes qui ont causé ses difficultés et deviendra viable à long terme sans le maintien de l’aide d’État. </w:t>
      </w:r>
    </w:p>
    <w:p w:rsidR="00D9323F" w:rsidRDefault="00F47CDD">
      <w:pPr>
        <w:spacing w:after="240" w:line="240" w:lineRule="auto"/>
        <w:jc w:val="both"/>
        <w:rPr>
          <w:rFonts w:ascii="Times New Roman" w:eastAsia="Times New Roman" w:hAnsi="Times New Roman"/>
          <w:b/>
          <w:smallCaps/>
          <w:noProof/>
          <w:sz w:val="24"/>
          <w:szCs w:val="24"/>
          <w:lang w:val="fr-BE"/>
        </w:rPr>
      </w:pPr>
      <w:r>
        <w:rPr>
          <w:rFonts w:ascii="Times New Roman" w:eastAsiaTheme="minorHAnsi" w:hAnsi="Times New Roman" w:cstheme="minorBidi"/>
          <w:noProof/>
          <w:sz w:val="24"/>
          <w:lang w:val="fr-BE"/>
        </w:rPr>
        <w:t>De plus, en novembre 2018, la Commission a demandé à la Roumanie de récupérer environ 60 millions d’euros auprès</w:t>
      </w:r>
      <w:r>
        <w:rPr>
          <w:rFonts w:ascii="Times New Roman" w:eastAsiaTheme="minorHAnsi" w:hAnsi="Times New Roman" w:cstheme="minorBidi"/>
          <w:noProof/>
          <w:sz w:val="24"/>
          <w:lang w:val="fr-BE"/>
        </w:rPr>
        <w:t xml:space="preserve"> du producteur d’électricité et de chaleur appartenant à l’État </w:t>
      </w:r>
      <w:r>
        <w:rPr>
          <w:rFonts w:ascii="Times New Roman" w:eastAsiaTheme="minorHAnsi" w:hAnsi="Times New Roman" w:cstheme="minorBidi"/>
          <w:i/>
          <w:noProof/>
          <w:sz w:val="24"/>
          <w:lang w:val="fr-BE"/>
        </w:rPr>
        <w:t>CE Hunedoara</w:t>
      </w:r>
      <w:r>
        <w:rPr>
          <w:rFonts w:ascii="Times New Roman" w:hAnsi="Times New Roman"/>
          <w:noProof/>
          <w:sz w:val="24"/>
          <w:vertAlign w:val="superscript"/>
        </w:rPr>
        <w:footnoteReference w:id="291"/>
      </w:r>
      <w:r>
        <w:rPr>
          <w:rFonts w:ascii="Times New Roman" w:eastAsiaTheme="minorHAnsi" w:hAnsi="Times New Roman" w:cstheme="minorBidi"/>
          <w:noProof/>
          <w:sz w:val="24"/>
          <w:lang w:val="fr-BE"/>
        </w:rPr>
        <w:t>. Cette entreprise a été créée en novembre 2012 avec des actifs d’autres entreprises appartenant à l’État qui étaient défaillantes ou avaient été dissoutes, et éprouvait elle-même</w:t>
      </w:r>
      <w:r>
        <w:rPr>
          <w:rFonts w:ascii="Times New Roman" w:eastAsiaTheme="minorHAnsi" w:hAnsi="Times New Roman" w:cstheme="minorBidi"/>
          <w:noProof/>
          <w:sz w:val="24"/>
          <w:lang w:val="fr-BE"/>
        </w:rPr>
        <w:t xml:space="preserve"> des difficultés financières depuis 2013. Après une aide au sauvetage autorisée en avril 2014 et non remboursée dans un délai six mois, la Commission a constaté que le plan de restructuration de CE Hunedoara n’était pas en mesure de rendre l’entreprise via</w:t>
      </w:r>
      <w:r>
        <w:rPr>
          <w:rFonts w:ascii="Times New Roman" w:eastAsiaTheme="minorHAnsi" w:hAnsi="Times New Roman" w:cstheme="minorBidi"/>
          <w:noProof/>
          <w:sz w:val="24"/>
          <w:lang w:val="fr-BE"/>
        </w:rPr>
        <w:t>ble sans le maintien d’une aide d’État après la période de restructuration. CE Hunedoara avait aussi bénéficié de trois autres prêts financés par l’État qu’elle n’aurait pas pu obtenir sur le marché. De plus, CE Hunedoara ne contribuait pas suffisamment, a</w:t>
      </w:r>
      <w:r>
        <w:rPr>
          <w:rFonts w:ascii="Times New Roman" w:eastAsiaTheme="minorHAnsi" w:hAnsi="Times New Roman" w:cstheme="minorBidi"/>
          <w:noProof/>
          <w:sz w:val="24"/>
          <w:lang w:val="fr-BE"/>
        </w:rPr>
        <w:t>u moyen de financements ou revenus du marché, au coût de la restructuration, et aucune mesure destinée à limiter les distorsions de concurrence causées par l’aide n’était en place. Dès lors, la Commission a conclu que les aides d’État octroyées au moyen de</w:t>
      </w:r>
      <w:r>
        <w:rPr>
          <w:rFonts w:ascii="Times New Roman" w:eastAsiaTheme="minorHAnsi" w:hAnsi="Times New Roman" w:cstheme="minorBidi"/>
          <w:noProof/>
          <w:sz w:val="24"/>
          <w:lang w:val="fr-BE"/>
        </w:rPr>
        <w:t xml:space="preserve"> prêts publics ne remplissaient pas les conditions de compatibilité au titre des lignes directrices concernant les aides d’État au sauvetage et à la restructuration.</w:t>
      </w:r>
    </w:p>
    <w:p w:rsidR="00D9323F" w:rsidRDefault="00F47CDD">
      <w:pPr>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bookmarkStart w:id="43" w:name="_Toc19019207"/>
      <w:r>
        <w:rPr>
          <w:rFonts w:ascii="Times New Roman" w:hAnsi="Times New Roman"/>
          <w:b/>
          <w:smallCaps/>
          <w:noProof/>
          <w:sz w:val="24"/>
          <w:szCs w:val="24"/>
          <w:lang w:val="fr-BE"/>
        </w:rPr>
        <w:t>6. Industrie agroalimentaire</w:t>
      </w:r>
      <w:bookmarkEnd w:id="43"/>
      <w:r>
        <w:rPr>
          <w:rFonts w:ascii="Times New Roman" w:hAnsi="Times New Roman"/>
          <w:b/>
          <w:smallCaps/>
          <w:noProof/>
          <w:sz w:val="24"/>
          <w:szCs w:val="24"/>
          <w:lang w:val="fr-BE"/>
        </w:rPr>
        <w:t xml:space="preserve"> </w:t>
      </w:r>
    </w:p>
    <w:p w:rsidR="00D9323F" w:rsidRDefault="00F47CDD">
      <w:pPr>
        <w:widowControl w:val="0"/>
        <w:spacing w:after="194" w:line="266" w:lineRule="exact"/>
        <w:jc w:val="both"/>
        <w:rPr>
          <w:rFonts w:ascii="Times New Roman" w:eastAsia="Times New Roman" w:hAnsi="Times New Roman"/>
          <w:i/>
          <w:noProof/>
          <w:color w:val="000000"/>
          <w:sz w:val="24"/>
          <w:szCs w:val="24"/>
          <w:lang w:val="fr-BE"/>
        </w:rPr>
      </w:pPr>
      <w:bookmarkStart w:id="44" w:name="bookmark59"/>
      <w:bookmarkStart w:id="45" w:name="bookmark60"/>
      <w:bookmarkStart w:id="46" w:name="_Toc533093937"/>
      <w:r>
        <w:rPr>
          <w:rFonts w:ascii="Times New Roman" w:hAnsi="Times New Roman"/>
          <w:i/>
          <w:noProof/>
          <w:color w:val="000000"/>
          <w:sz w:val="24"/>
          <w:szCs w:val="24"/>
          <w:lang w:val="fr-BE"/>
        </w:rPr>
        <w:t xml:space="preserve">Aperçu des principaux problèmes auxquels le secteur est </w:t>
      </w:r>
      <w:r>
        <w:rPr>
          <w:rFonts w:ascii="Times New Roman" w:hAnsi="Times New Roman"/>
          <w:i/>
          <w:noProof/>
          <w:color w:val="000000"/>
          <w:sz w:val="24"/>
          <w:szCs w:val="24"/>
          <w:lang w:val="fr-BE"/>
        </w:rPr>
        <w:t>confronté</w:t>
      </w:r>
      <w:bookmarkEnd w:id="44"/>
      <w:bookmarkEnd w:id="45"/>
      <w:bookmarkEnd w:id="46"/>
    </w:p>
    <w:p w:rsidR="00D9323F" w:rsidRDefault="00F47CDD">
      <w:pPr>
        <w:widowControl w:val="0"/>
        <w:spacing w:after="206"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Tandis que la plupart des entreprises du secteur alimentaire européen tirent profit du fait qu’elles sont actives au sein du marché intérieur de l’Union</w:t>
      </w:r>
      <w:r>
        <w:rPr>
          <w:rFonts w:ascii="Times New Roman" w:hAnsi="Times New Roman"/>
          <w:noProof/>
          <w:sz w:val="24"/>
          <w:szCs w:val="24"/>
          <w:lang w:val="fr-BE"/>
        </w:rPr>
        <w:t>, d’autres rencontrent des difficultés à opérer au sein de ce marché et dans un monde globalis</w:t>
      </w:r>
      <w:r>
        <w:rPr>
          <w:rFonts w:ascii="Times New Roman" w:hAnsi="Times New Roman"/>
          <w:noProof/>
          <w:sz w:val="24"/>
          <w:szCs w:val="24"/>
          <w:lang w:val="fr-BE"/>
        </w:rPr>
        <w:t>é. Les agriculteurs, les fabricants et les détaillants de produits alimentaires de l’Union européenne devraient tirer davantage parti de leur accès au marché intérieur et de la possibilité qui en découle d’acheter et de vendre des produits au-delà des fron</w:t>
      </w:r>
      <w:r>
        <w:rPr>
          <w:rFonts w:ascii="Times New Roman" w:hAnsi="Times New Roman"/>
          <w:noProof/>
          <w:sz w:val="24"/>
          <w:szCs w:val="24"/>
          <w:lang w:val="fr-BE"/>
        </w:rPr>
        <w:t>tières de l’UE. La politique de concurrence de l’Union européenne contribue à ce processus.</w:t>
      </w:r>
    </w:p>
    <w:p w:rsidR="00D9323F" w:rsidRDefault="00F47CDD">
      <w:pPr>
        <w:widowControl w:val="0"/>
        <w:spacing w:after="194" w:line="266" w:lineRule="exact"/>
        <w:jc w:val="both"/>
        <w:rPr>
          <w:rFonts w:ascii="Times New Roman" w:eastAsia="Times New Roman" w:hAnsi="Times New Roman"/>
          <w:noProof/>
          <w:color w:val="000000"/>
          <w:sz w:val="24"/>
          <w:szCs w:val="24"/>
          <w:lang w:val="fr-BE"/>
        </w:rPr>
      </w:pPr>
      <w:r>
        <w:rPr>
          <w:rFonts w:ascii="Times New Roman" w:hAnsi="Times New Roman"/>
          <w:i/>
          <w:noProof/>
          <w:color w:val="000000"/>
          <w:sz w:val="24"/>
          <w:szCs w:val="24"/>
          <w:lang w:val="fr-BE"/>
        </w:rPr>
        <w:t>Problèmes rencontrés par les agriculteurs européens opérant au sein du marché intérieur</w:t>
      </w:r>
    </w:p>
    <w:p w:rsidR="00D9323F" w:rsidRDefault="00F47CDD">
      <w:pPr>
        <w:widowControl w:val="0"/>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Les agriculteurs sont particulièrement exposés aux défis posés par la mondia</w:t>
      </w:r>
      <w:r>
        <w:rPr>
          <w:rFonts w:ascii="Times New Roman" w:hAnsi="Times New Roman"/>
          <w:noProof/>
          <w:color w:val="000000"/>
          <w:sz w:val="24"/>
          <w:szCs w:val="24"/>
          <w:lang w:val="fr-BE"/>
        </w:rPr>
        <w:t>lisation et leur fonctionnement dans un vaste marché intérieur, et ce pour diverses raisons. Les agriculteurs européens doivent faire face i) à une concurrence accrue d’autres agriculteurs tant à l’intérieur qu’à l’extérieur de l’Europe, ii) à des exigence</w:t>
      </w:r>
      <w:r>
        <w:rPr>
          <w:rFonts w:ascii="Times New Roman" w:hAnsi="Times New Roman"/>
          <w:noProof/>
          <w:color w:val="000000"/>
          <w:sz w:val="24"/>
          <w:szCs w:val="24"/>
          <w:lang w:val="fr-BE"/>
        </w:rPr>
        <w:t>s accrues de la part du consommateur final en ce qui concerne la qualité, la variété et la traçabilité, et iii) à des besoins d’investissement plus importants liés aux initiatives en faveur d’une agriculture plus écologique et plus durable.</w:t>
      </w:r>
    </w:p>
    <w:p w:rsidR="00D9323F" w:rsidRDefault="00D9323F">
      <w:pPr>
        <w:widowControl w:val="0"/>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sz w:val="24"/>
          <w:szCs w:val="24"/>
          <w:lang w:val="fr-BE"/>
        </w:rPr>
        <w:t>Le secteur agr</w:t>
      </w:r>
      <w:r>
        <w:rPr>
          <w:rFonts w:ascii="Times New Roman" w:hAnsi="Times New Roman"/>
          <w:noProof/>
          <w:sz w:val="24"/>
          <w:szCs w:val="24"/>
          <w:lang w:val="fr-BE"/>
        </w:rPr>
        <w:t>icole européen présente certaines caractéristiques structurelles qui font qu’il est plus difficile de relever ces défis. En premier lieu, les producteurs agricoles sont le maillon le moins concentré de la chaîne d’approvisionnement alimentaire dans l’UE. I</w:t>
      </w:r>
      <w:r>
        <w:rPr>
          <w:rFonts w:ascii="Times New Roman" w:hAnsi="Times New Roman"/>
          <w:noProof/>
          <w:sz w:val="24"/>
          <w:szCs w:val="24"/>
          <w:lang w:val="fr-BE"/>
        </w:rPr>
        <w:t>ls sont le plus souvent petits ou regroupés au sein de petites coopératives et d’autres types d’organisations de producteurs. En revanche, leurs fournisseurs d’intrants et leurs clients (transformateurs, grossistes et détaillants) sont souvent beaucoup plu</w:t>
      </w:r>
      <w:r>
        <w:rPr>
          <w:rFonts w:ascii="Times New Roman" w:hAnsi="Times New Roman"/>
          <w:noProof/>
          <w:sz w:val="24"/>
          <w:szCs w:val="24"/>
          <w:lang w:val="fr-BE"/>
        </w:rPr>
        <w:t>s grands et plus concentrés, ce qui leur procure un plus grand pouvoir de négociation avec les agriculteurs</w:t>
      </w:r>
      <w:r>
        <w:rPr>
          <w:rStyle w:val="FootnoteReference"/>
          <w:rFonts w:ascii="Times New Roman" w:hAnsi="Times New Roman"/>
          <w:noProof/>
          <w:color w:val="000000"/>
          <w:sz w:val="24"/>
          <w:szCs w:val="24"/>
        </w:rPr>
        <w:footnoteReference w:id="292"/>
      </w:r>
      <w:r>
        <w:rPr>
          <w:rFonts w:ascii="Times New Roman" w:hAnsi="Times New Roman"/>
          <w:noProof/>
          <w:sz w:val="24"/>
          <w:szCs w:val="24"/>
          <w:lang w:val="fr-BE"/>
        </w:rPr>
        <w:t>. En second lieu, des éléments naturels imprévisibles (tels que des conditions météorologiques défavorables et des maladies) peuvent causer des domm</w:t>
      </w:r>
      <w:r>
        <w:rPr>
          <w:rFonts w:ascii="Times New Roman" w:hAnsi="Times New Roman"/>
          <w:noProof/>
          <w:sz w:val="24"/>
          <w:szCs w:val="24"/>
          <w:lang w:val="fr-BE"/>
        </w:rPr>
        <w:t>ages importants à la production et entraîner une volatilité de la production et des prix.</w:t>
      </w:r>
    </w:p>
    <w:p w:rsidR="00D9323F" w:rsidRDefault="00D9323F">
      <w:pPr>
        <w:widowControl w:val="0"/>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spacing w:after="24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Les agriculteurs européens peuvent mieux aborder ces défis en intégrant des organisations de producteurs plus grandes qui agrègent l’offre (sur le plan tant des volu</w:t>
      </w:r>
      <w:r>
        <w:rPr>
          <w:rFonts w:ascii="Times New Roman" w:hAnsi="Times New Roman"/>
          <w:noProof/>
          <w:color w:val="000000"/>
          <w:sz w:val="24"/>
          <w:szCs w:val="24"/>
          <w:lang w:val="fr-BE"/>
        </w:rPr>
        <w:t>mes que de la diversité des produits), proposent des services d’appui et apportent une valeur ajoutée grâce à la transformation. Cette intégration peut apporter une plus grande stabilité et une meilleure gestion des risques, entraîner un effet d’échelle pe</w:t>
      </w:r>
      <w:r>
        <w:rPr>
          <w:rFonts w:ascii="Times New Roman" w:hAnsi="Times New Roman"/>
          <w:noProof/>
          <w:color w:val="000000"/>
          <w:sz w:val="24"/>
          <w:szCs w:val="24"/>
          <w:lang w:val="fr-BE"/>
        </w:rPr>
        <w:t>rmettant d’atteindre davantage de clients, renforcer la flexibilité, représenter une valeur ajoutée et accroître le pouvoir de négociation.</w:t>
      </w:r>
    </w:p>
    <w:p w:rsidR="00D9323F" w:rsidRDefault="00F47CDD">
      <w:pPr>
        <w:widowControl w:val="0"/>
        <w:spacing w:after="120" w:line="240" w:lineRule="auto"/>
        <w:ind w:right="198"/>
        <w:jc w:val="both"/>
        <w:rPr>
          <w:rFonts w:ascii="Times New Roman" w:eastAsia="Times New Roman" w:hAnsi="Times New Roman"/>
          <w:i/>
          <w:noProof/>
          <w:color w:val="000000"/>
          <w:sz w:val="24"/>
          <w:szCs w:val="24"/>
          <w:lang w:val="fr-BE"/>
        </w:rPr>
      </w:pPr>
      <w:r>
        <w:rPr>
          <w:rFonts w:ascii="Times New Roman" w:hAnsi="Times New Roman"/>
          <w:i/>
          <w:noProof/>
          <w:sz w:val="24"/>
          <w:szCs w:val="24"/>
          <w:lang w:val="fr-BE"/>
        </w:rPr>
        <w:t xml:space="preserve">Possibilités et problèmes que représente la concentration accrue du commerce de détail au sein du marché intérieur </w:t>
      </w:r>
    </w:p>
    <w:p w:rsidR="00D9323F" w:rsidRDefault="00F47CDD">
      <w:pPr>
        <w:spacing w:after="0" w:line="240" w:lineRule="auto"/>
        <w:ind w:right="198"/>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Certaines chaînes de détaillants ont mis au point des systèmes de distribution sophistiqués et différents types de magasins qui proposent de vastes gammes de produits aux clients. Nombre de ces chaînes ont ouvert des magasins dans des États membres différe</w:t>
      </w:r>
      <w:r>
        <w:rPr>
          <w:rFonts w:ascii="Times New Roman" w:hAnsi="Times New Roman"/>
          <w:noProof/>
          <w:color w:val="000000"/>
          <w:sz w:val="24"/>
          <w:szCs w:val="24"/>
          <w:lang w:val="fr-BE"/>
        </w:rPr>
        <w:t xml:space="preserve">nts de leur marché d’origine, apportant ainsi un modèle commercial différent et davantage de concurrence sur les autres marchés. D’une part, les consommateurs apprécient souvent l’offre de produits différents </w:t>
      </w:r>
      <w:r>
        <w:rPr>
          <w:rFonts w:ascii="Times New Roman" w:hAnsi="Times New Roman"/>
          <w:noProof/>
          <w:sz w:val="24"/>
          <w:szCs w:val="24"/>
          <w:lang w:val="fr-BE"/>
        </w:rPr>
        <w:t>ainsi qu'un choix et une variété élargis à d’au</w:t>
      </w:r>
      <w:r>
        <w:rPr>
          <w:rFonts w:ascii="Times New Roman" w:hAnsi="Times New Roman"/>
          <w:noProof/>
          <w:sz w:val="24"/>
          <w:szCs w:val="24"/>
          <w:lang w:val="fr-BE"/>
        </w:rPr>
        <w:t>tres marchés, en particulier lorsque cela s’accompagne de prix plus bas. D’autre part, la concentration croissante des détaillants (à travers une expansion interne, des concentrations/acquisitions et/ou l’instauration d’alliances d’achat) continue de préoc</w:t>
      </w:r>
      <w:r>
        <w:rPr>
          <w:rFonts w:ascii="Times New Roman" w:hAnsi="Times New Roman"/>
          <w:noProof/>
          <w:sz w:val="24"/>
          <w:szCs w:val="24"/>
          <w:lang w:val="fr-BE"/>
        </w:rPr>
        <w:t xml:space="preserve">cuper certains partenaires commerciaux, en particulier les petits opérateurs. Ils se demandent notamment si les grandes chaînes de commerce de détail n’ont pas obtenu un pouvoir de négociation (lors des négociations bilatérales avec leurs fournisseurs) et </w:t>
      </w:r>
      <w:r>
        <w:rPr>
          <w:rFonts w:ascii="Times New Roman" w:hAnsi="Times New Roman"/>
          <w:noProof/>
          <w:sz w:val="24"/>
          <w:szCs w:val="24"/>
          <w:lang w:val="fr-BE"/>
        </w:rPr>
        <w:t>une puissance d’achat (sur l’ensemble du marché) trop élevés.</w:t>
      </w:r>
    </w:p>
    <w:p w:rsidR="00D9323F" w:rsidRDefault="00D9323F">
      <w:pPr>
        <w:spacing w:after="0" w:line="240" w:lineRule="auto"/>
        <w:rPr>
          <w:rFonts w:ascii="Times New Roman" w:eastAsia="Times New Roman" w:hAnsi="Times New Roman"/>
          <w:i/>
          <w:noProof/>
          <w:color w:val="000000"/>
          <w:sz w:val="24"/>
          <w:szCs w:val="24"/>
          <w:lang w:val="fr-BE"/>
        </w:rPr>
      </w:pPr>
    </w:p>
    <w:p w:rsidR="00D9323F" w:rsidRDefault="00F47CDD">
      <w:pPr>
        <w:widowControl w:val="0"/>
        <w:spacing w:after="194" w:line="266" w:lineRule="exact"/>
        <w:jc w:val="both"/>
        <w:rPr>
          <w:rFonts w:ascii="Times New Roman" w:eastAsia="Times New Roman" w:hAnsi="Times New Roman"/>
          <w:noProof/>
          <w:color w:val="000000"/>
          <w:sz w:val="24"/>
          <w:szCs w:val="24"/>
          <w:lang w:val="fr-BE"/>
        </w:rPr>
      </w:pPr>
      <w:r>
        <w:rPr>
          <w:rFonts w:ascii="Times New Roman" w:hAnsi="Times New Roman"/>
          <w:i/>
          <w:noProof/>
          <w:color w:val="000000"/>
          <w:sz w:val="24"/>
          <w:szCs w:val="24"/>
          <w:lang w:val="fr-BE"/>
        </w:rPr>
        <w:t>Problèmes entravant le fonctionnement optimal du marché intérieur de l’U</w:t>
      </w:r>
      <w:r>
        <w:rPr>
          <w:rFonts w:ascii="Times New Roman" w:hAnsi="Times New Roman"/>
          <w:i/>
          <w:noProof/>
          <w:sz w:val="24"/>
          <w:szCs w:val="24"/>
          <w:lang w:val="fr-BE"/>
        </w:rPr>
        <w:t>E</w:t>
      </w:r>
    </w:p>
    <w:p w:rsidR="00D9323F" w:rsidRDefault="00F47CDD">
      <w:pPr>
        <w:widowControl w:val="0"/>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Le marché intérieur de l’Union européenne proprement dit fait face à divers problèmes, ce qui restreint la concurrence </w:t>
      </w:r>
      <w:r>
        <w:rPr>
          <w:rFonts w:ascii="Times New Roman" w:hAnsi="Times New Roman"/>
          <w:noProof/>
          <w:color w:val="000000"/>
          <w:sz w:val="24"/>
          <w:szCs w:val="24"/>
          <w:lang w:val="fr-BE"/>
        </w:rPr>
        <w:t>à tous les niveaux de la chaîne d’approvisionnement alimentaire.</w:t>
      </w:r>
    </w:p>
    <w:p w:rsidR="00D9323F" w:rsidRDefault="00D9323F">
      <w:pPr>
        <w:widowControl w:val="0"/>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Les opérateurs de certains marchés nationaux s’accordent parfois pour exclure des opérateurs d’autres États membres et donner la préférence à des produits nationaux sans que cette préférence</w:t>
      </w:r>
      <w:r>
        <w:rPr>
          <w:rFonts w:ascii="Times New Roman" w:hAnsi="Times New Roman"/>
          <w:noProof/>
          <w:color w:val="000000"/>
          <w:sz w:val="24"/>
          <w:szCs w:val="24"/>
          <w:lang w:val="fr-BE"/>
        </w:rPr>
        <w:t xml:space="preserve"> </w:t>
      </w:r>
      <w:r>
        <w:rPr>
          <w:rFonts w:ascii="Times New Roman" w:hAnsi="Times New Roman"/>
          <w:noProof/>
          <w:sz w:val="24"/>
          <w:szCs w:val="24"/>
          <w:lang w:val="fr-BE"/>
        </w:rPr>
        <w:t>soit basée sur des critères objectifs (qualité, caractéristiques spécifiques, etc.) relatifs aux produits. Ces types de discrimination fondés sur la nationalité sont contraires au principe fondamental de l’Union qui veut que tous les producteurs établis à</w:t>
      </w:r>
      <w:r>
        <w:rPr>
          <w:rFonts w:ascii="Times New Roman" w:hAnsi="Times New Roman"/>
          <w:noProof/>
          <w:sz w:val="24"/>
          <w:szCs w:val="24"/>
          <w:lang w:val="fr-BE"/>
        </w:rPr>
        <w:t xml:space="preserve"> l’intérieur de l’Union, indépendamment de leur origine, bénéficient de chances égales.</w:t>
      </w:r>
    </w:p>
    <w:p w:rsidR="00D9323F" w:rsidRDefault="00D9323F">
      <w:pPr>
        <w:widowControl w:val="0"/>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spacing w:after="206"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De plus, les </w:t>
      </w:r>
      <w:r>
        <w:rPr>
          <w:rFonts w:ascii="Times New Roman" w:hAnsi="Times New Roman"/>
          <w:noProof/>
          <w:sz w:val="24"/>
          <w:szCs w:val="24"/>
          <w:lang w:val="fr-BE"/>
        </w:rPr>
        <w:t>producteurs agroalimentaires internationaux, établis depuis des années avec des marques identiques ou similaires dans différents États membres, tenteraien</w:t>
      </w:r>
      <w:r>
        <w:rPr>
          <w:rFonts w:ascii="Times New Roman" w:hAnsi="Times New Roman"/>
          <w:noProof/>
          <w:sz w:val="24"/>
          <w:szCs w:val="24"/>
          <w:lang w:val="fr-BE"/>
        </w:rPr>
        <w:t>t de cloisonner le marché intérieur en empêchant des détaillants d’amener des produits provenant de marchés où les prix sont moins élevés vers des marchés où les prix sont plus élevés ou en les gênant dans cette démarche.</w:t>
      </w:r>
    </w:p>
    <w:p w:rsidR="00D9323F" w:rsidRDefault="00F47CDD">
      <w:pPr>
        <w:widowControl w:val="0"/>
        <w:spacing w:line="240" w:lineRule="auto"/>
        <w:jc w:val="both"/>
        <w:rPr>
          <w:rFonts w:ascii="Times New Roman" w:hAnsi="Times New Roman"/>
          <w:b/>
          <w:noProof/>
          <w:sz w:val="24"/>
          <w:szCs w:val="24"/>
          <w:lang w:val="fr-BE"/>
        </w:rPr>
      </w:pPr>
      <w:bookmarkStart w:id="47" w:name="_Toc533093938"/>
      <w:r>
        <w:rPr>
          <w:rFonts w:ascii="Times New Roman" w:hAnsi="Times New Roman"/>
          <w:b/>
          <w:noProof/>
          <w:sz w:val="24"/>
          <w:szCs w:val="24"/>
          <w:lang w:val="fr-BE"/>
        </w:rPr>
        <w:t>Contribution de la politique de co</w:t>
      </w:r>
      <w:r>
        <w:rPr>
          <w:rFonts w:ascii="Times New Roman" w:hAnsi="Times New Roman"/>
          <w:b/>
          <w:noProof/>
          <w:sz w:val="24"/>
          <w:szCs w:val="24"/>
          <w:lang w:val="fr-BE"/>
        </w:rPr>
        <w:t>ncurrence de l’UE à un meilleur fonctionnement du marché intérieur</w:t>
      </w:r>
      <w:bookmarkEnd w:id="47"/>
    </w:p>
    <w:p w:rsidR="00D9323F" w:rsidRDefault="00F47CDD">
      <w:pPr>
        <w:widowControl w:val="0"/>
        <w:spacing w:after="194" w:line="266" w:lineRule="exact"/>
        <w:jc w:val="both"/>
        <w:rPr>
          <w:rFonts w:ascii="Times New Roman" w:eastAsia="Times New Roman" w:hAnsi="Times New Roman"/>
          <w:noProof/>
          <w:color w:val="000000"/>
          <w:sz w:val="24"/>
          <w:szCs w:val="24"/>
          <w:lang w:val="fr-BE"/>
        </w:rPr>
      </w:pPr>
      <w:r>
        <w:rPr>
          <w:rFonts w:ascii="Times New Roman" w:hAnsi="Times New Roman"/>
          <w:i/>
          <w:noProof/>
          <w:color w:val="000000"/>
          <w:sz w:val="24"/>
          <w:szCs w:val="24"/>
          <w:lang w:val="fr-BE"/>
        </w:rPr>
        <w:t>Renforcer la compétitivité des agriculteurs au sein du marché intérieur de l’U</w:t>
      </w:r>
      <w:r>
        <w:rPr>
          <w:rFonts w:ascii="Times New Roman" w:hAnsi="Times New Roman"/>
          <w:i/>
          <w:noProof/>
          <w:sz w:val="24"/>
          <w:szCs w:val="24"/>
          <w:lang w:val="fr-BE"/>
        </w:rPr>
        <w:t>E</w:t>
      </w:r>
    </w:p>
    <w:p w:rsidR="00D9323F" w:rsidRDefault="00F47CDD">
      <w:pPr>
        <w:widowControl w:val="0"/>
        <w:tabs>
          <w:tab w:val="left" w:pos="851"/>
        </w:tabs>
        <w:spacing w:after="206"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Ces dernières années, plusieurs initiatives législatives visant à aider les agriculteurs européens à mieux </w:t>
      </w:r>
      <w:r>
        <w:rPr>
          <w:rFonts w:ascii="Times New Roman" w:hAnsi="Times New Roman"/>
          <w:noProof/>
          <w:color w:val="000000"/>
          <w:sz w:val="24"/>
          <w:szCs w:val="24"/>
          <w:lang w:val="fr-BE"/>
        </w:rPr>
        <w:t>faire face aux difficultés posées par le marché intérieur et la mondialisation, à accroître la compétitivité du secteur agricole de l’Union et à renforcer le pouvoir de négociation des petits producteurs agricoles ont été lancées. Plusieurs dérogations aux</w:t>
      </w:r>
      <w:r>
        <w:rPr>
          <w:rFonts w:ascii="Times New Roman" w:hAnsi="Times New Roman"/>
          <w:noProof/>
          <w:color w:val="000000"/>
          <w:sz w:val="24"/>
          <w:szCs w:val="24"/>
          <w:lang w:val="fr-BE"/>
        </w:rPr>
        <w:t xml:space="preserve"> règles de concurrence ont été accordées au secteur agricole de l’Union dans le cadre du règlement OCM</w:t>
      </w:r>
      <w:r>
        <w:rPr>
          <w:rFonts w:ascii="Times New Roman" w:hAnsi="Times New Roman"/>
          <w:i/>
          <w:noProof/>
          <w:color w:val="000000"/>
          <w:sz w:val="24"/>
          <w:szCs w:val="24"/>
          <w:vertAlign w:val="superscript"/>
        </w:rPr>
        <w:footnoteReference w:id="293"/>
      </w:r>
      <w:r>
        <w:rPr>
          <w:rFonts w:ascii="Times New Roman" w:hAnsi="Times New Roman"/>
          <w:noProof/>
          <w:color w:val="000000"/>
          <w:sz w:val="24"/>
          <w:szCs w:val="24"/>
          <w:lang w:val="fr-BE"/>
        </w:rPr>
        <w:t xml:space="preserve">.Par exemple, la réforme de la politique agricole commune en 2013 a introduit des dérogations aux règles de concurrence pour certains secteurs agricoles </w:t>
      </w:r>
      <w:r>
        <w:rPr>
          <w:rFonts w:ascii="Times New Roman" w:hAnsi="Times New Roman"/>
          <w:noProof/>
          <w:color w:val="000000"/>
          <w:sz w:val="24"/>
          <w:szCs w:val="24"/>
          <w:lang w:val="fr-BE"/>
        </w:rPr>
        <w:t>(huile d’olive, viande bovine et cultures arables) et pour gérer les situations de crise. Ces dérogations sectorielles ont été supprimées en 2018, lorsque le Conseil et le Parlement européen ont modifié l’application des règles de concurrence au secteur ag</w:t>
      </w:r>
      <w:r>
        <w:rPr>
          <w:rFonts w:ascii="Times New Roman" w:hAnsi="Times New Roman"/>
          <w:noProof/>
          <w:color w:val="000000"/>
          <w:sz w:val="24"/>
          <w:szCs w:val="24"/>
          <w:lang w:val="fr-BE"/>
        </w:rPr>
        <w:t>ricole au moyen du «règlement Omnibus»</w:t>
      </w:r>
      <w:r>
        <w:rPr>
          <w:rFonts w:ascii="Times New Roman" w:hAnsi="Times New Roman"/>
          <w:noProof/>
          <w:color w:val="000000"/>
          <w:sz w:val="24"/>
          <w:szCs w:val="24"/>
          <w:vertAlign w:val="superscript"/>
        </w:rPr>
        <w:footnoteReference w:id="294"/>
      </w:r>
      <w:r>
        <w:rPr>
          <w:rFonts w:ascii="Times New Roman" w:hAnsi="Times New Roman"/>
          <w:noProof/>
          <w:color w:val="000000"/>
          <w:sz w:val="24"/>
          <w:szCs w:val="24"/>
          <w:lang w:val="fr-BE"/>
        </w:rPr>
        <w:t xml:space="preserve"> en introduisant une disposition horizontale qui permet aux organisations de producteurs reconnues et à leurs associations de recourir à des pratiques telles que la planification de la production et les négociations c</w:t>
      </w:r>
      <w:r>
        <w:rPr>
          <w:rFonts w:ascii="Times New Roman" w:hAnsi="Times New Roman"/>
          <w:noProof/>
          <w:color w:val="000000"/>
          <w:sz w:val="24"/>
          <w:szCs w:val="24"/>
          <w:lang w:val="fr-BE"/>
        </w:rPr>
        <w:t>ontractuelles, par dérogation à l’article 101 du TFUE.</w:t>
      </w:r>
    </w:p>
    <w:p w:rsidR="00D9323F" w:rsidRDefault="00F47CDD">
      <w:pPr>
        <w:widowControl w:val="0"/>
        <w:spacing w:before="200" w:line="266"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En juin 2018, la Commission a publié des propositions en vue de la réforme de la PAC de 2020. Ces propositions ne contiennent aucune modification possible des règles de concurrence applicables dans le </w:t>
      </w:r>
      <w:r>
        <w:rPr>
          <w:rFonts w:ascii="Times New Roman" w:hAnsi="Times New Roman"/>
          <w:noProof/>
          <w:color w:val="000000"/>
          <w:sz w:val="24"/>
          <w:szCs w:val="24"/>
          <w:lang w:val="fr-BE"/>
        </w:rPr>
        <w:t>secteur agricole</w:t>
      </w:r>
      <w:r>
        <w:rPr>
          <w:rFonts w:ascii="Times New Roman" w:hAnsi="Times New Roman"/>
          <w:noProof/>
          <w:color w:val="000000"/>
          <w:sz w:val="24"/>
          <w:szCs w:val="24"/>
          <w:vertAlign w:val="superscript"/>
        </w:rPr>
        <w:footnoteReference w:id="295"/>
      </w:r>
      <w:r>
        <w:rPr>
          <w:rFonts w:ascii="Times New Roman" w:hAnsi="Times New Roman"/>
          <w:noProof/>
          <w:color w:val="000000"/>
          <w:sz w:val="24"/>
          <w:szCs w:val="24"/>
          <w:lang w:val="fr-BE"/>
        </w:rPr>
        <w:t xml:space="preserve">. </w:t>
      </w:r>
    </w:p>
    <w:p w:rsidR="00D9323F" w:rsidRDefault="00F47CDD">
      <w:pPr>
        <w:widowControl w:val="0"/>
        <w:tabs>
          <w:tab w:val="left" w:pos="0"/>
        </w:tabs>
        <w:spacing w:after="0" w:line="274" w:lineRule="exact"/>
        <w:jc w:val="both"/>
        <w:rPr>
          <w:rFonts w:ascii="Times New Roman" w:eastAsia="Times New Roman" w:hAnsi="Times New Roman"/>
          <w:i/>
          <w:noProof/>
          <w:color w:val="000000"/>
          <w:sz w:val="24"/>
          <w:szCs w:val="24"/>
        </w:rPr>
      </w:pPr>
      <w:r>
        <w:rPr>
          <w:rFonts w:ascii="Times New Roman" w:hAnsi="Times New Roman"/>
          <w:i/>
          <w:noProof/>
          <w:color w:val="000000"/>
          <w:sz w:val="24"/>
          <w:szCs w:val="24"/>
        </w:rPr>
        <w:t xml:space="preserve">Analyse et rapports </w:t>
      </w:r>
    </w:p>
    <w:p w:rsidR="00D9323F" w:rsidRDefault="00D9323F">
      <w:pPr>
        <w:widowControl w:val="0"/>
        <w:tabs>
          <w:tab w:val="left" w:pos="0"/>
        </w:tabs>
        <w:spacing w:after="0" w:line="274" w:lineRule="exact"/>
        <w:jc w:val="both"/>
        <w:rPr>
          <w:rFonts w:ascii="Times New Roman" w:eastAsia="Times New Roman" w:hAnsi="Times New Roman"/>
          <w:i/>
          <w:noProof/>
          <w:color w:val="000000"/>
          <w:sz w:val="24"/>
          <w:szCs w:val="24"/>
        </w:rPr>
      </w:pPr>
    </w:p>
    <w:p w:rsidR="00D9323F" w:rsidRDefault="00F47CDD">
      <w:pPr>
        <w:widowControl w:val="0"/>
        <w:numPr>
          <w:ilvl w:val="0"/>
          <w:numId w:val="10"/>
        </w:numPr>
        <w:tabs>
          <w:tab w:val="left" w:pos="709"/>
        </w:tabs>
        <w:spacing w:after="0" w:line="274" w:lineRule="exact"/>
        <w:contextualSpacing/>
        <w:jc w:val="both"/>
        <w:rPr>
          <w:rFonts w:ascii="Times New Roman" w:eastAsia="Times New Roman" w:hAnsi="Times New Roman"/>
          <w:i/>
          <w:noProof/>
          <w:color w:val="000000"/>
          <w:sz w:val="24"/>
          <w:szCs w:val="24"/>
          <w:lang w:val="fr-BE"/>
        </w:rPr>
      </w:pPr>
      <w:r>
        <w:rPr>
          <w:rFonts w:ascii="Times New Roman" w:hAnsi="Times New Roman"/>
          <w:i/>
          <w:noProof/>
          <w:color w:val="000000"/>
          <w:sz w:val="24"/>
          <w:szCs w:val="24"/>
          <w:lang w:val="fr-BE"/>
        </w:rPr>
        <w:t>Étude relative aux organisations de producteurs et à leurs activités dans les secteurs de l’huile d’olive, de la viande bovine et des cultures arables</w:t>
      </w:r>
    </w:p>
    <w:p w:rsidR="00D9323F" w:rsidRDefault="00D9323F">
      <w:pPr>
        <w:widowControl w:val="0"/>
        <w:tabs>
          <w:tab w:val="left" w:pos="709"/>
        </w:tabs>
        <w:spacing w:after="0" w:line="274" w:lineRule="exact"/>
        <w:ind w:left="1444"/>
        <w:contextualSpacing/>
        <w:jc w:val="both"/>
        <w:rPr>
          <w:rFonts w:ascii="Times New Roman" w:eastAsia="Times New Roman" w:hAnsi="Times New Roman"/>
          <w:i/>
          <w:noProof/>
          <w:color w:val="000000"/>
          <w:sz w:val="24"/>
          <w:szCs w:val="24"/>
          <w:lang w:val="fr-BE"/>
        </w:rPr>
      </w:pPr>
    </w:p>
    <w:p w:rsidR="00D9323F" w:rsidRDefault="00F47CDD">
      <w:pPr>
        <w:widowControl w:val="0"/>
        <w:tabs>
          <w:tab w:val="left" w:pos="0"/>
        </w:tabs>
        <w:spacing w:after="0" w:line="240" w:lineRule="auto"/>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Afin de mieux comprendre les difficultés auxquelles les </w:t>
      </w:r>
      <w:r>
        <w:rPr>
          <w:rFonts w:ascii="Times New Roman" w:hAnsi="Times New Roman"/>
          <w:noProof/>
          <w:color w:val="000000"/>
          <w:sz w:val="24"/>
          <w:szCs w:val="24"/>
          <w:lang w:val="fr-BE"/>
        </w:rPr>
        <w:t>agriculteurs sont confrontés dans la chaîne d’approvisionnement et de les aider à améliorer leur rentabilité, la Commission a lancé une étude externe. En juin 2018, elle a publié l’étude relative aux organisations de producteurs et à leurs activités dans l</w:t>
      </w:r>
      <w:r>
        <w:rPr>
          <w:rFonts w:ascii="Times New Roman" w:hAnsi="Times New Roman"/>
          <w:noProof/>
          <w:color w:val="000000"/>
          <w:sz w:val="24"/>
          <w:szCs w:val="24"/>
          <w:lang w:val="fr-BE"/>
        </w:rPr>
        <w:t>es secteurs de l’huile d’olive, de la viande bovine et des cultures arables</w:t>
      </w:r>
      <w:r>
        <w:rPr>
          <w:rStyle w:val="FootnoteReference"/>
          <w:rFonts w:ascii="Times New Roman" w:hAnsi="Times New Roman"/>
          <w:noProof/>
          <w:color w:val="000000"/>
          <w:sz w:val="24"/>
          <w:szCs w:val="24"/>
        </w:rPr>
        <w:footnoteReference w:id="296"/>
      </w:r>
      <w:r>
        <w:rPr>
          <w:rFonts w:ascii="Times New Roman" w:hAnsi="Times New Roman"/>
          <w:noProof/>
          <w:color w:val="000000"/>
          <w:sz w:val="24"/>
          <w:szCs w:val="24"/>
          <w:lang w:val="fr-BE"/>
        </w:rPr>
        <w:t>. Dans ces secteurs, on dénombre globalement cinq fois plus d’organisations de producteurs/associations d’organisations de producteurs non reconnues que d’organisations/association</w:t>
      </w:r>
      <w:r>
        <w:rPr>
          <w:rFonts w:ascii="Times New Roman" w:hAnsi="Times New Roman"/>
          <w:noProof/>
          <w:color w:val="000000"/>
          <w:sz w:val="24"/>
          <w:szCs w:val="24"/>
          <w:lang w:val="fr-BE"/>
        </w:rPr>
        <w:t>s officiellement reconnues par les États membres en vertu de la législation de l’Union</w:t>
      </w:r>
      <w:r>
        <w:rPr>
          <w:rFonts w:ascii="Times New Roman" w:hAnsi="Times New Roman"/>
          <w:noProof/>
          <w:sz w:val="24"/>
          <w:szCs w:val="24"/>
          <w:lang w:val="fr-BE"/>
        </w:rPr>
        <w:t xml:space="preserve">. </w:t>
      </w:r>
    </w:p>
    <w:p w:rsidR="00D9323F" w:rsidRDefault="00D9323F">
      <w:pPr>
        <w:widowControl w:val="0"/>
        <w:tabs>
          <w:tab w:val="left" w:pos="0"/>
        </w:tabs>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tabs>
          <w:tab w:val="left" w:pos="0"/>
        </w:tabs>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Cette étude a révélé que les principaux facteurs encourageant les agriculteurs à créer une organisation de producteurs ou une association d’organisations de </w:t>
      </w:r>
      <w:r>
        <w:rPr>
          <w:rFonts w:ascii="Times New Roman" w:hAnsi="Times New Roman"/>
          <w:noProof/>
          <w:color w:val="000000"/>
          <w:sz w:val="24"/>
          <w:szCs w:val="24"/>
          <w:lang w:val="fr-BE"/>
        </w:rPr>
        <w:t>producteurs sont i) l’amélioration de l’accès aux marchés grâce à un volume accru et ii) l’amélioration de la position des membres dans les négociations avec les acheteurs. Par ailleurs, d’après l’étude, les principaux avantages pour les membres d’une orga</w:t>
      </w:r>
      <w:r>
        <w:rPr>
          <w:rFonts w:ascii="Times New Roman" w:hAnsi="Times New Roman"/>
          <w:noProof/>
          <w:color w:val="000000"/>
          <w:sz w:val="24"/>
          <w:szCs w:val="24"/>
          <w:lang w:val="fr-BE"/>
        </w:rPr>
        <w:t>nisation de producteurs/association d’organisations de producteurs sont i) l’amélioration de l’accès au marché et la stabilité des prix et ii) la réduction des coûts et les économies d’échelle.</w:t>
      </w:r>
    </w:p>
    <w:p w:rsidR="00D9323F" w:rsidRDefault="00D9323F">
      <w:pPr>
        <w:widowControl w:val="0"/>
        <w:tabs>
          <w:tab w:val="left" w:pos="0"/>
        </w:tabs>
        <w:spacing w:after="0" w:line="274" w:lineRule="exact"/>
        <w:jc w:val="both"/>
        <w:rPr>
          <w:rFonts w:ascii="Times New Roman" w:eastAsia="Times New Roman" w:hAnsi="Times New Roman"/>
          <w:noProof/>
          <w:color w:val="000000"/>
          <w:sz w:val="24"/>
          <w:szCs w:val="24"/>
          <w:lang w:val="fr-BE"/>
        </w:rPr>
      </w:pPr>
    </w:p>
    <w:p w:rsidR="00D9323F" w:rsidRDefault="00F47CDD">
      <w:pPr>
        <w:widowControl w:val="0"/>
        <w:tabs>
          <w:tab w:val="left" w:pos="0"/>
        </w:tabs>
        <w:spacing w:after="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L’étude montre également que deux tiers des organisations de </w:t>
      </w:r>
      <w:r>
        <w:rPr>
          <w:rFonts w:ascii="Times New Roman" w:hAnsi="Times New Roman"/>
          <w:noProof/>
          <w:color w:val="000000"/>
          <w:sz w:val="24"/>
          <w:szCs w:val="24"/>
          <w:lang w:val="fr-BE"/>
        </w:rPr>
        <w:t xml:space="preserve">producteurs et des associations d’organisations de producteurs mènent des négociations contractuelles et d’autres activités liées à la commercialisation (stratégies de commercialisation et planification des quantités). Plus de 90 % des entités qui </w:t>
      </w:r>
      <w:r>
        <w:rPr>
          <w:rFonts w:ascii="Times New Roman" w:hAnsi="Times New Roman"/>
          <w:noProof/>
          <w:sz w:val="24"/>
          <w:szCs w:val="24"/>
          <w:lang w:val="fr-BE"/>
        </w:rPr>
        <w:t>exercent</w:t>
      </w:r>
      <w:r>
        <w:rPr>
          <w:rFonts w:ascii="Times New Roman" w:hAnsi="Times New Roman"/>
          <w:noProof/>
          <w:sz w:val="24"/>
          <w:szCs w:val="24"/>
          <w:lang w:val="fr-BE"/>
        </w:rPr>
        <w:t xml:space="preserve"> ces activités liées à la commercialisation réalisent aussi des activités communes génératrices de gains d’efficience, comme le contrôle de la qualité, la distribution/le transport et l’achat d’intrants, ainsi que le prévoyaient les dérogations sectorielle</w:t>
      </w:r>
      <w:r>
        <w:rPr>
          <w:rFonts w:ascii="Times New Roman" w:hAnsi="Times New Roman"/>
          <w:noProof/>
          <w:sz w:val="24"/>
          <w:szCs w:val="24"/>
          <w:lang w:val="fr-BE"/>
        </w:rPr>
        <w:t>s aux règles de concurrence pour ces secteurs.</w:t>
      </w:r>
    </w:p>
    <w:p w:rsidR="00D9323F" w:rsidRDefault="00F47CDD">
      <w:pPr>
        <w:tabs>
          <w:tab w:val="left" w:pos="0"/>
        </w:tabs>
        <w:spacing w:before="200"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La plupart des </w:t>
      </w:r>
      <w:r>
        <w:rPr>
          <w:rFonts w:ascii="Times New Roman" w:hAnsi="Times New Roman"/>
          <w:noProof/>
          <w:color w:val="000000"/>
          <w:sz w:val="24"/>
          <w:szCs w:val="24"/>
          <w:lang w:val="fr-BE"/>
        </w:rPr>
        <w:t>organisations de producteurs</w:t>
      </w:r>
      <w:r>
        <w:rPr>
          <w:rFonts w:ascii="Times New Roman" w:hAnsi="Times New Roman"/>
          <w:noProof/>
          <w:sz w:val="24"/>
          <w:szCs w:val="24"/>
          <w:lang w:val="fr-BE"/>
        </w:rPr>
        <w:t xml:space="preserve"> exercent ces activités génératrices de gains d’efficience parce qu’elles considèrent qu’elles améliorent leur position dans les négociations avec les acheteurs et pa</w:t>
      </w:r>
      <w:r>
        <w:rPr>
          <w:rFonts w:ascii="Times New Roman" w:hAnsi="Times New Roman"/>
          <w:noProof/>
          <w:sz w:val="24"/>
          <w:szCs w:val="24"/>
          <w:lang w:val="fr-BE"/>
        </w:rPr>
        <w:t xml:space="preserve">rce qu’elles réduisent les coûts des membres. </w:t>
      </w:r>
    </w:p>
    <w:p w:rsidR="00D9323F" w:rsidRDefault="00F47CDD">
      <w:pPr>
        <w:spacing w:before="100" w:beforeAutospacing="1" w:after="100" w:afterAutospacing="1" w:line="240" w:lineRule="auto"/>
        <w:ind w:firstLine="720"/>
        <w:jc w:val="both"/>
        <w:rPr>
          <w:rFonts w:ascii="Times New Roman" w:eastAsia="Times New Roman" w:hAnsi="Times New Roman"/>
          <w:noProof/>
          <w:sz w:val="24"/>
          <w:szCs w:val="24"/>
          <w:lang w:val="fr-BE"/>
        </w:rPr>
      </w:pPr>
      <w:r>
        <w:rPr>
          <w:rFonts w:ascii="Times New Roman" w:hAnsi="Times New Roman"/>
          <w:i/>
          <w:noProof/>
          <w:sz w:val="24"/>
          <w:szCs w:val="24"/>
          <w:lang w:val="fr-BE"/>
        </w:rPr>
        <w:t>b)</w:t>
      </w:r>
      <w:r>
        <w:rPr>
          <w:rFonts w:ascii="Times New Roman" w:hAnsi="Times New Roman"/>
          <w:noProof/>
          <w:sz w:val="24"/>
          <w:szCs w:val="24"/>
          <w:lang w:val="fr-BE"/>
        </w:rPr>
        <w:tab/>
      </w:r>
      <w:r>
        <w:rPr>
          <w:rFonts w:ascii="Times New Roman" w:hAnsi="Times New Roman"/>
          <w:i/>
          <w:noProof/>
          <w:sz w:val="24"/>
          <w:szCs w:val="24"/>
          <w:lang w:val="fr-BE"/>
        </w:rPr>
        <w:t>Rapport relatif à l’application des règles de concurrence dans le secteur agricole</w:t>
      </w:r>
    </w:p>
    <w:p w:rsidR="00D9323F" w:rsidRDefault="00F47CDD">
      <w:pPr>
        <w:tabs>
          <w:tab w:val="left" w:pos="284"/>
        </w:tabs>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 xml:space="preserve">En octobre 2018, la Commission a publié le </w:t>
      </w:r>
      <w:r>
        <w:rPr>
          <w:rFonts w:ascii="Times New Roman" w:hAnsi="Times New Roman"/>
          <w:i/>
          <w:noProof/>
          <w:sz w:val="24"/>
          <w:szCs w:val="24"/>
          <w:lang w:val="fr-BE"/>
        </w:rPr>
        <w:t>rapport relatif à l’application des règles de concurrence dans le secteur agrico</w:t>
      </w:r>
      <w:r>
        <w:rPr>
          <w:rFonts w:ascii="Times New Roman" w:hAnsi="Times New Roman"/>
          <w:i/>
          <w:noProof/>
          <w:sz w:val="24"/>
          <w:szCs w:val="24"/>
          <w:lang w:val="fr-BE"/>
        </w:rPr>
        <w:t>le</w:t>
      </w:r>
      <w:r>
        <w:rPr>
          <w:rFonts w:ascii="Times New Roman" w:hAnsi="Times New Roman"/>
          <w:noProof/>
          <w:sz w:val="24"/>
          <w:szCs w:val="24"/>
          <w:vertAlign w:val="superscript"/>
        </w:rPr>
        <w:footnoteReference w:id="297"/>
      </w:r>
      <w:r>
        <w:rPr>
          <w:rFonts w:ascii="Times New Roman" w:hAnsi="Times New Roman"/>
          <w:noProof/>
          <w:sz w:val="24"/>
          <w:szCs w:val="24"/>
          <w:lang w:val="fr-BE"/>
        </w:rPr>
        <w:t>.</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Les autorités de concurrence de l’Union européenne ont mené quelque 170 enquêtes dans le secteur agricole. Plus d’un tiers d’entre elles concernaient des transformateurs de produits agricoles. La Commission a constaté dans le rapport que l’action coer</w:t>
      </w:r>
      <w:r>
        <w:rPr>
          <w:rFonts w:ascii="Times New Roman" w:hAnsi="Times New Roman"/>
          <w:noProof/>
          <w:sz w:val="24"/>
          <w:szCs w:val="24"/>
          <w:lang w:val="fr-BE"/>
        </w:rPr>
        <w:t>citive des autorités de concurrence de l’Union a profité aux agriculteurs en leur permettant d’écouler leurs produits dans de meilleures conditions. En particulier, le rapport fait état de plusieurs cas dans lesquels les autorités européennes de concurrenc</w:t>
      </w:r>
      <w:r>
        <w:rPr>
          <w:rFonts w:ascii="Times New Roman" w:hAnsi="Times New Roman"/>
          <w:noProof/>
          <w:sz w:val="24"/>
          <w:szCs w:val="24"/>
          <w:lang w:val="fr-BE"/>
        </w:rPr>
        <w:t>e ont fait cesser et sanctionné des pratiques employées par de grands acheteurs pour réduire les prix payés aux agriculteurs. En outre, l’action des autorités de concurrence l’Union a également aidé les agriculteurs à améliorer les conditions de leurs tran</w:t>
      </w:r>
      <w:r>
        <w:rPr>
          <w:rFonts w:ascii="Times New Roman" w:hAnsi="Times New Roman"/>
          <w:noProof/>
          <w:sz w:val="24"/>
          <w:szCs w:val="24"/>
          <w:lang w:val="fr-BE"/>
        </w:rPr>
        <w:t>sactions avec les coopératives.</w:t>
      </w:r>
    </w:p>
    <w:p w:rsidR="00D9323F" w:rsidRDefault="00F47CDD">
      <w:pPr>
        <w:spacing w:before="100" w:beforeAutospacing="1" w:after="100" w:afterAutospacing="1"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L’une des principales conclusions du rapport est qu’il existe une nouvelle tendance: des initiatives nationales visant à limiter les importations de certains produits agricoles provenant d’autres États membres. Plusieurs aut</w:t>
      </w:r>
      <w:r>
        <w:rPr>
          <w:rFonts w:ascii="Times New Roman" w:hAnsi="Times New Roman"/>
          <w:noProof/>
          <w:sz w:val="24"/>
          <w:szCs w:val="24"/>
          <w:lang w:val="fr-BE"/>
        </w:rPr>
        <w:t>orités nationales de concurrence (de même que la Commission dans son enquête de 2015-2016 sur le secteur des produits laitiers dans plusieurs États membres) ont examiné et bloqué un certain nombre d'accords catégoriels consistant, par exemple, pour les agr</w:t>
      </w:r>
      <w:r>
        <w:rPr>
          <w:rFonts w:ascii="Times New Roman" w:hAnsi="Times New Roman"/>
          <w:noProof/>
          <w:sz w:val="24"/>
          <w:szCs w:val="24"/>
          <w:lang w:val="fr-BE"/>
        </w:rPr>
        <w:t xml:space="preserve">iculteurs d’un État membre donné à tenter d’empêcher les producteurs d’autres États membres de vendre leurs produits. </w:t>
      </w:r>
    </w:p>
    <w:p w:rsidR="00D9323F" w:rsidRDefault="00F47CDD">
      <w:pPr>
        <w:widowControl w:val="0"/>
        <w:shd w:val="clear" w:color="auto" w:fill="FFFFFF"/>
        <w:spacing w:after="0" w:line="240" w:lineRule="auto"/>
        <w:jc w:val="both"/>
        <w:rPr>
          <w:rFonts w:ascii="Times New Roman" w:eastAsiaTheme="minorHAnsi" w:hAnsi="Times New Roman"/>
          <w:i/>
          <w:iCs/>
          <w:noProof/>
          <w:sz w:val="24"/>
          <w:szCs w:val="24"/>
          <w:lang w:val="fr-BE"/>
        </w:rPr>
      </w:pPr>
      <w:r>
        <w:rPr>
          <w:rFonts w:ascii="Times New Roman" w:eastAsiaTheme="minorHAnsi" w:hAnsi="Times New Roman"/>
          <w:i/>
          <w:noProof/>
          <w:sz w:val="24"/>
          <w:szCs w:val="24"/>
          <w:lang w:val="fr-BE"/>
        </w:rPr>
        <w:t>Résolution des problèmes posés par la concentration accrue du commerce de détail et l’inégalité des pouvoirs de négociation au sein du ma</w:t>
      </w:r>
      <w:r>
        <w:rPr>
          <w:rFonts w:ascii="Times New Roman" w:eastAsiaTheme="minorHAnsi" w:hAnsi="Times New Roman"/>
          <w:i/>
          <w:noProof/>
          <w:sz w:val="24"/>
          <w:szCs w:val="24"/>
          <w:lang w:val="fr-BE"/>
        </w:rPr>
        <w:t>rché intérieur de l’U</w:t>
      </w:r>
      <w:r>
        <w:rPr>
          <w:rFonts w:ascii="Times New Roman" w:hAnsi="Times New Roman"/>
          <w:i/>
          <w:noProof/>
          <w:sz w:val="24"/>
          <w:szCs w:val="24"/>
          <w:lang w:val="fr-BE"/>
        </w:rPr>
        <w:t>E</w:t>
      </w:r>
    </w:p>
    <w:p w:rsidR="00D9323F" w:rsidRDefault="00D9323F">
      <w:pPr>
        <w:widowControl w:val="0"/>
        <w:shd w:val="clear" w:color="auto" w:fill="FFFFFF"/>
        <w:spacing w:after="0" w:line="274" w:lineRule="exact"/>
        <w:jc w:val="both"/>
        <w:rPr>
          <w:rFonts w:ascii="Times New Roman" w:eastAsiaTheme="minorHAnsi" w:hAnsi="Times New Roman"/>
          <w:iCs/>
          <w:noProof/>
          <w:sz w:val="24"/>
          <w:szCs w:val="24"/>
          <w:lang w:val="fr-BE"/>
        </w:rPr>
      </w:pPr>
    </w:p>
    <w:p w:rsidR="00D9323F" w:rsidRDefault="00F47CDD">
      <w:pPr>
        <w:widowControl w:val="0"/>
        <w:shd w:val="clear" w:color="auto" w:fill="FFFFFF"/>
        <w:spacing w:after="0" w:line="274" w:lineRule="exact"/>
        <w:jc w:val="both"/>
        <w:rPr>
          <w:rFonts w:ascii="Times New Roman" w:eastAsiaTheme="minorHAnsi" w:hAnsi="Times New Roman"/>
          <w:iCs/>
          <w:noProof/>
          <w:sz w:val="24"/>
          <w:szCs w:val="24"/>
          <w:lang w:val="fr-BE"/>
        </w:rPr>
      </w:pPr>
      <w:r>
        <w:rPr>
          <w:rFonts w:ascii="Times New Roman" w:eastAsiaTheme="minorHAnsi" w:hAnsi="Times New Roman"/>
          <w:noProof/>
          <w:sz w:val="24"/>
          <w:szCs w:val="24"/>
          <w:lang w:val="fr-BE"/>
        </w:rPr>
        <w:t xml:space="preserve">La directive sur les pratiques commerciales déloyales dans les relations interentreprises au sein de la chaîne d’approvisionnement alimentaire est entrée en vigueur le 30 avril 2019. Elle repose sur une proposition de la Commission </w:t>
      </w:r>
      <w:r>
        <w:rPr>
          <w:rFonts w:ascii="Times New Roman" w:eastAsiaTheme="minorHAnsi" w:hAnsi="Times New Roman"/>
          <w:noProof/>
          <w:sz w:val="24"/>
          <w:szCs w:val="24"/>
          <w:lang w:val="fr-BE"/>
        </w:rPr>
        <w:t>de 2018 visant à lutter, au niveau de l’Union européenne, contre les déséquilibres des pouvoirs de négociation tout au long de la chaîne d’approvisionnement alimentaire en interdisant les pratiques commerciales déloyales les plus préjudiciables, imposées p</w:t>
      </w:r>
      <w:r>
        <w:rPr>
          <w:rFonts w:ascii="Times New Roman" w:eastAsiaTheme="minorHAnsi" w:hAnsi="Times New Roman"/>
          <w:noProof/>
          <w:sz w:val="24"/>
          <w:szCs w:val="24"/>
          <w:lang w:val="fr-BE"/>
        </w:rPr>
        <w:t>ar les acheteurs jouissant du plus fort pouvoir de négociation</w:t>
      </w:r>
      <w:r>
        <w:rPr>
          <w:rFonts w:ascii="Times New Roman" w:hAnsi="Times New Roman"/>
          <w:noProof/>
          <w:sz w:val="24"/>
          <w:szCs w:val="24"/>
          <w:lang w:val="fr-BE"/>
        </w:rPr>
        <w:t xml:space="preserve"> aux petits fournisseurs et en particulier aux petits agriculteurs.</w:t>
      </w:r>
      <w:r>
        <w:rPr>
          <w:rFonts w:ascii="Times New Roman" w:eastAsiaTheme="minorHAnsi" w:hAnsi="Times New Roman"/>
          <w:noProof/>
          <w:sz w:val="24"/>
          <w:szCs w:val="24"/>
          <w:vertAlign w:val="superscript"/>
          <w:lang w:val="fr-BE"/>
        </w:rPr>
        <w:t xml:space="preserve"> </w:t>
      </w:r>
      <w:r>
        <w:rPr>
          <w:rFonts w:ascii="Times New Roman" w:eastAsiaTheme="minorHAnsi" w:hAnsi="Times New Roman"/>
          <w:noProof/>
          <w:sz w:val="24"/>
          <w:szCs w:val="24"/>
          <w:vertAlign w:val="superscript"/>
        </w:rPr>
        <w:footnoteReference w:id="298"/>
      </w:r>
    </w:p>
    <w:p w:rsidR="00D9323F" w:rsidRDefault="00D9323F">
      <w:pPr>
        <w:widowControl w:val="0"/>
        <w:shd w:val="clear" w:color="auto" w:fill="FFFFFF"/>
        <w:spacing w:after="0" w:line="274" w:lineRule="exact"/>
        <w:jc w:val="both"/>
        <w:rPr>
          <w:rFonts w:ascii="Times New Roman" w:eastAsiaTheme="minorHAnsi" w:hAnsi="Times New Roman"/>
          <w:bCs/>
          <w:iCs/>
          <w:noProof/>
          <w:sz w:val="24"/>
          <w:szCs w:val="24"/>
          <w:lang w:val="fr-BE"/>
        </w:rPr>
      </w:pPr>
    </w:p>
    <w:p w:rsidR="00D9323F" w:rsidRDefault="00F47CDD">
      <w:pPr>
        <w:widowControl w:val="0"/>
        <w:shd w:val="clear" w:color="auto" w:fill="FFFFFF"/>
        <w:spacing w:after="0" w:line="274" w:lineRule="exact"/>
        <w:jc w:val="both"/>
        <w:rPr>
          <w:rFonts w:ascii="Times New Roman" w:eastAsiaTheme="minorHAnsi" w:hAnsi="Times New Roman"/>
          <w:bCs/>
          <w:iCs/>
          <w:noProof/>
          <w:sz w:val="24"/>
          <w:szCs w:val="24"/>
          <w:lang w:val="fr-BE"/>
        </w:rPr>
      </w:pPr>
      <w:r>
        <w:rPr>
          <w:rFonts w:ascii="Times New Roman" w:eastAsiaTheme="minorHAnsi" w:hAnsi="Times New Roman"/>
          <w:noProof/>
          <w:sz w:val="24"/>
          <w:szCs w:val="24"/>
          <w:lang w:val="fr-BE"/>
        </w:rPr>
        <w:t>La liste des pratiques commerciales déloyales figurant dans la proposition de la Commission a été soigneusement adaptée sur</w:t>
      </w:r>
      <w:r>
        <w:rPr>
          <w:rFonts w:ascii="Times New Roman" w:eastAsiaTheme="minorHAnsi" w:hAnsi="Times New Roman"/>
          <w:noProof/>
          <w:sz w:val="24"/>
          <w:szCs w:val="24"/>
          <w:lang w:val="fr-BE"/>
        </w:rPr>
        <w:t xml:space="preserve"> la base de la contribution de l’économiste en chef de la DG Concurrence, afin de ne pas empêcher les partenaires commerciaux de conclure des conditions commerciales ou des accords générateurs de gains d’efficience</w:t>
      </w:r>
      <w:r>
        <w:rPr>
          <w:rFonts w:ascii="Times New Roman" w:eastAsiaTheme="minorHAnsi" w:hAnsi="Times New Roman"/>
          <w:noProof/>
          <w:sz w:val="24"/>
          <w:szCs w:val="24"/>
          <w:vertAlign w:val="superscript"/>
        </w:rPr>
        <w:footnoteReference w:id="299"/>
      </w:r>
      <w:r>
        <w:rPr>
          <w:rFonts w:ascii="Times New Roman" w:eastAsiaTheme="minorHAnsi" w:hAnsi="Times New Roman"/>
          <w:noProof/>
          <w:sz w:val="24"/>
          <w:szCs w:val="24"/>
          <w:lang w:val="fr-BE"/>
        </w:rPr>
        <w:t>. La portée de la protection a été conçue</w:t>
      </w:r>
      <w:r>
        <w:rPr>
          <w:rFonts w:ascii="Times New Roman" w:eastAsiaTheme="minorHAnsi" w:hAnsi="Times New Roman"/>
          <w:noProof/>
          <w:sz w:val="24"/>
          <w:szCs w:val="24"/>
          <w:lang w:val="fr-BE"/>
        </w:rPr>
        <w:t xml:space="preserve"> pour éviter de protéger les entreprises qui disposent d’un pouvoir de négociation suffisant pour se défendre. Protéger les entreprises qui jouissent d’un pouvoir de négociation dans la chaîne d’approvisionnement alimentaire au moyen de règles relatives au</w:t>
      </w:r>
      <w:r>
        <w:rPr>
          <w:rFonts w:ascii="Times New Roman" w:eastAsiaTheme="minorHAnsi" w:hAnsi="Times New Roman"/>
          <w:noProof/>
          <w:sz w:val="24"/>
          <w:szCs w:val="24"/>
          <w:lang w:val="fr-BE"/>
        </w:rPr>
        <w:t>x pratiques commerciales déloyales ne bénéficierait pas aux agriculteurs.</w:t>
      </w:r>
    </w:p>
    <w:p w:rsidR="00D9323F" w:rsidRDefault="00F47CDD">
      <w:pPr>
        <w:widowControl w:val="0"/>
        <w:spacing w:before="200" w:after="0" w:line="274" w:lineRule="exact"/>
        <w:jc w:val="both"/>
        <w:rPr>
          <w:rFonts w:ascii="Times New Roman" w:eastAsiaTheme="minorHAnsi" w:hAnsi="Times New Roman"/>
          <w:iCs/>
          <w:noProof/>
          <w:sz w:val="24"/>
          <w:szCs w:val="24"/>
          <w:lang w:val="fr-BE"/>
        </w:rPr>
      </w:pPr>
      <w:r>
        <w:rPr>
          <w:rFonts w:ascii="Times New Roman" w:eastAsiaTheme="minorHAnsi" w:hAnsi="Times New Roman"/>
          <w:noProof/>
          <w:sz w:val="24"/>
          <w:szCs w:val="24"/>
          <w:lang w:val="fr-BE"/>
        </w:rPr>
        <w:t>Les États membres pourront maintenir ou introduire des règles nationales plus strictes étant donné que la proposition de directive prévoit seulement une harmonisation minimale au niv</w:t>
      </w:r>
      <w:r>
        <w:rPr>
          <w:rFonts w:ascii="Times New Roman" w:eastAsiaTheme="minorHAnsi" w:hAnsi="Times New Roman"/>
          <w:noProof/>
          <w:sz w:val="24"/>
          <w:szCs w:val="24"/>
          <w:lang w:val="fr-BE"/>
        </w:rPr>
        <w:t>eau de l’Union.</w:t>
      </w:r>
    </w:p>
    <w:p w:rsidR="00D9323F" w:rsidRDefault="00D9323F">
      <w:pPr>
        <w:widowControl w:val="0"/>
        <w:spacing w:after="0" w:line="274" w:lineRule="exact"/>
        <w:jc w:val="both"/>
        <w:rPr>
          <w:rFonts w:ascii="Times New Roman" w:eastAsiaTheme="minorHAnsi" w:hAnsi="Times New Roman"/>
          <w:iCs/>
          <w:noProof/>
          <w:sz w:val="24"/>
          <w:szCs w:val="24"/>
          <w:lang w:val="fr-BE"/>
        </w:rPr>
      </w:pPr>
    </w:p>
    <w:p w:rsidR="00D9323F" w:rsidRDefault="00F47CDD">
      <w:pPr>
        <w:widowControl w:val="0"/>
        <w:spacing w:after="204" w:line="278" w:lineRule="exact"/>
        <w:jc w:val="both"/>
        <w:rPr>
          <w:rFonts w:ascii="Times New Roman" w:eastAsiaTheme="minorHAnsi" w:hAnsi="Times New Roman"/>
          <w:i/>
          <w:iCs/>
          <w:noProof/>
          <w:sz w:val="24"/>
          <w:szCs w:val="24"/>
          <w:lang w:val="fr-BE"/>
        </w:rPr>
      </w:pPr>
      <w:r>
        <w:rPr>
          <w:rFonts w:ascii="Times New Roman" w:eastAsiaTheme="minorHAnsi" w:hAnsi="Times New Roman"/>
          <w:i/>
          <w:noProof/>
          <w:sz w:val="24"/>
          <w:szCs w:val="24"/>
          <w:lang w:val="fr-BE"/>
        </w:rPr>
        <w:t>Prévention de la segmentation du marché et des restrictions commerciales imposées par des fabricants de produits alimentaires au sein du marché intérieur de l’U</w:t>
      </w:r>
      <w:r>
        <w:rPr>
          <w:rFonts w:ascii="Times New Roman" w:hAnsi="Times New Roman"/>
          <w:i/>
          <w:noProof/>
          <w:sz w:val="24"/>
          <w:szCs w:val="24"/>
          <w:lang w:val="fr-BE"/>
        </w:rPr>
        <w:t>E</w:t>
      </w:r>
    </w:p>
    <w:p w:rsidR="00D9323F" w:rsidRDefault="00F47CDD">
      <w:pPr>
        <w:tabs>
          <w:tab w:val="left" w:pos="0"/>
        </w:tabs>
        <w:spacing w:after="210" w:line="278" w:lineRule="exact"/>
        <w:jc w:val="both"/>
        <w:rPr>
          <w:rFonts w:ascii="Times New Roman" w:eastAsia="Times New Roman" w:hAnsi="Times New Roman"/>
          <w:noProof/>
          <w:sz w:val="24"/>
          <w:szCs w:val="24"/>
          <w:lang w:val="fr-BE"/>
        </w:rPr>
      </w:pPr>
      <w:r>
        <w:rPr>
          <w:rFonts w:ascii="Times New Roman" w:hAnsi="Times New Roman"/>
          <w:noProof/>
          <w:sz w:val="24"/>
          <w:szCs w:val="24"/>
          <w:lang w:val="fr-BE"/>
        </w:rPr>
        <w:t>Après avoir adopté la communication des griefs en novembre 2017</w:t>
      </w:r>
      <w:r>
        <w:rPr>
          <w:rFonts w:ascii="Times New Roman" w:hAnsi="Times New Roman"/>
          <w:noProof/>
          <w:sz w:val="24"/>
          <w:szCs w:val="24"/>
          <w:vertAlign w:val="superscript"/>
        </w:rPr>
        <w:footnoteReference w:id="300"/>
      </w:r>
      <w:r>
        <w:rPr>
          <w:rFonts w:ascii="Times New Roman" w:hAnsi="Times New Roman"/>
          <w:noProof/>
          <w:sz w:val="24"/>
          <w:szCs w:val="24"/>
          <w:lang w:val="fr-BE"/>
        </w:rPr>
        <w:t>, la Commissi</w:t>
      </w:r>
      <w:r>
        <w:rPr>
          <w:rFonts w:ascii="Times New Roman" w:hAnsi="Times New Roman"/>
          <w:noProof/>
          <w:sz w:val="24"/>
          <w:szCs w:val="24"/>
          <w:lang w:val="fr-BE"/>
        </w:rPr>
        <w:t>on a poursuivi en 2018 son enquête sur la stratégie d’AB InBev qui viserait apparemment à empêcher les supermarchés et les grossistes d’acheter ses marques de bière les plus connues en Belgique à des prix inférieurs aux Pays-Bas et en France et de les impo</w:t>
      </w:r>
      <w:r>
        <w:rPr>
          <w:rFonts w:ascii="Times New Roman" w:hAnsi="Times New Roman"/>
          <w:noProof/>
          <w:sz w:val="24"/>
          <w:szCs w:val="24"/>
          <w:lang w:val="fr-BE"/>
        </w:rPr>
        <w:t>rter en Belgique.</w:t>
      </w:r>
      <w:r>
        <w:rPr>
          <w:rFonts w:ascii="Times New Roman" w:hAnsi="Times New Roman"/>
          <w:noProof/>
          <w:color w:val="1F497D"/>
          <w:sz w:val="24"/>
          <w:szCs w:val="24"/>
          <w:lang w:val="fr-BE"/>
        </w:rPr>
        <w:t xml:space="preserve"> </w:t>
      </w:r>
      <w:r>
        <w:rPr>
          <w:rFonts w:ascii="Times New Roman" w:hAnsi="Times New Roman"/>
          <w:noProof/>
          <w:sz w:val="24"/>
          <w:szCs w:val="24"/>
          <w:lang w:val="fr-BE"/>
        </w:rPr>
        <w:t>Les pratiques d’AB InBev, qui pourraient empêcher la libre commercialisation de biens au sein du marché intérieur de l’Union européenne, pourraient emporter une violation de l’article 102 du TFUE.</w:t>
      </w:r>
    </w:p>
    <w:p w:rsidR="00D9323F" w:rsidRDefault="00F47CDD">
      <w:pPr>
        <w:widowControl w:val="0"/>
        <w:spacing w:after="120" w:line="274" w:lineRule="exact"/>
        <w:jc w:val="both"/>
        <w:rPr>
          <w:rFonts w:ascii="Times New Roman" w:eastAsia="Times New Roman" w:hAnsi="Times New Roman"/>
          <w:noProof/>
          <w:color w:val="000000"/>
          <w:sz w:val="24"/>
          <w:szCs w:val="24"/>
          <w:lang w:val="fr-BE"/>
        </w:rPr>
      </w:pPr>
      <w:r>
        <w:rPr>
          <w:rFonts w:ascii="Times New Roman" w:hAnsi="Times New Roman"/>
          <w:i/>
          <w:noProof/>
          <w:color w:val="000000"/>
          <w:sz w:val="24"/>
          <w:szCs w:val="24"/>
          <w:lang w:val="fr-BE"/>
        </w:rPr>
        <w:t xml:space="preserve">Enquêtes sur les opérations de concentration dans l’industrie agroalimentaire </w:t>
      </w:r>
    </w:p>
    <w:p w:rsidR="00D9323F" w:rsidRDefault="00F47CDD">
      <w:pPr>
        <w:widowControl w:val="0"/>
        <w:spacing w:after="24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En 2018, le secteur agroalimentaire était caractérisé par la poursuite de la vague de consolidation des acteurs agrochimiques. Après les autorisations conditionnelles de </w:t>
      </w:r>
      <w:r>
        <w:rPr>
          <w:rFonts w:ascii="Times New Roman" w:hAnsi="Times New Roman"/>
          <w:i/>
          <w:noProof/>
          <w:color w:val="000000"/>
          <w:sz w:val="24"/>
          <w:szCs w:val="24"/>
          <w:lang w:val="fr-BE"/>
        </w:rPr>
        <w:t>Dow/Dup</w:t>
      </w:r>
      <w:r>
        <w:rPr>
          <w:rFonts w:ascii="Times New Roman" w:hAnsi="Times New Roman"/>
          <w:i/>
          <w:noProof/>
          <w:color w:val="000000"/>
          <w:sz w:val="24"/>
          <w:szCs w:val="24"/>
          <w:lang w:val="fr-BE"/>
        </w:rPr>
        <w:t>ont</w:t>
      </w:r>
      <w:r>
        <w:rPr>
          <w:rFonts w:ascii="Times New Roman" w:hAnsi="Times New Roman"/>
          <w:noProof/>
          <w:color w:val="000000"/>
          <w:sz w:val="24"/>
          <w:szCs w:val="24"/>
          <w:lang w:val="fr-BE"/>
        </w:rPr>
        <w:t xml:space="preserve"> et de </w:t>
      </w:r>
      <w:r>
        <w:rPr>
          <w:rFonts w:ascii="Times New Roman" w:hAnsi="Times New Roman"/>
          <w:i/>
          <w:noProof/>
          <w:color w:val="000000"/>
          <w:sz w:val="24"/>
          <w:szCs w:val="24"/>
          <w:lang w:val="fr-BE"/>
        </w:rPr>
        <w:t>ChemChina/Syngenta</w:t>
      </w:r>
      <w:r>
        <w:rPr>
          <w:rFonts w:ascii="Times New Roman" w:hAnsi="Times New Roman"/>
          <w:noProof/>
          <w:color w:val="000000"/>
          <w:sz w:val="24"/>
          <w:szCs w:val="24"/>
          <w:lang w:val="fr-BE"/>
        </w:rPr>
        <w:t xml:space="preserve"> en 2017, la Commission a de nouveau adopté une position rigoureuse dans l’appréciation de l’acquisition proposée de </w:t>
      </w:r>
      <w:r>
        <w:rPr>
          <w:rFonts w:ascii="Times New Roman" w:hAnsi="Times New Roman"/>
          <w:i/>
          <w:noProof/>
          <w:color w:val="000000"/>
          <w:sz w:val="24"/>
          <w:szCs w:val="24"/>
          <w:lang w:val="fr-BE"/>
        </w:rPr>
        <w:t>Monsanto par Bayer</w:t>
      </w:r>
      <w:r>
        <w:rPr>
          <w:rStyle w:val="FootnoteReference"/>
          <w:rFonts w:ascii="Times New Roman" w:hAnsi="Times New Roman"/>
          <w:noProof/>
          <w:color w:val="000000"/>
          <w:sz w:val="24"/>
          <w:szCs w:val="24"/>
        </w:rPr>
        <w:footnoteReference w:id="301"/>
      </w:r>
      <w:r>
        <w:rPr>
          <w:rFonts w:ascii="Times New Roman" w:hAnsi="Times New Roman"/>
          <w:noProof/>
          <w:color w:val="000000"/>
          <w:sz w:val="24"/>
          <w:szCs w:val="24"/>
          <w:lang w:val="fr-BE"/>
        </w:rPr>
        <w:t>, garantissant ainsi que les agriculteurs d’Europe continueront de bénéficier d’intrants inn</w:t>
      </w:r>
      <w:r>
        <w:rPr>
          <w:rFonts w:ascii="Times New Roman" w:hAnsi="Times New Roman"/>
          <w:noProof/>
          <w:color w:val="000000"/>
          <w:sz w:val="24"/>
          <w:szCs w:val="24"/>
          <w:lang w:val="fr-BE"/>
        </w:rPr>
        <w:t xml:space="preserve">ovants à des prix compétitifs. </w:t>
      </w:r>
    </w:p>
    <w:p w:rsidR="00D9323F" w:rsidRDefault="00F47CDD">
      <w:pPr>
        <w:widowControl w:val="0"/>
        <w:spacing w:after="24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Bayer est une entreprise allemande présente dans les secteurs des produits pharmaceutiques, des produits de santé grand public, de l’agriculture (par l’intermédiaire de sa division Bayer Crop Science) et de la santé animale.</w:t>
      </w:r>
      <w:r>
        <w:rPr>
          <w:rFonts w:ascii="Times New Roman" w:hAnsi="Times New Roman"/>
          <w:noProof/>
          <w:color w:val="000000"/>
          <w:sz w:val="24"/>
          <w:szCs w:val="24"/>
          <w:lang w:val="fr-BE"/>
        </w:rPr>
        <w:t xml:space="preserve"> Monsanto était une entreprise américaine du domaine agricole qui produisait des semences de grande culture, et des semences potagères et fruitières. Elle produisait également des caractères issus de la biotechnologie et fournissait des pesticides. Monsant</w:t>
      </w:r>
      <w:r>
        <w:rPr>
          <w:rFonts w:ascii="Times New Roman" w:hAnsi="Times New Roman"/>
          <w:noProof/>
          <w:color w:val="000000"/>
          <w:sz w:val="24"/>
          <w:szCs w:val="24"/>
          <w:lang w:val="fr-BE"/>
        </w:rPr>
        <w:t>o était peut-être surtout connue pour son herbicide à base de glyphosate, commercialisé sous la marque «Roundup», et pour le développement de cultures génétiquement modifiées. Il existait une certaine complémentarité entre Bayer, acteur majeur en matière d</w:t>
      </w:r>
      <w:r>
        <w:rPr>
          <w:rFonts w:ascii="Times New Roman" w:hAnsi="Times New Roman"/>
          <w:noProof/>
          <w:color w:val="000000"/>
          <w:sz w:val="24"/>
          <w:szCs w:val="24"/>
          <w:lang w:val="fr-BE"/>
        </w:rPr>
        <w:t xml:space="preserve">e protection des cultures, particulièrement en Europe, et les </w:t>
      </w:r>
      <w:r>
        <w:rPr>
          <w:rFonts w:ascii="Times New Roman" w:hAnsi="Times New Roman"/>
          <w:noProof/>
          <w:sz w:val="24"/>
          <w:szCs w:val="24"/>
          <w:lang w:val="fr-BE"/>
        </w:rPr>
        <w:t>activités de Monsanto, premier fournisseur mondial de semences, dont les principaux marchés se trouvaient dans les Amériques. L’acquisition de Monsanto par Bayer a créé le plus grand acteur inté</w:t>
      </w:r>
      <w:r>
        <w:rPr>
          <w:rFonts w:ascii="Times New Roman" w:hAnsi="Times New Roman"/>
          <w:noProof/>
          <w:sz w:val="24"/>
          <w:szCs w:val="24"/>
          <w:lang w:val="fr-BE"/>
        </w:rPr>
        <w:t>gré au monde dans le domaine de l’agrochimie, des caractères et des semences et était considérée par certains commentateurs et observateurs intéressés comme ayant transformé l’industrie.</w:t>
      </w:r>
    </w:p>
    <w:p w:rsidR="00D9323F" w:rsidRDefault="00F47CDD">
      <w:pPr>
        <w:widowControl w:val="0"/>
        <w:spacing w:after="240" w:line="274" w:lineRule="exact"/>
        <w:jc w:val="both"/>
        <w:rPr>
          <w:rFonts w:ascii="Times New Roman" w:eastAsia="Times New Roman" w:hAnsi="Times New Roman"/>
          <w:noProof/>
          <w:color w:val="000000"/>
          <w:sz w:val="24"/>
          <w:szCs w:val="24"/>
          <w:lang w:val="fr-BE"/>
        </w:rPr>
      </w:pPr>
      <w:r>
        <w:rPr>
          <w:rFonts w:ascii="Times New Roman" w:hAnsi="Times New Roman"/>
          <w:noProof/>
          <w:color w:val="000000"/>
          <w:sz w:val="24"/>
          <w:szCs w:val="24"/>
          <w:lang w:val="fr-BE"/>
        </w:rPr>
        <w:t xml:space="preserve">Après avoir mené une enquête approfondie exhaustive, la Commission a </w:t>
      </w:r>
      <w:r>
        <w:rPr>
          <w:rFonts w:ascii="Times New Roman" w:hAnsi="Times New Roman"/>
          <w:noProof/>
          <w:color w:val="000000"/>
          <w:sz w:val="24"/>
          <w:szCs w:val="24"/>
          <w:lang w:val="fr-BE"/>
        </w:rPr>
        <w:t>recensé de possibles effets nuisibles de la concentration sur la concurrence pour les produits et l’innovation sur plusieurs marchés de semences, de caractères, de pesticides et d’agriculture numérique. Bayer a proposé d’ambitieuses mesures correctives com</w:t>
      </w:r>
      <w:r>
        <w:rPr>
          <w:rFonts w:ascii="Times New Roman" w:hAnsi="Times New Roman"/>
          <w:noProof/>
          <w:color w:val="000000"/>
          <w:sz w:val="24"/>
          <w:szCs w:val="24"/>
          <w:lang w:val="fr-BE"/>
        </w:rPr>
        <w:t xml:space="preserve">prenant la cession de toutes ses activités relatives aux semences et aux caractères, de son activité concernant le glufosinate et de ses efforts en matière d’agriculture numérique, qui répondaient à tous les problèmes de concurrence, y compris ceux liés à </w:t>
      </w:r>
      <w:r>
        <w:rPr>
          <w:rFonts w:ascii="Times New Roman" w:hAnsi="Times New Roman"/>
          <w:noProof/>
          <w:color w:val="000000"/>
          <w:sz w:val="24"/>
          <w:szCs w:val="24"/>
          <w:lang w:val="fr-BE"/>
        </w:rPr>
        <w:t xml:space="preserve">l’innovation. Cet ensemble de mesures correctives a été vendu à BASF, que la Commission a approuvé en tant qu’acquéreur approprié. Dans le cadre de l’examen de l’opération Bayer/Monsanto, la Commission a coopéré étroitement avec de nombreuses autorités de </w:t>
      </w:r>
      <w:r>
        <w:rPr>
          <w:rFonts w:ascii="Times New Roman" w:hAnsi="Times New Roman"/>
          <w:noProof/>
          <w:color w:val="000000"/>
          <w:sz w:val="24"/>
          <w:szCs w:val="24"/>
          <w:lang w:val="fr-BE"/>
        </w:rPr>
        <w:t>concurrence du monde entier.</w:t>
      </w:r>
    </w:p>
    <w:p w:rsidR="00D9323F" w:rsidRDefault="00D9323F">
      <w:pPr>
        <w:spacing w:after="0" w:line="240" w:lineRule="auto"/>
        <w:rPr>
          <w:rFonts w:ascii="Times New Roman" w:eastAsia="Times New Roman" w:hAnsi="Times New Roman"/>
          <w:b/>
          <w:smallCaps/>
          <w:noProof/>
          <w:sz w:val="24"/>
          <w:szCs w:val="24"/>
          <w:lang w:val="fr-BE"/>
        </w:rPr>
      </w:pPr>
    </w:p>
    <w:p w:rsidR="00D9323F" w:rsidRDefault="00F47CDD">
      <w:pPr>
        <w:widowControl w:val="0"/>
        <w:tabs>
          <w:tab w:val="left" w:pos="850"/>
        </w:tabs>
        <w:spacing w:line="240" w:lineRule="auto"/>
        <w:ind w:left="850" w:hanging="850"/>
        <w:jc w:val="both"/>
        <w:outlineLvl w:val="0"/>
        <w:rPr>
          <w:rFonts w:ascii="Times New Roman" w:eastAsia="Times New Roman" w:hAnsi="Times New Roman"/>
          <w:b/>
          <w:smallCaps/>
          <w:noProof/>
          <w:sz w:val="24"/>
          <w:szCs w:val="24"/>
          <w:lang w:val="fr-BE"/>
        </w:rPr>
      </w:pPr>
      <w:r>
        <w:rPr>
          <w:rFonts w:ascii="Times New Roman" w:hAnsi="Times New Roman"/>
          <w:noProof/>
          <w:sz w:val="24"/>
          <w:szCs w:val="24"/>
          <w:lang w:val="fr-BE"/>
        </w:rPr>
        <w:tab/>
      </w:r>
      <w:bookmarkStart w:id="48" w:name="_Toc19019208"/>
      <w:r>
        <w:rPr>
          <w:rFonts w:ascii="Times New Roman" w:hAnsi="Times New Roman"/>
          <w:b/>
          <w:smallCaps/>
          <w:noProof/>
          <w:sz w:val="24"/>
          <w:szCs w:val="24"/>
          <w:lang w:val="fr-BE"/>
        </w:rPr>
        <w:t>7. Secteur pharmaceutique et services de santé</w:t>
      </w:r>
      <w:bookmarkEnd w:id="48"/>
      <w:r>
        <w:rPr>
          <w:rFonts w:ascii="Times New Roman" w:hAnsi="Times New Roman"/>
          <w:b/>
          <w:smallCaps/>
          <w:noProof/>
          <w:sz w:val="24"/>
          <w:szCs w:val="24"/>
          <w:lang w:val="fr-BE"/>
        </w:rPr>
        <w:t xml:space="preserve"> </w:t>
      </w:r>
    </w:p>
    <w:p w:rsidR="00D9323F" w:rsidRDefault="00F47CDD">
      <w:pPr>
        <w:widowControl w:val="0"/>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 xml:space="preserve">Aperçu des principaux problèmes auxquels le secteur est confronté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 secteur pharmaceutique et le secteur de la santé revêtent une importance sociétale et économique </w:t>
      </w:r>
      <w:r>
        <w:rPr>
          <w:rFonts w:ascii="Times New Roman" w:hAnsi="Times New Roman"/>
          <w:noProof/>
          <w:sz w:val="24"/>
          <w:szCs w:val="24"/>
          <w:lang w:val="fr-BE"/>
        </w:rPr>
        <w:t>particulière. La santé et l’accès à des médicaments efficaces et abordables sont des préoccupations essentielles de la population. La crise économique, l’évolution démographique et la modification des types de maladies touchant les citoyens de l’Union euro</w:t>
      </w:r>
      <w:r>
        <w:rPr>
          <w:rFonts w:ascii="Times New Roman" w:hAnsi="Times New Roman"/>
          <w:noProof/>
          <w:sz w:val="24"/>
          <w:szCs w:val="24"/>
          <w:lang w:val="fr-BE"/>
        </w:rPr>
        <w:t>péenne ont imposé d’importantes contraintes aux budgets alloués à la santé publique. Ces dernières décennies, les dépenses publiques pour les soins de santé en général ont augmenté pour atteindre entre 5,7 % et 11,3 % du PIB dans les différents États membr</w:t>
      </w:r>
      <w:r>
        <w:rPr>
          <w:rFonts w:ascii="Times New Roman" w:hAnsi="Times New Roman"/>
          <w:noProof/>
          <w:sz w:val="24"/>
          <w:szCs w:val="24"/>
          <w:lang w:val="fr-BE"/>
        </w:rPr>
        <w:t>es</w:t>
      </w:r>
      <w:r>
        <w:rPr>
          <w:rFonts w:ascii="Times New Roman" w:hAnsi="Times New Roman"/>
          <w:noProof/>
          <w:sz w:val="24"/>
          <w:szCs w:val="24"/>
          <w:vertAlign w:val="superscript"/>
        </w:rPr>
        <w:footnoteReference w:id="302"/>
      </w:r>
      <w:r>
        <w:rPr>
          <w:rFonts w:ascii="Times New Roman" w:hAnsi="Times New Roman"/>
          <w:noProof/>
          <w:sz w:val="24"/>
          <w:szCs w:val="24"/>
          <w:lang w:val="fr-BE"/>
        </w:rPr>
        <w:t>, et elles devraient continuer de gonfler. Les dépenses en produits pharmaceutiques constituent une part importante des dépenses publiques de soins de santé</w:t>
      </w:r>
      <w:r>
        <w:rPr>
          <w:rFonts w:ascii="Times New Roman" w:hAnsi="Times New Roman"/>
          <w:noProof/>
          <w:sz w:val="24"/>
          <w:szCs w:val="24"/>
          <w:vertAlign w:val="superscript"/>
        </w:rPr>
        <w:footnoteReference w:id="303"/>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Le 28 janvier 2019, la Commission a publié un rapport adressé au Conseil et au Parlement euro</w:t>
      </w:r>
      <w:r>
        <w:rPr>
          <w:rFonts w:ascii="Times New Roman" w:hAnsi="Times New Roman"/>
          <w:noProof/>
          <w:sz w:val="24"/>
          <w:szCs w:val="24"/>
          <w:lang w:val="fr-BE"/>
        </w:rPr>
        <w:t>péen intitulé «Application du droit de la concurrence dans le secteur pharmaceutique (2009-2017) - Collaboration entre les autorités européennes de la concurrence en vue de favoriser l’accès à des médicaments abordables et innovants»</w:t>
      </w:r>
      <w:r>
        <w:rPr>
          <w:rFonts w:ascii="Times New Roman" w:hAnsi="Times New Roman"/>
          <w:noProof/>
          <w:sz w:val="24"/>
          <w:szCs w:val="24"/>
          <w:vertAlign w:val="superscript"/>
        </w:rPr>
        <w:footnoteReference w:id="304"/>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Ce rapport donne une</w:t>
      </w:r>
      <w:r>
        <w:rPr>
          <w:rFonts w:ascii="Times New Roman" w:hAnsi="Times New Roman"/>
          <w:noProof/>
          <w:sz w:val="24"/>
          <w:szCs w:val="24"/>
          <w:lang w:val="fr-BE"/>
        </w:rPr>
        <w:t xml:space="preserve"> vue d’ensemble et des exemples de la façon dont la Commission et les autorités nationales de la concurrence des 28 États membres ont appliqué les règles de l’Union européenne en matière de pratiques anticoncurrentielles et de concentration dans le secteur</w:t>
      </w:r>
      <w:r>
        <w:rPr>
          <w:rFonts w:ascii="Times New Roman" w:hAnsi="Times New Roman"/>
          <w:noProof/>
          <w:sz w:val="24"/>
          <w:szCs w:val="24"/>
          <w:lang w:val="fr-BE"/>
        </w:rPr>
        <w:t xml:space="preserve"> pharmaceutique durant la période 2009-2017. Le secteur pharmaceutique exige un contrôle minutieux du droit de la concurrence. Le rapport explique, en réponse à des inquiétudes exprimées par le Conseil et le Parlement européen, la façon dont l’application </w:t>
      </w:r>
      <w:r>
        <w:rPr>
          <w:rFonts w:ascii="Times New Roman" w:hAnsi="Times New Roman"/>
          <w:noProof/>
          <w:sz w:val="24"/>
          <w:szCs w:val="24"/>
          <w:lang w:val="fr-BE"/>
        </w:rPr>
        <w:t>du droit de la concurrence contribue spécifiquement à préserver l’accès des patients européens à des médicaments abordables et innovants. Depuis la conclusion de l’enquête menée par la Commission dans le secteur pharmaceutique en 2009, les autorités nation</w:t>
      </w:r>
      <w:r>
        <w:rPr>
          <w:rFonts w:ascii="Times New Roman" w:hAnsi="Times New Roman"/>
          <w:noProof/>
          <w:sz w:val="24"/>
          <w:szCs w:val="24"/>
          <w:lang w:val="fr-BE"/>
        </w:rPr>
        <w:t>ales de la concurrence ont adopté toute une série de décisions relatives aux pratiques anticoncurrentielles contre des entreprises pharmaceutiques. Ces décisions ont infligé des sanctions (avec des amendes s’élevant à plus d’un milliard d’euros au total) o</w:t>
      </w:r>
      <w:r>
        <w:rPr>
          <w:rFonts w:ascii="Times New Roman" w:hAnsi="Times New Roman"/>
          <w:noProof/>
          <w:sz w:val="24"/>
          <w:szCs w:val="24"/>
          <w:lang w:val="fr-BE"/>
        </w:rPr>
        <w:t>u rendu contraignants des engagements visant à corriger leur comportement anticoncurrentiel. Dans le cadre de sa tâche consistant à empêcher une trop forte concentration des marchés pharmaceutiques à la suite de fusions, la Commission a, durant cette pério</w:t>
      </w:r>
      <w:r>
        <w:rPr>
          <w:rFonts w:ascii="Times New Roman" w:hAnsi="Times New Roman"/>
          <w:noProof/>
          <w:sz w:val="24"/>
          <w:szCs w:val="24"/>
          <w:lang w:val="fr-BE"/>
        </w:rPr>
        <w:t>de, examiné plus de 80 opérations. Des problèmes de concurrence ont été décelés dans 19 cas, et la Commission n’a donné son autorisation qu’après avoir obtenu des entreprises l’engagement que les problèmes seraient résolus et que l’opération serait modifié</w:t>
      </w:r>
      <w:r>
        <w:rPr>
          <w:rFonts w:ascii="Times New Roman" w:hAnsi="Times New Roman"/>
          <w:noProof/>
          <w:sz w:val="24"/>
          <w:szCs w:val="24"/>
          <w:lang w:val="fr-BE"/>
        </w:rPr>
        <w:t xml:space="preserve">e en conséquence.  </w:t>
      </w:r>
    </w:p>
    <w:p w:rsidR="00D9323F" w:rsidRDefault="00F47CDD">
      <w:pPr>
        <w:spacing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L’un des objectifs majeurs de la mise en œuvre du droit de la concurrence dans le secteur pharmaceutique et les services de santé est d’arriver à garantir l’accès à des soins de santé et à des médicaments innovants et de qualité à des p</w:t>
      </w:r>
      <w:r>
        <w:rPr>
          <w:rFonts w:ascii="Times New Roman" w:hAnsi="Times New Roman"/>
          <w:noProof/>
          <w:sz w:val="24"/>
          <w:szCs w:val="24"/>
          <w:lang w:val="fr-BE"/>
        </w:rPr>
        <w:t>rix compétitifs. L’innovation peut multiplier les bienfaits au regard des soins de santé qui découlent de la recherche et du développement et donner lieu à de nouveaux traitements et à des technologies plus efficaces susceptibles de réduire le coût des tra</w:t>
      </w:r>
      <w:r>
        <w:rPr>
          <w:rFonts w:ascii="Times New Roman" w:hAnsi="Times New Roman"/>
          <w:noProof/>
          <w:sz w:val="24"/>
          <w:szCs w:val="24"/>
          <w:lang w:val="fr-BE"/>
        </w:rPr>
        <w:t>itements, par exemple grâce au développement de processus de production qui rendent viable la production commerciale de médicaments moins chers. La mise en œuvre du droit de la concurrence peut compléter le cadre réglementaire qui existe dans ce secteur.</w:t>
      </w:r>
    </w:p>
    <w:p w:rsidR="00D9323F" w:rsidRDefault="00F47CDD">
      <w:pPr>
        <w:widowControl w:val="0"/>
        <w:tabs>
          <w:tab w:val="num" w:pos="360"/>
        </w:tabs>
        <w:spacing w:line="240" w:lineRule="auto"/>
        <w:jc w:val="both"/>
        <w:rPr>
          <w:rFonts w:ascii="Times New Roman" w:hAnsi="Times New Roman"/>
          <w:b/>
          <w:noProof/>
          <w:sz w:val="24"/>
          <w:szCs w:val="24"/>
          <w:lang w:val="fr-BE"/>
        </w:rPr>
      </w:pPr>
      <w:r>
        <w:rPr>
          <w:rFonts w:ascii="Times New Roman" w:hAnsi="Times New Roman"/>
          <w:noProof/>
          <w:sz w:val="24"/>
          <w:szCs w:val="24"/>
          <w:lang w:val="fr-BE"/>
        </w:rPr>
        <w:t>L</w:t>
      </w:r>
      <w:r>
        <w:rPr>
          <w:rFonts w:ascii="Times New Roman" w:hAnsi="Times New Roman"/>
          <w:noProof/>
          <w:sz w:val="24"/>
          <w:szCs w:val="24"/>
          <w:lang w:val="fr-BE"/>
        </w:rPr>
        <w:t>a mise en œuvre du droit de la concurrence par la Commission sur les marchés pharmaceutiques et de la santé favorise à la fois une concurrence dynamique, qui donne lieu à des médicaments plus innovants, et une concurrence effective par les prix, qui contri</w:t>
      </w:r>
      <w:r>
        <w:rPr>
          <w:rFonts w:ascii="Times New Roman" w:hAnsi="Times New Roman"/>
          <w:noProof/>
          <w:sz w:val="24"/>
          <w:szCs w:val="24"/>
          <w:lang w:val="fr-BE"/>
        </w:rPr>
        <w:t xml:space="preserve">bue à rendre les médicaments et les traitements plus abordables. </w:t>
      </w:r>
    </w:p>
    <w:p w:rsidR="00D9323F" w:rsidRDefault="00F47CDD">
      <w:pPr>
        <w:widowControl w:val="0"/>
        <w:tabs>
          <w:tab w:val="num" w:pos="360"/>
        </w:tabs>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 xml:space="preserve">Contribution de la politique de concurrence de l’UE à la résolution des problèmes </w:t>
      </w:r>
    </w:p>
    <w:p w:rsidR="00D9323F" w:rsidRDefault="00F47CDD">
      <w:pPr>
        <w:widowControl w:val="0"/>
        <w:tabs>
          <w:tab w:val="num" w:pos="360"/>
        </w:tabs>
        <w:spacing w:line="240" w:lineRule="auto"/>
        <w:jc w:val="both"/>
        <w:rPr>
          <w:rFonts w:ascii="Times New Roman" w:hAnsi="Times New Roman"/>
          <w:i/>
          <w:noProof/>
          <w:sz w:val="24"/>
          <w:szCs w:val="24"/>
          <w:lang w:val="fr-BE"/>
        </w:rPr>
      </w:pPr>
      <w:r>
        <w:rPr>
          <w:rFonts w:ascii="Times New Roman" w:hAnsi="Times New Roman"/>
          <w:i/>
          <w:noProof/>
          <w:sz w:val="24"/>
          <w:szCs w:val="24"/>
          <w:lang w:val="fr-BE"/>
        </w:rPr>
        <w:t>Application des règles relatives aux pratiques anticoncurrentielles dans le secteur pharmaceutique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La Commi</w:t>
      </w:r>
      <w:r>
        <w:rPr>
          <w:rFonts w:ascii="Times New Roman" w:hAnsi="Times New Roman"/>
          <w:noProof/>
          <w:sz w:val="24"/>
          <w:szCs w:val="24"/>
          <w:lang w:val="fr-BE"/>
        </w:rPr>
        <w:t>ssion contrôle et suit activement les marchés afin de détecter divers problèmes de concurrence concernant les produits pharmaceutiques. En 2018, elle a engagé des procédures dans deux affaires dans lesquelles elle enquête sur des entreprises soupçonnées d’</w:t>
      </w:r>
      <w:r>
        <w:rPr>
          <w:rFonts w:ascii="Times New Roman" w:hAnsi="Times New Roman"/>
          <w:noProof/>
          <w:sz w:val="24"/>
          <w:szCs w:val="24"/>
          <w:lang w:val="fr-BE"/>
        </w:rPr>
        <w:t xml:space="preserve">empêcher ou de réduire l’accès des consommateurs à des médicaments efficaces, innovants et abordables.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La première affaire concerne la procédure formelle en matière d’ententes et de positions dominantes à l’encontre d’</w:t>
      </w:r>
      <w:r>
        <w:rPr>
          <w:rFonts w:ascii="Times New Roman" w:hAnsi="Times New Roman"/>
          <w:i/>
          <w:noProof/>
          <w:sz w:val="24"/>
          <w:szCs w:val="24"/>
          <w:lang w:val="fr-BE"/>
        </w:rPr>
        <w:t>Aspen Pharma</w:t>
      </w:r>
      <w:r>
        <w:rPr>
          <w:rFonts w:ascii="Times New Roman" w:hAnsi="Times New Roman"/>
          <w:noProof/>
          <w:sz w:val="24"/>
          <w:szCs w:val="24"/>
          <w:vertAlign w:val="superscript"/>
        </w:rPr>
        <w:footnoteReference w:id="305"/>
      </w:r>
      <w:r>
        <w:rPr>
          <w:rFonts w:ascii="Times New Roman" w:hAnsi="Times New Roman"/>
          <w:noProof/>
          <w:sz w:val="24"/>
          <w:szCs w:val="24"/>
          <w:lang w:val="fr-BE"/>
        </w:rPr>
        <w:t>, soupçonnée d’abus de p</w:t>
      </w:r>
      <w:r>
        <w:rPr>
          <w:rFonts w:ascii="Times New Roman" w:hAnsi="Times New Roman"/>
          <w:noProof/>
          <w:sz w:val="24"/>
          <w:szCs w:val="24"/>
          <w:lang w:val="fr-BE"/>
        </w:rPr>
        <w:t>osition dominante en violation de l’article 102 du TFUE. La Commission enquête sur des allégations selon lesquelles Aspen aurait pu imposer des prix déloyaux et excessifs pour une série de médicaments contre le cancer dans tous les pays de l’EEE, à l’excep</w:t>
      </w:r>
      <w:r>
        <w:rPr>
          <w:rFonts w:ascii="Times New Roman" w:hAnsi="Times New Roman"/>
          <w:noProof/>
          <w:sz w:val="24"/>
          <w:szCs w:val="24"/>
          <w:lang w:val="fr-BE"/>
        </w:rPr>
        <w:t>tion de l’Italie</w:t>
      </w:r>
      <w:r>
        <w:rPr>
          <w:rFonts w:ascii="Times New Roman" w:hAnsi="Times New Roman"/>
          <w:noProof/>
          <w:sz w:val="24"/>
          <w:szCs w:val="24"/>
          <w:vertAlign w:val="superscript"/>
        </w:rPr>
        <w:footnoteReference w:id="306"/>
      </w:r>
      <w:r>
        <w:rPr>
          <w:rFonts w:ascii="Times New Roman" w:hAnsi="Times New Roman"/>
          <w:noProof/>
          <w:sz w:val="24"/>
          <w:szCs w:val="24"/>
          <w:lang w:val="fr-BE"/>
        </w:rPr>
        <w:t>.</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seconde affaire concerne l’enquête de la Commission sur les pratiques dites «pay-for-delay» (report contre rémunération) pour la mise sur le marché de la version générique du </w:t>
      </w:r>
      <w:r>
        <w:rPr>
          <w:rFonts w:ascii="Times New Roman" w:hAnsi="Times New Roman"/>
          <w:i/>
          <w:noProof/>
          <w:sz w:val="24"/>
          <w:szCs w:val="24"/>
          <w:lang w:val="fr-BE"/>
        </w:rPr>
        <w:t>modafinil</w:t>
      </w:r>
      <w:r>
        <w:rPr>
          <w:rFonts w:ascii="Times New Roman" w:hAnsi="Times New Roman"/>
          <w:noProof/>
          <w:sz w:val="24"/>
          <w:szCs w:val="24"/>
          <w:lang w:val="fr-BE"/>
        </w:rPr>
        <w:t xml:space="preserve"> (médicament contre les troubles du sommeil). Une </w:t>
      </w:r>
      <w:r>
        <w:rPr>
          <w:rFonts w:ascii="Times New Roman" w:hAnsi="Times New Roman"/>
          <w:noProof/>
          <w:sz w:val="24"/>
          <w:szCs w:val="24"/>
          <w:lang w:val="fr-BE"/>
        </w:rPr>
        <w:t xml:space="preserve">communication des griefs a été envoyée à </w:t>
      </w:r>
      <w:r>
        <w:rPr>
          <w:rFonts w:ascii="Times New Roman" w:hAnsi="Times New Roman"/>
          <w:i/>
          <w:noProof/>
          <w:sz w:val="24"/>
          <w:szCs w:val="24"/>
          <w:lang w:val="fr-BE"/>
        </w:rPr>
        <w:t>Teva</w:t>
      </w:r>
      <w:r>
        <w:rPr>
          <w:rFonts w:ascii="Times New Roman" w:hAnsi="Times New Roman"/>
          <w:noProof/>
          <w:sz w:val="24"/>
          <w:szCs w:val="24"/>
          <w:lang w:val="fr-BE"/>
        </w:rPr>
        <w:t xml:space="preserve"> concernant un accord conclu avec Cephalon, aux termes duquel Teva s’engageait à ne pas vendre ses produits génériques à base de modafinil dans l’EEE</w:t>
      </w:r>
      <w:r>
        <w:rPr>
          <w:rFonts w:ascii="Times New Roman" w:hAnsi="Times New Roman"/>
          <w:noProof/>
          <w:sz w:val="24"/>
          <w:szCs w:val="24"/>
          <w:vertAlign w:val="superscript"/>
        </w:rPr>
        <w:footnoteReference w:id="307"/>
      </w:r>
      <w:r>
        <w:rPr>
          <w:rFonts w:ascii="Times New Roman" w:hAnsi="Times New Roman"/>
          <w:noProof/>
          <w:sz w:val="24"/>
          <w:szCs w:val="24"/>
          <w:lang w:val="fr-BE"/>
        </w:rPr>
        <w:t>. La Commission devrait conclure son enquête en 2019.</w:t>
      </w:r>
    </w:p>
    <w:p w:rsidR="00D9323F" w:rsidRDefault="00F47CDD">
      <w:pPr>
        <w:widowControl w:val="0"/>
        <w:tabs>
          <w:tab w:val="num" w:pos="360"/>
        </w:tabs>
        <w:spacing w:line="240" w:lineRule="auto"/>
        <w:jc w:val="both"/>
        <w:rPr>
          <w:rFonts w:ascii="Times New Roman" w:hAnsi="Times New Roman"/>
          <w:i/>
          <w:iCs/>
          <w:noProof/>
          <w:color w:val="000000"/>
          <w:sz w:val="24"/>
          <w:szCs w:val="24"/>
          <w:lang w:val="fr-BE"/>
        </w:rPr>
      </w:pPr>
      <w:r>
        <w:rPr>
          <w:rFonts w:ascii="Times New Roman" w:hAnsi="Times New Roman"/>
          <w:i/>
          <w:noProof/>
          <w:color w:val="000000"/>
          <w:sz w:val="24"/>
          <w:szCs w:val="24"/>
          <w:lang w:val="fr-BE"/>
        </w:rPr>
        <w:t>Contrôle des concentrations dans le secteur pharmaceutique</w:t>
      </w:r>
    </w:p>
    <w:p w:rsidR="00D9323F" w:rsidRDefault="00F47CDD">
      <w:pPr>
        <w:widowControl w:val="0"/>
        <w:autoSpaceDE w:val="0"/>
        <w:autoSpaceDN w:val="0"/>
        <w:adjustRightInd w:val="0"/>
        <w:spacing w:line="240" w:lineRule="auto"/>
        <w:jc w:val="both"/>
        <w:rPr>
          <w:rFonts w:ascii="Times New Roman" w:hAnsi="Times New Roman"/>
          <w:bCs/>
          <w:i/>
          <w:noProof/>
          <w:sz w:val="24"/>
          <w:szCs w:val="24"/>
          <w:lang w:val="fr-BE"/>
        </w:rPr>
      </w:pPr>
      <w:r>
        <w:rPr>
          <w:rFonts w:ascii="Times New Roman" w:hAnsi="Times New Roman"/>
          <w:noProof/>
          <w:color w:val="000000"/>
          <w:sz w:val="24"/>
          <w:szCs w:val="24"/>
          <w:lang w:val="fr-BE"/>
        </w:rPr>
        <w:t>La Commission a poursuivi son contrôle attentif des concentrations dans le secteur pharmaceutique, afin de garantir la disponibilité de médicaments abordables pour les patients de toute l’Europe et</w:t>
      </w:r>
      <w:r>
        <w:rPr>
          <w:rFonts w:ascii="Times New Roman" w:hAnsi="Times New Roman"/>
          <w:noProof/>
          <w:color w:val="000000"/>
          <w:sz w:val="24"/>
          <w:szCs w:val="24"/>
          <w:lang w:val="fr-BE"/>
        </w:rPr>
        <w:t xml:space="preserve"> de protéger l’innovation et le choix pour les consommateurs. Le 20 novembre 2018, elle a autorisé l’acquisition de </w:t>
      </w:r>
      <w:r>
        <w:rPr>
          <w:rFonts w:ascii="Times New Roman" w:hAnsi="Times New Roman"/>
          <w:i/>
          <w:noProof/>
          <w:color w:val="000000"/>
          <w:sz w:val="24"/>
          <w:szCs w:val="24"/>
          <w:lang w:val="fr-BE"/>
        </w:rPr>
        <w:t>Shire</w:t>
      </w:r>
      <w:r>
        <w:rPr>
          <w:rFonts w:ascii="Times New Roman" w:hAnsi="Times New Roman"/>
          <w:noProof/>
          <w:color w:val="000000"/>
          <w:sz w:val="24"/>
          <w:szCs w:val="24"/>
          <w:lang w:val="fr-BE"/>
        </w:rPr>
        <w:t xml:space="preserve"> par </w:t>
      </w:r>
      <w:r>
        <w:rPr>
          <w:rFonts w:ascii="Times New Roman" w:hAnsi="Times New Roman"/>
          <w:i/>
          <w:noProof/>
          <w:color w:val="000000"/>
          <w:sz w:val="24"/>
          <w:szCs w:val="24"/>
          <w:lang w:val="fr-BE"/>
        </w:rPr>
        <w:t>Takeda Pharmaceutical Company</w:t>
      </w:r>
      <w:r>
        <w:rPr>
          <w:rFonts w:ascii="Times New Roman" w:hAnsi="Times New Roman"/>
          <w:noProof/>
          <w:sz w:val="24"/>
          <w:szCs w:val="24"/>
          <w:vertAlign w:val="superscript"/>
        </w:rPr>
        <w:footnoteReference w:id="308"/>
      </w:r>
      <w:r>
        <w:rPr>
          <w:rFonts w:ascii="Times New Roman" w:hAnsi="Times New Roman"/>
          <w:noProof/>
          <w:color w:val="000000"/>
          <w:sz w:val="24"/>
          <w:szCs w:val="24"/>
          <w:lang w:val="fr-BE"/>
        </w:rPr>
        <w:t>, la subordonnant à la cession d’un produit de traitement biologique actuellement développé par Shir</w:t>
      </w:r>
      <w:r>
        <w:rPr>
          <w:rFonts w:ascii="Times New Roman" w:hAnsi="Times New Roman"/>
          <w:noProof/>
          <w:color w:val="000000"/>
          <w:sz w:val="24"/>
          <w:szCs w:val="24"/>
          <w:lang w:val="fr-BE"/>
        </w:rPr>
        <w:t>e pour traiter la maladie inflammatoire de l’intestin. La Commission avait recensé le risque que Takeda ne poursuive probablement pas le développement du nouveau médicament de Shire, causant une grave perte d’innovation sur un marché où les patients ne dis</w:t>
      </w:r>
      <w:r>
        <w:rPr>
          <w:rFonts w:ascii="Times New Roman" w:hAnsi="Times New Roman"/>
          <w:noProof/>
          <w:color w:val="000000"/>
          <w:sz w:val="24"/>
          <w:szCs w:val="24"/>
          <w:lang w:val="fr-BE"/>
        </w:rPr>
        <w:t xml:space="preserve">posent pas actuellement de possibilités de traitement en nombre suffisant. </w:t>
      </w:r>
      <w:r>
        <w:rPr>
          <w:rFonts w:ascii="Times New Roman" w:hAnsi="Times New Roman"/>
          <w:i/>
          <w:noProof/>
          <w:color w:val="000000"/>
          <w:sz w:val="24"/>
          <w:szCs w:val="24"/>
          <w:lang w:val="fr-BE"/>
        </w:rPr>
        <w:t xml:space="preserve"> </w:t>
      </w:r>
    </w:p>
    <w:p w:rsidR="00D9323F" w:rsidRDefault="00F47CDD">
      <w:pPr>
        <w:widowControl w:val="0"/>
        <w:autoSpaceDE w:val="0"/>
        <w:autoSpaceDN w:val="0"/>
        <w:adjustRightInd w:val="0"/>
        <w:spacing w:line="240" w:lineRule="auto"/>
        <w:rPr>
          <w:rFonts w:ascii="Times New Roman" w:hAnsi="Times New Roman"/>
          <w:bCs/>
          <w:i/>
          <w:noProof/>
          <w:sz w:val="24"/>
          <w:szCs w:val="24"/>
          <w:lang w:val="fr-BE"/>
        </w:rPr>
      </w:pPr>
      <w:r>
        <w:rPr>
          <w:rFonts w:ascii="Times New Roman" w:hAnsi="Times New Roman"/>
          <w:i/>
          <w:noProof/>
          <w:sz w:val="24"/>
          <w:szCs w:val="24"/>
          <w:lang w:val="fr-BE"/>
        </w:rPr>
        <w:t>Actions en matière d’aides d’État dans le secteur des services de santé</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La Commission n’a adopté aucune décision en matière d’aides d’État dans le domaine des services de soins de</w:t>
      </w:r>
      <w:r>
        <w:rPr>
          <w:rFonts w:ascii="Times New Roman" w:hAnsi="Times New Roman"/>
          <w:noProof/>
          <w:sz w:val="24"/>
          <w:szCs w:val="24"/>
          <w:lang w:val="fr-BE"/>
        </w:rPr>
        <w:t xml:space="preserve"> santé en 2018. Cependant, en février 2018, le Tribunal de l’Union européenne a annulé une décision de la Commission de 2014 concernant des mesures de financement de sociétés d’assurance maladie publique en </w:t>
      </w:r>
      <w:r>
        <w:rPr>
          <w:rFonts w:ascii="Times New Roman" w:hAnsi="Times New Roman"/>
          <w:i/>
          <w:noProof/>
          <w:sz w:val="24"/>
          <w:szCs w:val="24"/>
          <w:lang w:val="fr-BE"/>
        </w:rPr>
        <w:t>Slovaquie</w:t>
      </w:r>
      <w:r>
        <w:rPr>
          <w:rFonts w:ascii="Times New Roman" w:hAnsi="Times New Roman"/>
          <w:noProof/>
          <w:sz w:val="24"/>
          <w:szCs w:val="24"/>
          <w:vertAlign w:val="superscript"/>
        </w:rPr>
        <w:footnoteReference w:id="309"/>
      </w:r>
      <w:r>
        <w:rPr>
          <w:rFonts w:ascii="Times New Roman" w:hAnsi="Times New Roman"/>
          <w:noProof/>
          <w:sz w:val="24"/>
          <w:szCs w:val="24"/>
          <w:lang w:val="fr-BE"/>
        </w:rPr>
        <w:t>.</w:t>
      </w:r>
      <w:r>
        <w:rPr>
          <w:rFonts w:ascii="Times New Roman" w:hAnsi="Times New Roman"/>
          <w:noProof/>
          <w:sz w:val="24"/>
          <w:szCs w:val="24"/>
          <w:vertAlign w:val="superscript"/>
          <w:lang w:val="fr-BE"/>
        </w:rPr>
        <w:t xml:space="preserve"> </w:t>
      </w:r>
      <w:r>
        <w:rPr>
          <w:rFonts w:ascii="Times New Roman" w:hAnsi="Times New Roman"/>
          <w:noProof/>
          <w:sz w:val="24"/>
          <w:szCs w:val="24"/>
          <w:lang w:val="fr-BE"/>
        </w:rPr>
        <w:t xml:space="preserve">Bien que le Tribunal ait confirmé la </w:t>
      </w:r>
      <w:r>
        <w:rPr>
          <w:rFonts w:ascii="Times New Roman" w:hAnsi="Times New Roman"/>
          <w:noProof/>
          <w:sz w:val="24"/>
          <w:szCs w:val="24"/>
          <w:lang w:val="fr-BE"/>
        </w:rPr>
        <w:t>conclusion de la Commission selon laquelle le système slovaque d’assurance maladie obligatoire présentait des caractéristiques sociales, solidaires et réglementaires dominantes, il a néanmoins rejeté la conclusion de la Commission selon laquelle les sociét</w:t>
      </w:r>
      <w:r>
        <w:rPr>
          <w:rFonts w:ascii="Times New Roman" w:hAnsi="Times New Roman"/>
          <w:noProof/>
          <w:sz w:val="24"/>
          <w:szCs w:val="24"/>
          <w:lang w:val="fr-BE"/>
        </w:rPr>
        <w:t>és d’assurance en cause ne constituaient pas des entreprises au sens de l’article 107, paragraphe 1, du TFUE, au motif que leurs activités n’étaient pas à caractère économique. La Commission a formé un pourvoi contre cet arrêt devant la Cour de justice (af</w:t>
      </w:r>
      <w:r>
        <w:rPr>
          <w:rFonts w:ascii="Times New Roman" w:hAnsi="Times New Roman"/>
          <w:noProof/>
          <w:sz w:val="24"/>
          <w:szCs w:val="24"/>
          <w:lang w:val="fr-BE"/>
        </w:rPr>
        <w:t xml:space="preserve">faire pendante C-262/18 P). </w:t>
      </w:r>
    </w:p>
    <w:p w:rsidR="00D9323F" w:rsidRDefault="00D9323F">
      <w:pPr>
        <w:spacing w:line="240" w:lineRule="auto"/>
        <w:jc w:val="both"/>
        <w:rPr>
          <w:rFonts w:ascii="Times New Roman" w:hAnsi="Times New Roman"/>
          <w:bCs/>
          <w:noProof/>
          <w:sz w:val="24"/>
          <w:szCs w:val="19"/>
          <w:lang w:val="fr-BE" w:eastAsia="en-GB"/>
        </w:rPr>
      </w:pPr>
    </w:p>
    <w:p w:rsidR="00D9323F" w:rsidRDefault="00F47CDD">
      <w:pPr>
        <w:widowControl w:val="0"/>
        <w:tabs>
          <w:tab w:val="left" w:pos="850"/>
        </w:tabs>
        <w:spacing w:line="240" w:lineRule="auto"/>
        <w:ind w:left="851" w:hanging="851"/>
        <w:jc w:val="both"/>
        <w:outlineLvl w:val="0"/>
        <w:rPr>
          <w:rFonts w:ascii="Times New Roman" w:eastAsia="Times New Roman" w:hAnsi="Times New Roman"/>
          <w:b/>
          <w:smallCaps/>
          <w:noProof/>
          <w:sz w:val="24"/>
          <w:szCs w:val="24"/>
          <w:lang w:val="fr-BE"/>
        </w:rPr>
      </w:pPr>
      <w:r>
        <w:rPr>
          <w:rFonts w:ascii="Times New Roman" w:eastAsia="Times New Roman" w:hAnsi="Times New Roman"/>
          <w:b/>
          <w:smallCaps/>
          <w:noProof/>
          <w:sz w:val="24"/>
          <w:szCs w:val="24"/>
          <w:lang w:val="fr-BE"/>
        </w:rPr>
        <w:tab/>
      </w:r>
      <w:bookmarkStart w:id="49" w:name="_Toc8831322"/>
      <w:bookmarkStart w:id="50" w:name="_Toc19019209"/>
      <w:r>
        <w:rPr>
          <w:rFonts w:ascii="Times New Roman" w:hAnsi="Times New Roman"/>
          <w:b/>
          <w:smallCaps/>
          <w:noProof/>
          <w:sz w:val="24"/>
          <w:lang w:val="fr-BE"/>
        </w:rPr>
        <w:t>8. Transports et services postaux</w:t>
      </w:r>
      <w:bookmarkEnd w:id="49"/>
      <w:bookmarkEnd w:id="50"/>
    </w:p>
    <w:p w:rsidR="00D9323F" w:rsidRDefault="00F47CDD">
      <w:pPr>
        <w:widowControl w:val="0"/>
        <w:autoSpaceDE w:val="0"/>
        <w:autoSpaceDN w:val="0"/>
        <w:adjustRightInd w:val="0"/>
        <w:spacing w:line="240" w:lineRule="auto"/>
        <w:jc w:val="both"/>
        <w:rPr>
          <w:rFonts w:ascii="Times New Roman" w:hAnsi="Times New Roman"/>
          <w:b/>
          <w:bCs/>
          <w:noProof/>
          <w:color w:val="000000"/>
          <w:sz w:val="24"/>
          <w:szCs w:val="24"/>
          <w:lang w:val="fr-BE"/>
        </w:rPr>
      </w:pPr>
      <w:r>
        <w:rPr>
          <w:rFonts w:ascii="Times New Roman" w:hAnsi="Times New Roman"/>
          <w:b/>
          <w:noProof/>
          <w:color w:val="000000"/>
          <w:sz w:val="24"/>
          <w:lang w:val="fr-BE"/>
        </w:rPr>
        <w:t>Aperçu des principaux problèmes auxquels le secteur est confronté</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Les secteurs des transports et des services postaux représentent environ 5 % de l’économie de l’Union européenne</w:t>
      </w:r>
      <w:r>
        <w:rPr>
          <w:rFonts w:ascii="Times New Roman" w:hAnsi="Times New Roman"/>
          <w:noProof/>
          <w:position w:val="6"/>
          <w:sz w:val="16"/>
        </w:rPr>
        <w:footnoteReference w:id="310"/>
      </w:r>
      <w:r>
        <w:rPr>
          <w:rFonts w:ascii="Times New Roman" w:hAnsi="Times New Roman"/>
          <w:noProof/>
          <w:sz w:val="24"/>
          <w:lang w:val="fr-BE"/>
        </w:rPr>
        <w:t xml:space="preserve">, et leurs </w:t>
      </w:r>
      <w:r>
        <w:rPr>
          <w:rFonts w:ascii="Times New Roman" w:hAnsi="Times New Roman"/>
          <w:noProof/>
          <w:sz w:val="24"/>
          <w:lang w:val="fr-BE"/>
        </w:rPr>
        <w:t>performances peuvent avoir de nombreuses retombées bénéfiques sur d’autres secteurs de l’économie européenne. Les transports sont la clé à la fois d’un marché intérieur intégré et d’une économie ouverte, intégrée à l’économie mondiale. Dans le secteur post</w:t>
      </w:r>
      <w:r>
        <w:rPr>
          <w:rFonts w:ascii="Times New Roman" w:hAnsi="Times New Roman"/>
          <w:noProof/>
          <w:sz w:val="24"/>
          <w:lang w:val="fr-BE"/>
        </w:rPr>
        <w:t>al, les services de livraison de colis sont assurés par des prestataires internationaux concurrents, tandis que les autres services sont principalement entre les mains d’opérateurs postaux nationaux qui, bien souvent, sont tributaires de compensations vers</w:t>
      </w:r>
      <w:r>
        <w:rPr>
          <w:rFonts w:ascii="Times New Roman" w:hAnsi="Times New Roman"/>
          <w:noProof/>
          <w:sz w:val="24"/>
          <w:lang w:val="fr-BE"/>
        </w:rPr>
        <w:t>ées par leurs autorités nationales</w:t>
      </w:r>
      <w:r>
        <w:rPr>
          <w:rFonts w:ascii="Times New Roman" w:hAnsi="Times New Roman"/>
          <w:noProof/>
          <w:sz w:val="24"/>
          <w:vertAlign w:val="superscript"/>
        </w:rPr>
        <w:footnoteReference w:id="311"/>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fait usage des instruments de concurrence à sa disposition pour préserver l’ouverture et la compétitivité des marchés des transports et des services postaux et faciliter l’arrivée de nouveaux a</w:t>
      </w:r>
      <w:r>
        <w:rPr>
          <w:rFonts w:ascii="Times New Roman" w:hAnsi="Times New Roman"/>
          <w:noProof/>
          <w:sz w:val="24"/>
          <w:lang w:val="fr-BE"/>
        </w:rPr>
        <w:t>cteurs. Elle a aussi continué de faciliter les aides d’État qui permettent l’interopérabilité entre les différents modes de transport et un transfert modal vers des modes de transport plus respectueux de l’environnement, et celles accordées pour moderniser</w:t>
      </w:r>
      <w:r>
        <w:rPr>
          <w:rFonts w:ascii="Times New Roman" w:hAnsi="Times New Roman"/>
          <w:noProof/>
          <w:sz w:val="24"/>
          <w:lang w:val="fr-BE"/>
        </w:rPr>
        <w:t xml:space="preserve"> les infrastructures. </w:t>
      </w:r>
    </w:p>
    <w:p w:rsidR="00D9323F" w:rsidRDefault="00F47CDD">
      <w:pPr>
        <w:widowControl w:val="0"/>
        <w:autoSpaceDE w:val="0"/>
        <w:autoSpaceDN w:val="0"/>
        <w:adjustRightInd w:val="0"/>
        <w:spacing w:line="240" w:lineRule="auto"/>
        <w:jc w:val="both"/>
        <w:rPr>
          <w:rFonts w:ascii="Times New Roman" w:hAnsi="Times New Roman"/>
          <w:b/>
          <w:bCs/>
          <w:noProof/>
          <w:color w:val="000000"/>
          <w:sz w:val="24"/>
          <w:szCs w:val="24"/>
          <w:lang w:val="fr-BE"/>
        </w:rPr>
      </w:pPr>
      <w:r>
        <w:rPr>
          <w:rFonts w:ascii="Times New Roman" w:hAnsi="Times New Roman"/>
          <w:b/>
          <w:noProof/>
          <w:color w:val="000000"/>
          <w:sz w:val="24"/>
          <w:lang w:val="fr-BE"/>
        </w:rPr>
        <w:t>Contribution de la politique de concurrence de l’Union européenne à la résolution des problèmes</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Contrôle des concentrations dans le secteur du transport aérien</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Le secteur du transport aérien reste très fragmenté. L’Union européenne compte plus de 150 compagnies aériennes proposant des services de transport aérien régulier de passagers. Les cinq plus grandes compagnies aériennes de l’Union [Lufthansa, Air France/K</w:t>
      </w:r>
      <w:r>
        <w:rPr>
          <w:rFonts w:ascii="Times New Roman" w:hAnsi="Times New Roman"/>
          <w:noProof/>
          <w:sz w:val="24"/>
          <w:lang w:val="fr-BE"/>
        </w:rPr>
        <w:t>LM, l’International Consolidated Airlines Group (l’«IAG» est la société mère d’Aer Lingus, de British Airways, d’Iberia et de Vueling), Ryanair et easyJet] représentent 50 % environ du marché de l’Union. Par comparaison, aux États-Unis, les trois groupes d</w:t>
      </w:r>
      <w:r>
        <w:rPr>
          <w:rFonts w:ascii="Times New Roman" w:hAnsi="Times New Roman"/>
          <w:noProof/>
          <w:sz w:val="24"/>
          <w:lang w:val="fr-BE"/>
        </w:rPr>
        <w:t>e transporteurs historiques American Airlines, Delta et United, ainsi que la compagnie à bas coût Southwest, contrôlent, ensemble, plus de 80 % du marché. La nécessité de poursuivre la consolidation a été renforcée par les difficultés financières rencontré</w:t>
      </w:r>
      <w:r>
        <w:rPr>
          <w:rFonts w:ascii="Times New Roman" w:hAnsi="Times New Roman"/>
          <w:noProof/>
          <w:sz w:val="24"/>
          <w:lang w:val="fr-BE"/>
        </w:rPr>
        <w:t xml:space="preserve">es par deux compagnies aériennes de taille moyenne, WOW et Flybe, qui étaient à la recherche d’un partenaire fort pour continuer leur développement.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Dans ce contexte, la Commission a contrôlé l’acquisition du contrôle exclusif de </w:t>
      </w:r>
      <w:r>
        <w:rPr>
          <w:rFonts w:ascii="Times New Roman" w:hAnsi="Times New Roman"/>
          <w:i/>
          <w:noProof/>
          <w:sz w:val="24"/>
          <w:lang w:val="fr-BE"/>
        </w:rPr>
        <w:t>LaudaMotion</w:t>
      </w:r>
      <w:r>
        <w:rPr>
          <w:rFonts w:ascii="Times New Roman" w:hAnsi="Times New Roman"/>
          <w:noProof/>
          <w:sz w:val="24"/>
          <w:lang w:val="fr-BE"/>
        </w:rPr>
        <w:t xml:space="preserve"> par le transp</w:t>
      </w:r>
      <w:r>
        <w:rPr>
          <w:rFonts w:ascii="Times New Roman" w:hAnsi="Times New Roman"/>
          <w:noProof/>
          <w:sz w:val="24"/>
          <w:lang w:val="fr-BE"/>
        </w:rPr>
        <w:t xml:space="preserve">orteur aérien </w:t>
      </w:r>
      <w:r>
        <w:rPr>
          <w:rFonts w:ascii="Times New Roman" w:hAnsi="Times New Roman"/>
          <w:i/>
          <w:noProof/>
          <w:sz w:val="24"/>
          <w:lang w:val="fr-BE"/>
        </w:rPr>
        <w:t>Ryanair</w:t>
      </w:r>
      <w:r>
        <w:rPr>
          <w:rFonts w:ascii="Times New Roman" w:hAnsi="Times New Roman"/>
          <w:noProof/>
          <w:sz w:val="24"/>
          <w:vertAlign w:val="superscript"/>
        </w:rPr>
        <w:footnoteReference w:id="312"/>
      </w:r>
      <w:r>
        <w:rPr>
          <w:rFonts w:ascii="Times New Roman" w:hAnsi="Times New Roman"/>
          <w:noProof/>
          <w:sz w:val="24"/>
          <w:lang w:val="fr-BE"/>
        </w:rPr>
        <w:t xml:space="preserve">. LaudaMotion est la société par laquelle M. Niki Lauda a repris, en janvier 2018, les actifs de NIKI, la compagnie aérienne de loisirs qu’il avait créée en 2003 et qui avait par la suite été intégrée à Air Berlin. Les actifs de NIKI </w:t>
      </w:r>
      <w:r>
        <w:rPr>
          <w:rFonts w:ascii="Times New Roman" w:hAnsi="Times New Roman"/>
          <w:noProof/>
          <w:sz w:val="24"/>
          <w:lang w:val="fr-BE"/>
        </w:rPr>
        <w:t>étaient à vendre parce qu’en décembre 2017, Lufthansa avait décidé de ne pas acquérir NIKI et que cette dernière avait immédiatement demandé l’ouverture d’une procédure d’insolvabilité. Pour ce qui est des deux concentrations impliquant des actifs d’Air Be</w:t>
      </w:r>
      <w:r>
        <w:rPr>
          <w:rFonts w:ascii="Times New Roman" w:hAnsi="Times New Roman"/>
          <w:noProof/>
          <w:sz w:val="24"/>
          <w:lang w:val="fr-BE"/>
        </w:rPr>
        <w:t>rlin que la Commission a contrôlées en 2017</w:t>
      </w:r>
      <w:r>
        <w:rPr>
          <w:rFonts w:ascii="Times New Roman" w:hAnsi="Times New Roman"/>
          <w:noProof/>
          <w:sz w:val="24"/>
          <w:vertAlign w:val="superscript"/>
        </w:rPr>
        <w:footnoteReference w:id="313"/>
      </w:r>
      <w:r>
        <w:rPr>
          <w:rFonts w:ascii="Times New Roman" w:hAnsi="Times New Roman"/>
          <w:noProof/>
          <w:sz w:val="24"/>
          <w:lang w:val="fr-BE"/>
        </w:rPr>
        <w:t>, cette dernière a enquêté sur les incidences de l’opération sous deux angles. D’une part, la Commission a évalué les effets de l’opération sur le marché pour le transport aérien de passagers, plus précisément su</w:t>
      </w:r>
      <w:r>
        <w:rPr>
          <w:rFonts w:ascii="Times New Roman" w:hAnsi="Times New Roman"/>
          <w:noProof/>
          <w:sz w:val="24"/>
          <w:lang w:val="fr-BE"/>
        </w:rPr>
        <w:t>r les liaisons au départ d’aéroports allemands, autrichiens et suisses vers des destinations de loisirs en Méditerranée et aux îles Canaries, pour lesquelles les activités de Ryanair et de LaudaMotion se chevauchent. D’autre part, la Commission a examiné s</w:t>
      </w:r>
      <w:r>
        <w:rPr>
          <w:rFonts w:ascii="Times New Roman" w:hAnsi="Times New Roman"/>
          <w:noProof/>
          <w:sz w:val="24"/>
          <w:lang w:val="fr-BE"/>
        </w:rPr>
        <w:t>i le portefeuille de créneaux aéroportuaires de LaudaMotion auprès de différents aéroports, qui doit être acquis par Ryanair, permettrait à Ryanair d’empêcher ses concurrents d’entrer dans ces aéroports ou d’y d’accroître leur présence. Le contrôle d’un va</w:t>
      </w:r>
      <w:r>
        <w:rPr>
          <w:rFonts w:ascii="Times New Roman" w:hAnsi="Times New Roman"/>
          <w:noProof/>
          <w:sz w:val="24"/>
          <w:lang w:val="fr-BE"/>
        </w:rPr>
        <w:t>ste portefeuille de créneaux horaires dans des aéroports saturés peut se traduire par des barrières à l’entrée plus élevées pour les compagnies aériennes qui souhaitent exercer des activités à destination et au départ de ces aéroports, ce qui pourrait ensu</w:t>
      </w:r>
      <w:r>
        <w:rPr>
          <w:rFonts w:ascii="Times New Roman" w:hAnsi="Times New Roman"/>
          <w:noProof/>
          <w:sz w:val="24"/>
          <w:lang w:val="fr-BE"/>
        </w:rPr>
        <w:t xml:space="preserve">ite entraîner des tarifs plus élevés pour les passagers. Étant donné qu’il n’existait aucun doute sérieux concernant le chevauchement des liaisons et les créneaux acquis, la Commission a autorisé le rachat sans condition.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dans le cadre </w:t>
      </w:r>
      <w:r>
        <w:rPr>
          <w:rFonts w:ascii="Times New Roman" w:hAnsi="Times New Roman"/>
          <w:noProof/>
          <w:sz w:val="24"/>
          <w:lang w:val="fr-BE"/>
        </w:rPr>
        <w:t>d’engagements conditionnant des décisions d’autorisation précédentes, plusieurs nouvelles demandes ont mis en évidence un intérêt accru pour les créneaux horaires mis à disposition au titre des engagements à l’égard de la Commission. En particulier, la Com</w:t>
      </w:r>
      <w:r>
        <w:rPr>
          <w:rFonts w:ascii="Times New Roman" w:hAnsi="Times New Roman"/>
          <w:noProof/>
          <w:sz w:val="24"/>
          <w:lang w:val="fr-BE"/>
        </w:rPr>
        <w:t>mission a reçu des demandes de créneaux horaires supplémentaires de la part de Flybe sur la liaison Londres Heathrow-Édimbourg</w:t>
      </w:r>
      <w:r>
        <w:rPr>
          <w:rFonts w:ascii="Times New Roman" w:hAnsi="Times New Roman"/>
          <w:noProof/>
          <w:sz w:val="24"/>
          <w:vertAlign w:val="superscript"/>
        </w:rPr>
        <w:footnoteReference w:id="314"/>
      </w:r>
      <w:r>
        <w:rPr>
          <w:rFonts w:ascii="Times New Roman" w:hAnsi="Times New Roman"/>
          <w:noProof/>
          <w:sz w:val="24"/>
          <w:lang w:val="fr-BE"/>
        </w:rPr>
        <w:t>, et de la part d’easyJet sur deux liaisons, à savoir Londres Gatwick-Belfast et Londres Gatwick-Dublin</w:t>
      </w:r>
      <w:r>
        <w:rPr>
          <w:rFonts w:ascii="Times New Roman" w:hAnsi="Times New Roman"/>
          <w:noProof/>
          <w:sz w:val="24"/>
          <w:vertAlign w:val="superscript"/>
        </w:rPr>
        <w:footnoteReference w:id="315"/>
      </w:r>
      <w:r>
        <w:rPr>
          <w:rFonts w:ascii="Times New Roman" w:hAnsi="Times New Roman"/>
          <w:noProof/>
          <w:sz w:val="24"/>
          <w:lang w:val="fr-BE"/>
        </w:rPr>
        <w:t>. Par ailleurs, Transavia</w:t>
      </w:r>
      <w:r>
        <w:rPr>
          <w:rFonts w:ascii="Times New Roman" w:hAnsi="Times New Roman"/>
          <w:noProof/>
          <w:sz w:val="24"/>
          <w:lang w:val="fr-BE"/>
        </w:rPr>
        <w:t xml:space="preserve"> a demandé des créneaux horaires supplémentaires à Ibiza pour la liaison Paris-Ibiza au titre des engagements pris par Iberia dans le cadre de la décision d’autorisation par la Commission de l’acquisition de Clickair et de Vueling par Iberia</w:t>
      </w:r>
      <w:r>
        <w:rPr>
          <w:rFonts w:ascii="Times New Roman" w:hAnsi="Times New Roman"/>
          <w:noProof/>
          <w:sz w:val="24"/>
          <w:vertAlign w:val="superscript"/>
        </w:rPr>
        <w:footnoteReference w:id="316"/>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Application</w:t>
      </w:r>
      <w:r>
        <w:rPr>
          <w:rFonts w:ascii="Times New Roman" w:hAnsi="Times New Roman"/>
          <w:i/>
          <w:noProof/>
          <w:sz w:val="24"/>
          <w:lang w:val="fr-BE"/>
        </w:rPr>
        <w:t xml:space="preserve"> des règles relatives aux pratiques anticoncurrentielles dans le secteur de l’aviation</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Le 23 novembre 2018, la Commission a ouvert des procédures d’application de l’article 101 du TFUE contre les fournisseurs de systèmes informatisés de réservation</w:t>
      </w:r>
      <w:r>
        <w:rPr>
          <w:rFonts w:ascii="Times New Roman" w:hAnsi="Times New Roman"/>
          <w:noProof/>
          <w:sz w:val="24"/>
          <w:vertAlign w:val="superscript"/>
        </w:rPr>
        <w:footnoteReference w:id="317"/>
      </w:r>
      <w:r>
        <w:rPr>
          <w:rFonts w:ascii="Times New Roman" w:hAnsi="Times New Roman"/>
          <w:noProof/>
          <w:sz w:val="24"/>
          <w:lang w:val="fr-BE"/>
        </w:rPr>
        <w:t xml:space="preserve"> Amadeu</w:t>
      </w:r>
      <w:r>
        <w:rPr>
          <w:rFonts w:ascii="Times New Roman" w:hAnsi="Times New Roman"/>
          <w:noProof/>
          <w:sz w:val="24"/>
          <w:lang w:val="fr-BE"/>
        </w:rPr>
        <w:t>s et Sabre. La Commission soupçonne que certaines clauses des accords conclus par Amadeus et Sabre avec des compagnies aériennes et des agents de voyage risquent de restreindre la concurrence pour la fourniture de services de distribution de billets, en li</w:t>
      </w:r>
      <w:r>
        <w:rPr>
          <w:rFonts w:ascii="Times New Roman" w:hAnsi="Times New Roman"/>
          <w:noProof/>
          <w:sz w:val="24"/>
          <w:lang w:val="fr-BE"/>
        </w:rPr>
        <w:t>mitant la capacité de ces compagnies aériennes et agents de voyage à recourir à d’autres fournisseurs de ces services.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30 octobre 2018, la Commission a décidé de clore son enquête en matière d’ententes sur un accord de partage de codes entre </w:t>
      </w:r>
      <w:r>
        <w:rPr>
          <w:rFonts w:ascii="Times New Roman" w:hAnsi="Times New Roman"/>
          <w:i/>
          <w:noProof/>
          <w:sz w:val="24"/>
          <w:lang w:val="fr-BE"/>
        </w:rPr>
        <w:t>Brussels Ai</w:t>
      </w:r>
      <w:r>
        <w:rPr>
          <w:rFonts w:ascii="Times New Roman" w:hAnsi="Times New Roman"/>
          <w:i/>
          <w:noProof/>
          <w:sz w:val="24"/>
          <w:lang w:val="fr-BE"/>
        </w:rPr>
        <w:t>rlines et TAP Air Portugal</w:t>
      </w:r>
      <w:r>
        <w:rPr>
          <w:rFonts w:ascii="Times New Roman" w:hAnsi="Times New Roman"/>
          <w:noProof/>
          <w:sz w:val="24"/>
          <w:lang w:val="fr-BE"/>
        </w:rPr>
        <w:t xml:space="preserve"> concernant la liaison Bruxelles-Lisbonne. Après avoir analysé de manière approfondie l’ensemble des éléments de preuve pertinents, y compris les réponses des parties à sa communication des griefs, la Commission a conclu qu’il n’e</w:t>
      </w:r>
      <w:r>
        <w:rPr>
          <w:rFonts w:ascii="Times New Roman" w:hAnsi="Times New Roman"/>
          <w:noProof/>
          <w:sz w:val="24"/>
          <w:lang w:val="fr-BE"/>
        </w:rPr>
        <w:t>xistait pas suffisamment de motifs permettant de confirmer ses craintes initiales.</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Début 2018, la Commission a reçu une demande de la compagnie aérienne </w:t>
      </w:r>
      <w:r>
        <w:rPr>
          <w:rFonts w:ascii="Times New Roman" w:hAnsi="Times New Roman"/>
          <w:i/>
          <w:noProof/>
          <w:sz w:val="24"/>
          <w:lang w:val="fr-BE"/>
        </w:rPr>
        <w:t>Norwegian</w:t>
      </w:r>
      <w:r>
        <w:rPr>
          <w:rFonts w:ascii="Times New Roman" w:hAnsi="Times New Roman"/>
          <w:noProof/>
          <w:sz w:val="24"/>
          <w:lang w:val="fr-BE"/>
        </w:rPr>
        <w:t xml:space="preserve"> pour des créneaux de décollage et d’atterrissage aux aéroports Amsterdam Schiphol et New York</w:t>
      </w:r>
      <w:r>
        <w:rPr>
          <w:rFonts w:ascii="Times New Roman" w:hAnsi="Times New Roman"/>
          <w:noProof/>
          <w:sz w:val="24"/>
          <w:lang w:val="fr-BE"/>
        </w:rPr>
        <w:t xml:space="preserve"> JFK, conformément à la décision de la Commission de 2015 concernant les engagements ayant trait à l’entreprise commune transatlantique Skyteam. La Commission a décidé que Norwegian remplissait les conditions pour l’octroi de créneaux, et les parties à l’e</w:t>
      </w:r>
      <w:r>
        <w:rPr>
          <w:rFonts w:ascii="Times New Roman" w:hAnsi="Times New Roman"/>
          <w:noProof/>
          <w:sz w:val="24"/>
          <w:lang w:val="fr-BE"/>
        </w:rPr>
        <w:t xml:space="preserve">ntreprise commune Skyteam ont donc libéré trois créneaux hebdomadaires dans ces deux aéroports, permettant à Norwegian d’assurer un service quotidien entre Amsterdam Schiphol et New York JFK.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Aides d’État aux aéroports et aux compagnies aériennes</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Le 10 dé</w:t>
      </w:r>
      <w:r>
        <w:rPr>
          <w:rFonts w:ascii="Times New Roman" w:hAnsi="Times New Roman"/>
          <w:noProof/>
          <w:color w:val="000000" w:themeColor="text1"/>
          <w:sz w:val="24"/>
          <w:lang w:val="fr-BE"/>
        </w:rPr>
        <w:t>cembre 2018, la Commission a adopté une communication prolongeant jusqu’en 2024 le régime spécifique applicable aux aides au fonctionnement en faveur des aéroports accueillant jusqu’à 700 000 passagers par an prévu dans les lignes directrices sur le secteu</w:t>
      </w:r>
      <w:r>
        <w:rPr>
          <w:rFonts w:ascii="Times New Roman" w:hAnsi="Times New Roman"/>
          <w:noProof/>
          <w:color w:val="000000" w:themeColor="text1"/>
          <w:sz w:val="24"/>
          <w:lang w:val="fr-BE"/>
        </w:rPr>
        <w:t>r de l’aviation adoptées en 2014. Cette prolongation procurera une sécurité juridique aux aéroports accueillant moins de 700 000 passagers par an et harmonisera la période concernant les aides au fonctionnement pour tous les aéroports</w:t>
      </w:r>
      <w:r>
        <w:rPr>
          <w:rFonts w:ascii="Times New Roman" w:hAnsi="Times New Roman"/>
          <w:noProof/>
          <w:color w:val="000000" w:themeColor="text1"/>
          <w:sz w:val="24"/>
          <w:vertAlign w:val="superscript"/>
        </w:rPr>
        <w:footnoteReference w:id="318"/>
      </w:r>
      <w:r>
        <w:rPr>
          <w:rFonts w:ascii="Times New Roman" w:hAnsi="Times New Roman"/>
          <w:noProof/>
          <w:color w:val="000000" w:themeColor="text1"/>
          <w:sz w:val="24"/>
          <w:lang w:val="fr-BE"/>
        </w:rPr>
        <w:t>.</w:t>
      </w:r>
      <w:r>
        <w:rPr>
          <w:rFonts w:ascii="Times New Roman" w:hAnsi="Times New Roman"/>
          <w:noProof/>
          <w:color w:val="000000" w:themeColor="text1"/>
          <w:sz w:val="24"/>
          <w:vertAlign w:val="superscript"/>
          <w:lang w:val="fr-BE"/>
        </w:rPr>
        <w:t xml:space="preserve"> </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En outre, la Commi</w:t>
      </w:r>
      <w:r>
        <w:rPr>
          <w:rFonts w:ascii="Times New Roman" w:hAnsi="Times New Roman"/>
          <w:noProof/>
          <w:color w:val="000000" w:themeColor="text1"/>
          <w:sz w:val="24"/>
          <w:lang w:val="fr-BE"/>
        </w:rPr>
        <w:t>ssion a continué d’appliquer les lignes directrices sur le secteur de l’aviation de 2014. En 2018, elle a adopté plusieurs décisions dans des affaires ayant trait à des aides au fonctionnement en faveur d’aéroports</w:t>
      </w:r>
      <w:r>
        <w:rPr>
          <w:rFonts w:ascii="Times New Roman" w:hAnsi="Times New Roman"/>
          <w:noProof/>
          <w:color w:val="000000" w:themeColor="text1"/>
          <w:sz w:val="24"/>
          <w:vertAlign w:val="superscript"/>
        </w:rPr>
        <w:footnoteReference w:id="319"/>
      </w:r>
      <w:r>
        <w:rPr>
          <w:rFonts w:ascii="Times New Roman" w:hAnsi="Times New Roman"/>
          <w:noProof/>
          <w:color w:val="000000" w:themeColor="text1"/>
          <w:sz w:val="24"/>
          <w:lang w:val="fr-BE"/>
        </w:rPr>
        <w:t xml:space="preserve"> ou au fonctionnement d’un aéroport en ta</w:t>
      </w:r>
      <w:r>
        <w:rPr>
          <w:rFonts w:ascii="Times New Roman" w:hAnsi="Times New Roman"/>
          <w:noProof/>
          <w:color w:val="000000" w:themeColor="text1"/>
          <w:sz w:val="24"/>
          <w:lang w:val="fr-BE"/>
        </w:rPr>
        <w:t>nt que service d’intérêt économique général</w:t>
      </w:r>
      <w:r>
        <w:rPr>
          <w:rFonts w:ascii="Times New Roman" w:hAnsi="Times New Roman"/>
          <w:noProof/>
          <w:color w:val="000000" w:themeColor="text1"/>
          <w:sz w:val="24"/>
          <w:vertAlign w:val="superscript"/>
        </w:rPr>
        <w:footnoteReference w:id="320"/>
      </w:r>
      <w:r>
        <w:rPr>
          <w:rFonts w:ascii="Times New Roman" w:hAnsi="Times New Roman"/>
          <w:noProof/>
          <w:color w:val="000000" w:themeColor="text1"/>
          <w:sz w:val="24"/>
          <w:lang w:val="fr-BE"/>
        </w:rPr>
        <w:t>. La Commission a aussi ouvert des procédures relatives à des accords de commercialisation à l’aéroport de Montpellier</w:t>
      </w:r>
      <w:r>
        <w:rPr>
          <w:rFonts w:ascii="Times New Roman" w:hAnsi="Times New Roman"/>
          <w:noProof/>
          <w:color w:val="000000" w:themeColor="text1"/>
          <w:sz w:val="24"/>
          <w:vertAlign w:val="superscript"/>
        </w:rPr>
        <w:footnoteReference w:id="321"/>
      </w:r>
      <w:r>
        <w:rPr>
          <w:rFonts w:ascii="Times New Roman" w:hAnsi="Times New Roman"/>
          <w:noProof/>
          <w:color w:val="000000" w:themeColor="text1"/>
          <w:sz w:val="24"/>
          <w:lang w:val="fr-BE"/>
        </w:rPr>
        <w:t xml:space="preserve"> et à des accords de commercialisation et une aide potentielle en faveur de l’aéroport à Fran</w:t>
      </w:r>
      <w:r>
        <w:rPr>
          <w:rFonts w:ascii="Times New Roman" w:hAnsi="Times New Roman"/>
          <w:noProof/>
          <w:color w:val="000000" w:themeColor="text1"/>
          <w:sz w:val="24"/>
          <w:lang w:val="fr-BE"/>
        </w:rPr>
        <w:t>cfort-Hahn</w:t>
      </w:r>
      <w:r>
        <w:rPr>
          <w:rFonts w:ascii="Times New Roman" w:hAnsi="Times New Roman"/>
          <w:noProof/>
          <w:color w:val="000000" w:themeColor="text1"/>
          <w:sz w:val="24"/>
          <w:vertAlign w:val="superscript"/>
        </w:rPr>
        <w:footnoteReference w:id="322"/>
      </w:r>
      <w:r>
        <w:rPr>
          <w:rFonts w:ascii="Times New Roman" w:hAnsi="Times New Roman"/>
          <w:noProof/>
          <w:color w:val="000000" w:themeColor="text1"/>
          <w:sz w:val="24"/>
          <w:lang w:val="fr-BE"/>
        </w:rPr>
        <w:t xml:space="preserve">. </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La Commission est intervenue à de nombreuses reprises pour aider les États membres à garantir que les investissements ou les changements de concessions qu’ils prévoient dans des aéroports publics sont conformes au marché. Ces interventions ex</w:t>
      </w:r>
      <w:r>
        <w:rPr>
          <w:rFonts w:ascii="Times New Roman" w:hAnsi="Times New Roman"/>
          <w:noProof/>
          <w:color w:val="000000" w:themeColor="text1"/>
          <w:sz w:val="24"/>
          <w:lang w:val="fr-BE"/>
        </w:rPr>
        <w:t>igent généralement des analyses commerciales et/ou juridiques approfondies, mais ne font pas nécessairement l’objet d’une décision de la Commission. Elles sont donc moins médiatisées que les affaires faisant l’objet d’une décision. Néanmoins, elles contrib</w:t>
      </w:r>
      <w:r>
        <w:rPr>
          <w:rFonts w:ascii="Times New Roman" w:hAnsi="Times New Roman"/>
          <w:noProof/>
          <w:color w:val="000000" w:themeColor="text1"/>
          <w:sz w:val="24"/>
          <w:lang w:val="fr-BE"/>
        </w:rPr>
        <w:t>uent substantiellement à la promotion des pratiques conformes au marché.</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Le 12 décembre 2018, la Commission a adopté une décision dans laquelle elle conclut que la prolongation de 20 ans de la concession pour l’</w:t>
      </w:r>
      <w:r>
        <w:rPr>
          <w:rFonts w:ascii="Times New Roman" w:hAnsi="Times New Roman"/>
          <w:i/>
          <w:noProof/>
          <w:color w:val="000000" w:themeColor="text1"/>
          <w:sz w:val="24"/>
          <w:lang w:val="fr-BE"/>
        </w:rPr>
        <w:t>aéroport international d’Athènes</w:t>
      </w:r>
      <w:r>
        <w:rPr>
          <w:rFonts w:ascii="Times New Roman" w:hAnsi="Times New Roman"/>
          <w:noProof/>
          <w:color w:val="000000" w:themeColor="text1"/>
          <w:sz w:val="24"/>
          <w:vertAlign w:val="superscript"/>
        </w:rPr>
        <w:footnoteReference w:id="323"/>
      </w:r>
      <w:r>
        <w:rPr>
          <w:rFonts w:ascii="Times New Roman" w:hAnsi="Times New Roman"/>
          <w:noProof/>
          <w:color w:val="000000" w:themeColor="text1"/>
          <w:sz w:val="24"/>
          <w:lang w:val="fr-BE"/>
        </w:rPr>
        <w:t xml:space="preserve"> ne constitue pas une aide d’État.</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 xml:space="preserve">En avril 2018, à la suite de plaintes, la Commission a aussi ouvert une procédure formelle d’examen sur un prêt-relais de 900 millions d’euros accordé par l’Italie à sa compagnie nationale </w:t>
      </w:r>
      <w:r>
        <w:rPr>
          <w:rFonts w:ascii="Times New Roman" w:hAnsi="Times New Roman"/>
          <w:i/>
          <w:noProof/>
          <w:color w:val="000000" w:themeColor="text1"/>
          <w:sz w:val="24"/>
          <w:lang w:val="fr-BE"/>
        </w:rPr>
        <w:t>Alitalia</w:t>
      </w:r>
      <w:r>
        <w:rPr>
          <w:rFonts w:ascii="Times New Roman" w:hAnsi="Times New Roman"/>
          <w:noProof/>
          <w:color w:val="000000" w:themeColor="text1"/>
          <w:sz w:val="24"/>
          <w:vertAlign w:val="superscript"/>
        </w:rPr>
        <w:footnoteReference w:id="324"/>
      </w:r>
      <w:r>
        <w:rPr>
          <w:rFonts w:ascii="Times New Roman" w:hAnsi="Times New Roman"/>
          <w:noProof/>
          <w:color w:val="000000" w:themeColor="text1"/>
          <w:sz w:val="24"/>
          <w:lang w:val="fr-BE"/>
        </w:rPr>
        <w:t>,qui rencontre des diff</w:t>
      </w:r>
      <w:r>
        <w:rPr>
          <w:rFonts w:ascii="Times New Roman" w:hAnsi="Times New Roman"/>
          <w:noProof/>
          <w:color w:val="000000" w:themeColor="text1"/>
          <w:sz w:val="24"/>
          <w:lang w:val="fr-BE"/>
        </w:rPr>
        <w:t>icultés financières depuis plusieurs années et cherche actuellement un investisseur. L’enquête vise à établir si le prêt a été accordé dans les conditions du marché ou s’il suppose une aide d’État au sens des règles de l’Union européenne. Dans ce dernier c</w:t>
      </w:r>
      <w:r>
        <w:rPr>
          <w:rFonts w:ascii="Times New Roman" w:hAnsi="Times New Roman"/>
          <w:noProof/>
          <w:color w:val="000000" w:themeColor="text1"/>
          <w:sz w:val="24"/>
          <w:lang w:val="fr-BE"/>
        </w:rPr>
        <w:t xml:space="preserve">as, le prêt doit être conforme aux règles de l’Union relatives au sauvetage et à la restructuration des entreprises en difficulté, afin de garantir que des entreprises inefficaces ne sont pas maintenues artificiellement grâce au maintien de l’aide d’État. </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 xml:space="preserve">Application des règles relatives aux pratiques anticoncurrentielles dans le secteur du transport maritime </w:t>
      </w:r>
    </w:p>
    <w:p w:rsidR="00D9323F" w:rsidRDefault="00F47CDD">
      <w:pPr>
        <w:widowControl w:val="0"/>
        <w:tabs>
          <w:tab w:val="num" w:pos="360"/>
        </w:tabs>
        <w:spacing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La Commission a commencé à réviser son règlement (CE) nº 906/2009 (ci-après le «règlement d’exemption par catégorie en faveur des consortiums»)</w:t>
      </w:r>
      <w:r>
        <w:rPr>
          <w:rFonts w:ascii="Times New Roman" w:hAnsi="Times New Roman"/>
          <w:noProof/>
          <w:sz w:val="24"/>
          <w:vertAlign w:val="superscript"/>
        </w:rPr>
        <w:footnoteReference w:id="325"/>
      </w:r>
      <w:r>
        <w:rPr>
          <w:rFonts w:ascii="Times New Roman" w:hAnsi="Times New Roman"/>
          <w:noProof/>
          <w:color w:val="000000" w:themeColor="text1"/>
          <w:sz w:val="24"/>
          <w:lang w:val="fr-BE"/>
        </w:rPr>
        <w:t xml:space="preserve"> en </w:t>
      </w:r>
      <w:r>
        <w:rPr>
          <w:rFonts w:ascii="Times New Roman" w:hAnsi="Times New Roman"/>
          <w:noProof/>
          <w:color w:val="000000" w:themeColor="text1"/>
          <w:sz w:val="24"/>
          <w:lang w:val="fr-BE"/>
        </w:rPr>
        <w:t>vue de décider de l’avenir de ce règlement compte tenu de son expiration réglementaire fixée au 25 avril 2020</w:t>
      </w:r>
      <w:r>
        <w:rPr>
          <w:rFonts w:ascii="Times New Roman" w:hAnsi="Times New Roman"/>
          <w:noProof/>
          <w:sz w:val="24"/>
          <w:vertAlign w:val="superscript"/>
        </w:rPr>
        <w:footnoteReference w:id="326"/>
      </w:r>
      <w:r>
        <w:rPr>
          <w:rFonts w:ascii="Times New Roman" w:hAnsi="Times New Roman"/>
          <w:noProof/>
          <w:color w:val="000000" w:themeColor="text1"/>
          <w:sz w:val="24"/>
          <w:lang w:val="fr-BE"/>
        </w:rPr>
        <w:t>. Le 7 mai 2018, la Commission a invité le public à formuler des commentaires sur la feuille de route de l’évaluation et, le 27 septembre 2018, el</w:t>
      </w:r>
      <w:r>
        <w:rPr>
          <w:rFonts w:ascii="Times New Roman" w:hAnsi="Times New Roman"/>
          <w:noProof/>
          <w:color w:val="000000" w:themeColor="text1"/>
          <w:sz w:val="24"/>
          <w:lang w:val="fr-BE"/>
        </w:rPr>
        <w:t>le a lancé une consultation publique de 12 semaines sur le règlement, invitant le public à répondre à un questionnaire ou à donner son avis d’une autre manière</w:t>
      </w:r>
      <w:r>
        <w:rPr>
          <w:rFonts w:ascii="Times New Roman" w:hAnsi="Times New Roman"/>
          <w:noProof/>
          <w:color w:val="000000" w:themeColor="text1"/>
          <w:sz w:val="24"/>
          <w:vertAlign w:val="superscript"/>
        </w:rPr>
        <w:footnoteReference w:id="327"/>
      </w:r>
      <w:r>
        <w:rPr>
          <w:rFonts w:ascii="Times New Roman" w:hAnsi="Times New Roman"/>
          <w:noProof/>
          <w:color w:val="000000" w:themeColor="text1"/>
          <w:sz w:val="24"/>
          <w:lang w:val="fr-BE"/>
        </w:rPr>
        <w:t>.</w:t>
      </w:r>
      <w:r>
        <w:rPr>
          <w:rFonts w:ascii="Times New Roman" w:hAnsi="Times New Roman"/>
          <w:noProof/>
          <w:color w:val="000000" w:themeColor="text1"/>
          <w:sz w:val="24"/>
          <w:vertAlign w:val="superscript"/>
          <w:lang w:val="fr-BE"/>
        </w:rPr>
        <w:t xml:space="preserve"> </w:t>
      </w:r>
      <w:r>
        <w:rPr>
          <w:rFonts w:ascii="Times New Roman" w:hAnsi="Times New Roman"/>
          <w:noProof/>
          <w:color w:val="000000" w:themeColor="text1"/>
          <w:sz w:val="24"/>
          <w:lang w:val="fr-BE"/>
        </w:rPr>
        <w:t>En outre, des questionnaires ciblés ont été envoyés à des groupes de parties prenantes importa</w:t>
      </w:r>
      <w:r>
        <w:rPr>
          <w:rFonts w:ascii="Times New Roman" w:hAnsi="Times New Roman"/>
          <w:noProof/>
          <w:color w:val="000000" w:themeColor="text1"/>
          <w:sz w:val="24"/>
          <w:lang w:val="fr-BE"/>
        </w:rPr>
        <w:t>ntes (compagnies maritimes, clients et ports) et les autorités de la concurrence des États membres ont été invitées à apporter leur contribution.</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Contrôle des concentrations dans le secteur du transport maritime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Le secteur du transport maritime mondial par</w:t>
      </w:r>
      <w:r>
        <w:rPr>
          <w:rFonts w:ascii="Times New Roman" w:hAnsi="Times New Roman"/>
          <w:noProof/>
          <w:sz w:val="24"/>
          <w:lang w:val="fr-BE"/>
        </w:rPr>
        <w:t xml:space="preserve"> conteneurs traverse une période de mutation, née de la nécessité de relever les défis auxquels il est confronté depuis quelques années. Ce secteur se caractérise par une surcapacité, fruit de l’expansion de plusieurs transporteurs et d’investissements réa</w:t>
      </w:r>
      <w:r>
        <w:rPr>
          <w:rFonts w:ascii="Times New Roman" w:hAnsi="Times New Roman"/>
          <w:noProof/>
          <w:sz w:val="24"/>
          <w:lang w:val="fr-BE"/>
        </w:rPr>
        <w:t>lisés dernièrement dans des navires de très grande taille, et par une lente reprise de la demande après la crise économique. Par ailleurs, dans le but d’améliorer leur efficience et de réduire leurs coûts d’exploitation, les compagnies de transport maritim</w:t>
      </w:r>
      <w:r>
        <w:rPr>
          <w:rFonts w:ascii="Times New Roman" w:hAnsi="Times New Roman"/>
          <w:noProof/>
          <w:sz w:val="24"/>
          <w:lang w:val="fr-BE"/>
        </w:rPr>
        <w:t>e par conteneurs ne fournissent pas leurs services uniquement de manière individuelle: elles ont mis en place des accords opérationnels, tels que des consortiums ou des alliances, avec d’autres compagnies, ce qui leur permet de combiner leurs navires et d’</w:t>
      </w:r>
      <w:r>
        <w:rPr>
          <w:rFonts w:ascii="Times New Roman" w:hAnsi="Times New Roman"/>
          <w:noProof/>
          <w:sz w:val="24"/>
          <w:lang w:val="fr-BE"/>
        </w:rPr>
        <w:t xml:space="preserve">offrir un service commun.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On observe une vague de consolidation, qui a débuté en 2014 avec la concentration de </w:t>
      </w:r>
      <w:r>
        <w:rPr>
          <w:rFonts w:ascii="Times New Roman" w:hAnsi="Times New Roman"/>
          <w:i/>
          <w:noProof/>
          <w:sz w:val="24"/>
          <w:lang w:val="fr-BE"/>
        </w:rPr>
        <w:t>Hapag-Lloyd et de CSAV</w:t>
      </w:r>
      <w:r>
        <w:rPr>
          <w:rFonts w:ascii="Times New Roman" w:hAnsi="Times New Roman"/>
          <w:noProof/>
          <w:sz w:val="24"/>
          <w:vertAlign w:val="superscript"/>
        </w:rPr>
        <w:footnoteReference w:id="328"/>
      </w:r>
      <w:r>
        <w:rPr>
          <w:rFonts w:ascii="Times New Roman" w:hAnsi="Times New Roman"/>
          <w:noProof/>
          <w:sz w:val="24"/>
          <w:lang w:val="fr-BE"/>
        </w:rPr>
        <w:t xml:space="preserve">, et s’est intensifiée en 2016 et en 2017. En 2018, la Commission a évalué l’acquisition du contrôle de </w:t>
      </w:r>
      <w:r>
        <w:rPr>
          <w:rFonts w:ascii="Times New Roman" w:hAnsi="Times New Roman"/>
          <w:i/>
          <w:noProof/>
          <w:sz w:val="24"/>
          <w:lang w:val="fr-BE"/>
        </w:rPr>
        <w:t>Container Finance</w:t>
      </w:r>
      <w:r>
        <w:rPr>
          <w:rFonts w:ascii="Times New Roman" w:hAnsi="Times New Roman"/>
          <w:i/>
          <w:noProof/>
          <w:sz w:val="24"/>
          <w:lang w:val="fr-BE"/>
        </w:rPr>
        <w:t xml:space="preserve"> Ltd Oy</w:t>
      </w:r>
      <w:r>
        <w:rPr>
          <w:rFonts w:ascii="Times New Roman" w:hAnsi="Times New Roman"/>
          <w:noProof/>
          <w:sz w:val="24"/>
          <w:lang w:val="fr-BE"/>
        </w:rPr>
        <w:t xml:space="preserve">, de Finlande, par le groupe français </w:t>
      </w:r>
      <w:r>
        <w:rPr>
          <w:rFonts w:ascii="Times New Roman" w:hAnsi="Times New Roman"/>
          <w:i/>
          <w:noProof/>
          <w:sz w:val="24"/>
          <w:lang w:val="fr-BE"/>
        </w:rPr>
        <w:t>CMA CGM</w:t>
      </w:r>
      <w:r>
        <w:rPr>
          <w:rFonts w:ascii="Times New Roman" w:hAnsi="Times New Roman"/>
          <w:noProof/>
          <w:sz w:val="24"/>
          <w:vertAlign w:val="superscript"/>
        </w:rPr>
        <w:footnoteReference w:id="329"/>
      </w:r>
      <w:r>
        <w:rPr>
          <w:rFonts w:ascii="Times New Roman" w:hAnsi="Times New Roman"/>
          <w:noProof/>
          <w:sz w:val="24"/>
          <w:lang w:val="fr-BE"/>
        </w:rPr>
        <w:t>. Tant CMA CGM que Container Finance fournissent des services de transport multimodal porte-à-porte intra-européen et, dans une moindre mesure, des services de terminaux de conteneurs et de transitaire d</w:t>
      </w:r>
      <w:r>
        <w:rPr>
          <w:rFonts w:ascii="Times New Roman" w:hAnsi="Times New Roman"/>
          <w:noProof/>
          <w:sz w:val="24"/>
          <w:lang w:val="fr-BE"/>
        </w:rPr>
        <w:t xml:space="preserve">e fret. Compte tenu de son impact structurel limité sur ces services au sein de l’EEE, la Commission a autorisé la concentration sans conditions.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Par ailleurs, la Commission a enquêté sur l’intégration verticale (inversée) d’</w:t>
      </w:r>
      <w:r>
        <w:rPr>
          <w:rFonts w:ascii="Times New Roman" w:hAnsi="Times New Roman"/>
          <w:i/>
          <w:noProof/>
          <w:sz w:val="24"/>
          <w:lang w:val="fr-BE"/>
        </w:rPr>
        <w:t>Unifeeder</w:t>
      </w:r>
      <w:r>
        <w:rPr>
          <w:rFonts w:ascii="Times New Roman" w:hAnsi="Times New Roman"/>
          <w:noProof/>
          <w:sz w:val="24"/>
          <w:lang w:val="fr-BE"/>
        </w:rPr>
        <w:t>, du Danemark, dans l</w:t>
      </w:r>
      <w:r>
        <w:rPr>
          <w:rFonts w:ascii="Times New Roman" w:hAnsi="Times New Roman"/>
          <w:noProof/>
          <w:sz w:val="24"/>
          <w:lang w:val="fr-BE"/>
        </w:rPr>
        <w:t xml:space="preserve">e </w:t>
      </w:r>
      <w:r>
        <w:rPr>
          <w:rFonts w:ascii="Times New Roman" w:hAnsi="Times New Roman"/>
          <w:i/>
          <w:noProof/>
          <w:sz w:val="24"/>
          <w:lang w:val="fr-BE"/>
        </w:rPr>
        <w:t>groupe DP World</w:t>
      </w:r>
      <w:r>
        <w:rPr>
          <w:rFonts w:ascii="Times New Roman" w:hAnsi="Times New Roman"/>
          <w:noProof/>
          <w:sz w:val="24"/>
          <w:lang w:val="fr-BE"/>
        </w:rPr>
        <w:t>, basé aux Émirats arabes unis</w:t>
      </w:r>
      <w:r>
        <w:rPr>
          <w:rFonts w:ascii="Times New Roman" w:hAnsi="Times New Roman"/>
          <w:noProof/>
          <w:sz w:val="24"/>
          <w:vertAlign w:val="superscript"/>
        </w:rPr>
        <w:footnoteReference w:id="330"/>
      </w:r>
      <w:r>
        <w:rPr>
          <w:rFonts w:ascii="Times New Roman" w:hAnsi="Times New Roman"/>
          <w:noProof/>
          <w:sz w:val="24"/>
          <w:lang w:val="fr-BE"/>
        </w:rPr>
        <w:t xml:space="preserve">. Unifeeder fournit des services de transport maritime de marchandises conteneurisées, y compris des services de collecte (transport de fret entre des plateformes portuaires et des ports de sortie), et des </w:t>
      </w:r>
      <w:r>
        <w:rPr>
          <w:rFonts w:ascii="Times New Roman" w:hAnsi="Times New Roman"/>
          <w:noProof/>
          <w:sz w:val="24"/>
          <w:lang w:val="fr-BE"/>
        </w:rPr>
        <w:t>services de transport maritime à courte distance (transport de fret d’un point à un autre). Unifeeder est principalement active dans le nord de l’Europe et en Méditerranée. DP World est un exploitant mondial de terminaux marins.</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 Commission a analysé si </w:t>
      </w:r>
      <w:r>
        <w:rPr>
          <w:rFonts w:ascii="Times New Roman" w:hAnsi="Times New Roman"/>
          <w:noProof/>
          <w:sz w:val="24"/>
          <w:lang w:val="fr-BE"/>
        </w:rPr>
        <w:t>l’entité intégrée verticalement serait capable d’évincer des clients et serait incitée à le faire, et a conclu que l’opération ne posait aucun problème de concurrence compte tenu de son incidence limitée sur la structure des marchés de fourniture de servic</w:t>
      </w:r>
      <w:r>
        <w:rPr>
          <w:rFonts w:ascii="Times New Roman" w:hAnsi="Times New Roman"/>
          <w:noProof/>
          <w:sz w:val="24"/>
          <w:lang w:val="fr-BE"/>
        </w:rPr>
        <w:t>es de terminaux de conteneurs et de services de transport maritime à courte distance. L’opération a donc été autorisée sans condition.</w:t>
      </w: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Application des règles en matière d’aides d’État dans le secteur du transport maritime</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2018, la Commission a continué </w:t>
      </w:r>
      <w:r>
        <w:rPr>
          <w:rFonts w:ascii="Times New Roman" w:hAnsi="Times New Roman"/>
          <w:noProof/>
          <w:sz w:val="24"/>
          <w:lang w:val="fr-BE"/>
        </w:rPr>
        <w:t>de veiller au respect des orientations sur les aides d’État au transport maritime</w:t>
      </w:r>
      <w:r>
        <w:rPr>
          <w:rFonts w:ascii="Times New Roman" w:hAnsi="Times New Roman"/>
          <w:noProof/>
          <w:sz w:val="24"/>
          <w:vertAlign w:val="superscript"/>
        </w:rPr>
        <w:footnoteReference w:id="331"/>
      </w:r>
      <w:r>
        <w:rPr>
          <w:rFonts w:ascii="Times New Roman" w:hAnsi="Times New Roman"/>
          <w:noProof/>
          <w:sz w:val="24"/>
          <w:lang w:val="fr-BE"/>
        </w:rPr>
        <w:t>. Ces orientations visent à maintenir la compétitivité du secteur maritime européen. La Commission est déterminée à assurer la cohérence et l’égalité de traitement dans toute</w:t>
      </w:r>
      <w:r>
        <w:rPr>
          <w:rFonts w:ascii="Times New Roman" w:hAnsi="Times New Roman"/>
          <w:noProof/>
          <w:sz w:val="24"/>
          <w:lang w:val="fr-BE"/>
        </w:rPr>
        <w:t xml:space="preserve"> l’Union, tout en veillant à ce que les régimes de taxation au tonnage avantageux ne contreviennent pas aux règles du marché intérieur.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Afin de soutenir cet objectif et de garantir le respect de l’interprétation actuelle des orientations sur les aides d’É</w:t>
      </w:r>
      <w:r>
        <w:rPr>
          <w:rFonts w:ascii="Times New Roman" w:hAnsi="Times New Roman"/>
          <w:noProof/>
          <w:sz w:val="24"/>
          <w:lang w:val="fr-BE"/>
        </w:rPr>
        <w:t>tat au transport maritime par la Commission, cette dernière a organisé deux réunions techniques sur l’application des orientations sur les aides d’État au transport maritime de 2004 avec les États membres et les représentants du secteur (tant des armateurs</w:t>
      </w:r>
      <w:r>
        <w:rPr>
          <w:rFonts w:ascii="Times New Roman" w:hAnsi="Times New Roman"/>
          <w:noProof/>
          <w:sz w:val="24"/>
          <w:lang w:val="fr-BE"/>
        </w:rPr>
        <w:t xml:space="preserve"> que des représentants des marins) respectivement les 13 et 21 juin 2018. Lors de ces réunions, la Commission a décrit les normes techniques qu’elle avait progressivement élaborées pour assurer le respect des objectifs des orientations sur les aides d’État</w:t>
      </w:r>
      <w:r>
        <w:rPr>
          <w:rFonts w:ascii="Times New Roman" w:hAnsi="Times New Roman"/>
          <w:noProof/>
          <w:sz w:val="24"/>
          <w:lang w:val="fr-BE"/>
        </w:rPr>
        <w:t xml:space="preserve"> au transport maritime et des règles du marché intérieur</w:t>
      </w:r>
      <w:r>
        <w:rPr>
          <w:rFonts w:ascii="Times New Roman" w:hAnsi="Times New Roman"/>
          <w:noProof/>
          <w:lang w:val="fr-BE"/>
        </w:rPr>
        <w:t xml:space="preserve"> en réponse à des </w:t>
      </w:r>
      <w:r>
        <w:rPr>
          <w:rFonts w:ascii="Times New Roman" w:hAnsi="Times New Roman"/>
          <w:noProof/>
          <w:sz w:val="24"/>
          <w:lang w:val="fr-BE"/>
        </w:rPr>
        <w:t>questions d’interprétation</w:t>
      </w:r>
      <w:r>
        <w:rPr>
          <w:rFonts w:ascii="Times New Roman" w:hAnsi="Times New Roman"/>
          <w:noProof/>
          <w:lang w:val="fr-BE"/>
        </w:rPr>
        <w:t xml:space="preserve"> qui se sont posées au</w:t>
      </w:r>
      <w:r>
        <w:rPr>
          <w:rFonts w:ascii="Times New Roman" w:hAnsi="Times New Roman"/>
          <w:noProof/>
          <w:sz w:val="24"/>
          <w:lang w:val="fr-BE"/>
        </w:rPr>
        <w:t xml:space="preserve"> fil du temps concernant certaines dispositions des orientations.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De plus, le 6 avril 2018, la Commission a autorisé le premier régim</w:t>
      </w:r>
      <w:r>
        <w:rPr>
          <w:rFonts w:ascii="Times New Roman" w:hAnsi="Times New Roman"/>
          <w:noProof/>
          <w:sz w:val="24"/>
          <w:lang w:val="fr-BE"/>
        </w:rPr>
        <w:t>e de taxe au tonnage et de soutien des gens de mer mis en place par le Portugal</w:t>
      </w:r>
      <w:r>
        <w:rPr>
          <w:rFonts w:ascii="Times New Roman" w:hAnsi="Times New Roman"/>
          <w:noProof/>
          <w:sz w:val="24"/>
          <w:vertAlign w:val="superscript"/>
        </w:rPr>
        <w:footnoteReference w:id="332"/>
      </w:r>
      <w:r>
        <w:rPr>
          <w:rFonts w:ascii="Times New Roman" w:hAnsi="Times New Roman"/>
          <w:noProof/>
          <w:sz w:val="24"/>
          <w:lang w:val="fr-BE"/>
        </w:rPr>
        <w:t>.</w:t>
      </w:r>
      <w:r>
        <w:rPr>
          <w:rFonts w:ascii="Times New Roman" w:hAnsi="Times New Roman"/>
          <w:noProof/>
          <w:lang w:val="fr-BE"/>
        </w:rPr>
        <w:t xml:space="preserve"> </w:t>
      </w:r>
      <w:r>
        <w:rPr>
          <w:rFonts w:ascii="Times New Roman" w:hAnsi="Times New Roman"/>
          <w:noProof/>
          <w:sz w:val="24"/>
          <w:lang w:val="fr-BE"/>
        </w:rPr>
        <w:t>Elle a conclu que ce régime encouragerait l’immatriculation des navires en Europe et contribuerait à la compétitivité du transport maritime tout en préservant l’emploi dans l</w:t>
      </w:r>
      <w:r>
        <w:rPr>
          <w:rFonts w:ascii="Times New Roman" w:hAnsi="Times New Roman"/>
          <w:noProof/>
          <w:sz w:val="24"/>
          <w:lang w:val="fr-BE"/>
        </w:rPr>
        <w:t xml:space="preserve">e secteur et en promouvant des normes environnementales élevées. </w:t>
      </w:r>
    </w:p>
    <w:p w:rsidR="00D9323F" w:rsidRDefault="00F47CDD">
      <w:pPr>
        <w:shd w:val="clear" w:color="auto" w:fill="FFFFFF"/>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12 juillet 2018, la Commission a aussi autorisé des aides d’État en faveur de l’exploitation de cinq liaisons par transbordeur entre des îles croates et le continent en tant que </w:t>
      </w:r>
      <w:hyperlink r:id="rId26">
        <w:r>
          <w:rPr>
            <w:rFonts w:ascii="Times New Roman" w:hAnsi="Times New Roman"/>
            <w:noProof/>
            <w:sz w:val="24"/>
            <w:lang w:val="fr-BE"/>
          </w:rPr>
          <w:t>services d’intérêt économique général</w:t>
        </w:r>
      </w:hyperlink>
      <w:r>
        <w:rPr>
          <w:rFonts w:ascii="Times New Roman" w:hAnsi="Times New Roman"/>
          <w:noProof/>
          <w:sz w:val="24"/>
          <w:lang w:val="fr-BE"/>
        </w:rPr>
        <w:t>.</w:t>
      </w:r>
      <w:r>
        <w:rPr>
          <w:rFonts w:ascii="Times New Roman" w:hAnsi="Times New Roman"/>
          <w:noProof/>
          <w:sz w:val="24"/>
          <w:vertAlign w:val="superscript"/>
        </w:rPr>
        <w:footnoteReference w:id="333"/>
      </w:r>
      <w:r>
        <w:rPr>
          <w:rFonts w:ascii="Times New Roman" w:hAnsi="Times New Roman"/>
          <w:noProof/>
          <w:sz w:val="24"/>
          <w:lang w:val="fr-BE"/>
        </w:rPr>
        <w:t xml:space="preserve"> Ces aides seront octroyées à des compagnies maritimes sélectionnées au moyen d’appels d’offres publics et couvriront la différence entre les </w:t>
      </w:r>
      <w:r>
        <w:rPr>
          <w:rFonts w:ascii="Times New Roman" w:hAnsi="Times New Roman"/>
          <w:noProof/>
          <w:sz w:val="24"/>
          <w:lang w:val="fr-BE"/>
        </w:rPr>
        <w:t>recettes tirées de la vente des billets de transbordeur et le coût de l’exploitation régulière des transbordeurs, de manière à permettre aux habitants des îles de faire les trajets quotidiennement pour aller au travail ou à l’école, ainsi que de transporte</w:t>
      </w:r>
      <w:r>
        <w:rPr>
          <w:rFonts w:ascii="Times New Roman" w:hAnsi="Times New Roman"/>
          <w:noProof/>
          <w:sz w:val="24"/>
          <w:lang w:val="fr-BE"/>
        </w:rPr>
        <w:t>r des véhicules et des fournitures en provenance et à destination des îles. La Commission a conclu que ces aides sont nécessaires pour assurer l’exploitation des liaisons à des fréquences appropriées tout au long de l’année, étant donné que les recettes ti</w:t>
      </w:r>
      <w:r>
        <w:rPr>
          <w:rFonts w:ascii="Times New Roman" w:hAnsi="Times New Roman"/>
          <w:noProof/>
          <w:sz w:val="24"/>
          <w:lang w:val="fr-BE"/>
        </w:rPr>
        <w:t>rées de la vente des billets ne sont supérieures au coût de l’exploitation des transbordeurs que pendant la haute saison d’été.</w:t>
      </w:r>
    </w:p>
    <w:p w:rsidR="00D9323F" w:rsidRDefault="00F47CDD">
      <w:pPr>
        <w:shd w:val="clear" w:color="auto" w:fill="FFFFFF"/>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12 octobre 2018, la Commission a autorisé l’extension du </w:t>
      </w:r>
      <w:r>
        <w:rPr>
          <w:rFonts w:ascii="Times New Roman" w:hAnsi="Times New Roman"/>
          <w:i/>
          <w:noProof/>
          <w:sz w:val="24"/>
          <w:lang w:val="fr-BE"/>
        </w:rPr>
        <w:t>régime danois de taxation au tonnage</w:t>
      </w:r>
      <w:r>
        <w:rPr>
          <w:rFonts w:ascii="Times New Roman" w:hAnsi="Times New Roman"/>
          <w:noProof/>
          <w:sz w:val="24"/>
          <w:lang w:val="fr-BE"/>
        </w:rPr>
        <w:t xml:space="preserve"> à de nouveaux types de navires</w:t>
      </w:r>
      <w:r>
        <w:rPr>
          <w:rFonts w:ascii="Times New Roman" w:hAnsi="Times New Roman"/>
          <w:noProof/>
          <w:sz w:val="24"/>
          <w:vertAlign w:val="superscript"/>
        </w:rPr>
        <w:footnoteReference w:id="334"/>
      </w:r>
      <w:r>
        <w:rPr>
          <w:rFonts w:ascii="Times New Roman" w:hAnsi="Times New Roman"/>
          <w:noProof/>
          <w:sz w:val="24"/>
          <w:lang w:val="fr-BE"/>
        </w:rPr>
        <w:t xml:space="preserve"> (navires de gardiennage, navires utilisés pour l’entretien des installations situées au large des côtes, et pour le montage, la réparation et le démontage d’éoliennes).</w:t>
      </w:r>
      <w:r>
        <w:rPr>
          <w:rFonts w:ascii="Times New Roman" w:hAnsi="Times New Roman"/>
          <w:noProof/>
          <w:lang w:val="fr-BE"/>
        </w:rPr>
        <w:t xml:space="preserve"> </w:t>
      </w:r>
      <w:r>
        <w:rPr>
          <w:rFonts w:ascii="Times New Roman" w:hAnsi="Times New Roman"/>
          <w:noProof/>
          <w:sz w:val="24"/>
          <w:lang w:val="fr-BE"/>
        </w:rPr>
        <w:t>Elle a considéré que ces types de navires exercent des activités maritimes qui sont so</w:t>
      </w:r>
      <w:r>
        <w:rPr>
          <w:rFonts w:ascii="Times New Roman" w:hAnsi="Times New Roman"/>
          <w:noProof/>
          <w:sz w:val="24"/>
          <w:lang w:val="fr-BE"/>
        </w:rPr>
        <w:t xml:space="preserve">umises aux mêmes exigences juridiques et aux mêmes conditions de concurrence que le transport maritime. Elle a également tenu compte des engagements pris par le Danemark de modifier certains aspects de son régime existant de taxation au tonnage afin de le </w:t>
      </w:r>
      <w:r>
        <w:rPr>
          <w:rFonts w:ascii="Times New Roman" w:hAnsi="Times New Roman"/>
          <w:noProof/>
          <w:sz w:val="24"/>
          <w:lang w:val="fr-BE"/>
        </w:rPr>
        <w:t>conformer à l’interprétation des orientations sur les aides d’État au transport maritime faite actuellement par la Commission (notamment concernant les services auxiliaires et les activités d’affrètement coque nue).</w:t>
      </w:r>
    </w:p>
    <w:p w:rsidR="00D9323F" w:rsidRDefault="00F47CDD">
      <w:pPr>
        <w:shd w:val="clear" w:color="auto" w:fill="FFFFFF"/>
        <w:spacing w:before="60" w:after="240" w:line="240" w:lineRule="auto"/>
        <w:jc w:val="both"/>
        <w:rPr>
          <w:rFonts w:ascii="Times New Roman" w:hAnsi="Times New Roman"/>
          <w:noProof/>
          <w:sz w:val="24"/>
          <w:szCs w:val="24"/>
          <w:lang w:val="fr-BE"/>
        </w:rPr>
      </w:pPr>
      <w:r>
        <w:rPr>
          <w:rFonts w:ascii="Times New Roman" w:hAnsi="Times New Roman"/>
          <w:noProof/>
          <w:sz w:val="24"/>
          <w:lang w:val="fr-BE"/>
        </w:rPr>
        <w:t>Par ailleurs, la Commission a autorisé l</w:t>
      </w:r>
      <w:r>
        <w:rPr>
          <w:rFonts w:ascii="Times New Roman" w:hAnsi="Times New Roman"/>
          <w:noProof/>
          <w:sz w:val="24"/>
          <w:lang w:val="fr-BE"/>
        </w:rPr>
        <w:t xml:space="preserve">a prolongation du </w:t>
      </w:r>
      <w:r>
        <w:rPr>
          <w:rFonts w:ascii="Times New Roman" w:hAnsi="Times New Roman"/>
          <w:i/>
          <w:noProof/>
          <w:sz w:val="24"/>
          <w:lang w:val="fr-BE"/>
        </w:rPr>
        <w:t>régime néerlandais</w:t>
      </w:r>
      <w:r>
        <w:rPr>
          <w:rFonts w:ascii="Times New Roman" w:hAnsi="Times New Roman"/>
          <w:noProof/>
          <w:sz w:val="24"/>
          <w:vertAlign w:val="superscript"/>
        </w:rPr>
        <w:footnoteReference w:id="335"/>
      </w:r>
      <w:r>
        <w:rPr>
          <w:rFonts w:ascii="Times New Roman" w:hAnsi="Times New Roman"/>
          <w:noProof/>
          <w:sz w:val="24"/>
          <w:lang w:val="fr-BE"/>
        </w:rPr>
        <w:t xml:space="preserve"> et la prolongation et l’extension du régime français</w:t>
      </w:r>
      <w:r>
        <w:rPr>
          <w:rFonts w:ascii="Times New Roman" w:hAnsi="Times New Roman"/>
          <w:noProof/>
          <w:sz w:val="24"/>
          <w:vertAlign w:val="superscript"/>
        </w:rPr>
        <w:footnoteReference w:id="336"/>
      </w:r>
      <w:r>
        <w:rPr>
          <w:rFonts w:ascii="Times New Roman" w:hAnsi="Times New Roman"/>
          <w:noProof/>
          <w:sz w:val="24"/>
          <w:lang w:val="fr-BE"/>
        </w:rPr>
        <w:t xml:space="preserve"> d’allègement des cotisations sociales pour les gens de mer, sous réserve de l’engagement, par les Pays-Bas et la France, d’ouvrir leurs régimes à tous les navires b</w:t>
      </w:r>
      <w:r>
        <w:rPr>
          <w:rFonts w:ascii="Times New Roman" w:hAnsi="Times New Roman"/>
          <w:noProof/>
          <w:sz w:val="24"/>
          <w:lang w:val="fr-BE"/>
        </w:rPr>
        <w:t>attant pavillon de l’EEE.</w:t>
      </w:r>
    </w:p>
    <w:p w:rsidR="00D9323F" w:rsidRDefault="00F47CDD">
      <w:pPr>
        <w:autoSpaceDE w:val="0"/>
        <w:autoSpaceDN w:val="0"/>
        <w:adjustRightInd w:val="0"/>
        <w:spacing w:after="0" w:line="240" w:lineRule="auto"/>
        <w:rPr>
          <w:rFonts w:ascii="Times New Roman" w:hAnsi="Times New Roman"/>
          <w:i/>
          <w:noProof/>
          <w:sz w:val="24"/>
          <w:szCs w:val="24"/>
          <w:lang w:val="fr-BE"/>
        </w:rPr>
      </w:pPr>
      <w:r>
        <w:rPr>
          <w:rFonts w:ascii="Times New Roman" w:hAnsi="Times New Roman"/>
          <w:i/>
          <w:noProof/>
          <w:sz w:val="24"/>
          <w:lang w:val="fr-BE"/>
        </w:rPr>
        <w:t>Application des règles relatives aux pratiques anticoncurrentielles dans le secteur ferroviaire</w:t>
      </w:r>
    </w:p>
    <w:p w:rsidR="00D9323F" w:rsidRDefault="00D9323F">
      <w:pPr>
        <w:autoSpaceDE w:val="0"/>
        <w:autoSpaceDN w:val="0"/>
        <w:adjustRightInd w:val="0"/>
        <w:spacing w:after="0" w:line="240" w:lineRule="auto"/>
        <w:rPr>
          <w:rFonts w:ascii="Times New Roman" w:hAnsi="Times New Roman"/>
          <w:noProof/>
          <w:sz w:val="24"/>
          <w:szCs w:val="24"/>
          <w:lang w:val="fr-BE"/>
        </w:rPr>
      </w:pPr>
    </w:p>
    <w:p w:rsidR="00D9323F" w:rsidRDefault="00F47CDD">
      <w:pPr>
        <w:autoSpaceDE w:val="0"/>
        <w:autoSpaceDN w:val="0"/>
        <w:adjustRightInd w:val="0"/>
        <w:spacing w:after="0" w:line="240" w:lineRule="auto"/>
        <w:jc w:val="both"/>
        <w:rPr>
          <w:rFonts w:ascii="Times New Roman" w:hAnsi="Times New Roman"/>
          <w:noProof/>
          <w:sz w:val="24"/>
          <w:szCs w:val="24"/>
          <w:lang w:val="fr-BE"/>
        </w:rPr>
      </w:pPr>
      <w:r>
        <w:rPr>
          <w:rFonts w:ascii="Times New Roman" w:hAnsi="Times New Roman"/>
          <w:noProof/>
          <w:sz w:val="24"/>
          <w:lang w:val="fr-BE"/>
        </w:rPr>
        <w:t xml:space="preserve">Le 25 septembre 2018, la Commission a adopté une communication des griefs à l’encontre de la société ferroviaire slovaque </w:t>
      </w:r>
      <w:r>
        <w:rPr>
          <w:rFonts w:ascii="Times New Roman" w:hAnsi="Times New Roman"/>
          <w:i/>
          <w:noProof/>
          <w:sz w:val="24"/>
          <w:lang w:val="fr-BE"/>
        </w:rPr>
        <w:t>ZSSK</w:t>
      </w:r>
      <w:r>
        <w:rPr>
          <w:rFonts w:ascii="Times New Roman" w:hAnsi="Times New Roman"/>
          <w:noProof/>
          <w:sz w:val="24"/>
          <w:vertAlign w:val="superscript"/>
        </w:rPr>
        <w:footnoteReference w:id="337"/>
      </w:r>
      <w:r>
        <w:rPr>
          <w:rFonts w:ascii="Times New Roman" w:hAnsi="Times New Roman"/>
          <w:noProof/>
          <w:sz w:val="24"/>
          <w:lang w:val="fr-BE"/>
        </w:rPr>
        <w:t xml:space="preserve"> pour </w:t>
      </w:r>
      <w:r>
        <w:rPr>
          <w:rFonts w:ascii="Times New Roman" w:hAnsi="Times New Roman"/>
          <w:noProof/>
          <w:sz w:val="24"/>
          <w:lang w:val="fr-BE"/>
        </w:rPr>
        <w:t xml:space="preserve">obstruction à une inspection de la Commission. La Commission a mené des inspections dans les locaux de ZSSK en juin 2016. L’inspection avait pour but de déterminer si ZSSK avait conclu des accords anticoncurrentiels visant à exclure ses concurrents sur le </w:t>
      </w:r>
      <w:r>
        <w:rPr>
          <w:rFonts w:ascii="Times New Roman" w:hAnsi="Times New Roman"/>
          <w:noProof/>
          <w:sz w:val="24"/>
          <w:lang w:val="fr-BE"/>
        </w:rPr>
        <w:t xml:space="preserve">marché du transport ferroviaire de passagers, en violation des règles de l’Union européenne en matière de pratiques anticoncurrentielles. </w:t>
      </w:r>
    </w:p>
    <w:p w:rsidR="00D9323F" w:rsidRDefault="00D9323F">
      <w:pPr>
        <w:autoSpaceDE w:val="0"/>
        <w:autoSpaceDN w:val="0"/>
        <w:adjustRightInd w:val="0"/>
        <w:spacing w:after="0" w:line="240" w:lineRule="auto"/>
        <w:jc w:val="both"/>
        <w:rPr>
          <w:rFonts w:ascii="Times New Roman" w:hAnsi="Times New Roman"/>
          <w:noProof/>
          <w:sz w:val="24"/>
          <w:szCs w:val="24"/>
          <w:lang w:val="fr-BE"/>
        </w:rPr>
      </w:pPr>
    </w:p>
    <w:p w:rsidR="00D9323F" w:rsidRDefault="00F47CDD">
      <w:pPr>
        <w:autoSpaceDE w:val="0"/>
        <w:autoSpaceDN w:val="0"/>
        <w:adjustRightInd w:val="0"/>
        <w:spacing w:after="0" w:line="240" w:lineRule="auto"/>
        <w:jc w:val="both"/>
        <w:rPr>
          <w:rFonts w:ascii="Times New Roman" w:hAnsi="Times New Roman"/>
          <w:noProof/>
          <w:sz w:val="24"/>
          <w:szCs w:val="24"/>
          <w:lang w:val="fr-BE"/>
        </w:rPr>
      </w:pPr>
      <w:r>
        <w:rPr>
          <w:rFonts w:ascii="Times New Roman" w:hAnsi="Times New Roman"/>
          <w:noProof/>
          <w:sz w:val="24"/>
          <w:lang w:val="fr-BE"/>
        </w:rPr>
        <w:t>Dans la communication des griefs, la Commission a estimé, à titre préliminaire, que ZSSK avait peut-être fait obstru</w:t>
      </w:r>
      <w:r>
        <w:rPr>
          <w:rFonts w:ascii="Times New Roman" w:hAnsi="Times New Roman"/>
          <w:noProof/>
          <w:sz w:val="24"/>
          <w:lang w:val="fr-BE"/>
        </w:rPr>
        <w:t>ction à l’inspection en communiquant des informations inexactes sur l’emplacement de l’ordinateur portable d’un de ses salariés et en ne fournissant pas les données requises provenant de cet ordinateur portable, du fait qu’elle a autorisé que ce dernier fa</w:t>
      </w:r>
      <w:r>
        <w:rPr>
          <w:rFonts w:ascii="Times New Roman" w:hAnsi="Times New Roman"/>
          <w:noProof/>
          <w:sz w:val="24"/>
          <w:lang w:val="fr-BE"/>
        </w:rPr>
        <w:t>sse l’objet d’une réinstallation. Par conséquent, il est possible que ZSSK n’ait pas rempli l’obligation de répondre aux demandes des inspecteurs qui lui incombe au titre du règlement (CE) nº 1/2003.</w:t>
      </w:r>
    </w:p>
    <w:p w:rsidR="00D9323F" w:rsidRDefault="00D9323F">
      <w:pPr>
        <w:autoSpaceDE w:val="0"/>
        <w:autoSpaceDN w:val="0"/>
        <w:adjustRightInd w:val="0"/>
        <w:spacing w:after="0" w:line="240" w:lineRule="auto"/>
        <w:jc w:val="both"/>
        <w:rPr>
          <w:rFonts w:ascii="Times New Roman" w:hAnsi="Times New Roman"/>
          <w:noProof/>
          <w:sz w:val="24"/>
          <w:szCs w:val="24"/>
          <w:lang w:val="fr-BE"/>
        </w:rPr>
      </w:pP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Application des règles en matière d’aides d’État au sec</w:t>
      </w:r>
      <w:r>
        <w:rPr>
          <w:rFonts w:ascii="Times New Roman" w:hAnsi="Times New Roman"/>
          <w:i/>
          <w:noProof/>
          <w:sz w:val="24"/>
          <w:lang w:val="fr-BE"/>
        </w:rPr>
        <w:t xml:space="preserve">teur du transport ferroviaire et intermodal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En 2018, la Commission a autorisé un certain nombre de régimes de soutien au transport ferroviaire et intermodal, qui visent à encourager le transfert du fret de la route vers le rail, plus sûr et plus écologiqu</w:t>
      </w:r>
      <w:r>
        <w:rPr>
          <w:rFonts w:ascii="Times New Roman" w:hAnsi="Times New Roman"/>
          <w:noProof/>
          <w:sz w:val="24"/>
          <w:lang w:val="fr-BE"/>
        </w:rPr>
        <w:t>e</w:t>
      </w:r>
      <w:r>
        <w:rPr>
          <w:rFonts w:ascii="Times New Roman" w:hAnsi="Times New Roman"/>
          <w:noProof/>
          <w:sz w:val="24"/>
          <w:vertAlign w:val="superscript"/>
        </w:rPr>
        <w:footnoteReference w:id="338"/>
      </w:r>
      <w:r>
        <w:rPr>
          <w:rFonts w:ascii="Times New Roman" w:hAnsi="Times New Roman"/>
          <w:noProof/>
          <w:sz w:val="24"/>
          <w:lang w:val="fr-BE"/>
        </w:rPr>
        <w:t>.</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De plus, la Commission a poursuivi son enquête sur des aides d’État en faveur de l’opérateur public de fret ferroviaire roumain défaillant </w:t>
      </w:r>
      <w:r>
        <w:rPr>
          <w:rFonts w:ascii="Times New Roman" w:hAnsi="Times New Roman"/>
          <w:i/>
          <w:noProof/>
          <w:sz w:val="24"/>
          <w:lang w:val="fr-BE"/>
        </w:rPr>
        <w:t>CFR Marfa</w:t>
      </w:r>
      <w:r>
        <w:rPr>
          <w:rFonts w:ascii="Times New Roman" w:hAnsi="Times New Roman"/>
          <w:noProof/>
          <w:sz w:val="24"/>
          <w:lang w:val="fr-BE"/>
        </w:rPr>
        <w:t xml:space="preserve">, ouverte en décembre 2017 à la suite d’une plainte de l’association des opérateurs privés roumains de </w:t>
      </w:r>
      <w:r>
        <w:rPr>
          <w:rFonts w:ascii="Times New Roman" w:hAnsi="Times New Roman"/>
          <w:noProof/>
          <w:sz w:val="24"/>
          <w:lang w:val="fr-BE"/>
        </w:rPr>
        <w:t>fret ferroviaire</w:t>
      </w:r>
      <w:r>
        <w:rPr>
          <w:rFonts w:ascii="Times New Roman" w:hAnsi="Times New Roman"/>
          <w:noProof/>
          <w:sz w:val="24"/>
          <w:vertAlign w:val="superscript"/>
        </w:rPr>
        <w:footnoteReference w:id="339"/>
      </w:r>
      <w:r>
        <w:rPr>
          <w:rFonts w:ascii="Times New Roman" w:hAnsi="Times New Roman"/>
          <w:noProof/>
          <w:sz w:val="24"/>
          <w:lang w:val="fr-BE"/>
        </w:rPr>
        <w:t>. Depuis la libéralisation du marché roumain du transport ferroviaire de fret en 2007, de nombreux opérateurs privés sont parvenus à entrer sur le marché, qui est très concurrentiel. Il est donc particulièrement important que les intervent</w:t>
      </w:r>
      <w:r>
        <w:rPr>
          <w:rFonts w:ascii="Times New Roman" w:hAnsi="Times New Roman"/>
          <w:noProof/>
          <w:sz w:val="24"/>
          <w:lang w:val="fr-BE"/>
        </w:rPr>
        <w:t>ions publiques ne dispensent pas certaines entreprises de payer des frais d’exploitation normaux que leurs concurrents doivent supporter. L’enquête de la Commission porte sur une conversion de créances en capital s’élevant à environ 360 millions d’euros, a</w:t>
      </w:r>
      <w:r>
        <w:rPr>
          <w:rFonts w:ascii="Times New Roman" w:hAnsi="Times New Roman"/>
          <w:noProof/>
          <w:sz w:val="24"/>
          <w:lang w:val="fr-BE"/>
        </w:rPr>
        <w:t>insi que sur le non-recouvrement de dettes fiscales et de sécurité sociale et de créances dues par le gestionnaire public de l’infrastructure ferroviaire CFR Infrastructure. La Commission examinera si ces mesures ont procuré à CFR Marfa un avantage économi</w:t>
      </w:r>
      <w:r>
        <w:rPr>
          <w:rFonts w:ascii="Times New Roman" w:hAnsi="Times New Roman"/>
          <w:noProof/>
          <w:sz w:val="24"/>
          <w:lang w:val="fr-BE"/>
        </w:rPr>
        <w:t xml:space="preserve">que indu par rapport à ses concurrents.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En janvier 2018, la Commission a couvert une enquête approfondie sur la restructuration des Chemins de fer régionaux polonais</w:t>
      </w:r>
      <w:r>
        <w:rPr>
          <w:rFonts w:ascii="Times New Roman" w:hAnsi="Times New Roman"/>
          <w:noProof/>
          <w:sz w:val="24"/>
          <w:vertAlign w:val="superscript"/>
        </w:rPr>
        <w:footnoteReference w:id="340"/>
      </w:r>
      <w:r>
        <w:rPr>
          <w:rFonts w:ascii="Times New Roman" w:hAnsi="Times New Roman"/>
          <w:noProof/>
          <w:sz w:val="24"/>
          <w:lang w:val="fr-BE"/>
        </w:rPr>
        <w:t>, le premier exploitant ferroviaire régional actif dans le domaine du transport de voyag</w:t>
      </w:r>
      <w:r>
        <w:rPr>
          <w:rFonts w:ascii="Times New Roman" w:hAnsi="Times New Roman"/>
          <w:noProof/>
          <w:sz w:val="24"/>
          <w:lang w:val="fr-BE"/>
        </w:rPr>
        <w:t>eurs en Pologne. L’entreprise est confrontée à des difficultés financières depuis un certain temps. En 2015, la Pologne a notifié une aide à la restructuration de quelque 188 millions d’euros en faveur de l’entreprise. En vertu des règles de l’Union europé</w:t>
      </w:r>
      <w:r>
        <w:rPr>
          <w:rFonts w:ascii="Times New Roman" w:hAnsi="Times New Roman"/>
          <w:noProof/>
          <w:sz w:val="24"/>
          <w:lang w:val="fr-BE"/>
        </w:rPr>
        <w:t>enne, les entreprises en difficulté ne peuvent bénéficier d’une aide à la restructuration qu’une fois tous les dix ans (principe dit de non-récurrence). Ce principe de non-récurrence vise à éviter que des entreprises défaillantes ne dépendent de fonds publ</w:t>
      </w:r>
      <w:r>
        <w:rPr>
          <w:rFonts w:ascii="Times New Roman" w:hAnsi="Times New Roman"/>
          <w:noProof/>
          <w:sz w:val="24"/>
          <w:lang w:val="fr-BE"/>
        </w:rPr>
        <w:t>ics pour se maintenir en activité, au lieu d’améliorer leurs performances économiques et de se livrer concurrence sur la base de leurs mérites. Au cours de son enquête, la Commission a constaté que les Chemins de fer régionaux polonais avaient déjà bénéfic</w:t>
      </w:r>
      <w:r>
        <w:rPr>
          <w:rFonts w:ascii="Times New Roman" w:hAnsi="Times New Roman"/>
          <w:noProof/>
          <w:sz w:val="24"/>
          <w:lang w:val="fr-BE"/>
        </w:rPr>
        <w:t xml:space="preserve">ié d’un soutien de l’État par le passé. La Commission doit à présent déterminer, en particulier, si cette aide passée constitue une aide à la restructuration et si l’aide à la restructuration de 2015 est conforme au principe de non-récurrence. </w:t>
      </w:r>
    </w:p>
    <w:p w:rsidR="00D9323F" w:rsidRDefault="00F47CDD">
      <w:pPr>
        <w:widowControl w:val="0"/>
        <w:tabs>
          <w:tab w:val="num" w:pos="360"/>
        </w:tabs>
        <w:spacing w:line="240" w:lineRule="auto"/>
        <w:jc w:val="both"/>
        <w:rPr>
          <w:rFonts w:ascii="Times New Roman" w:hAnsi="Times New Roman"/>
          <w:i/>
          <w:noProof/>
          <w:sz w:val="24"/>
          <w:szCs w:val="24"/>
          <w:lang w:val="fr-BE"/>
        </w:rPr>
      </w:pPr>
      <w:r>
        <w:rPr>
          <w:rFonts w:ascii="Times New Roman" w:hAnsi="Times New Roman"/>
          <w:i/>
          <w:noProof/>
          <w:sz w:val="24"/>
          <w:lang w:val="fr-BE"/>
        </w:rPr>
        <w:t>Contrôle de</w:t>
      </w:r>
      <w:r>
        <w:rPr>
          <w:rFonts w:ascii="Times New Roman" w:hAnsi="Times New Roman"/>
          <w:i/>
          <w:noProof/>
          <w:sz w:val="24"/>
          <w:lang w:val="fr-BE"/>
        </w:rPr>
        <w:t>s aides d’État dans le secteur routier</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Commission a continué de faire appliquer le règlement (CE) nº 1370/2007 relatif aux services publics de transport de voyageurs</w:t>
      </w:r>
      <w:r>
        <w:rPr>
          <w:rFonts w:ascii="Times New Roman" w:hAnsi="Times New Roman"/>
          <w:noProof/>
          <w:sz w:val="24"/>
          <w:vertAlign w:val="superscript"/>
        </w:rPr>
        <w:footnoteReference w:id="341"/>
      </w:r>
      <w:r>
        <w:rPr>
          <w:rFonts w:ascii="Times New Roman" w:hAnsi="Times New Roman"/>
          <w:noProof/>
          <w:sz w:val="24"/>
          <w:lang w:val="fr-BE"/>
        </w:rPr>
        <w:t xml:space="preserve">. </w:t>
      </w:r>
    </w:p>
    <w:p w:rsidR="00D9323F" w:rsidRDefault="00F47CDD">
      <w:pPr>
        <w:widowControl w:val="0"/>
        <w:spacing w:line="240" w:lineRule="auto"/>
        <w:jc w:val="both"/>
        <w:rPr>
          <w:rFonts w:ascii="Times New Roman" w:hAnsi="Times New Roman"/>
          <w:noProof/>
          <w:sz w:val="24"/>
          <w:szCs w:val="24"/>
          <w:lang w:val="fr-BE"/>
        </w:rPr>
      </w:pPr>
      <w:r>
        <w:rPr>
          <w:rFonts w:ascii="Times New Roman" w:hAnsi="Times New Roman"/>
          <w:noProof/>
          <w:sz w:val="24"/>
          <w:lang w:val="fr-BE"/>
        </w:rPr>
        <w:t>La jurisprudence récente</w:t>
      </w:r>
      <w:r>
        <w:rPr>
          <w:rFonts w:ascii="Times New Roman" w:hAnsi="Times New Roman"/>
          <w:noProof/>
          <w:sz w:val="24"/>
          <w:vertAlign w:val="superscript"/>
        </w:rPr>
        <w:footnoteReference w:id="342"/>
      </w:r>
      <w:r>
        <w:rPr>
          <w:rFonts w:ascii="Times New Roman" w:hAnsi="Times New Roman"/>
          <w:noProof/>
          <w:sz w:val="24"/>
          <w:lang w:val="fr-BE"/>
        </w:rPr>
        <w:t xml:space="preserve"> a confirmé l’approche de la Commission concernant l’applic</w:t>
      </w:r>
      <w:r>
        <w:rPr>
          <w:rFonts w:ascii="Times New Roman" w:hAnsi="Times New Roman"/>
          <w:noProof/>
          <w:sz w:val="24"/>
          <w:lang w:val="fr-BE"/>
        </w:rPr>
        <w:t xml:space="preserve">ation </w:t>
      </w:r>
      <w:r>
        <w:rPr>
          <w:rFonts w:ascii="Times New Roman" w:hAnsi="Times New Roman"/>
          <w:i/>
          <w:noProof/>
          <w:sz w:val="24"/>
          <w:lang w:val="fr-BE"/>
        </w:rPr>
        <w:t>ratione temporis</w:t>
      </w:r>
      <w:r>
        <w:rPr>
          <w:rFonts w:ascii="Times New Roman" w:hAnsi="Times New Roman"/>
          <w:noProof/>
          <w:sz w:val="24"/>
          <w:lang w:val="fr-BE"/>
        </w:rPr>
        <w:t xml:space="preserve"> du règlement susmentionné. Plus précisément, ces arrêts ont confirmé que la compatibilité des mesures publiques adoptées par le passé mais continuant de produire des effets (c’est-à-dire continuant d’apporter une aide) est appréciée </w:t>
      </w:r>
      <w:r>
        <w:rPr>
          <w:rFonts w:ascii="Times New Roman" w:hAnsi="Times New Roman"/>
          <w:noProof/>
          <w:sz w:val="24"/>
          <w:lang w:val="fr-BE"/>
        </w:rPr>
        <w:t xml:space="preserve">non pas sur la base d’anciennes règles mais bien sur la base des règles qui sont applicables au moment auquel les mesures d’aide produisent des effets qui relèvent des nouvelles règles, à moins que ces nouvelles règles ne les excluent expressément de leur </w:t>
      </w:r>
      <w:r>
        <w:rPr>
          <w:rFonts w:ascii="Times New Roman" w:hAnsi="Times New Roman"/>
          <w:noProof/>
          <w:sz w:val="24"/>
          <w:lang w:val="fr-BE"/>
        </w:rPr>
        <w:t>champ d’application.</w:t>
      </w:r>
    </w:p>
    <w:p w:rsidR="00D9323F" w:rsidRDefault="00D9323F">
      <w:pPr>
        <w:widowControl w:val="0"/>
        <w:spacing w:line="240" w:lineRule="auto"/>
        <w:jc w:val="both"/>
        <w:rPr>
          <w:rFonts w:ascii="Times New Roman" w:hAnsi="Times New Roman"/>
          <w:i/>
          <w:noProof/>
          <w:sz w:val="24"/>
          <w:lang w:val="fr-BE"/>
        </w:rPr>
      </w:pPr>
    </w:p>
    <w:p w:rsidR="00D9323F" w:rsidRDefault="00F47CDD">
      <w:pPr>
        <w:widowControl w:val="0"/>
        <w:spacing w:line="240" w:lineRule="auto"/>
        <w:jc w:val="both"/>
        <w:rPr>
          <w:rFonts w:ascii="Times New Roman" w:hAnsi="Times New Roman"/>
          <w:i/>
          <w:noProof/>
          <w:sz w:val="24"/>
          <w:szCs w:val="24"/>
          <w:lang w:val="fr-BE"/>
        </w:rPr>
      </w:pPr>
      <w:r>
        <w:rPr>
          <w:rFonts w:ascii="Times New Roman" w:hAnsi="Times New Roman"/>
          <w:i/>
          <w:noProof/>
          <w:sz w:val="24"/>
          <w:lang w:val="fr-BE"/>
        </w:rPr>
        <w:t>Contrôle des aides d’État dans le secteur des services postaux</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Le secteur postal continue d’évoluer et, dans un contexte de substitution électronique, la distribution traditionnelle du courrier reste sur une trajectoire déclinante. Né</w:t>
      </w:r>
      <w:r>
        <w:rPr>
          <w:rFonts w:ascii="Times New Roman" w:hAnsi="Times New Roman"/>
          <w:noProof/>
          <w:sz w:val="24"/>
          <w:lang w:val="fr-BE"/>
        </w:rPr>
        <w:t>anmoins, les services postaux ont conservé une très forte valeur économique et sociale. Sur un marché de la distribution traditionnelle de courrier en pleine contraction, un grand nombre d’opérateurs postaux historiques sont contraints de diversifier le po</w:t>
      </w:r>
      <w:r>
        <w:rPr>
          <w:rFonts w:ascii="Times New Roman" w:hAnsi="Times New Roman"/>
          <w:noProof/>
          <w:sz w:val="24"/>
          <w:lang w:val="fr-BE"/>
        </w:rPr>
        <w:t>rtefeuille de leurs activités et d’innover pour rester compétitifs. Dans le même temps, l’explosion du commerce électronique nécessite que le marché de la livraison de colis reliant acheteurs et vendeurs fonctionne bien. Des services postaux efficients con</w:t>
      </w:r>
      <w:r>
        <w:rPr>
          <w:rFonts w:ascii="Times New Roman" w:hAnsi="Times New Roman"/>
          <w:noProof/>
          <w:sz w:val="24"/>
          <w:lang w:val="fr-BE"/>
        </w:rPr>
        <w:t xml:space="preserve">stituent donc un facteur essentiel pour permettre au secteur du commerce électronique d’exploiter son potentiel de soutien à la croissance et de création d’emplois.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Dans le cadre de sa politique de contrôle des aides d’État dans le secteur postal, la Comm</w:t>
      </w:r>
      <w:r>
        <w:rPr>
          <w:rFonts w:ascii="Times New Roman" w:hAnsi="Times New Roman"/>
          <w:noProof/>
          <w:sz w:val="24"/>
          <w:lang w:val="fr-BE"/>
        </w:rPr>
        <w:t>ission poursuit plusieurs objectifs corrélés. Le contrôle des aides d’État permet de garantir que, lorsqu’un prestataire de services postaux – généralement un opérateur postal historique – est chargé d’exécuter une obligation de service public coûteuse, to</w:t>
      </w:r>
      <w:r>
        <w:rPr>
          <w:rFonts w:ascii="Times New Roman" w:hAnsi="Times New Roman"/>
          <w:noProof/>
          <w:sz w:val="24"/>
          <w:lang w:val="fr-BE"/>
        </w:rPr>
        <w:t>ute compensation versée au prestataire ne fausse pas la concurrence entre les opérateurs postaux historiques et les nouveaux entrants. Les aides d’État ne devraient pas mettre les bénéficiaires à l’abri des pressions concurrentielles et des évolutions du m</w:t>
      </w:r>
      <w:r>
        <w:rPr>
          <w:rFonts w:ascii="Times New Roman" w:hAnsi="Times New Roman"/>
          <w:noProof/>
          <w:sz w:val="24"/>
          <w:lang w:val="fr-BE"/>
        </w:rPr>
        <w:t xml:space="preserve">arché, mais devraient encourager l’efficience, l’innovation et l’investissement. </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février 2018, la Commission a autorisé, dans deux décisions, deux séries de compensations en faveur de la </w:t>
      </w:r>
      <w:r>
        <w:rPr>
          <w:rFonts w:ascii="Times New Roman" w:hAnsi="Times New Roman"/>
          <w:i/>
          <w:noProof/>
          <w:sz w:val="24"/>
          <w:lang w:val="fr-BE"/>
        </w:rPr>
        <w:t>poste tchèque</w:t>
      </w:r>
      <w:r>
        <w:rPr>
          <w:rFonts w:ascii="Times New Roman" w:hAnsi="Times New Roman"/>
          <w:noProof/>
          <w:sz w:val="24"/>
          <w:lang w:val="fr-BE"/>
        </w:rPr>
        <w:t>: une première, s’élevant à 2,6 milliards de couronn</w:t>
      </w:r>
      <w:r>
        <w:rPr>
          <w:rFonts w:ascii="Times New Roman" w:hAnsi="Times New Roman"/>
          <w:noProof/>
          <w:sz w:val="24"/>
          <w:lang w:val="fr-BE"/>
        </w:rPr>
        <w:t>es tchèques (environ 97 millions d’euros) pour la fourniture du service postal universel entre 2013 et 2017</w:t>
      </w:r>
      <w:r>
        <w:rPr>
          <w:rFonts w:ascii="Times New Roman" w:hAnsi="Times New Roman"/>
          <w:noProof/>
          <w:sz w:val="24"/>
          <w:vertAlign w:val="superscript"/>
        </w:rPr>
        <w:footnoteReference w:id="343"/>
      </w:r>
      <w:r>
        <w:rPr>
          <w:rFonts w:ascii="Times New Roman" w:hAnsi="Times New Roman"/>
          <w:noProof/>
          <w:sz w:val="24"/>
          <w:lang w:val="fr-BE"/>
        </w:rPr>
        <w:t>, et une seconde, s’élevant à 2,3 milliards de couronnes tchèques (environ 86 millions d’euros) pour la fourniture d’un système d’information reposa</w:t>
      </w:r>
      <w:r>
        <w:rPr>
          <w:rFonts w:ascii="Times New Roman" w:hAnsi="Times New Roman"/>
          <w:noProof/>
          <w:sz w:val="24"/>
          <w:lang w:val="fr-BE"/>
        </w:rPr>
        <w:t>nt sur des boîtes de données durant la période 2018-2022</w:t>
      </w:r>
      <w:r>
        <w:rPr>
          <w:rFonts w:ascii="Times New Roman" w:hAnsi="Times New Roman"/>
          <w:noProof/>
          <w:sz w:val="24"/>
          <w:vertAlign w:val="superscript"/>
        </w:rPr>
        <w:footnoteReference w:id="344"/>
      </w:r>
      <w:r>
        <w:rPr>
          <w:rFonts w:ascii="Times New Roman" w:hAnsi="Times New Roman"/>
          <w:noProof/>
          <w:sz w:val="24"/>
          <w:lang w:val="fr-BE"/>
        </w:rPr>
        <w:t>.</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 mai 2018, la Commission a aussi autorisé des compensations en faveur de </w:t>
      </w:r>
      <w:r>
        <w:rPr>
          <w:rFonts w:ascii="Times New Roman" w:hAnsi="Times New Roman"/>
          <w:i/>
          <w:noProof/>
          <w:sz w:val="24"/>
          <w:lang w:val="fr-BE"/>
        </w:rPr>
        <w:t>Post Danmark</w:t>
      </w:r>
      <w:r>
        <w:rPr>
          <w:rFonts w:ascii="Times New Roman" w:hAnsi="Times New Roman"/>
          <w:noProof/>
          <w:sz w:val="24"/>
          <w:lang w:val="fr-BE"/>
        </w:rPr>
        <w:t xml:space="preserve"> d’un montant de 1,2 milliard de couronnes danoises (environ 160 millions d’euros) pour la fourniture du service postal universel entre 2017 et 2019</w:t>
      </w:r>
      <w:r>
        <w:rPr>
          <w:rFonts w:ascii="Times New Roman" w:hAnsi="Times New Roman"/>
          <w:noProof/>
          <w:sz w:val="24"/>
          <w:vertAlign w:val="superscript"/>
        </w:rPr>
        <w:footnoteReference w:id="345"/>
      </w:r>
      <w:r>
        <w:rPr>
          <w:rFonts w:ascii="Times New Roman" w:hAnsi="Times New Roman"/>
          <w:noProof/>
          <w:sz w:val="24"/>
          <w:lang w:val="fr-BE"/>
        </w:rPr>
        <w:t>.</w:t>
      </w:r>
    </w:p>
    <w:p w:rsidR="00D9323F" w:rsidRDefault="00F47CDD">
      <w:pPr>
        <w:widowControl w:val="0"/>
        <w:tabs>
          <w:tab w:val="num" w:pos="360"/>
        </w:tabs>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Enfin, en juillet 2018, la Commission a conclu son enquête dans l’affaire </w:t>
      </w:r>
      <w:r>
        <w:rPr>
          <w:rFonts w:ascii="Times New Roman" w:hAnsi="Times New Roman"/>
          <w:i/>
          <w:noProof/>
          <w:sz w:val="24"/>
          <w:lang w:val="fr-BE"/>
        </w:rPr>
        <w:t>Correos</w:t>
      </w:r>
      <w:r>
        <w:rPr>
          <w:rFonts w:ascii="Times New Roman" w:hAnsi="Times New Roman"/>
          <w:noProof/>
          <w:sz w:val="24"/>
          <w:vertAlign w:val="superscript"/>
        </w:rPr>
        <w:footnoteReference w:id="346"/>
      </w:r>
      <w:r>
        <w:rPr>
          <w:rFonts w:ascii="Times New Roman" w:hAnsi="Times New Roman"/>
          <w:noProof/>
          <w:sz w:val="24"/>
          <w:lang w:val="fr-BE"/>
        </w:rPr>
        <w:t xml:space="preserve"> par une décision négat</w:t>
      </w:r>
      <w:r>
        <w:rPr>
          <w:rFonts w:ascii="Times New Roman" w:hAnsi="Times New Roman"/>
          <w:noProof/>
          <w:sz w:val="24"/>
          <w:lang w:val="fr-BE"/>
        </w:rPr>
        <w:t>ive ordonnant la récupération. La Commission a constaté que Correos, l’opérateur postal public espagnol, a bénéficié d’une surcompensation en contrepartie de l’exécution de son obligation de service postal universel entre 2004 et 2010, et qu’elle a égaleme</w:t>
      </w:r>
      <w:r>
        <w:rPr>
          <w:rFonts w:ascii="Times New Roman" w:hAnsi="Times New Roman"/>
          <w:noProof/>
          <w:sz w:val="24"/>
          <w:lang w:val="fr-BE"/>
        </w:rPr>
        <w:t xml:space="preserve">nt bénéficié d’exonérations fiscales incompatibles. Le montant à récupérer s’élevait à 167 millions d’euros. </w:t>
      </w:r>
    </w:p>
    <w:p w:rsidR="00D9323F" w:rsidRDefault="00D9323F">
      <w:pPr>
        <w:jc w:val="both"/>
        <w:rPr>
          <w:rFonts w:ascii="Times New Roman" w:hAnsi="Times New Roman"/>
          <w:i/>
          <w:noProof/>
          <w:sz w:val="24"/>
          <w:lang w:val="fr-BE"/>
        </w:rPr>
      </w:pPr>
    </w:p>
    <w:p w:rsidR="00D9323F" w:rsidRDefault="00F47CDD">
      <w:pPr>
        <w:jc w:val="both"/>
        <w:rPr>
          <w:rFonts w:ascii="Times New Roman" w:hAnsi="Times New Roman"/>
          <w:i/>
          <w:noProof/>
          <w:sz w:val="24"/>
          <w:szCs w:val="24"/>
          <w:lang w:val="fr-BE"/>
        </w:rPr>
      </w:pPr>
      <w:r>
        <w:rPr>
          <w:rFonts w:ascii="Times New Roman" w:hAnsi="Times New Roman"/>
          <w:i/>
          <w:noProof/>
          <w:sz w:val="24"/>
          <w:lang w:val="fr-BE"/>
        </w:rPr>
        <w:t>Application des règles relatives aux pratiques anticoncurrentielles dans le secteur des services juridiques</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Début 2018, la Commission a fait part</w:t>
      </w:r>
      <w:r>
        <w:rPr>
          <w:rFonts w:ascii="Times New Roman" w:hAnsi="Times New Roman"/>
          <w:noProof/>
          <w:sz w:val="24"/>
          <w:lang w:val="fr-BE"/>
        </w:rPr>
        <w:t xml:space="preserve"> de ses préoccupations concernant la compatibilité avec les règles de concurrence du barème d’honoraires minimaux pour la fourniture de travaux juridiques extrajudiciaires appliqué par le </w:t>
      </w:r>
      <w:r>
        <w:rPr>
          <w:rFonts w:ascii="Times New Roman" w:hAnsi="Times New Roman"/>
          <w:i/>
          <w:noProof/>
          <w:sz w:val="24"/>
          <w:lang w:val="fr-BE"/>
        </w:rPr>
        <w:t>barreau de Chypre</w:t>
      </w:r>
      <w:r>
        <w:rPr>
          <w:rFonts w:ascii="Times New Roman" w:hAnsi="Times New Roman"/>
          <w:noProof/>
          <w:sz w:val="24"/>
          <w:vertAlign w:val="superscript"/>
        </w:rPr>
        <w:footnoteReference w:id="347"/>
      </w:r>
      <w:r>
        <w:rPr>
          <w:rFonts w:ascii="Times New Roman" w:hAnsi="Times New Roman"/>
          <w:noProof/>
          <w:sz w:val="24"/>
          <w:lang w:val="fr-BE"/>
        </w:rPr>
        <w:t>. Dans ce contexte, les travaux extrajudiciaires i</w:t>
      </w:r>
      <w:r>
        <w:rPr>
          <w:rFonts w:ascii="Times New Roman" w:hAnsi="Times New Roman"/>
          <w:noProof/>
          <w:sz w:val="24"/>
          <w:lang w:val="fr-BE"/>
        </w:rPr>
        <w:t xml:space="preserve">ncluent, par exemple, la rédaction de testaments ou de contrats, l’administration de successions et l’immatriculation de sociétés. </w:t>
      </w:r>
    </w:p>
    <w:p w:rsidR="00D9323F" w:rsidRDefault="00F47CDD">
      <w:pPr>
        <w:spacing w:line="240" w:lineRule="auto"/>
        <w:jc w:val="both"/>
        <w:rPr>
          <w:rFonts w:ascii="Times New Roman" w:hAnsi="Times New Roman"/>
          <w:noProof/>
          <w:sz w:val="24"/>
          <w:szCs w:val="24"/>
          <w:lang w:val="fr-BE"/>
        </w:rPr>
      </w:pPr>
      <w:r>
        <w:rPr>
          <w:rFonts w:ascii="Times New Roman" w:hAnsi="Times New Roman"/>
          <w:noProof/>
          <w:sz w:val="24"/>
          <w:lang w:val="fr-BE"/>
        </w:rPr>
        <w:t>Les honoraires minimaux pertinents pour la fourniture de travaux juridiques extrajudiciaires avaient été adoptés par le barr</w:t>
      </w:r>
      <w:r>
        <w:rPr>
          <w:rFonts w:ascii="Times New Roman" w:hAnsi="Times New Roman"/>
          <w:noProof/>
          <w:sz w:val="24"/>
          <w:lang w:val="fr-BE"/>
        </w:rPr>
        <w:t>eau de Chypre conformément à la législation adoptée par l’État chypriote (la loi sur les avocats). Les États membres sont tenus, en vertu de l’article 4, paragraphe 3, du traité sur l’Union européenne, de coopérer de manière loyale dans l’application des r</w:t>
      </w:r>
      <w:r>
        <w:rPr>
          <w:rFonts w:ascii="Times New Roman" w:hAnsi="Times New Roman"/>
          <w:noProof/>
          <w:sz w:val="24"/>
          <w:lang w:val="fr-BE"/>
        </w:rPr>
        <w:t>ègles de concurrence. D’après l’avis préliminaire de la Commission, l’État chypriote, en habilitant le barreau de Chypre à adopter le barème d’honoraires minimaux, a manqué à son obligation de coopération loyale dans l’application des règles de concurrence</w:t>
      </w:r>
      <w:r>
        <w:rPr>
          <w:rFonts w:ascii="Times New Roman" w:hAnsi="Times New Roman"/>
          <w:noProof/>
          <w:sz w:val="24"/>
          <w:lang w:val="fr-BE"/>
        </w:rPr>
        <w:t xml:space="preserve">. De plus, la Commission a fait part aux autorités chypriotes de ses inquiétudes quant au fait que certaines dispositions de la loi sur les avocats étaient incompatibles avec les règles de concurrence de l’Union européenne. En réponse, Chypre a modifié la </w:t>
      </w:r>
      <w:r>
        <w:rPr>
          <w:rFonts w:ascii="Times New Roman" w:hAnsi="Times New Roman"/>
          <w:noProof/>
          <w:sz w:val="24"/>
          <w:lang w:val="fr-BE"/>
        </w:rPr>
        <w:t>législation en question en supprimant la disposition spécifique habilitant le barreau de Chypre à fixer ces honoraires, et le barreau de Chypre a abrogé le barème d’honoraires minimaux. La Commission a ainsi pu clore son enquête relative à la pratique anti</w:t>
      </w:r>
      <w:r>
        <w:rPr>
          <w:rFonts w:ascii="Times New Roman" w:hAnsi="Times New Roman"/>
          <w:noProof/>
          <w:sz w:val="24"/>
          <w:lang w:val="fr-BE"/>
        </w:rPr>
        <w:t xml:space="preserve">concurrentielle en novembre 2018.  </w:t>
      </w:r>
    </w:p>
    <w:p w:rsidR="00D9323F" w:rsidRDefault="00D9323F">
      <w:pPr>
        <w:widowControl w:val="0"/>
        <w:autoSpaceDE w:val="0"/>
        <w:autoSpaceDN w:val="0"/>
        <w:adjustRightInd w:val="0"/>
        <w:spacing w:line="240" w:lineRule="auto"/>
        <w:jc w:val="both"/>
        <w:rPr>
          <w:rFonts w:ascii="Times New Roman" w:hAnsi="Times New Roman"/>
          <w:b/>
          <w:bCs/>
          <w:noProof/>
          <w:color w:val="000000"/>
          <w:sz w:val="24"/>
          <w:szCs w:val="24"/>
          <w:lang w:val="fr-BE"/>
        </w:rPr>
        <w:sectPr w:rsidR="00D9323F">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709" w:footer="709" w:gutter="0"/>
          <w:pgNumType w:start="1"/>
          <w:cols w:space="720"/>
          <w:docGrid w:linePitch="360"/>
        </w:sectPr>
      </w:pPr>
    </w:p>
    <w:p w:rsidR="00D9323F" w:rsidRDefault="00F47CDD">
      <w:pPr>
        <w:widowControl w:val="0"/>
        <w:spacing w:line="240" w:lineRule="auto"/>
        <w:jc w:val="center"/>
        <w:rPr>
          <w:rFonts w:ascii="Times New Roman" w:hAnsi="Times New Roman"/>
          <w:b/>
          <w:noProof/>
          <w:lang w:val="fr-BE"/>
        </w:rPr>
      </w:pPr>
      <w:r>
        <w:rPr>
          <w:rFonts w:ascii="Times New Roman" w:hAnsi="Times New Roman"/>
          <w:b/>
          <w:noProof/>
          <w:lang w:val="fr-BE"/>
        </w:rPr>
        <w:t xml:space="preserve">ANNEXE </w:t>
      </w:r>
    </w:p>
    <w:p w:rsidR="00D9323F" w:rsidRDefault="00F47CDD">
      <w:pPr>
        <w:widowControl w:val="0"/>
        <w:spacing w:line="240" w:lineRule="auto"/>
        <w:jc w:val="center"/>
        <w:rPr>
          <w:rFonts w:ascii="Times New Roman" w:hAnsi="Times New Roman"/>
          <w:b/>
          <w:noProof/>
          <w:lang w:val="fr-BE"/>
        </w:rPr>
      </w:pPr>
      <w:r>
        <w:rPr>
          <w:rFonts w:ascii="Times New Roman" w:hAnsi="Times New Roman"/>
          <w:b/>
          <w:noProof/>
          <w:lang w:val="fr-BE"/>
        </w:rPr>
        <w:t>Affaires d’aides d’État au secteur bancaire: décisions adoptées par la Commission en 2018</w:t>
      </w:r>
    </w:p>
    <w:p w:rsidR="00D9323F" w:rsidRDefault="00F47CDD">
      <w:pPr>
        <w:widowControl w:val="0"/>
        <w:spacing w:line="240" w:lineRule="auto"/>
        <w:jc w:val="center"/>
        <w:rPr>
          <w:rFonts w:ascii="Times New Roman" w:hAnsi="Times New Roman"/>
          <w:b/>
          <w:noProof/>
        </w:rPr>
      </w:pPr>
      <w:r>
        <w:rPr>
          <w:rFonts w:ascii="Times New Roman" w:hAnsi="Times New Roman"/>
          <w:b/>
          <w:noProof/>
        </w:rPr>
        <w:t>Par pays</w:t>
      </w:r>
    </w:p>
    <w:tbl>
      <w:tblPr>
        <w:tblW w:w="106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463"/>
        <w:gridCol w:w="1899"/>
        <w:gridCol w:w="3362"/>
        <w:gridCol w:w="2045"/>
        <w:gridCol w:w="1462"/>
      </w:tblGrid>
      <w:tr w:rsidR="00D9323F">
        <w:trPr>
          <w:trHeight w:val="255"/>
        </w:trPr>
        <w:tc>
          <w:tcPr>
            <w:tcW w:w="425" w:type="dxa"/>
            <w:shd w:val="clear" w:color="auto" w:fill="BFBFBF" w:themeFill="background1" w:themeFillShade="BF"/>
          </w:tcPr>
          <w:p w:rsidR="00D9323F" w:rsidRDefault="00D9323F">
            <w:pPr>
              <w:spacing w:after="0" w:line="240" w:lineRule="auto"/>
              <w:ind w:left="283"/>
              <w:jc w:val="center"/>
              <w:rPr>
                <w:rFonts w:ascii="Arial" w:eastAsia="Times New Roman" w:hAnsi="Arial" w:cs="Arial"/>
                <w:b/>
                <w:bCs/>
                <w:noProof/>
                <w:sz w:val="16"/>
                <w:szCs w:val="16"/>
              </w:rPr>
            </w:pPr>
          </w:p>
        </w:tc>
        <w:tc>
          <w:tcPr>
            <w:tcW w:w="1419" w:type="dxa"/>
            <w:shd w:val="clear" w:color="auto" w:fill="BFBFBF" w:themeFill="background1" w:themeFillShade="BF"/>
            <w:noWrap/>
            <w:vAlign w:val="bottom"/>
            <w:hideMark/>
          </w:tcPr>
          <w:p w:rsidR="00D9323F" w:rsidRDefault="00D9323F">
            <w:pPr>
              <w:spacing w:after="0" w:line="240" w:lineRule="auto"/>
              <w:ind w:left="283"/>
              <w:jc w:val="center"/>
              <w:rPr>
                <w:rFonts w:ascii="Arial" w:eastAsia="Times New Roman" w:hAnsi="Arial" w:cs="Arial"/>
                <w:b/>
                <w:bCs/>
                <w:noProof/>
                <w:sz w:val="16"/>
                <w:szCs w:val="16"/>
              </w:rPr>
            </w:pPr>
          </w:p>
          <w:p w:rsidR="00D9323F" w:rsidRDefault="00F47CDD">
            <w:pPr>
              <w:spacing w:after="0" w:line="240" w:lineRule="auto"/>
              <w:ind w:left="33"/>
              <w:jc w:val="center"/>
              <w:rPr>
                <w:rFonts w:ascii="Arial" w:eastAsia="Times New Roman" w:hAnsi="Arial" w:cs="Arial"/>
                <w:b/>
                <w:bCs/>
                <w:noProof/>
                <w:sz w:val="16"/>
                <w:szCs w:val="16"/>
              </w:rPr>
            </w:pPr>
            <w:r>
              <w:rPr>
                <w:rFonts w:ascii="Arial" w:hAnsi="Arial"/>
                <w:b/>
                <w:noProof/>
                <w:sz w:val="16"/>
              </w:rPr>
              <w:t>État membre</w:t>
            </w:r>
          </w:p>
          <w:p w:rsidR="00D9323F" w:rsidRDefault="00D9323F">
            <w:pPr>
              <w:spacing w:after="0" w:line="240" w:lineRule="auto"/>
              <w:ind w:left="283"/>
              <w:jc w:val="center"/>
              <w:rPr>
                <w:rFonts w:ascii="Arial" w:eastAsia="Times New Roman" w:hAnsi="Arial" w:cs="Arial"/>
                <w:b/>
                <w:bCs/>
                <w:noProof/>
                <w:sz w:val="16"/>
                <w:szCs w:val="16"/>
              </w:rPr>
            </w:pPr>
          </w:p>
        </w:tc>
        <w:tc>
          <w:tcPr>
            <w:tcW w:w="5103" w:type="dxa"/>
            <w:gridSpan w:val="2"/>
            <w:shd w:val="clear" w:color="auto" w:fill="BFBFBF" w:themeFill="background1" w:themeFillShade="BF"/>
            <w:noWrap/>
            <w:vAlign w:val="bottom"/>
            <w:hideMark/>
          </w:tcPr>
          <w:p w:rsidR="00D9323F" w:rsidRDefault="00F47CDD">
            <w:pPr>
              <w:spacing w:after="0" w:line="240" w:lineRule="auto"/>
              <w:jc w:val="center"/>
              <w:rPr>
                <w:rFonts w:ascii="Arial" w:eastAsia="Times New Roman" w:hAnsi="Arial" w:cs="Arial"/>
                <w:b/>
                <w:bCs/>
                <w:noProof/>
                <w:sz w:val="16"/>
                <w:szCs w:val="16"/>
              </w:rPr>
            </w:pPr>
            <w:r>
              <w:rPr>
                <w:rFonts w:ascii="Arial" w:hAnsi="Arial"/>
                <w:b/>
                <w:noProof/>
                <w:sz w:val="16"/>
              </w:rPr>
              <w:t>Numéro/intitulé de l’affaire</w:t>
            </w:r>
          </w:p>
          <w:p w:rsidR="00D9323F" w:rsidRDefault="00D9323F">
            <w:pPr>
              <w:spacing w:after="0" w:line="240" w:lineRule="auto"/>
              <w:jc w:val="center"/>
              <w:rPr>
                <w:rFonts w:ascii="Arial" w:eastAsia="Times New Roman" w:hAnsi="Arial" w:cs="Arial"/>
                <w:b/>
                <w:bCs/>
                <w:noProof/>
                <w:sz w:val="16"/>
                <w:szCs w:val="16"/>
              </w:rPr>
            </w:pPr>
          </w:p>
        </w:tc>
        <w:tc>
          <w:tcPr>
            <w:tcW w:w="1984" w:type="dxa"/>
            <w:shd w:val="clear" w:color="auto" w:fill="BFBFBF" w:themeFill="background1" w:themeFillShade="BF"/>
            <w:noWrap/>
            <w:vAlign w:val="bottom"/>
            <w:hideMark/>
          </w:tcPr>
          <w:p w:rsidR="00D9323F" w:rsidRDefault="00F47CDD">
            <w:pPr>
              <w:spacing w:after="0" w:line="240" w:lineRule="auto"/>
              <w:jc w:val="center"/>
              <w:rPr>
                <w:rFonts w:ascii="Arial" w:eastAsia="Times New Roman" w:hAnsi="Arial" w:cs="Arial"/>
                <w:b/>
                <w:bCs/>
                <w:noProof/>
                <w:sz w:val="16"/>
                <w:szCs w:val="16"/>
              </w:rPr>
            </w:pPr>
            <w:r>
              <w:rPr>
                <w:rFonts w:ascii="Arial" w:hAnsi="Arial"/>
                <w:b/>
                <w:noProof/>
                <w:sz w:val="16"/>
              </w:rPr>
              <w:t xml:space="preserve">Type </w:t>
            </w:r>
            <w:r>
              <w:rPr>
                <w:rFonts w:ascii="Arial" w:hAnsi="Arial"/>
                <w:b/>
                <w:noProof/>
                <w:sz w:val="16"/>
              </w:rPr>
              <w:t>de décision</w:t>
            </w:r>
          </w:p>
          <w:p w:rsidR="00D9323F" w:rsidRDefault="00D9323F">
            <w:pPr>
              <w:spacing w:after="0" w:line="240" w:lineRule="auto"/>
              <w:jc w:val="center"/>
              <w:rPr>
                <w:rFonts w:ascii="Arial" w:eastAsia="Times New Roman" w:hAnsi="Arial" w:cs="Arial"/>
                <w:b/>
                <w:bCs/>
                <w:noProof/>
                <w:sz w:val="16"/>
                <w:szCs w:val="16"/>
              </w:rPr>
            </w:pPr>
          </w:p>
        </w:tc>
        <w:tc>
          <w:tcPr>
            <w:tcW w:w="1418" w:type="dxa"/>
            <w:shd w:val="clear" w:color="auto" w:fill="BFBFBF" w:themeFill="background1" w:themeFillShade="BF"/>
            <w:noWrap/>
            <w:vAlign w:val="bottom"/>
            <w:hideMark/>
          </w:tcPr>
          <w:p w:rsidR="00D9323F" w:rsidRDefault="00D9323F">
            <w:pPr>
              <w:spacing w:after="0" w:line="240" w:lineRule="auto"/>
              <w:jc w:val="center"/>
              <w:rPr>
                <w:rFonts w:ascii="Arial" w:eastAsia="Times New Roman" w:hAnsi="Arial" w:cs="Arial"/>
                <w:b/>
                <w:bCs/>
                <w:noProof/>
                <w:sz w:val="16"/>
                <w:szCs w:val="16"/>
              </w:rPr>
            </w:pPr>
          </w:p>
          <w:p w:rsidR="00D9323F" w:rsidRDefault="00F47CDD">
            <w:pPr>
              <w:spacing w:after="0" w:line="240" w:lineRule="auto"/>
              <w:jc w:val="center"/>
              <w:rPr>
                <w:rFonts w:ascii="Arial" w:eastAsia="Times New Roman" w:hAnsi="Arial" w:cs="Arial"/>
                <w:b/>
                <w:bCs/>
                <w:noProof/>
                <w:sz w:val="16"/>
                <w:szCs w:val="16"/>
              </w:rPr>
            </w:pPr>
            <w:r>
              <w:rPr>
                <w:rFonts w:ascii="Arial" w:hAnsi="Arial"/>
                <w:b/>
                <w:noProof/>
                <w:sz w:val="16"/>
              </w:rPr>
              <w:t>Date</w:t>
            </w:r>
          </w:p>
          <w:p w:rsidR="00D9323F" w:rsidRDefault="00F47CDD">
            <w:pPr>
              <w:spacing w:after="0" w:line="240" w:lineRule="auto"/>
              <w:jc w:val="center"/>
              <w:rPr>
                <w:rFonts w:ascii="Arial" w:eastAsia="Times New Roman" w:hAnsi="Arial" w:cs="Arial"/>
                <w:b/>
                <w:bCs/>
                <w:noProof/>
                <w:sz w:val="16"/>
                <w:szCs w:val="16"/>
              </w:rPr>
            </w:pPr>
            <w:r>
              <w:rPr>
                <w:rFonts w:ascii="Arial" w:hAnsi="Arial"/>
                <w:b/>
                <w:noProof/>
                <w:sz w:val="16"/>
              </w:rPr>
              <w:t>d’adoption</w:t>
            </w:r>
          </w:p>
          <w:p w:rsidR="00D9323F" w:rsidRDefault="00D9323F">
            <w:pPr>
              <w:spacing w:after="0" w:line="240" w:lineRule="auto"/>
              <w:jc w:val="center"/>
              <w:rPr>
                <w:rFonts w:ascii="Arial" w:eastAsia="Times New Roman" w:hAnsi="Arial" w:cs="Arial"/>
                <w:b/>
                <w:bCs/>
                <w:noProof/>
                <w:sz w:val="16"/>
                <w:szCs w:val="16"/>
              </w:rPr>
            </w:pPr>
          </w:p>
        </w:tc>
      </w:tr>
      <w:tr w:rsidR="00D9323F">
        <w:trPr>
          <w:trHeight w:val="51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Autriche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SA.48840(2018/N)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Régime autrichien de prime de capital-risque</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11.7.2018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2</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Chypre</w:t>
            </w:r>
          </w:p>
        </w:tc>
        <w:tc>
          <w:tcPr>
            <w:tcW w:w="1842" w:type="dxa"/>
            <w:shd w:val="clear" w:color="000000" w:fill="FFFFFF"/>
            <w:hideMark/>
          </w:tcPr>
          <w:p w:rsidR="00D9323F" w:rsidRDefault="00D9323F">
            <w:pPr>
              <w:spacing w:after="0" w:line="240" w:lineRule="auto"/>
              <w:rPr>
                <w:rFonts w:eastAsia="Times New Roman" w:cs="Arial"/>
                <w:noProof/>
                <w:sz w:val="18"/>
                <w:szCs w:val="18"/>
              </w:rPr>
            </w:pPr>
          </w:p>
          <w:p w:rsidR="00D9323F" w:rsidRDefault="00F47CDD">
            <w:pPr>
              <w:spacing w:after="0" w:line="240" w:lineRule="auto"/>
              <w:rPr>
                <w:rFonts w:eastAsia="Times New Roman" w:cs="Arial"/>
                <w:noProof/>
                <w:sz w:val="18"/>
                <w:szCs w:val="18"/>
              </w:rPr>
            </w:pPr>
            <w:r>
              <w:rPr>
                <w:noProof/>
                <w:sz w:val="18"/>
              </w:rPr>
              <w:t>SA.35334(2018/N-2)</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Aide à la liquidation pour la sortie ordonnée du marché de </w:t>
            </w:r>
            <w:r>
              <w:rPr>
                <w:rFonts w:ascii="Arial" w:hAnsi="Arial"/>
                <w:noProof/>
                <w:sz w:val="18"/>
                <w:lang w:val="fr-BE"/>
              </w:rPr>
              <w:t>Cyprus Cooperative Bank Ltd</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19.6.2018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3</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Chypre</w:t>
            </w:r>
          </w:p>
        </w:tc>
        <w:tc>
          <w:tcPr>
            <w:tcW w:w="1842" w:type="dxa"/>
            <w:shd w:val="clear" w:color="000000" w:fill="FFFFFF"/>
            <w:hideMark/>
          </w:tcPr>
          <w:p w:rsidR="00D9323F" w:rsidRDefault="00D9323F">
            <w:pPr>
              <w:spacing w:after="0" w:line="240" w:lineRule="auto"/>
              <w:rPr>
                <w:rFonts w:eastAsia="Times New Roman" w:cs="Arial"/>
                <w:noProof/>
                <w:sz w:val="18"/>
                <w:szCs w:val="18"/>
              </w:rPr>
            </w:pPr>
          </w:p>
          <w:p w:rsidR="00D9323F" w:rsidRDefault="00F47CDD">
            <w:pPr>
              <w:spacing w:after="0" w:line="240" w:lineRule="auto"/>
              <w:rPr>
                <w:rFonts w:eastAsia="Times New Roman" w:cs="Arial"/>
                <w:noProof/>
                <w:sz w:val="18"/>
                <w:szCs w:val="18"/>
              </w:rPr>
            </w:pPr>
            <w:r>
              <w:rPr>
                <w:noProof/>
                <w:sz w:val="18"/>
              </w:rPr>
              <w:t>SA.35334(2018/N-3)</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Aide à la liquidation pour la sortie ordonnée du marché de Cyprus Cooperative Bank Ltd</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28.8.2018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4</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Danemark</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SA.51200(2018/N)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Prolongation du régime de liquidation des petites banques</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31.8.2018</w:t>
            </w:r>
          </w:p>
        </w:tc>
      </w:tr>
      <w:tr w:rsidR="00D9323F">
        <w:trPr>
          <w:trHeight w:val="102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5</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Grèce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SA.51087(2018/N)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Prolongation du régime de garanties publiques en faveur des banques en Grèce </w:t>
            </w:r>
            <w:r>
              <w:rPr>
                <w:rFonts w:ascii="Arial" w:hAnsi="Arial"/>
                <w:noProof/>
                <w:sz w:val="18"/>
                <w:lang w:val="fr-BE"/>
              </w:rPr>
              <w:t>(article 2 de la loi 3723/2008)</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7.6.2018</w:t>
            </w:r>
          </w:p>
        </w:tc>
      </w:tr>
      <w:tr w:rsidR="00D9323F">
        <w:trPr>
          <w:trHeight w:val="102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6</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Irlande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SA.52132(2018/N)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Huitième prolongation du régime de restructuration et de stabilisation des coopératives de crédit</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8.11.2018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7</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Irlande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SA.50953(2018/N)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Treizième prolongation du régime de résolution des coopératives de crédit de 2018</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25.5.2018</w:t>
            </w:r>
          </w:p>
        </w:tc>
      </w:tr>
      <w:tr w:rsidR="00D9323F">
        <w:trPr>
          <w:trHeight w:val="102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8</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Irlande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SA.50692(2018/N)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Septième prolongation du régime de restructuration et de stabilisation des coopératives de crédit </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30.4.2018</w:t>
            </w:r>
          </w:p>
        </w:tc>
      </w:tr>
      <w:tr w:rsidR="00D9323F">
        <w:trPr>
          <w:trHeight w:val="127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9</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Italie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SA.51026(2018/N)</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Prolongation du régime de garantie italien en faveur de la titrisation </w:t>
            </w:r>
            <w:r>
              <w:rPr>
                <w:rFonts w:ascii="Arial" w:hAnsi="Arial"/>
                <w:noProof/>
                <w:sz w:val="18"/>
                <w:lang w:val="fr-BE"/>
              </w:rPr>
              <w:t>des prêts improductifs</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31.8.2018</w:t>
            </w:r>
          </w:p>
        </w:tc>
      </w:tr>
      <w:tr w:rsidR="00D9323F">
        <w:trPr>
          <w:trHeight w:val="51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10</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Italie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SA.50640(2018/N)</w:t>
            </w:r>
          </w:p>
        </w:tc>
        <w:tc>
          <w:tcPr>
            <w:tcW w:w="3261" w:type="dxa"/>
            <w:shd w:val="clear" w:color="000000" w:fill="FFFFFF"/>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Italie - régime de liquidation des petites banques</w:t>
            </w:r>
          </w:p>
          <w:p w:rsidR="00D9323F" w:rsidRDefault="00D9323F">
            <w:pPr>
              <w:spacing w:after="0" w:line="240" w:lineRule="auto"/>
              <w:rPr>
                <w:rFonts w:ascii="Arial" w:eastAsia="Times New Roman" w:hAnsi="Arial" w:cs="Arial"/>
                <w:noProof/>
                <w:sz w:val="18"/>
                <w:szCs w:val="18"/>
                <w:lang w:val="fr-BE"/>
              </w:rPr>
            </w:pPr>
          </w:p>
        </w:tc>
        <w:tc>
          <w:tcPr>
            <w:tcW w:w="1984" w:type="dxa"/>
            <w:shd w:val="clear" w:color="000000" w:fill="FFFFFF"/>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13.4.2018</w:t>
            </w:r>
          </w:p>
        </w:tc>
      </w:tr>
      <w:tr w:rsidR="00D9323F">
        <w:trPr>
          <w:trHeight w:val="1020"/>
        </w:trPr>
        <w:tc>
          <w:tcPr>
            <w:tcW w:w="425" w:type="dxa"/>
            <w:shd w:val="clear" w:color="000000" w:fill="FFFFFF"/>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11</w:t>
            </w:r>
          </w:p>
        </w:tc>
        <w:tc>
          <w:tcPr>
            <w:tcW w:w="1419"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Pays-Bas</w:t>
            </w:r>
          </w:p>
        </w:tc>
        <w:tc>
          <w:tcPr>
            <w:tcW w:w="1842" w:type="dxa"/>
            <w:shd w:val="clear" w:color="000000" w:fill="FFFFFF"/>
            <w:hideMark/>
          </w:tcPr>
          <w:p w:rsidR="00D9323F" w:rsidRDefault="00F47CDD">
            <w:pPr>
              <w:spacing w:after="0" w:line="240" w:lineRule="auto"/>
              <w:jc w:val="right"/>
              <w:rPr>
                <w:rFonts w:eastAsia="Times New Roman" w:cs="Arial"/>
                <w:noProof/>
                <w:sz w:val="18"/>
                <w:szCs w:val="18"/>
              </w:rPr>
            </w:pPr>
            <w:r>
              <w:rPr>
                <w:noProof/>
                <w:sz w:val="18"/>
              </w:rPr>
              <w:t>SA.48350(2017/N)</w:t>
            </w:r>
          </w:p>
        </w:tc>
        <w:tc>
          <w:tcPr>
            <w:tcW w:w="3261" w:type="dxa"/>
            <w:shd w:val="clear" w:color="000000" w:fill="FFFFFF"/>
          </w:tcPr>
          <w:p w:rsidR="00D9323F" w:rsidRDefault="00F47CDD">
            <w:pPr>
              <w:spacing w:after="0" w:line="240" w:lineRule="auto"/>
              <w:rPr>
                <w:rFonts w:ascii="Arial" w:eastAsia="Times New Roman" w:hAnsi="Arial" w:cs="Arial"/>
                <w:noProof/>
                <w:sz w:val="18"/>
                <w:szCs w:val="18"/>
                <w:lang w:val="nl-NL"/>
              </w:rPr>
            </w:pPr>
            <w:r>
              <w:rPr>
                <w:rFonts w:ascii="Arial" w:hAnsi="Arial"/>
                <w:noProof/>
                <w:sz w:val="18"/>
                <w:lang w:val="nl-NL"/>
              </w:rPr>
              <w:t>Uitgebreide</w:t>
            </w:r>
            <w:r>
              <w:rPr>
                <w:rFonts w:ascii="Arial" w:hAnsi="Arial"/>
                <w:noProof/>
                <w:sz w:val="18"/>
                <w:lang w:val="nl-NL"/>
              </w:rPr>
              <w:t xml:space="preserve"> groeifaciliteit – Nederlandse garantieregeling voor middelgrote en grote ondernemingen met een aanzienlijk groeipotentieel – Nederland</w:t>
            </w:r>
          </w:p>
        </w:tc>
        <w:tc>
          <w:tcPr>
            <w:tcW w:w="1984" w:type="dxa"/>
            <w:shd w:val="clear" w:color="000000" w:fill="FFFFFF"/>
            <w:hideMark/>
          </w:tcPr>
          <w:p w:rsidR="00D9323F" w:rsidRDefault="00D9323F">
            <w:pPr>
              <w:spacing w:after="0" w:line="240" w:lineRule="auto"/>
              <w:jc w:val="center"/>
              <w:rPr>
                <w:rFonts w:ascii="Arial" w:eastAsia="Times New Roman" w:hAnsi="Arial" w:cs="Arial"/>
                <w:noProof/>
                <w:sz w:val="18"/>
                <w:szCs w:val="18"/>
                <w:lang w:val="nl-NL"/>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000000" w:fill="FFFFFF"/>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26.3.2018</w:t>
            </w:r>
          </w:p>
        </w:tc>
      </w:tr>
      <w:tr w:rsidR="00D9323F">
        <w:trPr>
          <w:trHeight w:val="765"/>
        </w:trPr>
        <w:tc>
          <w:tcPr>
            <w:tcW w:w="425" w:type="dxa"/>
            <w:shd w:val="clear" w:color="000000" w:fill="FFFFFF"/>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12</w:t>
            </w:r>
          </w:p>
        </w:tc>
        <w:tc>
          <w:tcPr>
            <w:tcW w:w="1419"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Pays-Bas</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SA.48197(2018/N)</w:t>
            </w:r>
          </w:p>
        </w:tc>
        <w:tc>
          <w:tcPr>
            <w:tcW w:w="3261" w:type="dxa"/>
            <w:shd w:val="clear" w:color="000000" w:fill="FFFFFF"/>
          </w:tcPr>
          <w:p w:rsidR="00D9323F" w:rsidRDefault="00D9323F">
            <w:pPr>
              <w:spacing w:after="0" w:line="240" w:lineRule="auto"/>
              <w:rPr>
                <w:rFonts w:ascii="Arial" w:eastAsia="Times New Roman" w:hAnsi="Arial" w:cs="Arial"/>
                <w:noProof/>
                <w:sz w:val="18"/>
                <w:szCs w:val="18"/>
              </w:rPr>
            </w:pPr>
          </w:p>
          <w:p w:rsidR="00D9323F" w:rsidRDefault="00F47CDD">
            <w:pPr>
              <w:spacing w:after="0" w:line="240" w:lineRule="auto"/>
              <w:rPr>
                <w:rFonts w:ascii="Arial" w:eastAsia="Times New Roman" w:hAnsi="Arial" w:cs="Arial"/>
                <w:noProof/>
                <w:sz w:val="18"/>
                <w:szCs w:val="18"/>
              </w:rPr>
            </w:pPr>
            <w:r>
              <w:rPr>
                <w:rFonts w:ascii="Arial" w:hAnsi="Arial"/>
                <w:noProof/>
                <w:sz w:val="18"/>
              </w:rPr>
              <w:t>Groeifaciliteit</w:t>
            </w:r>
          </w:p>
        </w:tc>
        <w:tc>
          <w:tcPr>
            <w:tcW w:w="1984"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 xml:space="preserve">Décision </w:t>
            </w:r>
            <w:r>
              <w:rPr>
                <w:rFonts w:ascii="Arial" w:hAnsi="Arial"/>
                <w:noProof/>
                <w:sz w:val="18"/>
              </w:rPr>
              <w:t>constatant l’absence d’aide</w:t>
            </w:r>
          </w:p>
        </w:tc>
        <w:tc>
          <w:tcPr>
            <w:tcW w:w="1418"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9.7.2018</w:t>
            </w:r>
          </w:p>
        </w:tc>
      </w:tr>
      <w:tr w:rsidR="00D9323F">
        <w:trPr>
          <w:trHeight w:val="102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13</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Pologne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SA.51482(2018/N)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Huitième prolongation du régime de liquidation ordonnée des coopératives de crédit</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31.8.2018</w:t>
            </w:r>
          </w:p>
        </w:tc>
      </w:tr>
      <w:tr w:rsidR="00D9323F">
        <w:trPr>
          <w:trHeight w:val="127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14</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Pologne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SA.51403(2018/N)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Deuxième </w:t>
            </w:r>
            <w:r>
              <w:rPr>
                <w:rFonts w:ascii="Arial" w:hAnsi="Arial"/>
                <w:noProof/>
                <w:sz w:val="18"/>
                <w:lang w:val="fr-BE"/>
              </w:rPr>
              <w:t>prolongation du régime de résolution applicable aux banques coopératives et aux petites banques commerciales</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10.8.2018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15</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Pologne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SA.51235(2018/N)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Dix-huitième prolongation du régime polonais de garantie </w:t>
            </w:r>
            <w:r>
              <w:rPr>
                <w:rFonts w:ascii="Arial" w:hAnsi="Arial"/>
                <w:noProof/>
                <w:sz w:val="18"/>
                <w:lang w:val="fr-BE"/>
              </w:rPr>
              <w:t>bancaire</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11.7.2018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16</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Portugal</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SA.51042(2018/N)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Dix-septième extension du régime portugais de garanties</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9.8.2018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17</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Portugal</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jc w:val="right"/>
              <w:rPr>
                <w:rFonts w:eastAsia="Times New Roman" w:cs="Arial"/>
                <w:noProof/>
                <w:sz w:val="18"/>
                <w:szCs w:val="18"/>
              </w:rPr>
            </w:pPr>
            <w:r>
              <w:rPr>
                <w:noProof/>
                <w:sz w:val="18"/>
              </w:rPr>
              <w:t xml:space="preserve">SA.51041(2018/N)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Neuvième </w:t>
            </w:r>
            <w:r>
              <w:rPr>
                <w:rFonts w:ascii="Arial" w:hAnsi="Arial"/>
                <w:noProof/>
                <w:sz w:val="18"/>
                <w:lang w:val="fr-BE"/>
              </w:rPr>
              <w:t>prolongation du régime portugais de garanties pour les prêts de la BEI</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9.8.2018</w:t>
            </w:r>
          </w:p>
        </w:tc>
      </w:tr>
      <w:tr w:rsidR="00D9323F">
        <w:trPr>
          <w:trHeight w:val="510"/>
        </w:trPr>
        <w:tc>
          <w:tcPr>
            <w:tcW w:w="425" w:type="dxa"/>
            <w:shd w:val="clear" w:color="000000" w:fill="FFFFFF"/>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18</w:t>
            </w:r>
          </w:p>
        </w:tc>
        <w:tc>
          <w:tcPr>
            <w:tcW w:w="1419"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Slovénie</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rPr>
                <w:rFonts w:eastAsia="Times New Roman" w:cs="Arial"/>
                <w:noProof/>
                <w:sz w:val="18"/>
                <w:szCs w:val="18"/>
              </w:rPr>
            </w:pPr>
            <w:r>
              <w:rPr>
                <w:noProof/>
                <w:sz w:val="18"/>
              </w:rPr>
              <w:t xml:space="preserve">SA.33229(2017/N-3) </w:t>
            </w:r>
          </w:p>
        </w:tc>
        <w:tc>
          <w:tcPr>
            <w:tcW w:w="3261" w:type="dxa"/>
            <w:shd w:val="clear" w:color="000000" w:fill="FFFFFF"/>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Modification des engagements de restructuration de Nova Ljubljanska Banka d.d.</w:t>
            </w:r>
          </w:p>
        </w:tc>
        <w:tc>
          <w:tcPr>
            <w:tcW w:w="1984" w:type="dxa"/>
            <w:shd w:val="clear" w:color="000000" w:fill="FFFFFF"/>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Décision finale</w:t>
            </w:r>
            <w:r>
              <w:rPr>
                <w:rFonts w:ascii="Arial" w:hAnsi="Arial"/>
                <w:noProof/>
                <w:sz w:val="18"/>
              </w:rPr>
              <w:t xml:space="preserve"> favorable</w:t>
            </w:r>
          </w:p>
        </w:tc>
        <w:tc>
          <w:tcPr>
            <w:tcW w:w="1418" w:type="dxa"/>
            <w:shd w:val="clear" w:color="000000" w:fill="FFFFFF"/>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10.8.2018</w:t>
            </w:r>
          </w:p>
        </w:tc>
      </w:tr>
      <w:tr w:rsidR="00D9323F">
        <w:trPr>
          <w:trHeight w:val="1020"/>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19</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Slovénie</w:t>
            </w:r>
          </w:p>
        </w:tc>
        <w:tc>
          <w:tcPr>
            <w:tcW w:w="1842" w:type="dxa"/>
            <w:shd w:val="clear" w:color="000000" w:fill="FFFFFF"/>
            <w:hideMark/>
          </w:tcPr>
          <w:p w:rsidR="00D9323F" w:rsidRDefault="00D9323F">
            <w:pPr>
              <w:spacing w:after="0" w:line="240" w:lineRule="auto"/>
              <w:rPr>
                <w:rFonts w:eastAsia="Times New Roman" w:cs="Arial"/>
                <w:noProof/>
                <w:sz w:val="18"/>
                <w:szCs w:val="18"/>
              </w:rPr>
            </w:pPr>
          </w:p>
          <w:p w:rsidR="00D9323F" w:rsidRDefault="00F47CDD">
            <w:pPr>
              <w:spacing w:after="0" w:line="240" w:lineRule="auto"/>
              <w:rPr>
                <w:rFonts w:eastAsia="Times New Roman" w:cs="Arial"/>
                <w:noProof/>
                <w:sz w:val="18"/>
                <w:szCs w:val="18"/>
              </w:rPr>
            </w:pPr>
            <w:r>
              <w:rPr>
                <w:noProof/>
                <w:sz w:val="18"/>
              </w:rPr>
              <w:t xml:space="preserve">SA.33229(2018/N-4)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Modification des engagements de restructuration de Nova Ljubljanska Banka d.d.</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10.8.2018</w:t>
            </w:r>
          </w:p>
        </w:tc>
      </w:tr>
      <w:tr w:rsidR="00D9323F">
        <w:trPr>
          <w:trHeight w:val="765"/>
        </w:trPr>
        <w:tc>
          <w:tcPr>
            <w:tcW w:w="425" w:type="dxa"/>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20</w:t>
            </w:r>
          </w:p>
        </w:tc>
        <w:tc>
          <w:tcPr>
            <w:tcW w:w="1419" w:type="dxa"/>
            <w:shd w:val="clear" w:color="auto" w:fill="auto"/>
            <w:hideMark/>
          </w:tcPr>
          <w:p w:rsidR="00D9323F" w:rsidRDefault="00D9323F">
            <w:pPr>
              <w:spacing w:after="0" w:line="240" w:lineRule="auto"/>
              <w:jc w:val="center"/>
              <w:rPr>
                <w:rFonts w:ascii="Arial" w:eastAsia="Times New Roman" w:hAnsi="Arial" w:cs="Arial"/>
                <w:noProof/>
                <w:sz w:val="18"/>
                <w:szCs w:val="18"/>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Royaume-Uni</w:t>
            </w:r>
          </w:p>
        </w:tc>
        <w:tc>
          <w:tcPr>
            <w:tcW w:w="1842" w:type="dxa"/>
            <w:shd w:val="clear" w:color="000000" w:fill="FFFFFF"/>
            <w:hideMark/>
          </w:tcPr>
          <w:p w:rsidR="00D9323F" w:rsidRDefault="00D9323F">
            <w:pPr>
              <w:spacing w:after="0" w:line="240" w:lineRule="auto"/>
              <w:jc w:val="right"/>
              <w:rPr>
                <w:rFonts w:eastAsia="Times New Roman" w:cs="Arial"/>
                <w:noProof/>
                <w:sz w:val="18"/>
                <w:szCs w:val="18"/>
              </w:rPr>
            </w:pPr>
          </w:p>
          <w:p w:rsidR="00D9323F" w:rsidRDefault="00F47CDD">
            <w:pPr>
              <w:spacing w:after="0" w:line="240" w:lineRule="auto"/>
              <w:rPr>
                <w:rFonts w:eastAsia="Times New Roman" w:cs="Arial"/>
                <w:noProof/>
                <w:sz w:val="18"/>
                <w:szCs w:val="18"/>
              </w:rPr>
            </w:pPr>
            <w:r>
              <w:rPr>
                <w:noProof/>
                <w:sz w:val="18"/>
              </w:rPr>
              <w:t xml:space="preserve">SA.49923(2018/N) </w:t>
            </w:r>
          </w:p>
        </w:tc>
        <w:tc>
          <w:tcPr>
            <w:tcW w:w="3261" w:type="dxa"/>
          </w:tcPr>
          <w:p w:rsidR="00D9323F" w:rsidRDefault="00D9323F">
            <w:pPr>
              <w:spacing w:after="0" w:line="240" w:lineRule="auto"/>
              <w:rPr>
                <w:rFonts w:ascii="Arial" w:eastAsia="Times New Roman" w:hAnsi="Arial" w:cs="Arial"/>
                <w:noProof/>
                <w:sz w:val="18"/>
                <w:szCs w:val="18"/>
                <w:lang w:val="fr-BE"/>
              </w:rPr>
            </w:pPr>
          </w:p>
          <w:p w:rsidR="00D9323F" w:rsidRDefault="00F47CDD">
            <w:pPr>
              <w:spacing w:after="0" w:line="240" w:lineRule="auto"/>
              <w:rPr>
                <w:rFonts w:ascii="Arial" w:eastAsia="Times New Roman" w:hAnsi="Arial" w:cs="Arial"/>
                <w:noProof/>
                <w:sz w:val="18"/>
                <w:szCs w:val="18"/>
                <w:lang w:val="fr-BE"/>
              </w:rPr>
            </w:pPr>
            <w:r>
              <w:rPr>
                <w:rFonts w:ascii="Arial" w:hAnsi="Arial"/>
                <w:noProof/>
                <w:sz w:val="18"/>
                <w:lang w:val="fr-BE"/>
              </w:rPr>
              <w:t xml:space="preserve">Modification des régimes </w:t>
            </w:r>
            <w:r>
              <w:rPr>
                <w:rFonts w:ascii="Arial" w:hAnsi="Arial"/>
                <w:noProof/>
                <w:sz w:val="18"/>
                <w:lang w:val="fr-BE"/>
              </w:rPr>
              <w:t>d’aides «Enterprise Investment Scheme» et «Venture Capital Trust scheme»</w:t>
            </w:r>
          </w:p>
        </w:tc>
        <w:tc>
          <w:tcPr>
            <w:tcW w:w="1984"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lang w:val="fr-BE"/>
              </w:rPr>
            </w:pPr>
            <w:r>
              <w:rPr>
                <w:rFonts w:ascii="Arial" w:hAnsi="Arial"/>
                <w:noProof/>
                <w:sz w:val="18"/>
                <w:lang w:val="fr-BE"/>
              </w:rPr>
              <w:t>Décision de ne pas soulever d’objections</w:t>
            </w:r>
          </w:p>
        </w:tc>
        <w:tc>
          <w:tcPr>
            <w:tcW w:w="1418" w:type="dxa"/>
            <w:shd w:val="clear" w:color="auto" w:fill="auto"/>
            <w:hideMark/>
          </w:tcPr>
          <w:p w:rsidR="00D9323F" w:rsidRDefault="00D9323F">
            <w:pPr>
              <w:spacing w:after="0" w:line="240" w:lineRule="auto"/>
              <w:jc w:val="center"/>
              <w:rPr>
                <w:rFonts w:ascii="Arial" w:eastAsia="Times New Roman" w:hAnsi="Arial" w:cs="Arial"/>
                <w:noProof/>
                <w:sz w:val="18"/>
                <w:szCs w:val="18"/>
                <w:lang w:val="fr-BE"/>
              </w:rPr>
            </w:pPr>
          </w:p>
          <w:p w:rsidR="00D9323F" w:rsidRDefault="00F47CDD">
            <w:pPr>
              <w:spacing w:after="0" w:line="240" w:lineRule="auto"/>
              <w:jc w:val="center"/>
              <w:rPr>
                <w:rFonts w:ascii="Arial" w:eastAsia="Times New Roman" w:hAnsi="Arial" w:cs="Arial"/>
                <w:noProof/>
                <w:sz w:val="18"/>
                <w:szCs w:val="18"/>
              </w:rPr>
            </w:pPr>
            <w:r>
              <w:rPr>
                <w:rFonts w:ascii="Arial" w:hAnsi="Arial"/>
                <w:noProof/>
                <w:sz w:val="18"/>
              </w:rPr>
              <w:t>5.7.2018</w:t>
            </w:r>
          </w:p>
        </w:tc>
      </w:tr>
    </w:tbl>
    <w:p w:rsidR="00D9323F" w:rsidRDefault="00D9323F">
      <w:pPr>
        <w:widowControl w:val="0"/>
        <w:spacing w:line="240" w:lineRule="auto"/>
        <w:jc w:val="center"/>
        <w:rPr>
          <w:rFonts w:ascii="Times New Roman" w:hAnsi="Times New Roman"/>
          <w:b/>
          <w:noProof/>
        </w:rPr>
      </w:pPr>
    </w:p>
    <w:p w:rsidR="00D9323F" w:rsidRDefault="00D9323F">
      <w:pPr>
        <w:widowControl w:val="0"/>
        <w:tabs>
          <w:tab w:val="left" w:pos="850"/>
        </w:tabs>
        <w:spacing w:line="240" w:lineRule="auto"/>
        <w:ind w:left="851" w:hanging="851"/>
        <w:jc w:val="both"/>
        <w:outlineLvl w:val="0"/>
        <w:rPr>
          <w:rFonts w:ascii="Times New Roman" w:hAnsi="Times New Roman"/>
          <w:b/>
          <w:noProof/>
        </w:rPr>
      </w:pPr>
    </w:p>
    <w:sectPr w:rsidR="00D9323F">
      <w:headerReference w:type="even" r:id="rId33"/>
      <w:headerReference w:type="default" r:id="rId34"/>
      <w:footerReference w:type="even" r:id="rId35"/>
      <w:footerReference w:type="default" r:id="rId36"/>
      <w:headerReference w:type="first" r:id="rId37"/>
      <w:footerReference w:type="first" r:id="rId38"/>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3F" w:rsidRDefault="00F47CDD">
      <w:pPr>
        <w:spacing w:after="0" w:line="240" w:lineRule="auto"/>
      </w:pPr>
      <w:r>
        <w:separator/>
      </w:r>
    </w:p>
  </w:endnote>
  <w:endnote w:type="continuationSeparator" w:id="0">
    <w:p w:rsidR="00D9323F" w:rsidRDefault="00F4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FBSquareSansPro">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FooterCoverPage"/>
      <w:rPr>
        <w:rFonts w:ascii="Arial" w:hAnsi="Arial" w:cs="Arial"/>
        <w:b/>
        <w:sz w:val="48"/>
      </w:rPr>
    </w:pPr>
    <w:r w:rsidRPr="00F47CDD">
      <w:rPr>
        <w:rFonts w:ascii="Arial" w:hAnsi="Arial" w:cs="Arial"/>
        <w:b/>
        <w:sz w:val="48"/>
      </w:rPr>
      <w:t>FR</w:t>
    </w:r>
    <w:r w:rsidRPr="00F47CDD">
      <w:rPr>
        <w:rFonts w:ascii="Arial" w:hAnsi="Arial" w:cs="Arial"/>
        <w:b/>
        <w:sz w:val="48"/>
      </w:rPr>
      <w:tab/>
    </w:r>
    <w:r w:rsidRPr="00F47CDD">
      <w:rPr>
        <w:rFonts w:ascii="Arial" w:hAnsi="Arial" w:cs="Arial"/>
        <w:b/>
        <w:sz w:val="48"/>
      </w:rPr>
      <w:tab/>
    </w:r>
    <w:r w:rsidRPr="00F47CDD">
      <w:tab/>
    </w:r>
    <w:r w:rsidRPr="00F47CDD">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F47CD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F47CDD">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3F" w:rsidRDefault="00F47CDD">
      <w:pPr>
        <w:spacing w:after="0" w:line="240" w:lineRule="auto"/>
      </w:pPr>
      <w:r>
        <w:separator/>
      </w:r>
    </w:p>
  </w:footnote>
  <w:footnote w:type="continuationSeparator" w:id="0">
    <w:p w:rsidR="00D9323F" w:rsidRDefault="00F47CDD">
      <w:pPr>
        <w:spacing w:after="0" w:line="240" w:lineRule="auto"/>
      </w:pPr>
      <w:r>
        <w:continuationSeparator/>
      </w:r>
    </w:p>
  </w:footnote>
  <w:footnote w:id="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Ce cadre permet à la Commission de réduire le montant de l’amende si l'entreprise a fourni des éléments de preuve auto-incriminants (voir la communication de la Commission sur l’immunité d’amendes et la réduction de leur montant dans les affaires portant s</w:t>
      </w:r>
      <w:r>
        <w:rPr>
          <w:rFonts w:ascii="Times New Roman" w:hAnsi="Times New Roman"/>
          <w:lang w:val="fr-BE"/>
        </w:rPr>
        <w:t xml:space="preserve">ur des ententes) et/ou si l'entreprise reconnaît l’infraction et accepte de suivre une procédure plus simple et plus courte (voir la communication de la Commission relative aux procédures de transaction dans les affaires d’entente). Voir: </w:t>
      </w:r>
      <w:hyperlink r:id="rId1">
        <w:r>
          <w:rPr>
            <w:rStyle w:val="Hyperlink"/>
            <w:rFonts w:ascii="Times New Roman" w:hAnsi="Times New Roman"/>
            <w:lang w:val="fr-BE"/>
          </w:rPr>
          <w:t>http://ec.europa.eu/competition/cartels/legislation/leniency_legislation.html</w:t>
        </w:r>
      </w:hyperlink>
      <w:r>
        <w:rPr>
          <w:rFonts w:ascii="Times New Roman" w:hAnsi="Times New Roman"/>
          <w:lang w:val="fr-BE"/>
        </w:rPr>
        <w:t xml:space="preserve">, et </w:t>
      </w:r>
      <w:hyperlink r:id="rId2">
        <w:r>
          <w:rPr>
            <w:rStyle w:val="Hyperlink"/>
            <w:rFonts w:ascii="Times New Roman" w:hAnsi="Times New Roman"/>
            <w:lang w:val="fr-BE"/>
          </w:rPr>
          <w:t>http://ec.europa.eu/competition/cartels/legislation/settlements.html</w:t>
        </w:r>
      </w:hyperlink>
      <w:r>
        <w:rPr>
          <w:rStyle w:val="Hyperlink"/>
          <w:rFonts w:ascii="Times New Roman" w:hAnsi="Times New Roman"/>
          <w:lang w:val="fr-BE"/>
        </w:rPr>
        <w:t>.</w:t>
      </w:r>
      <w:r>
        <w:rPr>
          <w:rFonts w:ascii="Times New Roman" w:hAnsi="Times New Roman"/>
          <w:lang w:val="fr-BE"/>
        </w:rPr>
        <w:t xml:space="preserve"> </w:t>
      </w:r>
    </w:p>
  </w:footnote>
  <w:footnote w:id="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AT.39759 - </w:t>
      </w:r>
      <w:r>
        <w:rPr>
          <w:rFonts w:ascii="Times New Roman" w:hAnsi="Times New Roman"/>
          <w:i/>
          <w:lang w:val="fr-BE"/>
        </w:rPr>
        <w:t>Verrouillage ARA</w:t>
      </w:r>
      <w:r>
        <w:rPr>
          <w:rFonts w:ascii="Times New Roman" w:hAnsi="Times New Roman"/>
          <w:lang w:val="fr-BE"/>
        </w:rPr>
        <w:t xml:space="preserve">. Voir: </w:t>
      </w:r>
      <w:hyperlink r:id="rId3">
        <w:r>
          <w:rPr>
            <w:rStyle w:val="Hyperlink"/>
            <w:rFonts w:ascii="Times New Roman" w:hAnsi="Times New Roman"/>
            <w:lang w:val="fr-BE"/>
          </w:rPr>
          <w:t>http://europa.eu/rapid/press-release_IP-16-3116_fr.htm</w:t>
        </w:r>
      </w:hyperlink>
      <w:r>
        <w:rPr>
          <w:rStyle w:val="Hyperlink"/>
          <w:rFonts w:ascii="Times New Roman" w:hAnsi="Times New Roman"/>
          <w:lang w:val="fr-BE"/>
        </w:rPr>
        <w:t>.</w:t>
      </w:r>
      <w:r>
        <w:rPr>
          <w:rFonts w:ascii="Times New Roman" w:hAnsi="Times New Roman"/>
          <w:lang w:val="fr-BE"/>
        </w:rPr>
        <w:t xml:space="preserve"> </w:t>
      </w:r>
    </w:p>
  </w:footnote>
  <w:footnote w:id="3">
    <w:p w:rsidR="00D9323F" w:rsidRDefault="00F47CDD">
      <w:pPr>
        <w:pStyle w:val="FootnoteText"/>
        <w:spacing w:after="0" w:line="240" w:lineRule="auto"/>
        <w:ind w:left="284" w:hanging="284"/>
        <w:jc w:val="both"/>
        <w:rPr>
          <w:rFonts w:ascii="Times New Roman" w:hAnsi="Times New Roman"/>
          <w:lang w:val="da-DK"/>
        </w:rPr>
      </w:pPr>
      <w:r>
        <w:rPr>
          <w:rFonts w:ascii="Times New Roman" w:hAnsi="Times New Roman"/>
          <w:vertAlign w:val="superscript"/>
        </w:rPr>
        <w:footnoteRef/>
      </w:r>
      <w:r>
        <w:rPr>
          <w:rFonts w:ascii="Times New Roman" w:hAnsi="Times New Roman"/>
          <w:vertAlign w:val="superscript"/>
          <w:lang w:val="da-DK"/>
        </w:rPr>
        <w:t xml:space="preserve"> </w:t>
      </w:r>
      <w:r>
        <w:rPr>
          <w:lang w:val="da-DK"/>
        </w:rPr>
        <w:tab/>
      </w:r>
      <w:r>
        <w:rPr>
          <w:rFonts w:ascii="Times New Roman" w:hAnsi="Times New Roman"/>
          <w:lang w:val="da-DK"/>
        </w:rPr>
        <w:t xml:space="preserve">Affaires AT.40181 </w:t>
      </w:r>
      <w:r>
        <w:rPr>
          <w:rFonts w:ascii="Times New Roman" w:hAnsi="Times New Roman"/>
          <w:i/>
          <w:lang w:val="da-DK"/>
        </w:rPr>
        <w:t>Philips</w:t>
      </w:r>
      <w:r>
        <w:rPr>
          <w:rFonts w:ascii="Times New Roman" w:hAnsi="Times New Roman"/>
          <w:lang w:val="da-DK"/>
        </w:rPr>
        <w:t xml:space="preserve">, AT.40182 </w:t>
      </w:r>
      <w:r>
        <w:rPr>
          <w:rFonts w:ascii="Times New Roman" w:hAnsi="Times New Roman"/>
          <w:i/>
          <w:lang w:val="da-DK"/>
        </w:rPr>
        <w:t>Pioneer</w:t>
      </w:r>
      <w:r>
        <w:rPr>
          <w:rFonts w:ascii="Times New Roman" w:hAnsi="Times New Roman"/>
          <w:lang w:val="da-DK"/>
        </w:rPr>
        <w:t xml:space="preserve">, AT.40465 </w:t>
      </w:r>
      <w:r>
        <w:rPr>
          <w:rFonts w:ascii="Times New Roman" w:hAnsi="Times New Roman"/>
          <w:i/>
          <w:lang w:val="da-DK"/>
        </w:rPr>
        <w:t>Asus</w:t>
      </w:r>
      <w:r>
        <w:rPr>
          <w:rFonts w:ascii="Times New Roman" w:hAnsi="Times New Roman"/>
          <w:lang w:val="da-DK"/>
        </w:rPr>
        <w:t xml:space="preserve"> et AT.40469 </w:t>
      </w:r>
      <w:r>
        <w:rPr>
          <w:rFonts w:ascii="Times New Roman" w:hAnsi="Times New Roman"/>
          <w:i/>
          <w:lang w:val="da-DK"/>
        </w:rPr>
        <w:t>Denon &amp; Marantz</w:t>
      </w:r>
      <w:r>
        <w:rPr>
          <w:rFonts w:ascii="Times New Roman" w:hAnsi="Times New Roman"/>
          <w:lang w:val="da-DK"/>
        </w:rPr>
        <w:t xml:space="preserve">. </w:t>
      </w:r>
      <w:r>
        <w:rPr>
          <w:rFonts w:ascii="Times New Roman" w:hAnsi="Times New Roman"/>
          <w:lang w:val="fr-BE"/>
        </w:rPr>
        <w:t xml:space="preserve">(voir:  </w:t>
      </w:r>
      <w:hyperlink r:id="rId4">
        <w:r>
          <w:rPr>
            <w:rStyle w:val="Hyperlink"/>
            <w:rFonts w:ascii="Times New Roman" w:hAnsi="Times New Roman"/>
            <w:lang w:val="fr-BE"/>
          </w:rPr>
          <w:t>http://europa.eu/rapid/press-release_IP-18-4601_fr.htm</w:t>
        </w:r>
      </w:hyperlink>
      <w:r>
        <w:rPr>
          <w:rFonts w:ascii="Times New Roman" w:hAnsi="Times New Roman"/>
          <w:lang w:val="fr-BE"/>
        </w:rPr>
        <w:t xml:space="preserve">), et l’affaire AT.40428 – </w:t>
      </w:r>
      <w:r>
        <w:rPr>
          <w:rFonts w:ascii="Times New Roman" w:hAnsi="Times New Roman"/>
          <w:i/>
          <w:lang w:val="fr-BE"/>
        </w:rPr>
        <w:t>G</w:t>
      </w:r>
      <w:r>
        <w:rPr>
          <w:rFonts w:ascii="Times New Roman" w:hAnsi="Times New Roman"/>
          <w:i/>
          <w:lang w:val="fr-BE"/>
        </w:rPr>
        <w:t xml:space="preserve">uess </w:t>
      </w:r>
      <w:r>
        <w:rPr>
          <w:rFonts w:ascii="Times New Roman" w:hAnsi="Times New Roman"/>
          <w:lang w:val="fr-BE"/>
        </w:rPr>
        <w:t xml:space="preserve">(voir: </w:t>
      </w:r>
      <w:hyperlink r:id="rId5">
        <w:r>
          <w:rPr>
            <w:rStyle w:val="Hyperlink"/>
            <w:rFonts w:ascii="Times New Roman" w:hAnsi="Times New Roman"/>
            <w:lang w:val="fr-BE"/>
          </w:rPr>
          <w:t>http://europa.eu/rapid/press-release_IP-18-6844_fr.htm</w:t>
        </w:r>
      </w:hyperlink>
      <w:r>
        <w:rPr>
          <w:rStyle w:val="Hyperlink"/>
          <w:rFonts w:ascii="Times New Roman" w:hAnsi="Times New Roman"/>
          <w:lang w:val="fr-BE"/>
        </w:rPr>
        <w:t>).</w:t>
      </w:r>
      <w:r>
        <w:rPr>
          <w:rFonts w:ascii="Times New Roman" w:hAnsi="Times New Roman"/>
          <w:lang w:val="fr-BE"/>
        </w:rPr>
        <w:t xml:space="preserve"> </w:t>
      </w:r>
    </w:p>
  </w:footnote>
  <w:footnote w:id="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6">
        <w:r>
          <w:rPr>
            <w:rStyle w:val="Hyperlink"/>
            <w:rFonts w:ascii="Times New Roman" w:hAnsi="Times New Roman"/>
            <w:lang w:val="fr-BE"/>
          </w:rPr>
          <w:t>http://ec.euro</w:t>
        </w:r>
        <w:r>
          <w:rPr>
            <w:rStyle w:val="Hyperlink"/>
            <w:rFonts w:ascii="Times New Roman" w:hAnsi="Times New Roman"/>
            <w:lang w:val="fr-BE"/>
          </w:rPr>
          <w:t>pa.eu/competition/publications/data/factsheet_guess.pdf</w:t>
        </w:r>
      </w:hyperlink>
      <w:r>
        <w:rPr>
          <w:rStyle w:val="Hyperlink"/>
          <w:rFonts w:ascii="Times New Roman" w:hAnsi="Times New Roman"/>
          <w:lang w:val="fr-BE"/>
        </w:rPr>
        <w:t>.</w:t>
      </w:r>
      <w:r>
        <w:rPr>
          <w:rFonts w:ascii="Times New Roman" w:hAnsi="Times New Roman"/>
          <w:lang w:val="fr-BE"/>
        </w:rPr>
        <w:t xml:space="preserve"> </w:t>
      </w:r>
    </w:p>
  </w:footnote>
  <w:footnote w:id="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hyperlink w:history="1"/>
      <w:r>
        <w:rPr>
          <w:rFonts w:ascii="Times New Roman" w:hAnsi="Times New Roman"/>
          <w:lang w:val="fr-BE"/>
        </w:rPr>
        <w:t>Voir:</w:t>
      </w:r>
      <w:r>
        <w:rPr>
          <w:rStyle w:val="Hyperlink"/>
          <w:rFonts w:ascii="Times New Roman" w:hAnsi="Times New Roman"/>
          <w:lang w:val="fr-BE"/>
        </w:rPr>
        <w:t xml:space="preserve"> </w:t>
      </w:r>
      <w:hyperlink r:id="rId7">
        <w:r>
          <w:rPr>
            <w:rStyle w:val="Hyperlink"/>
            <w:rFonts w:ascii="Times New Roman" w:hAnsi="Times New Roman"/>
            <w:lang w:val="fr-BE"/>
          </w:rPr>
          <w:t>http://ec.europa.eu/competition/antitrust/conf_rings.pdf</w:t>
        </w:r>
      </w:hyperlink>
      <w:r>
        <w:rPr>
          <w:rStyle w:val="Hyperlink"/>
          <w:rFonts w:ascii="Times New Roman" w:hAnsi="Times New Roman"/>
          <w:lang w:val="fr-BE"/>
        </w:rPr>
        <w:t xml:space="preserve">.  </w:t>
      </w:r>
    </w:p>
  </w:footnote>
  <w:footnote w:id="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
        <w:r>
          <w:rPr>
            <w:rStyle w:val="Hyperlink"/>
            <w:rFonts w:ascii="Times New Roman" w:hAnsi="Times New Roman"/>
            <w:lang w:val="fr-BE"/>
          </w:rPr>
          <w:t>https://ec.europa.eu/commission/commissioners/2014-2019/vestager/</w:t>
        </w:r>
        <w:r>
          <w:rPr>
            <w:rStyle w:val="Hyperlink"/>
            <w:rFonts w:ascii="Times New Roman" w:hAnsi="Times New Roman"/>
            <w:lang w:val="fr-BE"/>
          </w:rPr>
          <w:t>announcements/commission-appoints-professors-heike-schweitzer-jacques-cremer-and-assistant-professor-yves_en</w:t>
        </w:r>
      </w:hyperlink>
      <w:r>
        <w:rPr>
          <w:rFonts w:ascii="Times New Roman" w:hAnsi="Times New Roman"/>
          <w:lang w:val="fr-BE"/>
        </w:rPr>
        <w:t xml:space="preserve"> et </w:t>
      </w:r>
      <w:hyperlink r:id="rId9">
        <w:r>
          <w:rPr>
            <w:rStyle w:val="Hyperlink"/>
            <w:rFonts w:ascii="Times New Roman" w:hAnsi="Times New Roman"/>
            <w:lang w:val="fr-BE"/>
          </w:rPr>
          <w:t>http://ec.europa.eu/competition/scp19/</w:t>
        </w:r>
      </w:hyperlink>
      <w:r>
        <w:rPr>
          <w:rFonts w:ascii="Times New Roman" w:hAnsi="Times New Roman"/>
          <w:lang w:val="fr-BE"/>
        </w:rPr>
        <w:t xml:space="preserve">. </w:t>
      </w:r>
    </w:p>
  </w:footnote>
  <w:footnote w:id="7">
    <w:p w:rsidR="00D9323F" w:rsidRDefault="00F47CDD">
      <w:pPr>
        <w:pStyle w:val="FootnoteText"/>
        <w:spacing w:after="0" w:line="240" w:lineRule="auto"/>
        <w:ind w:left="284" w:hanging="284"/>
        <w:rPr>
          <w:rStyle w:val="Hyperlink"/>
          <w:rFonts w:ascii="Times New Roman" w:hAnsi="Times New Roman"/>
          <w:sz w:val="22"/>
          <w:szCs w:val="22"/>
          <w:lang w:val="fr-BE"/>
        </w:rPr>
      </w:pPr>
      <w:r>
        <w:rPr>
          <w:rFonts w:ascii="Times New Roman" w:hAnsi="Times New Roman"/>
          <w:vertAlign w:val="superscript"/>
          <w:lang w:val="fr-BE"/>
        </w:rPr>
        <w:t xml:space="preserve">7 </w:t>
      </w:r>
      <w:r>
        <w:rPr>
          <w:lang w:val="fr-BE"/>
        </w:rPr>
        <w:tab/>
      </w:r>
      <w:r>
        <w:rPr>
          <w:rFonts w:ascii="Times New Roman" w:hAnsi="Times New Roman"/>
          <w:lang w:val="fr-BE"/>
        </w:rPr>
        <w:t>Voir</w:t>
      </w:r>
      <w:r>
        <w:rPr>
          <w:rStyle w:val="Hyperlink"/>
          <w:lang w:val="fr-BE"/>
        </w:rPr>
        <w:t>:</w:t>
      </w:r>
      <w:r>
        <w:rPr>
          <w:rStyle w:val="Hyperlink"/>
          <w:rFonts w:ascii="Times New Roman" w:hAnsi="Times New Roman"/>
          <w:lang w:val="fr-BE"/>
        </w:rPr>
        <w:t xml:space="preserve"> </w:t>
      </w:r>
      <w:hyperlink r:id="rId10">
        <w:r>
          <w:rPr>
            <w:rStyle w:val="Hyperlink"/>
            <w:rFonts w:ascii="Times New Roman" w:hAnsi="Times New Roman"/>
            <w:lang w:val="fr-BE"/>
          </w:rPr>
          <w:t>http://ec.europa.eu/competition/publications/reports/kd0419345enn.pdf</w:t>
        </w:r>
      </w:hyperlink>
      <w:r>
        <w:rPr>
          <w:rStyle w:val="Hyperlink"/>
          <w:rFonts w:ascii="Times New Roman" w:hAnsi="Times New Roman"/>
          <w:u w:val="none"/>
          <w:lang w:val="fr-BE"/>
        </w:rPr>
        <w:t>.</w:t>
      </w:r>
    </w:p>
  </w:footnote>
  <w:footnote w:id="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1">
        <w:r>
          <w:rPr>
            <w:rStyle w:val="Hyperlink"/>
            <w:rFonts w:ascii="Times New Roman" w:hAnsi="Times New Roman"/>
            <w:lang w:val="fr-BE"/>
          </w:rPr>
          <w:t>http://ec.europa.eu/competition/speeches/</w:t>
        </w:r>
        <w:r>
          <w:rPr>
            <w:rStyle w:val="Hyperlink"/>
            <w:rFonts w:ascii="Times New Roman" w:hAnsi="Times New Roman"/>
            <w:lang w:val="fr-BE"/>
          </w:rPr>
          <w:t>text/sp2018_14_en.pdf</w:t>
        </w:r>
      </w:hyperlink>
      <w:r>
        <w:rPr>
          <w:rFonts w:ascii="Times New Roman" w:hAnsi="Times New Roman"/>
          <w:lang w:val="fr-BE"/>
        </w:rPr>
        <w:t xml:space="preserve">. </w:t>
      </w:r>
    </w:p>
  </w:footnote>
  <w:footnote w:id="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Règlement (UE) nº 330/2010 de la Commission du 20 avril 2010 concernant l’application de l’article 101, paragraphe 3, du traité sur le fonctionnement de l’Union européenne à des catégories d’accords verticaux et de pratiques conc</w:t>
      </w:r>
      <w:r>
        <w:rPr>
          <w:rFonts w:ascii="Times New Roman" w:hAnsi="Times New Roman"/>
          <w:lang w:val="fr-BE"/>
        </w:rPr>
        <w:t>ertées (JO L 102 du 23.4.2010, p. 1).</w:t>
      </w:r>
    </w:p>
  </w:footnote>
  <w:footnote w:id="1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2">
        <w:r>
          <w:rPr>
            <w:rStyle w:val="Hyperlink"/>
            <w:rFonts w:ascii="Times New Roman" w:hAnsi="Times New Roman"/>
            <w:noProof/>
            <w:lang w:val="fr-BE"/>
          </w:rPr>
          <w:t>https://ec.europa.eu/info/law/better-regulation/initiatives/ares-2018-5068981_fr</w:t>
        </w:r>
      </w:hyperlink>
      <w:r>
        <w:rPr>
          <w:rStyle w:val="Hyperlink"/>
          <w:rFonts w:ascii="Times New Roman" w:hAnsi="Times New Roman"/>
          <w:noProof/>
          <w:lang w:val="fr-BE"/>
        </w:rPr>
        <w:t>.</w:t>
      </w:r>
      <w:r>
        <w:rPr>
          <w:rFonts w:ascii="Times New Roman" w:hAnsi="Times New Roman"/>
          <w:lang w:val="fr-BE"/>
        </w:rPr>
        <w:t xml:space="preserve"> </w:t>
      </w:r>
    </w:p>
  </w:footnote>
  <w:footnote w:id="1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Affaires AT.40181 </w:t>
      </w:r>
      <w:r>
        <w:rPr>
          <w:rFonts w:ascii="Times New Roman" w:hAnsi="Times New Roman"/>
          <w:i/>
          <w:lang w:val="fr-BE"/>
        </w:rPr>
        <w:t>Philips</w:t>
      </w:r>
      <w:r>
        <w:rPr>
          <w:rFonts w:ascii="Times New Roman" w:hAnsi="Times New Roman"/>
          <w:lang w:val="fr-BE"/>
        </w:rPr>
        <w:t xml:space="preserve">, AT.40182 </w:t>
      </w:r>
      <w:r>
        <w:rPr>
          <w:rFonts w:ascii="Times New Roman" w:hAnsi="Times New Roman"/>
          <w:i/>
          <w:lang w:val="fr-BE"/>
        </w:rPr>
        <w:t>Pioneer</w:t>
      </w:r>
      <w:r>
        <w:rPr>
          <w:rFonts w:ascii="Times New Roman" w:hAnsi="Times New Roman"/>
          <w:lang w:val="fr-BE"/>
        </w:rPr>
        <w:t xml:space="preserve">, AT.40465 </w:t>
      </w:r>
      <w:r>
        <w:rPr>
          <w:rFonts w:ascii="Times New Roman" w:hAnsi="Times New Roman"/>
          <w:i/>
          <w:lang w:val="fr-BE"/>
        </w:rPr>
        <w:t>Asus</w:t>
      </w:r>
      <w:r>
        <w:rPr>
          <w:rFonts w:ascii="Times New Roman" w:hAnsi="Times New Roman"/>
          <w:lang w:val="fr-BE"/>
        </w:rPr>
        <w:t xml:space="preserve"> et AT.40469 </w:t>
      </w:r>
      <w:r>
        <w:rPr>
          <w:rFonts w:ascii="Times New Roman" w:hAnsi="Times New Roman"/>
          <w:i/>
          <w:lang w:val="fr-BE"/>
        </w:rPr>
        <w:t>Denon &amp; Marantz</w:t>
      </w:r>
      <w:r>
        <w:rPr>
          <w:rFonts w:ascii="Times New Roman" w:hAnsi="Times New Roman"/>
          <w:lang w:val="fr-BE"/>
        </w:rPr>
        <w:t xml:space="preserve"> (restrictions verticales) disponibles à l’adresse </w:t>
      </w:r>
      <w:hyperlink r:id="rId13">
        <w:r>
          <w:rPr>
            <w:rStyle w:val="Hyperlink"/>
            <w:rFonts w:ascii="Times New Roman" w:hAnsi="Times New Roman"/>
            <w:lang w:val="fr-BE"/>
          </w:rPr>
          <w:t>http://europa.eu/rapid/press-release_IP-18-4601_fr.htm</w:t>
        </w:r>
      </w:hyperlink>
      <w:r>
        <w:rPr>
          <w:rFonts w:ascii="Times New Roman" w:hAnsi="Times New Roman"/>
          <w:lang w:val="fr-BE"/>
        </w:rPr>
        <w:t>.</w:t>
      </w:r>
    </w:p>
  </w:footnote>
  <w:footnote w:id="1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w:t>
      </w:r>
      <w:r>
        <w:rPr>
          <w:rFonts w:ascii="Times New Roman" w:hAnsi="Times New Roman"/>
          <w:lang w:val="fr-BE"/>
        </w:rPr>
        <w:t xml:space="preserve">ire C-179/16 Hoffmann </w:t>
      </w:r>
      <w:r>
        <w:rPr>
          <w:rFonts w:ascii="Times New Roman" w:hAnsi="Times New Roman"/>
          <w:i/>
          <w:lang w:val="fr-BE"/>
        </w:rPr>
        <w:t>- La Roche Ltd e.a. c. Autorità Garante della Concorrenza e del Mercato</w:t>
      </w:r>
      <w:r>
        <w:rPr>
          <w:rFonts w:ascii="Times New Roman" w:hAnsi="Times New Roman"/>
          <w:lang w:val="fr-BE"/>
        </w:rPr>
        <w:t>, arrêt de la Cour de justice de l’Union européenne (grande chambre) du 23 janvier 2018, ECLI:EU:C:2018:25.</w:t>
      </w:r>
    </w:p>
  </w:footnote>
  <w:footnote w:id="1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Aux régulateurs, aux professionnels de la santé et a</w:t>
      </w:r>
      <w:r>
        <w:rPr>
          <w:rFonts w:ascii="Times New Roman" w:hAnsi="Times New Roman"/>
          <w:lang w:val="fr-BE"/>
        </w:rPr>
        <w:t>u grand public.</w:t>
      </w:r>
    </w:p>
  </w:footnote>
  <w:footnote w:id="1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L'expression «hors RCP» fait référence à la prescription intentionnelle d’un médicament autorisé à des fins qui ne sont pas couvertes par les termes de son autorisation de mise sur le marché.</w:t>
      </w:r>
    </w:p>
  </w:footnote>
  <w:footnote w:id="1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Les deux produits pharmaceutiques – Avasti</w:t>
      </w:r>
      <w:r>
        <w:rPr>
          <w:rFonts w:ascii="Times New Roman" w:hAnsi="Times New Roman"/>
          <w:lang w:val="fr-BE"/>
        </w:rPr>
        <w:t>n et Lucentis – avaient été développés par la même entreprise, Genetech. Avastin était toutefois commercialisé par Roche, société mère de Genetech, tandis que l’exploitation commerciale de Lucentis avait été confiée au groupe Novartis au moyen d’un contrat</w:t>
      </w:r>
      <w:r>
        <w:rPr>
          <w:rFonts w:ascii="Times New Roman" w:hAnsi="Times New Roman"/>
          <w:lang w:val="fr-BE"/>
        </w:rPr>
        <w:t xml:space="preserve"> de licence. L’accord visant à diffuser des informations trompeuses conclu entre Roche et Novartis concernait l’utilisation d’Avastin et visait à réduire son utilisation et à rendre plus rentable l’exploitation par Novartis des droits technologiques sur Lu</w:t>
      </w:r>
      <w:r>
        <w:rPr>
          <w:rFonts w:ascii="Times New Roman" w:hAnsi="Times New Roman"/>
          <w:lang w:val="fr-BE"/>
        </w:rPr>
        <w:t xml:space="preserve">centis. </w:t>
      </w:r>
    </w:p>
  </w:footnote>
  <w:footnote w:id="1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Cet arrêt fait suite à une série de quatre décisions prises par des ANC et confirmées par des tribunaux nationaux: trois prises par l’ANC française et une par l’ANC italienne. C'est cette dernière affaire qui a donné lieu à la décision préjudic</w:t>
      </w:r>
      <w:r>
        <w:rPr>
          <w:rFonts w:ascii="Times New Roman" w:hAnsi="Times New Roman"/>
          <w:lang w:val="fr-BE"/>
        </w:rPr>
        <w:t>ielle.</w:t>
      </w:r>
    </w:p>
  </w:footnote>
  <w:footnote w:id="1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C-525/16 </w:t>
      </w:r>
      <w:r>
        <w:rPr>
          <w:rFonts w:ascii="Times New Roman" w:hAnsi="Times New Roman"/>
          <w:i/>
          <w:lang w:val="fr-BE"/>
        </w:rPr>
        <w:t>Meo - Serviços de Comunicações e Multimédia</w:t>
      </w:r>
      <w:r>
        <w:rPr>
          <w:rFonts w:ascii="Times New Roman" w:hAnsi="Times New Roman"/>
          <w:lang w:val="fr-BE"/>
        </w:rPr>
        <w:t>, arrêt de la Cour de justice du 18 avril 2018, ECLI:EU:C:2018:270.</w:t>
      </w:r>
    </w:p>
  </w:footnote>
  <w:footnote w:id="18">
    <w:p w:rsidR="00D9323F" w:rsidRDefault="00F47CDD">
      <w:pPr>
        <w:pStyle w:val="ListParagraph"/>
        <w:tabs>
          <w:tab w:val="left" w:pos="7080"/>
        </w:tabs>
        <w:ind w:left="284" w:hanging="284"/>
        <w:jc w:val="both"/>
        <w:rPr>
          <w:rFonts w:ascii="Times New Roman" w:hAnsi="Times New Roman" w:cs="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C-595/17 </w:t>
      </w:r>
      <w:r>
        <w:rPr>
          <w:rFonts w:ascii="Times New Roman" w:hAnsi="Times New Roman"/>
          <w:i/>
          <w:sz w:val="20"/>
          <w:lang w:val="fr-BE"/>
        </w:rPr>
        <w:t>Apple Sales International e.a. /MJA</w:t>
      </w:r>
      <w:r>
        <w:rPr>
          <w:rFonts w:ascii="Times New Roman" w:hAnsi="Times New Roman"/>
          <w:sz w:val="20"/>
          <w:lang w:val="fr-BE"/>
        </w:rPr>
        <w:t xml:space="preserve">, arrêt de la Cour de Justice de l’Union européenne du </w:t>
      </w:r>
      <w:r>
        <w:rPr>
          <w:rFonts w:ascii="Times New Roman" w:hAnsi="Times New Roman"/>
          <w:sz w:val="20"/>
          <w:lang w:val="fr-BE"/>
        </w:rPr>
        <w:t>24 octobre 2018, ECLI:EU:C:2018:854.</w:t>
      </w:r>
    </w:p>
  </w:footnote>
  <w:footnote w:id="1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Règlement (CE) nº 44/2001 du Conseil du 22 décembre 2000 concernant la compétence judiciaire, la reconnaissance et l’exécution des décisions en matière civile et commerciale (JO L 12 de 2001, p. 1).</w:t>
      </w:r>
    </w:p>
  </w:footnote>
  <w:footnote w:id="2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T-677/</w:t>
      </w:r>
      <w:r>
        <w:rPr>
          <w:rFonts w:ascii="Times New Roman" w:hAnsi="Times New Roman"/>
          <w:lang w:val="fr-BE"/>
        </w:rPr>
        <w:t xml:space="preserve">14 </w:t>
      </w:r>
      <w:r>
        <w:rPr>
          <w:rFonts w:ascii="Times New Roman" w:hAnsi="Times New Roman"/>
          <w:i/>
          <w:lang w:val="fr-BE"/>
        </w:rPr>
        <w:t>Biogaran/Commission</w:t>
      </w:r>
      <w:r>
        <w:rPr>
          <w:rFonts w:ascii="Times New Roman" w:hAnsi="Times New Roman"/>
          <w:lang w:val="fr-BE"/>
        </w:rPr>
        <w:t xml:space="preserve">, affaire T-679/14 </w:t>
      </w:r>
      <w:r>
        <w:rPr>
          <w:rFonts w:ascii="Times New Roman" w:hAnsi="Times New Roman"/>
          <w:i/>
          <w:lang w:val="fr-BE"/>
        </w:rPr>
        <w:t>Teva UK e.a./Commission</w:t>
      </w:r>
      <w:r>
        <w:rPr>
          <w:rFonts w:ascii="Times New Roman" w:hAnsi="Times New Roman"/>
          <w:lang w:val="fr-BE"/>
        </w:rPr>
        <w:t xml:space="preserve">, arrêt du 12 décembre 2018, ECLI:EU:T:2018:910; affaire T-680/14 </w:t>
      </w:r>
      <w:r>
        <w:rPr>
          <w:rFonts w:ascii="Times New Roman" w:hAnsi="Times New Roman"/>
          <w:i/>
          <w:lang w:val="fr-BE"/>
        </w:rPr>
        <w:t>Lupin/Commission</w:t>
      </w:r>
      <w:r>
        <w:rPr>
          <w:rFonts w:ascii="Times New Roman" w:hAnsi="Times New Roman"/>
          <w:lang w:val="fr-BE"/>
        </w:rPr>
        <w:t xml:space="preserve">, arrêt du 12 décembre 2018, ECLI:EU:T:2018:908; affaire T-682/14 </w:t>
      </w:r>
      <w:r>
        <w:rPr>
          <w:rFonts w:ascii="Times New Roman" w:hAnsi="Times New Roman"/>
          <w:i/>
          <w:lang w:val="fr-BE"/>
        </w:rPr>
        <w:t>Mylan Laboratories et Mylan/Commission</w:t>
      </w:r>
      <w:r>
        <w:rPr>
          <w:rFonts w:ascii="Times New Roman" w:hAnsi="Times New Roman"/>
          <w:lang w:val="fr-BE"/>
        </w:rPr>
        <w:t>, arrê</w:t>
      </w:r>
      <w:r>
        <w:rPr>
          <w:rFonts w:ascii="Times New Roman" w:hAnsi="Times New Roman"/>
          <w:lang w:val="fr-BE"/>
        </w:rPr>
        <w:t xml:space="preserve">t du 12 décembre 2018, ECLI:EU:T:2018:907; affaire T-684/14 </w:t>
      </w:r>
      <w:r>
        <w:rPr>
          <w:rFonts w:ascii="Times New Roman" w:hAnsi="Times New Roman"/>
          <w:i/>
          <w:lang w:val="fr-BE"/>
        </w:rPr>
        <w:t>Krka/Commission</w:t>
      </w:r>
      <w:r>
        <w:rPr>
          <w:rFonts w:ascii="Times New Roman" w:hAnsi="Times New Roman"/>
          <w:lang w:val="fr-BE"/>
        </w:rPr>
        <w:t xml:space="preserve">, arrêt du 12 décembre 2018, ECLI:EU:T:2018:918; affaire T-701/14 </w:t>
      </w:r>
      <w:r>
        <w:rPr>
          <w:rFonts w:ascii="Times New Roman" w:hAnsi="Times New Roman"/>
          <w:i/>
          <w:lang w:val="fr-BE"/>
        </w:rPr>
        <w:t>Niche Generics/Commission</w:t>
      </w:r>
      <w:r>
        <w:rPr>
          <w:rFonts w:ascii="Times New Roman" w:hAnsi="Times New Roman"/>
          <w:lang w:val="fr-BE"/>
        </w:rPr>
        <w:t xml:space="preserve">, arrêt du 12 décembre 2018, ECLI:EU:T:2018:92; affaire T-705/14 </w:t>
      </w:r>
      <w:r>
        <w:rPr>
          <w:rFonts w:ascii="Times New Roman" w:hAnsi="Times New Roman"/>
          <w:i/>
          <w:lang w:val="fr-BE"/>
        </w:rPr>
        <w:t>Unichem Laboratories/Comm</w:t>
      </w:r>
      <w:r>
        <w:rPr>
          <w:rFonts w:ascii="Times New Roman" w:hAnsi="Times New Roman"/>
          <w:i/>
          <w:lang w:val="fr-BE"/>
        </w:rPr>
        <w:t>ission</w:t>
      </w:r>
      <w:r>
        <w:rPr>
          <w:rFonts w:ascii="Times New Roman" w:hAnsi="Times New Roman"/>
          <w:lang w:val="fr-BE"/>
        </w:rPr>
        <w:t xml:space="preserve">, arrêt du 12 décembre 2018, ECLI:EU:T:2018:915; affaire T-691/14 </w:t>
      </w:r>
      <w:r>
        <w:rPr>
          <w:rFonts w:ascii="Times New Roman" w:hAnsi="Times New Roman"/>
          <w:i/>
          <w:lang w:val="fr-BE"/>
        </w:rPr>
        <w:t>Servier e.a./Commission</w:t>
      </w:r>
      <w:r>
        <w:rPr>
          <w:rFonts w:ascii="Times New Roman" w:hAnsi="Times New Roman"/>
          <w:lang w:val="fr-BE"/>
        </w:rPr>
        <w:t>, arrêt du 12 décembre 2018, ECLI:EU:T:2018:922.</w:t>
      </w:r>
    </w:p>
  </w:footnote>
  <w:footnote w:id="2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Les accords de report d'entrée sont des ententes qui peuvent restreindre l’entrée sur le marché de médicament</w:t>
      </w:r>
      <w:r>
        <w:rPr>
          <w:rFonts w:ascii="Times New Roman" w:hAnsi="Times New Roman"/>
          <w:lang w:val="fr-BE"/>
        </w:rPr>
        <w:t>s génériques en échange d’avantages transférés d’un laboratoire de princeps à une société qui a l’intention d’introduire une version générique d’un médicament. De tels accords retardent l’entrée sur le marché de médicaments génériques moins chers, au détri</w:t>
      </w:r>
      <w:r>
        <w:rPr>
          <w:rFonts w:ascii="Times New Roman" w:hAnsi="Times New Roman"/>
          <w:lang w:val="fr-BE"/>
        </w:rPr>
        <w:t>ment des patients et des contribuables qui financent les systèmes de santé.</w:t>
      </w:r>
    </w:p>
  </w:footnote>
  <w:footnote w:id="2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T-472/13 </w:t>
      </w:r>
      <w:r>
        <w:rPr>
          <w:rFonts w:ascii="Times New Roman" w:hAnsi="Times New Roman"/>
          <w:i/>
          <w:lang w:val="fr-BE"/>
        </w:rPr>
        <w:t>Lundbeck/Commission</w:t>
      </w:r>
      <w:r>
        <w:rPr>
          <w:rFonts w:ascii="Times New Roman" w:hAnsi="Times New Roman"/>
          <w:lang w:val="fr-BE"/>
        </w:rPr>
        <w:t>, arrêt du 8 septembre 2016, ECLI:EU:T:2016:449.</w:t>
      </w:r>
    </w:p>
  </w:footnote>
  <w:footnote w:id="23">
    <w:p w:rsidR="00D9323F" w:rsidRDefault="00F47CDD">
      <w:pPr>
        <w:pStyle w:val="FootnoteText"/>
        <w:spacing w:after="0" w:line="240" w:lineRule="auto"/>
        <w:ind w:left="284" w:hanging="284"/>
        <w:rPr>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 xml:space="preserve">Affaire T-691/14 </w:t>
      </w:r>
      <w:r>
        <w:rPr>
          <w:rFonts w:ascii="Times New Roman" w:hAnsi="Times New Roman"/>
          <w:i/>
          <w:lang w:val="fr-BE"/>
        </w:rPr>
        <w:t>Servier e.a./Commission</w:t>
      </w:r>
      <w:r>
        <w:rPr>
          <w:rFonts w:ascii="Times New Roman" w:hAnsi="Times New Roman"/>
          <w:lang w:val="fr-BE"/>
        </w:rPr>
        <w:t>, arrêt du 12 décembre 2018, ECLI:EU:T:2018:922.</w:t>
      </w:r>
    </w:p>
  </w:footnote>
  <w:footnote w:id="2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T-684/14 </w:t>
      </w:r>
      <w:r>
        <w:rPr>
          <w:rFonts w:ascii="Times New Roman" w:hAnsi="Times New Roman"/>
          <w:i/>
          <w:lang w:val="fr-BE"/>
        </w:rPr>
        <w:t>Krka/Commission</w:t>
      </w:r>
      <w:r>
        <w:rPr>
          <w:rFonts w:ascii="Times New Roman" w:hAnsi="Times New Roman"/>
          <w:lang w:val="fr-BE"/>
        </w:rPr>
        <w:t>, arrêt du 12 décembre 2018, ECLI:EU:T:2018:918.</w:t>
      </w:r>
    </w:p>
  </w:footnote>
  <w:footnote w:id="2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Dans les arrêts Câbles électriques, le Tribunal a rejeté tous les pourvois formés contre les décisions de la Commission dans leur intégralité. Par souci de clarté, les d</w:t>
      </w:r>
      <w:r>
        <w:rPr>
          <w:rFonts w:ascii="Times New Roman" w:hAnsi="Times New Roman"/>
          <w:lang w:val="fr-BE"/>
        </w:rPr>
        <w:t xml:space="preserve">ifférents aspects couverts par les arrêts </w:t>
      </w:r>
      <w:r>
        <w:rPr>
          <w:rFonts w:ascii="Times New Roman" w:hAnsi="Times New Roman"/>
          <w:i/>
          <w:lang w:val="fr-BE"/>
        </w:rPr>
        <w:t>Câbles électriques</w:t>
      </w:r>
      <w:r>
        <w:rPr>
          <w:rFonts w:ascii="Times New Roman" w:hAnsi="Times New Roman"/>
          <w:lang w:val="fr-BE"/>
        </w:rPr>
        <w:t xml:space="preserve"> sont traités de façon thématique dans les sections qui suivent. Les 15 affaires sont les suivantes: T-419/14 </w:t>
      </w:r>
      <w:r>
        <w:rPr>
          <w:rFonts w:ascii="Times New Roman" w:eastAsiaTheme="minorHAnsi" w:hAnsi="Times New Roman"/>
          <w:i/>
          <w:lang w:val="fr-BE"/>
        </w:rPr>
        <w:t>The Goldman Sachs Group/Commission</w:t>
      </w:r>
      <w:r>
        <w:rPr>
          <w:rFonts w:ascii="Times New Roman" w:hAnsi="Times New Roman"/>
          <w:lang w:val="fr-BE"/>
        </w:rPr>
        <w:t>, arrêt du Tribunal du 12 juillet 2018, ECLI:EU:T:20</w:t>
      </w:r>
      <w:r>
        <w:rPr>
          <w:rFonts w:ascii="Times New Roman" w:hAnsi="Times New Roman"/>
          <w:lang w:val="fr-BE"/>
        </w:rPr>
        <w:t xml:space="preserve">18:445; T-422/14 </w:t>
      </w:r>
      <w:r>
        <w:rPr>
          <w:rFonts w:ascii="Times New Roman" w:eastAsiaTheme="minorHAnsi" w:hAnsi="Times New Roman"/>
          <w:i/>
          <w:lang w:val="fr-BE"/>
        </w:rPr>
        <w:t>Viscas Corp/Commission</w:t>
      </w:r>
      <w:r>
        <w:rPr>
          <w:rFonts w:ascii="Times New Roman" w:hAnsi="Times New Roman"/>
          <w:lang w:val="fr-BE"/>
        </w:rPr>
        <w:t xml:space="preserve">, arrêt du Tribunal du 12 juillet 2018, ECLI:EU:T:2018:446; T-438/14 </w:t>
      </w:r>
      <w:r>
        <w:rPr>
          <w:rFonts w:ascii="Times New Roman" w:eastAsiaTheme="minorHAnsi" w:hAnsi="Times New Roman"/>
          <w:i/>
          <w:lang w:val="fr-BE"/>
        </w:rPr>
        <w:t>Silec Cable SAS et General Cable Corporation/Commission</w:t>
      </w:r>
      <w:r>
        <w:rPr>
          <w:rFonts w:ascii="Times New Roman" w:hAnsi="Times New Roman"/>
          <w:lang w:val="fr-BE"/>
        </w:rPr>
        <w:t xml:space="preserve">, arrêt du Tribunal du 12 juillet 2018, ECLI:EU:T:2018:447; T-439/14 </w:t>
      </w:r>
      <w:r>
        <w:rPr>
          <w:rFonts w:ascii="Times New Roman" w:eastAsiaTheme="minorHAnsi" w:hAnsi="Times New Roman"/>
          <w:i/>
          <w:lang w:val="fr-BE"/>
        </w:rPr>
        <w:t>LS Cable &amp; System Ltd/Co</w:t>
      </w:r>
      <w:r>
        <w:rPr>
          <w:rFonts w:ascii="Times New Roman" w:eastAsiaTheme="minorHAnsi" w:hAnsi="Times New Roman"/>
          <w:i/>
          <w:lang w:val="fr-BE"/>
        </w:rPr>
        <w:t>mmission</w:t>
      </w:r>
      <w:r>
        <w:rPr>
          <w:rFonts w:ascii="Times New Roman" w:hAnsi="Times New Roman"/>
          <w:lang w:val="fr-BE"/>
        </w:rPr>
        <w:t xml:space="preserve">, arrêt du Tribunal du 12 juillet 2018, ECLI:EU:T:2018:451; T-441/14 </w:t>
      </w:r>
      <w:r>
        <w:rPr>
          <w:rFonts w:ascii="Times New Roman" w:eastAsiaTheme="minorHAnsi" w:hAnsi="Times New Roman"/>
          <w:i/>
          <w:lang w:val="fr-BE"/>
        </w:rPr>
        <w:t>Brugg Kabel AG et Kabelwerke Brugg AG Holding/Commission</w:t>
      </w:r>
      <w:r>
        <w:rPr>
          <w:rFonts w:ascii="Times New Roman" w:hAnsi="Times New Roman"/>
          <w:lang w:val="fr-BE"/>
        </w:rPr>
        <w:t xml:space="preserve">, arrêt du Tribunal du 12 juillet 2018, ECLI:EU:T:2018:453; T-444/14 </w:t>
      </w:r>
      <w:r>
        <w:rPr>
          <w:rFonts w:ascii="Times New Roman" w:eastAsiaTheme="minorHAnsi" w:hAnsi="Times New Roman"/>
          <w:i/>
          <w:lang w:val="fr-BE"/>
        </w:rPr>
        <w:t>Furukawa Electric Co. Ltd/Commission</w:t>
      </w:r>
      <w:r>
        <w:rPr>
          <w:rFonts w:ascii="Times New Roman" w:hAnsi="Times New Roman"/>
          <w:lang w:val="fr-BE"/>
        </w:rPr>
        <w:t>, arrêt du Tribuna</w:t>
      </w:r>
      <w:r>
        <w:rPr>
          <w:rFonts w:ascii="Times New Roman" w:hAnsi="Times New Roman"/>
          <w:lang w:val="fr-BE"/>
        </w:rPr>
        <w:t xml:space="preserve">l du 12 juillet 2018, ECLI:EU:T:2018:454; T-445/14 </w:t>
      </w:r>
      <w:r>
        <w:rPr>
          <w:rFonts w:ascii="Times New Roman" w:eastAsiaTheme="minorHAnsi" w:hAnsi="Times New Roman"/>
          <w:i/>
          <w:lang w:val="fr-BE"/>
        </w:rPr>
        <w:t>ABB/Commission</w:t>
      </w:r>
      <w:r>
        <w:rPr>
          <w:rFonts w:ascii="Times New Roman" w:hAnsi="Times New Roman"/>
          <w:lang w:val="fr-BE"/>
        </w:rPr>
        <w:t xml:space="preserve">, arrêt du Tribunal du 12 juillet 2018, ECLI:EU:T:2018:449; T-446/14 </w:t>
      </w:r>
      <w:r>
        <w:rPr>
          <w:rFonts w:ascii="Times New Roman" w:eastAsiaTheme="minorHAnsi" w:hAnsi="Times New Roman"/>
          <w:i/>
          <w:lang w:val="fr-BE"/>
        </w:rPr>
        <w:t>Taihan Electric Wire Co. Ltd/Commission</w:t>
      </w:r>
      <w:r>
        <w:rPr>
          <w:rFonts w:ascii="Times New Roman" w:hAnsi="Times New Roman"/>
          <w:lang w:val="fr-BE"/>
        </w:rPr>
        <w:t xml:space="preserve">, arrêt du Tribunal du 12 juillet 2018, ECLI:EU:T:2018:444; T-447/14 </w:t>
      </w:r>
      <w:r>
        <w:rPr>
          <w:rFonts w:ascii="Times New Roman" w:eastAsiaTheme="minorHAnsi" w:hAnsi="Times New Roman"/>
          <w:i/>
          <w:lang w:val="fr-BE"/>
        </w:rPr>
        <w:t xml:space="preserve">NKT </w:t>
      </w:r>
      <w:r>
        <w:rPr>
          <w:rFonts w:ascii="Times New Roman" w:eastAsiaTheme="minorHAnsi" w:hAnsi="Times New Roman"/>
          <w:i/>
          <w:lang w:val="fr-BE"/>
        </w:rPr>
        <w:t>Verwaltungs et NKT Holding A/S / Commission</w:t>
      </w:r>
      <w:r>
        <w:rPr>
          <w:rFonts w:ascii="Times New Roman" w:hAnsi="Times New Roman"/>
          <w:lang w:val="fr-BE"/>
        </w:rPr>
        <w:t xml:space="preserve">, arrêt du Tribunal du 12 juillet 2018, ECLI:EU:T:2018:443; T-448/14 </w:t>
      </w:r>
      <w:r>
        <w:rPr>
          <w:rFonts w:ascii="Times New Roman" w:eastAsiaTheme="minorHAnsi" w:hAnsi="Times New Roman"/>
          <w:i/>
          <w:lang w:val="fr-BE"/>
        </w:rPr>
        <w:t>Hitachi Metals, Ltd/Commission</w:t>
      </w:r>
      <w:r>
        <w:rPr>
          <w:rFonts w:ascii="Times New Roman" w:hAnsi="Times New Roman"/>
          <w:lang w:val="fr-BE"/>
        </w:rPr>
        <w:t xml:space="preserve">, arrêt du Tribunal du 12 juillet 2018, ECLI:EU:T:2018:442; T-449/14 </w:t>
      </w:r>
      <w:r>
        <w:rPr>
          <w:rFonts w:ascii="Times New Roman" w:eastAsiaTheme="minorHAnsi" w:hAnsi="Times New Roman"/>
          <w:i/>
          <w:lang w:val="fr-BE"/>
        </w:rPr>
        <w:t>Nexans France SAS et Nexans SA/Commission</w:t>
      </w:r>
      <w:r>
        <w:rPr>
          <w:rFonts w:ascii="Times New Roman" w:hAnsi="Times New Roman"/>
          <w:lang w:val="fr-BE"/>
        </w:rPr>
        <w:t>, ar</w:t>
      </w:r>
      <w:r>
        <w:rPr>
          <w:rFonts w:ascii="Times New Roman" w:hAnsi="Times New Roman"/>
          <w:lang w:val="fr-BE"/>
        </w:rPr>
        <w:t xml:space="preserve">rêt du Tribunal du 12 juillet 2018, ECLI:EU:T:2018:456; T-450/14 </w:t>
      </w:r>
      <w:r>
        <w:rPr>
          <w:rFonts w:ascii="Times New Roman" w:eastAsiaTheme="minorHAnsi" w:hAnsi="Times New Roman"/>
          <w:i/>
          <w:lang w:val="fr-BE"/>
        </w:rPr>
        <w:t>Sumitomo Electric Industries Ltd et J-Power Systems Corporation/Commission</w:t>
      </w:r>
      <w:r>
        <w:rPr>
          <w:rFonts w:ascii="Times New Roman" w:hAnsi="Times New Roman"/>
          <w:lang w:val="fr-BE"/>
        </w:rPr>
        <w:t xml:space="preserve">, arrêt du Tribunal du 12 juillet 2018, ECLI:EU:T:2018:455; T-451/14 </w:t>
      </w:r>
      <w:r>
        <w:rPr>
          <w:rFonts w:ascii="Times New Roman" w:eastAsiaTheme="minorHAnsi" w:hAnsi="Times New Roman"/>
          <w:i/>
          <w:lang w:val="fr-BE"/>
        </w:rPr>
        <w:t>Fujikura Ltd/Commission</w:t>
      </w:r>
      <w:r>
        <w:rPr>
          <w:rFonts w:ascii="Times New Roman" w:hAnsi="Times New Roman"/>
          <w:lang w:val="fr-BE"/>
        </w:rPr>
        <w:t>, arrêt du Tribunal du 12</w:t>
      </w:r>
      <w:r>
        <w:rPr>
          <w:rFonts w:ascii="Times New Roman" w:hAnsi="Times New Roman"/>
          <w:lang w:val="fr-BE"/>
        </w:rPr>
        <w:t xml:space="preserve"> juillet 2018, ECLI:EU:T:2018:452; T-455/14 </w:t>
      </w:r>
      <w:r>
        <w:rPr>
          <w:rFonts w:ascii="Times New Roman" w:eastAsiaTheme="minorHAnsi" w:hAnsi="Times New Roman"/>
          <w:i/>
          <w:lang w:val="fr-BE"/>
        </w:rPr>
        <w:t>Pirelli &amp; C. SpA/Commission</w:t>
      </w:r>
      <w:r>
        <w:rPr>
          <w:rFonts w:ascii="Times New Roman" w:hAnsi="Times New Roman"/>
          <w:lang w:val="fr-BE"/>
        </w:rPr>
        <w:t xml:space="preserve">, arrêt du Tribunal du 12 juillet 2018, ECLI:EU:T:2018:450; T-475/14 </w:t>
      </w:r>
      <w:r>
        <w:rPr>
          <w:rFonts w:ascii="Times New Roman" w:eastAsiaTheme="minorHAnsi" w:hAnsi="Times New Roman"/>
          <w:i/>
          <w:lang w:val="fr-BE"/>
        </w:rPr>
        <w:t>Prysmian SpA et Prysmian Cavi e Sistemi Srl/Commission,</w:t>
      </w:r>
      <w:r>
        <w:rPr>
          <w:rFonts w:ascii="Times New Roman" w:hAnsi="Times New Roman"/>
          <w:lang w:val="fr-BE"/>
        </w:rPr>
        <w:t xml:space="preserve"> arrêt du Tribunal du 12 juillet 2018, ECLI:EU:T:2018:448. Vo</w:t>
      </w:r>
      <w:r>
        <w:rPr>
          <w:rFonts w:ascii="Times New Roman" w:hAnsi="Times New Roman"/>
          <w:lang w:val="fr-BE"/>
        </w:rPr>
        <w:t xml:space="preserve">ir également: </w:t>
      </w:r>
      <w:hyperlink r:id="rId14">
        <w:r>
          <w:rPr>
            <w:rFonts w:ascii="Times New Roman" w:eastAsiaTheme="minorHAnsi" w:hAnsi="Times New Roman"/>
            <w:color w:val="0000FF" w:themeColor="hyperlink"/>
            <w:u w:val="single"/>
            <w:lang w:val="fr-BE"/>
          </w:rPr>
          <w:t>https://curia.europa.eu/jcms/upload/docs/application/pdf/2018-07/cp180107fr.pdf</w:t>
        </w:r>
      </w:hyperlink>
      <w:r>
        <w:rPr>
          <w:rFonts w:ascii="Times New Roman" w:eastAsiaTheme="minorHAnsi" w:hAnsi="Times New Roman"/>
          <w:lang w:val="fr-BE"/>
        </w:rPr>
        <w:t>.</w:t>
      </w:r>
    </w:p>
  </w:footnote>
  <w:footnote w:id="2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T-448/14 </w:t>
      </w:r>
      <w:r>
        <w:rPr>
          <w:rFonts w:ascii="Times New Roman" w:hAnsi="Times New Roman"/>
          <w:i/>
          <w:lang w:val="fr-BE"/>
        </w:rPr>
        <w:t>Hitachi Metals, Ltd/Commission</w:t>
      </w:r>
      <w:r>
        <w:rPr>
          <w:rFonts w:ascii="Times New Roman" w:hAnsi="Times New Roman"/>
          <w:lang w:val="fr-BE"/>
        </w:rPr>
        <w:t>, arrêt du T</w:t>
      </w:r>
      <w:r>
        <w:rPr>
          <w:rFonts w:ascii="Times New Roman" w:hAnsi="Times New Roman"/>
          <w:lang w:val="fr-BE"/>
        </w:rPr>
        <w:t>ribunal du 12 juillet 2018, ECLI:EU:T:2018:442.</w:t>
      </w:r>
    </w:p>
  </w:footnote>
  <w:footnote w:id="27">
    <w:p w:rsidR="00D9323F" w:rsidRDefault="00F47CDD">
      <w:pPr>
        <w:pStyle w:val="FootnoteText"/>
        <w:spacing w:after="0" w:line="240" w:lineRule="auto"/>
        <w:ind w:left="284" w:hanging="284"/>
        <w:rPr>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T-827/14, </w:t>
      </w:r>
      <w:r>
        <w:rPr>
          <w:rFonts w:ascii="Times New Roman" w:hAnsi="Times New Roman"/>
          <w:i/>
          <w:lang w:val="fr-BE"/>
        </w:rPr>
        <w:t xml:space="preserve">Deutsche Telekom AG/Commission européenne, </w:t>
      </w:r>
      <w:r>
        <w:rPr>
          <w:rFonts w:ascii="Times New Roman" w:hAnsi="Times New Roman"/>
          <w:lang w:val="fr-BE"/>
        </w:rPr>
        <w:t>arrêt du Tribunal du 13 décembre 2018, ECLI:EU:T:2018:930.</w:t>
      </w:r>
    </w:p>
  </w:footnote>
  <w:footnote w:id="2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T-851/14, </w:t>
      </w:r>
      <w:r>
        <w:rPr>
          <w:rFonts w:ascii="Times New Roman" w:hAnsi="Times New Roman"/>
          <w:i/>
          <w:lang w:val="fr-BE"/>
        </w:rPr>
        <w:t>Slovak Telekom a.s./Commission européenne</w:t>
      </w:r>
      <w:r>
        <w:rPr>
          <w:rFonts w:ascii="Times New Roman" w:hAnsi="Times New Roman"/>
          <w:lang w:val="fr-BE"/>
        </w:rPr>
        <w:t xml:space="preserve">, arrêt du Tribunal du </w:t>
      </w:r>
      <w:r>
        <w:rPr>
          <w:rFonts w:ascii="Times New Roman" w:hAnsi="Times New Roman"/>
          <w:lang w:val="fr-BE"/>
        </w:rPr>
        <w:t>13 décembre 2018, ECLI:EU:T:2018:929.</w:t>
      </w:r>
    </w:p>
  </w:footnote>
  <w:footnote w:id="2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T-827/14, </w:t>
      </w:r>
      <w:r>
        <w:rPr>
          <w:rFonts w:ascii="Times New Roman" w:hAnsi="Times New Roman"/>
          <w:i/>
          <w:lang w:val="fr-BE"/>
        </w:rPr>
        <w:t xml:space="preserve">Deutsche Telekom AG/Commission européenne, </w:t>
      </w:r>
      <w:r>
        <w:rPr>
          <w:rFonts w:ascii="Times New Roman" w:hAnsi="Times New Roman"/>
          <w:lang w:val="fr-BE"/>
        </w:rPr>
        <w:t>arrêt du Tribunal du 13 décembre 2018, ECLI:EU:T:2018:930.</w:t>
      </w:r>
    </w:p>
  </w:footnote>
  <w:footnote w:id="3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Affaires T-441/14 </w:t>
      </w:r>
      <w:r>
        <w:rPr>
          <w:rFonts w:ascii="Times New Roman" w:hAnsi="Times New Roman"/>
          <w:i/>
          <w:lang w:val="fr-BE"/>
        </w:rPr>
        <w:t>Brugg Kabel AG et Kabelwerke Brugg AG Holding/Commission</w:t>
      </w:r>
      <w:r>
        <w:rPr>
          <w:rFonts w:ascii="Times New Roman" w:hAnsi="Times New Roman"/>
          <w:lang w:val="fr-BE"/>
        </w:rPr>
        <w:t>, arrêt du Tribuna</w:t>
      </w:r>
      <w:r>
        <w:rPr>
          <w:rFonts w:ascii="Times New Roman" w:hAnsi="Times New Roman"/>
          <w:lang w:val="fr-BE"/>
        </w:rPr>
        <w:t xml:space="preserve">l du 12 juillet 2018, ECLI:EU:T:2018:453; T-447/14 </w:t>
      </w:r>
      <w:r>
        <w:rPr>
          <w:rFonts w:ascii="Times New Roman" w:hAnsi="Times New Roman"/>
          <w:i/>
          <w:lang w:val="fr-BE"/>
        </w:rPr>
        <w:t>NKT Verwaltungs et NKT Holding A/S / Commission</w:t>
      </w:r>
      <w:r>
        <w:rPr>
          <w:rFonts w:ascii="Times New Roman" w:hAnsi="Times New Roman"/>
          <w:lang w:val="fr-BE"/>
        </w:rPr>
        <w:t>, arrêt du Tribunal du 12 juillet 2018, ECLI:EU:T:2018:443.</w:t>
      </w:r>
    </w:p>
  </w:footnote>
  <w:footnote w:id="31">
    <w:p w:rsidR="00D9323F" w:rsidRDefault="00F47CDD">
      <w:pPr>
        <w:pStyle w:val="FootnoteText"/>
        <w:spacing w:after="0" w:line="240" w:lineRule="auto"/>
        <w:ind w:left="284" w:hanging="284"/>
        <w:rPr>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La conclusion du Tribunal comportait des circonstances objectives supplémentaires qui étayaient</w:t>
      </w:r>
      <w:r>
        <w:rPr>
          <w:rFonts w:ascii="Times New Roman" w:hAnsi="Times New Roman"/>
          <w:lang w:val="fr-BE"/>
        </w:rPr>
        <w:t xml:space="preserve"> la conclusion selon laquelle l’entreprise en question exerçait une influence déterminante.</w:t>
      </w:r>
    </w:p>
  </w:footnote>
  <w:footnote w:id="3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eastAsiaTheme="minorHAnsi" w:hAnsi="Times New Roman"/>
          <w:lang w:val="fr-BE"/>
        </w:rPr>
        <w:t xml:space="preserve">Affaires T-419/14 </w:t>
      </w:r>
      <w:r>
        <w:rPr>
          <w:rFonts w:ascii="Times New Roman" w:eastAsiaTheme="minorHAnsi" w:hAnsi="Times New Roman"/>
          <w:i/>
          <w:lang w:val="fr-BE"/>
        </w:rPr>
        <w:t>The Goldman Sachs Group/Commission</w:t>
      </w:r>
      <w:r>
        <w:rPr>
          <w:rFonts w:ascii="Times New Roman" w:eastAsiaTheme="minorHAnsi" w:hAnsi="Times New Roman"/>
          <w:lang w:val="fr-BE"/>
        </w:rPr>
        <w:t xml:space="preserve">, arrêt du Tribunal du 12 juillet 2018, ECLI:EU:T:2018:445; T-422/14 </w:t>
      </w:r>
      <w:r>
        <w:rPr>
          <w:rFonts w:ascii="Times New Roman" w:eastAsiaTheme="minorHAnsi" w:hAnsi="Times New Roman"/>
          <w:i/>
          <w:lang w:val="fr-BE"/>
        </w:rPr>
        <w:t>Viscas Corp/Commission</w:t>
      </w:r>
      <w:r>
        <w:rPr>
          <w:rFonts w:ascii="Times New Roman" w:eastAsiaTheme="minorHAnsi" w:hAnsi="Times New Roman"/>
          <w:lang w:val="fr-BE"/>
        </w:rPr>
        <w:t>, arrêt du Tribuna</w:t>
      </w:r>
      <w:r>
        <w:rPr>
          <w:rFonts w:ascii="Times New Roman" w:eastAsiaTheme="minorHAnsi" w:hAnsi="Times New Roman"/>
          <w:lang w:val="fr-BE"/>
        </w:rPr>
        <w:t xml:space="preserve">l du 12 juillet 2018, ECLI:EU:T:2018:446; T-438/14 </w:t>
      </w:r>
      <w:r>
        <w:rPr>
          <w:rFonts w:ascii="Times New Roman" w:eastAsiaTheme="minorHAnsi" w:hAnsi="Times New Roman"/>
          <w:i/>
          <w:lang w:val="fr-BE"/>
        </w:rPr>
        <w:t>Silec Cable SAS et General Cable Corporation/Commission</w:t>
      </w:r>
      <w:r>
        <w:rPr>
          <w:rFonts w:ascii="Times New Roman" w:eastAsiaTheme="minorHAnsi" w:hAnsi="Times New Roman"/>
          <w:lang w:val="fr-BE"/>
        </w:rPr>
        <w:t xml:space="preserve">, arrêt du Tribunal du 12 juillet 2018, ECLI:EU:T:2018:447; T-439/14 </w:t>
      </w:r>
      <w:r>
        <w:rPr>
          <w:rFonts w:ascii="Times New Roman" w:eastAsiaTheme="minorHAnsi" w:hAnsi="Times New Roman"/>
          <w:i/>
          <w:lang w:val="fr-BE"/>
        </w:rPr>
        <w:t>LS Cable &amp; System Ltd/Commission</w:t>
      </w:r>
      <w:r>
        <w:rPr>
          <w:rFonts w:ascii="Times New Roman" w:eastAsiaTheme="minorHAnsi" w:hAnsi="Times New Roman"/>
          <w:lang w:val="fr-BE"/>
        </w:rPr>
        <w:t>, arrêt du Tribunal du 12 juillet 2018, ECLI:EU:T</w:t>
      </w:r>
      <w:r>
        <w:rPr>
          <w:rFonts w:ascii="Times New Roman" w:eastAsiaTheme="minorHAnsi" w:hAnsi="Times New Roman"/>
          <w:lang w:val="fr-BE"/>
        </w:rPr>
        <w:t xml:space="preserve">:2018:451; T-441/14 </w:t>
      </w:r>
      <w:r>
        <w:rPr>
          <w:rFonts w:ascii="Times New Roman" w:eastAsiaTheme="minorHAnsi" w:hAnsi="Times New Roman"/>
          <w:i/>
          <w:lang w:val="fr-BE"/>
        </w:rPr>
        <w:t>Brugg Kabel AG et Kabelwerke Brugg AG Holding/Commission</w:t>
      </w:r>
      <w:r>
        <w:rPr>
          <w:rFonts w:ascii="Times New Roman" w:eastAsiaTheme="minorHAnsi" w:hAnsi="Times New Roman"/>
          <w:lang w:val="fr-BE"/>
        </w:rPr>
        <w:t xml:space="preserve">, arrêt du Tribunal du 12 juillet 2018, ECLI:EU:T:2018:453; T-444/14 </w:t>
      </w:r>
      <w:r>
        <w:rPr>
          <w:rFonts w:ascii="Times New Roman" w:eastAsiaTheme="minorHAnsi" w:hAnsi="Times New Roman"/>
          <w:i/>
          <w:lang w:val="fr-BE"/>
        </w:rPr>
        <w:t>Furukawa Electric Co. Ltd/Commission</w:t>
      </w:r>
      <w:r>
        <w:rPr>
          <w:rFonts w:ascii="Times New Roman" w:eastAsiaTheme="minorHAnsi" w:hAnsi="Times New Roman"/>
          <w:lang w:val="fr-BE"/>
        </w:rPr>
        <w:t xml:space="preserve">, arrêt du Tribunal du 12 juillet 2018, ECLI:EU:T:2018:454; T-445/14 </w:t>
      </w:r>
      <w:r>
        <w:rPr>
          <w:rFonts w:ascii="Times New Roman" w:eastAsiaTheme="minorHAnsi" w:hAnsi="Times New Roman"/>
          <w:i/>
          <w:lang w:val="fr-BE"/>
        </w:rPr>
        <w:t>ABB/Co</w:t>
      </w:r>
      <w:r>
        <w:rPr>
          <w:rFonts w:ascii="Times New Roman" w:eastAsiaTheme="minorHAnsi" w:hAnsi="Times New Roman"/>
          <w:i/>
          <w:lang w:val="fr-BE"/>
        </w:rPr>
        <w:t>mmission</w:t>
      </w:r>
      <w:r>
        <w:rPr>
          <w:rFonts w:ascii="Times New Roman" w:eastAsiaTheme="minorHAnsi" w:hAnsi="Times New Roman"/>
          <w:lang w:val="fr-BE"/>
        </w:rPr>
        <w:t xml:space="preserve">, arrêt du Tribunal du 12 juillet 2018, ECLI:EU:T:2018:449; T-446/14 </w:t>
      </w:r>
      <w:r>
        <w:rPr>
          <w:rFonts w:ascii="Times New Roman" w:eastAsiaTheme="minorHAnsi" w:hAnsi="Times New Roman"/>
          <w:i/>
          <w:lang w:val="fr-BE"/>
        </w:rPr>
        <w:t>Taihan Electric Wire Co. Ltd/Commission</w:t>
      </w:r>
      <w:r>
        <w:rPr>
          <w:rFonts w:ascii="Times New Roman" w:eastAsiaTheme="minorHAnsi" w:hAnsi="Times New Roman"/>
          <w:lang w:val="fr-BE"/>
        </w:rPr>
        <w:t xml:space="preserve">, arrêt du Tribunal du 12 juillet 2018, ECLI:EU:T:2018:444; T-447/14 </w:t>
      </w:r>
      <w:r>
        <w:rPr>
          <w:rFonts w:ascii="Times New Roman" w:eastAsiaTheme="minorHAnsi" w:hAnsi="Times New Roman"/>
          <w:i/>
          <w:lang w:val="fr-BE"/>
        </w:rPr>
        <w:t>NKT Verwaltungs et NKT Holding A/S / Commission</w:t>
      </w:r>
      <w:r>
        <w:rPr>
          <w:rFonts w:ascii="Times New Roman" w:eastAsiaTheme="minorHAnsi" w:hAnsi="Times New Roman"/>
          <w:lang w:val="fr-BE"/>
        </w:rPr>
        <w:t>, arrêt du Tribunal du 1</w:t>
      </w:r>
      <w:r>
        <w:rPr>
          <w:rFonts w:ascii="Times New Roman" w:eastAsiaTheme="minorHAnsi" w:hAnsi="Times New Roman"/>
          <w:lang w:val="fr-BE"/>
        </w:rPr>
        <w:t xml:space="preserve">2 juillet 2018, ECLI:EU:T:2018:443; T-448/14 </w:t>
      </w:r>
      <w:r>
        <w:rPr>
          <w:rFonts w:ascii="Times New Roman" w:eastAsiaTheme="minorHAnsi" w:hAnsi="Times New Roman"/>
          <w:i/>
          <w:lang w:val="fr-BE"/>
        </w:rPr>
        <w:t>Hitachi Metals, Ltd/Commission</w:t>
      </w:r>
      <w:r>
        <w:rPr>
          <w:rFonts w:ascii="Times New Roman" w:eastAsiaTheme="minorHAnsi" w:hAnsi="Times New Roman"/>
          <w:lang w:val="fr-BE"/>
        </w:rPr>
        <w:t xml:space="preserve">, arrêt du Tribunal du 12 juillet 2018, ECLI:EU:T:2018:442; T-449/14 </w:t>
      </w:r>
      <w:r>
        <w:rPr>
          <w:rFonts w:ascii="Times New Roman" w:eastAsiaTheme="minorHAnsi" w:hAnsi="Times New Roman"/>
          <w:i/>
          <w:lang w:val="fr-BE"/>
        </w:rPr>
        <w:t>Nexans France SAS et Nexans SA/Commission</w:t>
      </w:r>
      <w:r>
        <w:rPr>
          <w:rFonts w:ascii="Times New Roman" w:eastAsiaTheme="minorHAnsi" w:hAnsi="Times New Roman"/>
          <w:lang w:val="fr-BE"/>
        </w:rPr>
        <w:t xml:space="preserve">, arrêt du Tribunal du 12 juillet 2018, ECLI:EU:T:2018:456; T-450/14 </w:t>
      </w:r>
      <w:r>
        <w:rPr>
          <w:rFonts w:ascii="Times New Roman" w:eastAsiaTheme="minorHAnsi" w:hAnsi="Times New Roman"/>
          <w:i/>
          <w:lang w:val="fr-BE"/>
        </w:rPr>
        <w:t>Su</w:t>
      </w:r>
      <w:r>
        <w:rPr>
          <w:rFonts w:ascii="Times New Roman" w:eastAsiaTheme="minorHAnsi" w:hAnsi="Times New Roman"/>
          <w:i/>
          <w:lang w:val="fr-BE"/>
        </w:rPr>
        <w:t>mitomo Electric Industries Ltd et J-Power Systems Corporation/Commission</w:t>
      </w:r>
      <w:r>
        <w:rPr>
          <w:rFonts w:ascii="Times New Roman" w:eastAsiaTheme="minorHAnsi" w:hAnsi="Times New Roman"/>
          <w:lang w:val="fr-BE"/>
        </w:rPr>
        <w:t xml:space="preserve">, arrêt du Tribunal du 12 juillet 2018, ECLI:EU:T:2018:455; T-451/14 </w:t>
      </w:r>
      <w:r>
        <w:rPr>
          <w:rFonts w:ascii="Times New Roman" w:eastAsiaTheme="minorHAnsi" w:hAnsi="Times New Roman"/>
          <w:i/>
          <w:lang w:val="fr-BE"/>
        </w:rPr>
        <w:t>Fujikura Ltd/Commission</w:t>
      </w:r>
      <w:r>
        <w:rPr>
          <w:rFonts w:ascii="Times New Roman" w:eastAsiaTheme="minorHAnsi" w:hAnsi="Times New Roman"/>
          <w:lang w:val="fr-BE"/>
        </w:rPr>
        <w:t xml:space="preserve">, arrêt du Tribunal du 12 juillet 2018, ECLI:EU:T:2018:452; T-455/14 </w:t>
      </w:r>
      <w:r>
        <w:rPr>
          <w:rFonts w:ascii="Times New Roman" w:eastAsiaTheme="minorHAnsi" w:hAnsi="Times New Roman"/>
          <w:i/>
          <w:lang w:val="fr-BE"/>
        </w:rPr>
        <w:t>Pirelli &amp; C. SpA/Commis</w:t>
      </w:r>
      <w:r>
        <w:rPr>
          <w:rFonts w:ascii="Times New Roman" w:eastAsiaTheme="minorHAnsi" w:hAnsi="Times New Roman"/>
          <w:i/>
          <w:lang w:val="fr-BE"/>
        </w:rPr>
        <w:t>sion</w:t>
      </w:r>
      <w:r>
        <w:rPr>
          <w:rFonts w:ascii="Times New Roman" w:eastAsiaTheme="minorHAnsi" w:hAnsi="Times New Roman"/>
          <w:lang w:val="fr-BE"/>
        </w:rPr>
        <w:t xml:space="preserve">, arrêt du Tribunal du 12 juillet 2018, ECLI:EU:T:2018:450; T-475/14 </w:t>
      </w:r>
      <w:r>
        <w:rPr>
          <w:rFonts w:ascii="Times New Roman" w:eastAsiaTheme="minorHAnsi" w:hAnsi="Times New Roman"/>
          <w:i/>
          <w:lang w:val="fr-BE"/>
        </w:rPr>
        <w:t>Prysmian SpA et Prysmian Cavi e Sistemi Srl/Commission,</w:t>
      </w:r>
      <w:r>
        <w:rPr>
          <w:rFonts w:ascii="Times New Roman" w:eastAsiaTheme="minorHAnsi" w:hAnsi="Times New Roman"/>
          <w:lang w:val="fr-BE"/>
        </w:rPr>
        <w:t xml:space="preserve"> arrêt du Tribunal du 12 juillet 2018, ECLI:EU:T:2018:448. Voir également le communiqué de presse du Tribunal: </w:t>
      </w:r>
      <w:hyperlink r:id="rId15">
        <w:r>
          <w:rPr>
            <w:rFonts w:ascii="Times New Roman" w:eastAsiaTheme="minorHAnsi" w:hAnsi="Times New Roman"/>
            <w:color w:val="0000FF" w:themeColor="hyperlink"/>
            <w:u w:val="single"/>
            <w:lang w:val="fr-BE"/>
          </w:rPr>
          <w:t>https://curia.europa.eu/jcms/upload/docs/application/pdf/2018-07/cp180107fr.pdf</w:t>
        </w:r>
      </w:hyperlink>
      <w:r>
        <w:rPr>
          <w:rFonts w:ascii="Times New Roman" w:eastAsiaTheme="minorHAnsi" w:hAnsi="Times New Roman"/>
          <w:lang w:val="fr-BE"/>
        </w:rPr>
        <w:t>.</w:t>
      </w:r>
    </w:p>
  </w:footnote>
  <w:footnote w:id="3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T-325/16</w:t>
      </w:r>
      <w:r>
        <w:rPr>
          <w:rFonts w:ascii="Times New Roman" w:hAnsi="Times New Roman"/>
          <w:i/>
          <w:lang w:val="fr-BE"/>
        </w:rPr>
        <w:t xml:space="preserve"> České dráhy a.s./Commission européenne</w:t>
      </w:r>
      <w:r>
        <w:rPr>
          <w:rFonts w:ascii="Times New Roman" w:hAnsi="Times New Roman"/>
          <w:lang w:val="fr-BE"/>
        </w:rPr>
        <w:t>, arrêt du Tribunal du 20 juin 2018</w:t>
      </w:r>
      <w:r>
        <w:rPr>
          <w:rFonts w:ascii="Times New Roman" w:hAnsi="Times New Roman"/>
          <w:lang w:val="fr-BE"/>
        </w:rPr>
        <w:t xml:space="preserve">, ECLI:EU:T:2018:368 et affaire T-621/16 </w:t>
      </w:r>
      <w:r>
        <w:rPr>
          <w:rFonts w:ascii="Times New Roman" w:hAnsi="Times New Roman"/>
          <w:i/>
          <w:lang w:val="fr-BE"/>
        </w:rPr>
        <w:t>České dráhy a.s./Commission européenne</w:t>
      </w:r>
      <w:r>
        <w:rPr>
          <w:rFonts w:ascii="Times New Roman" w:hAnsi="Times New Roman"/>
          <w:lang w:val="fr-BE"/>
        </w:rPr>
        <w:t>, arrêt du Tribunal du 20 juin 2018, ECLI:EU:T:2018:367. Arrêts faisant actuellement l’objet d’un pourvoi sous les références C-538/18 P et C-539/18 P.</w:t>
      </w:r>
    </w:p>
  </w:footnote>
  <w:footnote w:id="3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Pour les pouvoirs de l</w:t>
      </w:r>
      <w:r>
        <w:rPr>
          <w:rFonts w:ascii="Times New Roman" w:hAnsi="Times New Roman"/>
          <w:lang w:val="fr-BE"/>
        </w:rPr>
        <w:t>a Commission en matière d’inspection, voir les articles 20 et 21 du règlement (CE) nº 1/2003 du Conseil du 16 décembre 2002 relatif à la mise en œuvre des règles de concurrence prévues aux articles 81 et 82 du traité (JO L 1 du 4.1.2003, p. 1).</w:t>
      </w:r>
    </w:p>
  </w:footnote>
  <w:footnote w:id="3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w:t>
      </w:r>
      <w:r>
        <w:rPr>
          <w:rFonts w:ascii="Times New Roman" w:hAnsi="Times New Roman"/>
          <w:lang w:val="fr-BE"/>
        </w:rPr>
        <w:t xml:space="preserve">T-274/15 </w:t>
      </w:r>
      <w:r>
        <w:rPr>
          <w:rFonts w:ascii="Times New Roman" w:hAnsi="Times New Roman"/>
          <w:i/>
          <w:lang w:val="fr-BE"/>
        </w:rPr>
        <w:t>Alcogroup et Alcodis/Commission</w:t>
      </w:r>
      <w:r>
        <w:rPr>
          <w:rFonts w:ascii="Times New Roman" w:hAnsi="Times New Roman"/>
          <w:lang w:val="fr-BE"/>
        </w:rPr>
        <w:t xml:space="preserve">, arrêt du Tribunal du 10 avril 2018, ECLI:EU:T:2018:179. Arrêt faisant actuellement l’objet d’un pourvoi sous la référence C-403/18 P. </w:t>
      </w:r>
    </w:p>
  </w:footnote>
  <w:footnote w:id="3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T-449/14 </w:t>
      </w:r>
      <w:r>
        <w:rPr>
          <w:rFonts w:ascii="Times New Roman" w:hAnsi="Times New Roman"/>
          <w:i/>
          <w:lang w:val="fr-BE"/>
        </w:rPr>
        <w:t>Nexans France SAS et Nexans SA/Commission</w:t>
      </w:r>
      <w:r>
        <w:rPr>
          <w:rFonts w:ascii="Times New Roman" w:hAnsi="Times New Roman"/>
          <w:lang w:val="fr-BE"/>
        </w:rPr>
        <w:t xml:space="preserve">, arrêt du Tribunal du 12 juillet 2018, ECLI:EU:T:2018:456, et affaire T-475/14 </w:t>
      </w:r>
      <w:r>
        <w:rPr>
          <w:rFonts w:ascii="Times New Roman" w:hAnsi="Times New Roman"/>
          <w:i/>
          <w:lang w:val="fr-BE"/>
        </w:rPr>
        <w:t>Prysmian SpA et Prysmian Cavi e Sistemi Srl/Commission</w:t>
      </w:r>
      <w:r>
        <w:rPr>
          <w:rFonts w:ascii="Times New Roman" w:hAnsi="Times New Roman"/>
          <w:lang w:val="fr-BE"/>
        </w:rPr>
        <w:t xml:space="preserve">, arrêt du Tribunal du 12 juillet 2018, ECLI:EU:T:2018:448. </w:t>
      </w:r>
    </w:p>
  </w:footnote>
  <w:footnote w:id="3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C-271/16 P </w:t>
      </w:r>
      <w:r>
        <w:rPr>
          <w:rFonts w:ascii="Times New Roman" w:hAnsi="Times New Roman"/>
          <w:i/>
          <w:lang w:val="fr-BE"/>
        </w:rPr>
        <w:t xml:space="preserve">Panalpina/Commission, </w:t>
      </w:r>
      <w:r>
        <w:rPr>
          <w:rFonts w:ascii="Times New Roman" w:hAnsi="Times New Roman"/>
          <w:lang w:val="fr-BE"/>
        </w:rPr>
        <w:t xml:space="preserve">arrêt de la Cour </w:t>
      </w:r>
      <w:r>
        <w:rPr>
          <w:rFonts w:ascii="Times New Roman" w:hAnsi="Times New Roman"/>
          <w:lang w:val="fr-BE"/>
        </w:rPr>
        <w:t>de justice du 1</w:t>
      </w:r>
      <w:r>
        <w:rPr>
          <w:rFonts w:ascii="Times New Roman" w:hAnsi="Times New Roman"/>
          <w:vertAlign w:val="superscript"/>
          <w:lang w:val="fr-BE"/>
        </w:rPr>
        <w:t>er</w:t>
      </w:r>
      <w:r>
        <w:rPr>
          <w:rFonts w:ascii="Times New Roman" w:hAnsi="Times New Roman"/>
          <w:lang w:val="fr-BE"/>
        </w:rPr>
        <w:t> février 2018, ECLI:EU:C:2018:59;</w:t>
      </w:r>
      <w:r>
        <w:rPr>
          <w:rFonts w:ascii="Times New Roman" w:hAnsi="Times New Roman"/>
          <w:i/>
          <w:lang w:val="fr-BE"/>
        </w:rPr>
        <w:t xml:space="preserve"> </w:t>
      </w:r>
      <w:r>
        <w:rPr>
          <w:rFonts w:ascii="Times New Roman" w:hAnsi="Times New Roman"/>
          <w:lang w:val="fr-BE"/>
        </w:rPr>
        <w:t>affaire C-264/16 P</w:t>
      </w:r>
      <w:r>
        <w:rPr>
          <w:rFonts w:ascii="Times New Roman" w:hAnsi="Times New Roman"/>
          <w:i/>
          <w:lang w:val="fr-BE"/>
        </w:rPr>
        <w:t xml:space="preserve"> Deutsche Bahn / Schenker/Commission</w:t>
      </w:r>
      <w:r>
        <w:rPr>
          <w:rFonts w:ascii="Times New Roman" w:hAnsi="Times New Roman"/>
          <w:lang w:val="fr-BE"/>
        </w:rPr>
        <w:t>, arrêt de la Cour de justice du 1</w:t>
      </w:r>
      <w:r>
        <w:rPr>
          <w:rFonts w:ascii="Times New Roman" w:hAnsi="Times New Roman"/>
          <w:vertAlign w:val="superscript"/>
          <w:lang w:val="fr-BE"/>
        </w:rPr>
        <w:t>er</w:t>
      </w:r>
      <w:r>
        <w:rPr>
          <w:rFonts w:ascii="Times New Roman" w:hAnsi="Times New Roman"/>
          <w:lang w:val="fr-BE"/>
        </w:rPr>
        <w:t xml:space="preserve"> février 2018, ECLI:EU:C:2018:60; affaire C-263/16 P </w:t>
      </w:r>
      <w:r>
        <w:rPr>
          <w:rFonts w:ascii="Times New Roman" w:hAnsi="Times New Roman"/>
          <w:i/>
          <w:lang w:val="fr-BE"/>
        </w:rPr>
        <w:t xml:space="preserve">Schenker Ltd. (successeur de BAX Global UK)/Commission, </w:t>
      </w:r>
      <w:r>
        <w:rPr>
          <w:rFonts w:ascii="Times New Roman" w:hAnsi="Times New Roman"/>
          <w:lang w:val="fr-BE"/>
        </w:rPr>
        <w:t xml:space="preserve">arrêt </w:t>
      </w:r>
      <w:r>
        <w:rPr>
          <w:rFonts w:ascii="Times New Roman" w:hAnsi="Times New Roman"/>
          <w:lang w:val="fr-BE"/>
        </w:rPr>
        <w:t>de la Cour de justice du 1</w:t>
      </w:r>
      <w:r>
        <w:rPr>
          <w:rFonts w:ascii="Times New Roman" w:hAnsi="Times New Roman"/>
          <w:vertAlign w:val="superscript"/>
          <w:lang w:val="fr-BE"/>
        </w:rPr>
        <w:t>er</w:t>
      </w:r>
      <w:r>
        <w:rPr>
          <w:rFonts w:ascii="Times New Roman" w:hAnsi="Times New Roman"/>
          <w:lang w:val="fr-BE"/>
        </w:rPr>
        <w:t xml:space="preserve"> février 2018, ECLI:EU:C:2018:58 et affaire C-261/16 P </w:t>
      </w:r>
      <w:r>
        <w:rPr>
          <w:rFonts w:ascii="Times New Roman" w:hAnsi="Times New Roman"/>
          <w:i/>
          <w:lang w:val="fr-BE"/>
        </w:rPr>
        <w:t xml:space="preserve">Kuehne &amp; Nagel/Commission, </w:t>
      </w:r>
      <w:r>
        <w:rPr>
          <w:rFonts w:ascii="Times New Roman" w:hAnsi="Times New Roman"/>
          <w:lang w:val="fr-BE"/>
        </w:rPr>
        <w:t>arrêt de la Cour de justice du 1</w:t>
      </w:r>
      <w:r>
        <w:rPr>
          <w:rFonts w:ascii="Times New Roman" w:hAnsi="Times New Roman"/>
          <w:vertAlign w:val="superscript"/>
          <w:lang w:val="fr-BE"/>
        </w:rPr>
        <w:t>er</w:t>
      </w:r>
      <w:r>
        <w:rPr>
          <w:rFonts w:ascii="Times New Roman" w:hAnsi="Times New Roman"/>
          <w:lang w:val="fr-BE"/>
        </w:rPr>
        <w:t xml:space="preserve"> février 2018, ECLI:EU:C:2018:56. Voir également le communiqué de presse de la Cour: </w:t>
      </w:r>
      <w:hyperlink r:id="rId16">
        <w:r>
          <w:rPr>
            <w:rFonts w:ascii="Times New Roman" w:hAnsi="Times New Roman"/>
            <w:color w:val="0000FF" w:themeColor="hyperlink"/>
            <w:u w:val="single"/>
            <w:lang w:val="fr-BE"/>
          </w:rPr>
          <w:t>https://curia.europa.eu/jcms/upload/docs/application/pdf/2018-02/cp180009fr.pdf</w:t>
        </w:r>
      </w:hyperlink>
      <w:r>
        <w:rPr>
          <w:rFonts w:ascii="Times New Roman" w:hAnsi="Times New Roman"/>
          <w:lang w:val="fr-BE"/>
        </w:rPr>
        <w:t>.</w:t>
      </w:r>
    </w:p>
  </w:footnote>
  <w:footnote w:id="3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T-58/14, </w:t>
      </w:r>
      <w:r>
        <w:rPr>
          <w:rFonts w:ascii="Times New Roman" w:hAnsi="Times New Roman"/>
          <w:i/>
          <w:lang w:val="fr-BE"/>
        </w:rPr>
        <w:t>Stuehrk Delikatessen Import/Commission</w:t>
      </w:r>
      <w:r>
        <w:rPr>
          <w:rFonts w:ascii="Times New Roman" w:hAnsi="Times New Roman"/>
          <w:lang w:val="fr-BE"/>
        </w:rPr>
        <w:t>. Arrêt du Tribunal du 13 juillet 2018, ECLI:</w:t>
      </w:r>
      <w:r>
        <w:rPr>
          <w:rFonts w:ascii="Times New Roman" w:hAnsi="Times New Roman"/>
          <w:lang w:val="fr-BE"/>
        </w:rPr>
        <w:t xml:space="preserve">EU:T:2018:474.    </w:t>
      </w:r>
    </w:p>
  </w:footnote>
  <w:footnote w:id="3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Lignes directrices pour le calcul des amendes infligées en application de l’article 23, paragraphe 2, point a), du règlement (CE) nº 1/2003 (JO 2006/C 210/02). Voir: </w:t>
      </w:r>
      <w:hyperlink r:id="rId17">
        <w:r>
          <w:rPr>
            <w:rStyle w:val="Hyperlink"/>
            <w:rFonts w:ascii="Times New Roman" w:hAnsi="Times New Roman"/>
            <w:lang w:val="fr-BE"/>
          </w:rPr>
          <w:t>https://eur-lex.europa.eu/legal-content/FR/TXT/PDF/?uri=CELEX:52006XC0901(01)&amp;from=FR</w:t>
        </w:r>
      </w:hyperlink>
      <w:r>
        <w:rPr>
          <w:rFonts w:ascii="Times New Roman" w:hAnsi="Times New Roman"/>
          <w:lang w:val="fr-BE"/>
        </w:rPr>
        <w:t>.</w:t>
      </w:r>
    </w:p>
  </w:footnote>
  <w:footnote w:id="4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également: affaire AT.39780 – </w:t>
      </w:r>
      <w:r>
        <w:rPr>
          <w:rFonts w:ascii="Times New Roman" w:hAnsi="Times New Roman"/>
          <w:i/>
          <w:lang w:val="fr-BE"/>
        </w:rPr>
        <w:t>Enveloppes</w:t>
      </w:r>
      <w:r>
        <w:rPr>
          <w:rFonts w:ascii="Times New Roman" w:hAnsi="Times New Roman"/>
          <w:lang w:val="fr-BE"/>
        </w:rPr>
        <w:t xml:space="preserve">, décision du 10 décembre 2014. Annulée par le Tribunal dans l’affaire T-95-15, </w:t>
      </w:r>
      <w:r>
        <w:rPr>
          <w:rFonts w:ascii="Times New Roman" w:hAnsi="Times New Roman"/>
          <w:i/>
          <w:lang w:val="fr-BE"/>
        </w:rPr>
        <w:t>Prin</w:t>
      </w:r>
      <w:r>
        <w:rPr>
          <w:rFonts w:ascii="Times New Roman" w:hAnsi="Times New Roman"/>
          <w:i/>
          <w:lang w:val="fr-BE"/>
        </w:rPr>
        <w:t>teos e.a./Commission</w:t>
      </w:r>
      <w:r>
        <w:rPr>
          <w:rFonts w:ascii="Times New Roman" w:hAnsi="Times New Roman"/>
          <w:lang w:val="fr-BE"/>
        </w:rPr>
        <w:t>, ECLI:EU:T:2016:722.</w:t>
      </w:r>
    </w:p>
  </w:footnote>
  <w:footnote w:id="4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T-422/14 </w:t>
      </w:r>
      <w:r>
        <w:rPr>
          <w:rFonts w:ascii="Times New Roman" w:hAnsi="Times New Roman"/>
          <w:i/>
          <w:lang w:val="fr-BE"/>
        </w:rPr>
        <w:t>Viscas Corp./Commission</w:t>
      </w:r>
      <w:r>
        <w:rPr>
          <w:rFonts w:ascii="Times New Roman" w:hAnsi="Times New Roman"/>
          <w:lang w:val="fr-BE"/>
        </w:rPr>
        <w:t xml:space="preserve">, arrêt du Tribunal du 12 juillet 2018, ECLI:EU:T:2018:446; affaire T-439/14 </w:t>
      </w:r>
      <w:r>
        <w:rPr>
          <w:rFonts w:ascii="Times New Roman" w:hAnsi="Times New Roman"/>
          <w:i/>
          <w:lang w:val="fr-BE"/>
        </w:rPr>
        <w:t>LS Cable &amp; System Ltd/Commission</w:t>
      </w:r>
      <w:r>
        <w:rPr>
          <w:rFonts w:ascii="Times New Roman" w:hAnsi="Times New Roman"/>
          <w:lang w:val="fr-BE"/>
        </w:rPr>
        <w:t>, arrêt du Tribunal du 12 juillet 2018, ECLI:EU:T:2018:451; af</w:t>
      </w:r>
      <w:r>
        <w:rPr>
          <w:rFonts w:ascii="Times New Roman" w:hAnsi="Times New Roman"/>
          <w:lang w:val="fr-BE"/>
        </w:rPr>
        <w:t xml:space="preserve">faire T-444/14 </w:t>
      </w:r>
      <w:r>
        <w:rPr>
          <w:rFonts w:ascii="Times New Roman" w:hAnsi="Times New Roman"/>
          <w:i/>
          <w:lang w:val="fr-BE"/>
        </w:rPr>
        <w:t>Furukawa Electric Co. Ltd/Commission</w:t>
      </w:r>
      <w:r>
        <w:rPr>
          <w:rFonts w:ascii="Times New Roman" w:hAnsi="Times New Roman"/>
          <w:lang w:val="fr-BE"/>
        </w:rPr>
        <w:t xml:space="preserve">, arrêt du Tribunal du 12 juillet 2018, ECLI:EU:T:2018:454; affaire T-446/14 </w:t>
      </w:r>
      <w:r>
        <w:rPr>
          <w:rFonts w:ascii="Times New Roman" w:hAnsi="Times New Roman"/>
          <w:i/>
          <w:lang w:val="fr-BE"/>
        </w:rPr>
        <w:t>Taihan Electric Wire Co. Ltd/Commission</w:t>
      </w:r>
      <w:r>
        <w:rPr>
          <w:rFonts w:ascii="Times New Roman" w:hAnsi="Times New Roman"/>
          <w:lang w:val="fr-BE"/>
        </w:rPr>
        <w:t xml:space="preserve">, arrêt du Tribunal du 12 juillet 2018, ECLI:EU:T:2018:444 et affaire T-451/14 </w:t>
      </w:r>
      <w:r>
        <w:rPr>
          <w:rFonts w:ascii="Times New Roman" w:hAnsi="Times New Roman"/>
          <w:i/>
          <w:lang w:val="fr-BE"/>
        </w:rPr>
        <w:t>Fujikura L</w:t>
      </w:r>
      <w:r>
        <w:rPr>
          <w:rFonts w:ascii="Times New Roman" w:hAnsi="Times New Roman"/>
          <w:i/>
          <w:lang w:val="fr-BE"/>
        </w:rPr>
        <w:t>td/Commission</w:t>
      </w:r>
      <w:r>
        <w:rPr>
          <w:rFonts w:ascii="Times New Roman" w:hAnsi="Times New Roman"/>
          <w:lang w:val="fr-BE"/>
        </w:rPr>
        <w:t xml:space="preserve">, arrêt du Tribunal du 12 juillet 2018, ECLI:EU:T:2018:452. Voir également le communiqué de presse du Tribunal: </w:t>
      </w:r>
      <w:hyperlink r:id="rId18">
        <w:r>
          <w:rPr>
            <w:rStyle w:val="Hyperlink"/>
            <w:rFonts w:ascii="Times New Roman" w:hAnsi="Times New Roman"/>
            <w:lang w:val="fr-BE"/>
          </w:rPr>
          <w:t>https://curia.europa.eu/jcms/upload/docs/application/pdf/2018-02/cp180009fr.pdf</w:t>
        </w:r>
      </w:hyperlink>
      <w:r>
        <w:rPr>
          <w:rFonts w:ascii="Times New Roman" w:hAnsi="Times New Roman"/>
          <w:lang w:val="fr-BE"/>
        </w:rPr>
        <w:t>.</w:t>
      </w:r>
    </w:p>
  </w:footnote>
  <w:footnote w:id="4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De plus, le Tribunal a confirmé la position de la Commission selon laquelle un rôle «</w:t>
      </w:r>
      <w:r>
        <w:rPr>
          <w:rFonts w:ascii="Times New Roman" w:hAnsi="Times New Roman"/>
          <w:i/>
          <w:lang w:val="fr-BE"/>
        </w:rPr>
        <w:t>exclusivement passif ou de suiveur</w:t>
      </w:r>
      <w:r>
        <w:rPr>
          <w:rFonts w:ascii="Times New Roman" w:hAnsi="Times New Roman"/>
          <w:lang w:val="fr-BE"/>
        </w:rPr>
        <w:t>» dans l’infraction implique, par définition, que l’e</w:t>
      </w:r>
      <w:r>
        <w:rPr>
          <w:rFonts w:ascii="Times New Roman" w:hAnsi="Times New Roman"/>
          <w:lang w:val="fr-BE"/>
        </w:rPr>
        <w:t>ntreprise concernée reste «discrète», c’est-à-dire qu’elle ne participe pas activement à la création d’accords anticoncurrentiels et que ce rôle peut être démontré par une participation nettement plus sporadique aux réunions de l’entente que celle des memb</w:t>
      </w:r>
      <w:r>
        <w:rPr>
          <w:rFonts w:ascii="Times New Roman" w:hAnsi="Times New Roman"/>
          <w:lang w:val="fr-BE"/>
        </w:rPr>
        <w:t xml:space="preserve">res ordinaires de celle-ci ainsi que par une déclaration explicite concernant le rôle joué par cette entreprise dans l’entente faite par un représentant d’une autre entreprise ayant participé à l’infraction. </w:t>
      </w:r>
    </w:p>
  </w:footnote>
  <w:footnote w:id="4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T-640/16 </w:t>
      </w:r>
      <w:r>
        <w:rPr>
          <w:rFonts w:ascii="Times New Roman" w:hAnsi="Times New Roman"/>
          <w:i/>
          <w:lang w:val="fr-BE"/>
        </w:rPr>
        <w:t>GEA Group AG/Commission</w:t>
      </w:r>
      <w:r>
        <w:rPr>
          <w:rFonts w:ascii="Times New Roman" w:hAnsi="Times New Roman"/>
          <w:lang w:val="fr-BE"/>
        </w:rPr>
        <w:t>, ar</w:t>
      </w:r>
      <w:r>
        <w:rPr>
          <w:rFonts w:ascii="Times New Roman" w:hAnsi="Times New Roman"/>
          <w:lang w:val="fr-BE"/>
        </w:rPr>
        <w:t>rêt du Tribunal du 18 octobre 2018, ECLI:EU:T:2018:700. Arrêt faisant actuellement l’objet d’un pourvoi sous la référence C-823/18 P.</w:t>
      </w:r>
    </w:p>
  </w:footnote>
  <w:footnote w:id="4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C-123/16 P </w:t>
      </w:r>
      <w:r>
        <w:rPr>
          <w:rFonts w:ascii="Times New Roman" w:hAnsi="Times New Roman"/>
          <w:i/>
          <w:lang w:val="fr-BE"/>
        </w:rPr>
        <w:t>Orange Polska/Commission</w:t>
      </w:r>
      <w:r>
        <w:rPr>
          <w:rFonts w:ascii="Times New Roman" w:hAnsi="Times New Roman"/>
          <w:lang w:val="fr-BE"/>
        </w:rPr>
        <w:t>, arrêt de la Cour de justice du 25 juillet 2018, ECLI:EU:C:2018:590.</w:t>
      </w:r>
    </w:p>
  </w:footnote>
  <w:footnote w:id="4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w:t>
      </w:r>
      <w:r>
        <w:rPr>
          <w:rFonts w:ascii="Times New Roman" w:hAnsi="Times New Roman"/>
          <w:lang w:val="fr-BE"/>
        </w:rPr>
        <w:t xml:space="preserve">aire T-486/11 </w:t>
      </w:r>
      <w:r>
        <w:rPr>
          <w:rFonts w:ascii="Times New Roman" w:hAnsi="Times New Roman"/>
          <w:i/>
          <w:lang w:val="fr-BE"/>
        </w:rPr>
        <w:t>Orange Polska/Commission</w:t>
      </w:r>
      <w:r>
        <w:rPr>
          <w:rFonts w:ascii="Times New Roman" w:hAnsi="Times New Roman"/>
          <w:lang w:val="fr-BE"/>
        </w:rPr>
        <w:t>, arrêt du Tribunal du 17 décembre 2015, ECLI:EU:T:2015:1002.</w:t>
      </w:r>
    </w:p>
  </w:footnote>
  <w:footnote w:id="4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Décision C(2011) 4378 final de la Commission du 22 juin 2011.</w:t>
      </w:r>
    </w:p>
  </w:footnote>
  <w:footnote w:id="4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Affaire T-873/16, </w:t>
      </w:r>
      <w:r>
        <w:rPr>
          <w:rFonts w:ascii="Times New Roman" w:hAnsi="Times New Roman"/>
          <w:i/>
          <w:lang w:val="fr-BE"/>
        </w:rPr>
        <w:t>Groupe Canal+/Commission européenne</w:t>
      </w:r>
      <w:r>
        <w:rPr>
          <w:rFonts w:ascii="Times New Roman" w:hAnsi="Times New Roman"/>
          <w:lang w:val="fr-BE"/>
        </w:rPr>
        <w:t xml:space="preserve">, arrêt du Tribunal du </w:t>
      </w:r>
      <w:r>
        <w:rPr>
          <w:rFonts w:ascii="Times New Roman" w:hAnsi="Times New Roman"/>
          <w:lang w:val="fr-BE"/>
        </w:rPr>
        <w:t>12 décembre 2018, ECLI:EU:T:2018:904.</w:t>
      </w:r>
    </w:p>
  </w:footnote>
  <w:footnote w:id="4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C-373/17 P </w:t>
      </w:r>
      <w:r>
        <w:rPr>
          <w:rFonts w:ascii="Times New Roman" w:hAnsi="Times New Roman"/>
          <w:i/>
          <w:lang w:val="fr-BE"/>
        </w:rPr>
        <w:t>Agria Polska e.a./Commission européenne</w:t>
      </w:r>
      <w:r>
        <w:rPr>
          <w:rFonts w:ascii="Times New Roman" w:hAnsi="Times New Roman"/>
          <w:lang w:val="fr-BE"/>
        </w:rPr>
        <w:t>, arrêt de la Cour de justice du 20 septembre 2018, ECLI:EU:C:2018:756.</w:t>
      </w:r>
    </w:p>
  </w:footnote>
  <w:footnote w:id="49">
    <w:p w:rsidR="00D9323F" w:rsidRDefault="00F47CDD">
      <w:pPr>
        <w:pStyle w:val="FootnoteText"/>
        <w:spacing w:after="0" w:line="240" w:lineRule="auto"/>
        <w:ind w:left="284" w:hanging="284"/>
        <w:jc w:val="both"/>
        <w:rPr>
          <w:rFonts w:ascii="Times New Roman" w:eastAsia="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T-574/14 </w:t>
      </w:r>
      <w:r>
        <w:rPr>
          <w:rFonts w:ascii="Times New Roman" w:hAnsi="Times New Roman"/>
          <w:i/>
          <w:lang w:val="fr-BE"/>
        </w:rPr>
        <w:t>EAEPC/Commission</w:t>
      </w:r>
      <w:r>
        <w:rPr>
          <w:rFonts w:ascii="Times New Roman" w:hAnsi="Times New Roman"/>
          <w:lang w:val="fr-BE"/>
        </w:rPr>
        <w:t>, arrêt du Tribunal du 26 septembre 2018, ECLI:EU</w:t>
      </w:r>
      <w:r>
        <w:rPr>
          <w:rFonts w:ascii="Times New Roman" w:hAnsi="Times New Roman"/>
          <w:lang w:val="fr-BE"/>
        </w:rPr>
        <w:t>:T:2018:605.</w:t>
      </w:r>
    </w:p>
  </w:footnote>
  <w:footnote w:id="5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Règlement nº 17 du Conseil du 6 février 1962, premier règlement d’application des articles 85 et 86 du traité (JO 13 du 21.2.1962, p. 204).</w:t>
      </w:r>
    </w:p>
  </w:footnote>
  <w:footnote w:id="5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C-65/18 P(R)-R </w:t>
      </w:r>
      <w:r>
        <w:rPr>
          <w:rFonts w:ascii="Times New Roman" w:hAnsi="Times New Roman"/>
          <w:i/>
          <w:lang w:val="fr-BE"/>
        </w:rPr>
        <w:t>Nexans France et Nexans/Commission</w:t>
      </w:r>
      <w:r>
        <w:rPr>
          <w:rFonts w:ascii="Times New Roman" w:hAnsi="Times New Roman"/>
          <w:lang w:val="fr-BE"/>
        </w:rPr>
        <w:t>, ordonnance du vice-président du Tribun</w:t>
      </w:r>
      <w:r>
        <w:rPr>
          <w:rFonts w:ascii="Times New Roman" w:hAnsi="Times New Roman"/>
          <w:lang w:val="fr-BE"/>
        </w:rPr>
        <w:t xml:space="preserve">al du 2 février 2018, ECLI:EU:C:2018:62; affaire T-449/14 </w:t>
      </w:r>
      <w:r>
        <w:rPr>
          <w:rFonts w:ascii="Times New Roman" w:hAnsi="Times New Roman"/>
          <w:i/>
          <w:lang w:val="fr-BE"/>
        </w:rPr>
        <w:t>Nexans France SAS et Nexans SA/Commission</w:t>
      </w:r>
      <w:r>
        <w:rPr>
          <w:rFonts w:ascii="Times New Roman" w:hAnsi="Times New Roman"/>
          <w:lang w:val="fr-BE"/>
        </w:rPr>
        <w:t>, arrêt du Tribunal du 12 juillet 2018, ECLI:EU:T:2018:456.</w:t>
      </w:r>
    </w:p>
  </w:footnote>
  <w:footnote w:id="5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T-419/18, </w:t>
      </w:r>
      <w:r>
        <w:rPr>
          <w:rFonts w:ascii="Times New Roman" w:hAnsi="Times New Roman"/>
          <w:i/>
          <w:lang w:val="fr-BE"/>
        </w:rPr>
        <w:t>Crédit agricole et Crédit agricole Corporate and Investment Bank/Commission,</w:t>
      </w:r>
      <w:r>
        <w:rPr>
          <w:rFonts w:ascii="Times New Roman" w:hAnsi="Times New Roman"/>
          <w:lang w:val="fr-BE"/>
        </w:rPr>
        <w:t xml:space="preserve"> ordonnance du président du Tribunal du 25 octobre 2018, ECLI:EU:T:2018:726 et affaire  T-420/18, </w:t>
      </w:r>
      <w:r>
        <w:rPr>
          <w:rFonts w:ascii="Times New Roman" w:hAnsi="Times New Roman"/>
          <w:i/>
          <w:lang w:val="fr-BE"/>
        </w:rPr>
        <w:t>JPMorgan Chase e.a./Commission</w:t>
      </w:r>
      <w:r>
        <w:rPr>
          <w:rFonts w:ascii="Times New Roman" w:hAnsi="Times New Roman"/>
          <w:lang w:val="fr-BE"/>
        </w:rPr>
        <w:t xml:space="preserve">, ordonnance du président du Tribunal du 25 octobre 2018, non encore publiée.  </w:t>
      </w:r>
    </w:p>
  </w:footnote>
  <w:footnote w:id="5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C-65/18 – </w:t>
      </w:r>
      <w:r>
        <w:rPr>
          <w:rFonts w:ascii="Times New Roman" w:hAnsi="Times New Roman"/>
          <w:i/>
          <w:lang w:val="fr-BE"/>
        </w:rPr>
        <w:t>Nexans France et Nexans/Com</w:t>
      </w:r>
      <w:r>
        <w:rPr>
          <w:rFonts w:ascii="Times New Roman" w:hAnsi="Times New Roman"/>
          <w:i/>
          <w:lang w:val="fr-BE"/>
        </w:rPr>
        <w:t>mission européenne</w:t>
      </w:r>
      <w:r>
        <w:rPr>
          <w:rFonts w:ascii="Times New Roman" w:hAnsi="Times New Roman"/>
          <w:lang w:val="fr-BE"/>
        </w:rPr>
        <w:t>, ordonnance du vice-président de la Cour de justice du 2 février 2018, ECLI:EU:C:2018:426.</w:t>
      </w:r>
    </w:p>
  </w:footnote>
  <w:footnote w:id="54">
    <w:p w:rsidR="00D9323F" w:rsidRDefault="00F47CDD">
      <w:pPr>
        <w:pStyle w:val="FootnoteText"/>
        <w:spacing w:after="0" w:line="240" w:lineRule="auto"/>
        <w:ind w:left="284" w:hanging="284"/>
        <w:rPr>
          <w:rStyle w:val="Hyperlink"/>
          <w:rFonts w:ascii="Times New Roman" w:hAnsi="Times New Roman"/>
          <w:sz w:val="22"/>
          <w:szCs w:val="22"/>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Voir:</w:t>
      </w:r>
      <w:r>
        <w:rPr>
          <w:lang w:val="fr-BE"/>
        </w:rPr>
        <w:t xml:space="preserve"> </w:t>
      </w:r>
      <w:hyperlink r:id="rId19">
        <w:r>
          <w:rPr>
            <w:rStyle w:val="Hyperlink"/>
            <w:rFonts w:ascii="Times New Roman" w:hAnsi="Times New Roman"/>
            <w:lang w:val="fr-BE"/>
          </w:rPr>
          <w:t>http://europa.eu/rapid/press-release_IP-18-2281_fr.htm</w:t>
        </w:r>
      </w:hyperlink>
      <w:r>
        <w:rPr>
          <w:lang w:val="fr-BE"/>
        </w:rPr>
        <w:t xml:space="preserve"> et</w:t>
      </w:r>
      <w:r>
        <w:rPr>
          <w:rStyle w:val="Hyperlink"/>
          <w:rFonts w:ascii="Times New Roman" w:hAnsi="Times New Roman"/>
          <w:lang w:val="fr-BE"/>
        </w:rPr>
        <w:t xml:space="preserve"> https</w:t>
      </w:r>
      <w:r>
        <w:rPr>
          <w:rStyle w:val="Hyperlink"/>
          <w:rFonts w:ascii="Times New Roman" w:hAnsi="Times New Roman"/>
          <w:lang w:val="fr-BE"/>
        </w:rPr>
        <w:t>://eur-lex.europa.eu/legal-content/FR/TXT/?uri=CELEX:52018XC1211(01)</w:t>
      </w:r>
      <w:r>
        <w:rPr>
          <w:rStyle w:val="Hyperlink"/>
          <w:rFonts w:ascii="Times New Roman" w:hAnsi="Times New Roman"/>
          <w:u w:val="none"/>
          <w:lang w:val="fr-BE"/>
        </w:rPr>
        <w:t>.</w:t>
      </w:r>
    </w:p>
  </w:footnote>
  <w:footnote w:id="55">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0">
        <w:r>
          <w:rPr>
            <w:rStyle w:val="Hyperlink"/>
            <w:rFonts w:ascii="Times New Roman" w:hAnsi="Times New Roman"/>
            <w:lang w:val="fr-BE"/>
          </w:rPr>
          <w:t>http://europa.eu/rapid/press-release_IP-18-962_fr.htm</w:t>
        </w:r>
      </w:hyperlink>
      <w:hyperlink w:history="1"/>
      <w:r>
        <w:rPr>
          <w:rFonts w:ascii="Times New Roman" w:hAnsi="Times New Roman"/>
          <w:lang w:val="fr-BE"/>
        </w:rPr>
        <w:t xml:space="preserve"> et: </w:t>
      </w:r>
      <w:hyperlink r:id="rId21">
        <w:r>
          <w:rPr>
            <w:rStyle w:val="Hyperlink"/>
            <w:rFonts w:ascii="Times New Roman" w:hAnsi="Times New Roman"/>
            <w:lang w:val="fr-BE"/>
          </w:rPr>
          <w:t>https://eur-lex.europa.eu/legal-content/FR/TXT/?uri=CELEX:52018XC0906(01)</w:t>
        </w:r>
        <w:r>
          <w:rPr>
            <w:rStyle w:val="Hyperlink"/>
            <w:rFonts w:ascii="Times New Roman" w:hAnsi="Times New Roman"/>
            <w:u w:val="none"/>
            <w:lang w:val="fr-BE"/>
          </w:rPr>
          <w:t>.</w:t>
        </w:r>
      </w:hyperlink>
      <w:r>
        <w:rPr>
          <w:rFonts w:ascii="Times New Roman" w:hAnsi="Times New Roman"/>
          <w:lang w:val="fr-BE"/>
        </w:rPr>
        <w:t xml:space="preserve"> </w:t>
      </w:r>
    </w:p>
  </w:footnote>
  <w:footnote w:id="56">
    <w:p w:rsidR="00D9323F" w:rsidRDefault="00F47CDD">
      <w:pPr>
        <w:pStyle w:val="FootnoteText"/>
        <w:spacing w:after="0" w:line="240" w:lineRule="auto"/>
        <w:ind w:left="284" w:hanging="284"/>
        <w:rPr>
          <w:rStyle w:val="Hyperlink"/>
          <w:rFonts w:ascii="Times New Roman" w:hAnsi="Times New Roman"/>
          <w:sz w:val="22"/>
          <w:szCs w:val="22"/>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DG Concurrence, rapport annuel d’activité pour 2018. Le rapport sera publié à l’adresse suivante:</w:t>
      </w:r>
      <w:r>
        <w:rPr>
          <w:lang w:val="fr-BE"/>
        </w:rPr>
        <w:t xml:space="preserve"> </w:t>
      </w:r>
      <w:r>
        <w:rPr>
          <w:rStyle w:val="Hyperlink"/>
          <w:rFonts w:ascii="Times New Roman" w:hAnsi="Times New Roman"/>
          <w:lang w:val="fr-BE"/>
        </w:rPr>
        <w:t>https://ec.europa.</w:t>
      </w:r>
      <w:r>
        <w:rPr>
          <w:rStyle w:val="Hyperlink"/>
          <w:rFonts w:ascii="Times New Roman" w:hAnsi="Times New Roman"/>
          <w:lang w:val="fr-BE"/>
        </w:rPr>
        <w:t>eu/info/publications/annual-activity-reports_fr</w:t>
      </w:r>
      <w:r>
        <w:rPr>
          <w:rStyle w:val="Hyperlink"/>
          <w:rFonts w:ascii="Times New Roman" w:hAnsi="Times New Roman"/>
          <w:u w:val="none"/>
          <w:lang w:val="fr-BE"/>
        </w:rPr>
        <w:t>.</w:t>
      </w:r>
      <w:r>
        <w:rPr>
          <w:rStyle w:val="Hyperlink"/>
          <w:rFonts w:ascii="Times New Roman" w:hAnsi="Times New Roman"/>
          <w:lang w:val="fr-BE"/>
        </w:rPr>
        <w:t xml:space="preserve"> </w:t>
      </w:r>
    </w:p>
  </w:footnote>
  <w:footnote w:id="5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Communication de la Commission du 9 juillet 2014 intitulée «</w:t>
      </w:r>
      <w:r>
        <w:rPr>
          <w:rFonts w:ascii="Times New Roman" w:hAnsi="Times New Roman"/>
          <w:i/>
          <w:lang w:val="fr-BE"/>
        </w:rPr>
        <w:t>Dix ans de mise en œuvre des règles concernant les pratiques anticoncurrentielles sous le régime du règlement nº 1/2003: bilan et perspectives</w:t>
      </w:r>
      <w:r>
        <w:rPr>
          <w:rFonts w:ascii="Times New Roman" w:hAnsi="Times New Roman"/>
          <w:lang w:val="fr-BE"/>
        </w:rPr>
        <w:t>»</w:t>
      </w:r>
      <w:r>
        <w:rPr>
          <w:rFonts w:ascii="Times New Roman" w:hAnsi="Times New Roman"/>
          <w:lang w:val="fr-BE"/>
        </w:rPr>
        <w:t xml:space="preserve"> COM(2014)0453. Voir: </w:t>
      </w:r>
      <w:hyperlink r:id="rId22">
        <w:r>
          <w:rPr>
            <w:rStyle w:val="Hyperlink"/>
            <w:rFonts w:ascii="Times New Roman" w:hAnsi="Times New Roman"/>
            <w:lang w:val="fr-BE"/>
          </w:rPr>
          <w:t>http://eur-lex.europa.eu/legal-content/FR/TXT/PDF/?uri=CELEX:52014DC0453&amp;qid=1490107939759&amp;from=FR</w:t>
        </w:r>
      </w:hyperlink>
      <w:r>
        <w:rPr>
          <w:rStyle w:val="Hyperlink"/>
          <w:rFonts w:ascii="Times New Roman" w:hAnsi="Times New Roman"/>
          <w:lang w:val="fr-BE"/>
        </w:rPr>
        <w:t>.</w:t>
      </w:r>
    </w:p>
  </w:footnote>
  <w:footnote w:id="5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23">
        <w:r>
          <w:rPr>
            <w:rStyle w:val="Hyperlink"/>
            <w:rFonts w:ascii="Times New Roman" w:hAnsi="Times New Roman"/>
            <w:lang w:val="fr-BE"/>
          </w:rPr>
          <w:t>http://ec.europa.eu/competition/consultations/2015_effective_enforcers/index_fr.html</w:t>
        </w:r>
      </w:hyperlink>
      <w:r>
        <w:rPr>
          <w:rFonts w:ascii="Times New Roman" w:hAnsi="Times New Roman"/>
          <w:lang w:val="fr-BE"/>
        </w:rPr>
        <w:t>.</w:t>
      </w:r>
    </w:p>
  </w:footnote>
  <w:footnote w:id="5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4">
        <w:r>
          <w:rPr>
            <w:rStyle w:val="Hyperlink"/>
            <w:rFonts w:ascii="Times New Roman" w:hAnsi="Times New Roman"/>
            <w:lang w:val="fr-BE"/>
          </w:rPr>
          <w:t>http://europa.eu/rapid/press-release_IP-15-5998_fr.htm</w:t>
        </w:r>
      </w:hyperlink>
      <w:r>
        <w:rPr>
          <w:rFonts w:ascii="Times New Roman" w:hAnsi="Times New Roman"/>
          <w:lang w:val="fr-BE"/>
        </w:rPr>
        <w:t xml:space="preserve"> et </w:t>
      </w:r>
      <w:hyperlink r:id="rId25">
        <w:r>
          <w:rPr>
            <w:rStyle w:val="Hyperlink"/>
            <w:rFonts w:ascii="Times New Roman" w:hAnsi="Times New Roman"/>
            <w:lang w:val="fr-BE"/>
          </w:rPr>
          <w:t>http://ec.europa.eu/competition/consultations/2015_effective_enforcers/index_fr</w:t>
        </w:r>
        <w:r>
          <w:rPr>
            <w:rStyle w:val="Hyperlink"/>
            <w:rFonts w:ascii="Times New Roman" w:hAnsi="Times New Roman"/>
            <w:lang w:val="fr-BE"/>
          </w:rPr>
          <w:t>.html</w:t>
        </w:r>
      </w:hyperlink>
      <w:r>
        <w:rPr>
          <w:rFonts w:ascii="Times New Roman" w:hAnsi="Times New Roman"/>
          <w:lang w:val="fr-BE"/>
        </w:rPr>
        <w:t xml:space="preserve">. </w:t>
      </w:r>
    </w:p>
  </w:footnote>
  <w:footnote w:id="6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6">
        <w:r>
          <w:rPr>
            <w:rStyle w:val="Hyperlink"/>
            <w:rFonts w:ascii="Times New Roman" w:hAnsi="Times New Roman"/>
            <w:lang w:val="fr-BE"/>
          </w:rPr>
          <w:t>http://ec.europa.eu/competition/antitrust/nca.html</w:t>
        </w:r>
      </w:hyperlink>
      <w:r>
        <w:rPr>
          <w:rFonts w:ascii="Times New Roman" w:hAnsi="Times New Roman"/>
          <w:lang w:val="fr-BE"/>
        </w:rPr>
        <w:t xml:space="preserve">. </w:t>
      </w:r>
    </w:p>
  </w:footnote>
  <w:footnote w:id="61">
    <w:p w:rsidR="00D9323F" w:rsidRDefault="00F47CDD">
      <w:pPr>
        <w:pStyle w:val="NormalWeb"/>
        <w:spacing w:before="0" w:beforeAutospacing="0" w:after="0" w:afterAutospacing="0"/>
        <w:ind w:left="284" w:hanging="284"/>
        <w:jc w:val="both"/>
        <w:rPr>
          <w:sz w:val="20"/>
          <w:szCs w:val="20"/>
          <w:lang w:val="fr-BE"/>
        </w:rPr>
      </w:pPr>
      <w:r>
        <w:rPr>
          <w:sz w:val="20"/>
          <w:vertAlign w:val="superscript"/>
        </w:rPr>
        <w:footnoteRef/>
      </w:r>
      <w:r>
        <w:rPr>
          <w:sz w:val="20"/>
          <w:vertAlign w:val="superscript"/>
          <w:lang w:val="fr-BE"/>
        </w:rPr>
        <w:t xml:space="preserve"> </w:t>
      </w:r>
      <w:r>
        <w:rPr>
          <w:lang w:val="fr-BE"/>
        </w:rPr>
        <w:tab/>
      </w:r>
      <w:r>
        <w:rPr>
          <w:sz w:val="20"/>
          <w:lang w:val="fr-BE"/>
        </w:rPr>
        <w:t>Directive (UE) 2019/1 du Parlement européen et du Conseil du 11 décembre 2018 visant à doter les autorités de con</w:t>
      </w:r>
      <w:r>
        <w:rPr>
          <w:sz w:val="20"/>
          <w:lang w:val="fr-BE"/>
        </w:rPr>
        <w:t xml:space="preserve">currence des États membres des moyens de mettre en œuvre plus efficacement les règles de concurrence et à garantir le bon fonctionnement du marché intérieur (Texte présentant de l’intérêt pour l’EEE.) </w:t>
      </w:r>
      <w:r>
        <w:rPr>
          <w:rStyle w:val="Emphasis"/>
          <w:sz w:val="20"/>
          <w:lang w:val="fr-BE"/>
        </w:rPr>
        <w:t>JO L 11 du 14.1.2019, p. 3-33.</w:t>
      </w:r>
    </w:p>
  </w:footnote>
  <w:footnote w:id="6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Directive 2014/104/UE</w:t>
      </w:r>
      <w:r>
        <w:rPr>
          <w:rFonts w:ascii="Times New Roman" w:hAnsi="Times New Roman"/>
          <w:lang w:val="fr-BE"/>
        </w:rPr>
        <w:t xml:space="preserve"> du Parlement européen et du Conseil du 26 novembre 2014 relative à certaines règles régissant les actions en dommages et intérêts en droit national pour les infractions aux dispositions du droit de la concurrence des États membres et de l’Union européenne</w:t>
      </w:r>
      <w:r>
        <w:rPr>
          <w:rFonts w:ascii="Times New Roman" w:hAnsi="Times New Roman"/>
          <w:lang w:val="fr-BE"/>
        </w:rPr>
        <w:t xml:space="preserve"> (JO L 349 du 5.12.2014, p. 1-19).</w:t>
      </w:r>
    </w:p>
  </w:footnote>
  <w:footnote w:id="6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Étude de la Commission européenne sur la répercussion des surcoûts. Voir:  </w:t>
      </w:r>
      <w:hyperlink r:id="rId27">
        <w:r>
          <w:rPr>
            <w:rStyle w:val="Hyperlink"/>
            <w:rFonts w:ascii="Times New Roman" w:hAnsi="Times New Roman"/>
            <w:lang w:val="fr-BE"/>
          </w:rPr>
          <w:t>www.ec.europa.eu/competition/publications/reports/</w:t>
        </w:r>
        <w:r>
          <w:rPr>
            <w:rStyle w:val="Hyperlink"/>
            <w:rFonts w:ascii="Times New Roman" w:hAnsi="Times New Roman"/>
            <w:lang w:val="fr-BE"/>
          </w:rPr>
          <w:t>KD0216916ENN.pdf</w:t>
        </w:r>
      </w:hyperlink>
      <w:r>
        <w:rPr>
          <w:rFonts w:ascii="Times New Roman" w:hAnsi="Times New Roman"/>
          <w:lang w:val="fr-BE"/>
        </w:rPr>
        <w:t xml:space="preserve">.   </w:t>
      </w:r>
    </w:p>
  </w:footnote>
  <w:footnote w:id="6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Comme prévu par l’article 16 de la directive relative aux actions en dommages et intérêts pour infraction aux règles de concurrence.</w:t>
      </w:r>
    </w:p>
  </w:footnote>
  <w:footnote w:id="6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M.8084 Bayer/Monsanto, décision de la Commission du 21 mars 2018. Voir: </w:t>
      </w:r>
      <w:hyperlink r:id="rId28">
        <w:r>
          <w:rPr>
            <w:rStyle w:val="Hyperlink"/>
            <w:rFonts w:ascii="Times New Roman" w:hAnsi="Times New Roman"/>
            <w:lang w:val="fr-BE"/>
          </w:rPr>
          <w:t>http://europa.eu/rapid/press-release_IP-17-772_fr.htm. Voir également l’affaire M.8851</w:t>
        </w:r>
      </w:hyperlink>
      <w:r>
        <w:rPr>
          <w:rFonts w:ascii="Times New Roman" w:hAnsi="Times New Roman"/>
          <w:lang w:val="fr-BE"/>
        </w:rPr>
        <w:t xml:space="preserve"> - BASF/activités cédées de Bayer, décisio</w:t>
      </w:r>
      <w:r>
        <w:rPr>
          <w:rFonts w:ascii="Times New Roman" w:hAnsi="Times New Roman"/>
          <w:lang w:val="fr-BE"/>
        </w:rPr>
        <w:t xml:space="preserve">n de la Commission du 30 avril 2018. Voir: </w:t>
      </w:r>
      <w:hyperlink r:id="rId29">
        <w:r>
          <w:rPr>
            <w:rStyle w:val="Hyperlink"/>
            <w:rFonts w:ascii="Times New Roman" w:hAnsi="Times New Roman"/>
            <w:lang w:val="fr-BE"/>
          </w:rPr>
          <w:t>http://europa.eu/rapid/press-release_IP-18-3622_fr.htm</w:t>
        </w:r>
      </w:hyperlink>
      <w:r>
        <w:rPr>
          <w:rFonts w:ascii="Times New Roman" w:hAnsi="Times New Roman"/>
          <w:lang w:val="fr-BE"/>
        </w:rPr>
        <w:t xml:space="preserve">. </w:t>
      </w:r>
    </w:p>
  </w:footnote>
  <w:footnote w:id="6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Affaire M.8955 - Takeda/Shire.</w:t>
      </w:r>
      <w:r>
        <w:rPr>
          <w:rFonts w:ascii="Times New Roman" w:hAnsi="Times New Roman"/>
          <w:i/>
          <w:lang w:val="fr-BE"/>
        </w:rPr>
        <w:t xml:space="preserve"> Voir: </w:t>
      </w:r>
      <w:hyperlink r:id="rId30">
        <w:r>
          <w:rPr>
            <w:rStyle w:val="Hyperlink"/>
            <w:rFonts w:ascii="Times New Roman" w:hAnsi="Times New Roman"/>
            <w:i/>
            <w:lang w:val="fr-BE"/>
          </w:rPr>
          <w:t>http://europa.eu/rapid/press-release_IP-18-6497_fr.htm</w:t>
        </w:r>
      </w:hyperlink>
      <w:r>
        <w:rPr>
          <w:rFonts w:ascii="Times New Roman" w:hAnsi="Times New Roman"/>
          <w:i/>
          <w:lang w:val="fr-BE"/>
        </w:rPr>
        <w:t>.</w:t>
      </w:r>
    </w:p>
  </w:footnote>
  <w:footnote w:id="6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 xml:space="preserve">Affaire M.8658 - UTC/Rockwell. Voir: </w:t>
      </w:r>
      <w:hyperlink r:id="rId31">
        <w:r>
          <w:rPr>
            <w:rStyle w:val="Hyperlink"/>
            <w:rFonts w:ascii="Times New Roman" w:hAnsi="Times New Roman"/>
            <w:lang w:val="fr-BE"/>
          </w:rPr>
          <w:t>http://europa.eu/rapid/press-release_IP-18-3682_fr.htm</w:t>
        </w:r>
      </w:hyperlink>
      <w:r>
        <w:rPr>
          <w:rFonts w:ascii="Times New Roman" w:hAnsi="Times New Roman"/>
          <w:lang w:val="fr-BE"/>
        </w:rPr>
        <w:t xml:space="preserve">. </w:t>
      </w:r>
    </w:p>
  </w:footnote>
  <w:footnote w:id="6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Aux fins du présent rapport, les décisions en vertu de l’article 6, paragraphe 1, point a), de l’article 6, paragraphe 1, point b), de l’article 6, paragraphe 1, point b), en combinaison avec l’article 6, paragraphe 2, de l’article 8, paragraphe 1, d</w:t>
      </w:r>
      <w:r>
        <w:rPr>
          <w:rFonts w:ascii="Times New Roman" w:hAnsi="Times New Roman"/>
          <w:lang w:val="fr-BE"/>
        </w:rPr>
        <w:t>e l’article 8, paragraphe 2, et de l’article 8, paragraphe 3, du règlement sur les concentrations, sont considérées comme des décisions finales.</w:t>
      </w:r>
    </w:p>
  </w:footnote>
  <w:footnote w:id="6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DG Concurrence, rapport annuel d’activité pour 2018. Le rapport sera publié à l’adresse suivante:</w:t>
      </w:r>
      <w:r>
        <w:rPr>
          <w:lang w:val="fr-BE"/>
        </w:rPr>
        <w:t xml:space="preserve"> </w:t>
      </w:r>
      <w:hyperlink r:id="rId32">
        <w:r>
          <w:rPr>
            <w:rStyle w:val="Hyperlink"/>
            <w:rFonts w:ascii="Times New Roman" w:hAnsi="Times New Roman"/>
            <w:lang w:val="fr-BE"/>
          </w:rPr>
          <w:t>https://ec.europa.eu/info/publications/annual-activity-reports_fr</w:t>
        </w:r>
        <w:r>
          <w:rPr>
            <w:rStyle w:val="Hyperlink"/>
            <w:rFonts w:ascii="Times New Roman" w:hAnsi="Times New Roman"/>
            <w:u w:val="none"/>
            <w:lang w:val="fr-BE"/>
          </w:rPr>
          <w:t>.</w:t>
        </w:r>
      </w:hyperlink>
    </w:p>
  </w:footnote>
  <w:footnote w:id="7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Les interventions de la Commission dans les affaires de concentration comprennent les décisions d’interdiction </w:t>
      </w:r>
      <w:r>
        <w:rPr>
          <w:rFonts w:ascii="Times New Roman" w:hAnsi="Times New Roman"/>
          <w:lang w:val="fr-BE"/>
        </w:rPr>
        <w:t>et les concentrations autorisées sous réserve d’engagements, ainsi que les retraits de notification au cours de l’enquête approfondie de deuxième phase.</w:t>
      </w:r>
    </w:p>
  </w:footnote>
  <w:footnote w:id="7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Affaire M.8547 - CELANESE / BLACKSTONE / JV, notifiée à la Commission le 12 septembre 2017 et</w:t>
      </w:r>
      <w:r>
        <w:rPr>
          <w:lang w:val="fr-BE"/>
        </w:rPr>
        <w:t xml:space="preserve"> </w:t>
      </w:r>
      <w:r>
        <w:rPr>
          <w:rFonts w:ascii="Times New Roman" w:hAnsi="Times New Roman"/>
          <w:lang w:val="fr-BE"/>
        </w:rPr>
        <w:t>notifi</w:t>
      </w:r>
      <w:r>
        <w:rPr>
          <w:rFonts w:ascii="Times New Roman" w:hAnsi="Times New Roman"/>
          <w:lang w:val="fr-BE"/>
        </w:rPr>
        <w:t>cation retirée le 19 mars 2018 et affaire M.8907 - APERAM / VDM, notifiée à la Commission le</w:t>
      </w:r>
      <w:r>
        <w:rPr>
          <w:lang w:val="fr-BE"/>
        </w:rPr>
        <w:t xml:space="preserve"> </w:t>
      </w:r>
      <w:r>
        <w:rPr>
          <w:rFonts w:ascii="Times New Roman" w:hAnsi="Times New Roman"/>
          <w:lang w:val="fr-BE"/>
        </w:rPr>
        <w:t>23 octobre 2018 et notification retirée le 21 décembre 2018.</w:t>
      </w:r>
    </w:p>
  </w:footnote>
  <w:footnote w:id="72">
    <w:p w:rsidR="00D9323F" w:rsidRDefault="00F47CDD">
      <w:pPr>
        <w:pStyle w:val="FootnoteText"/>
        <w:spacing w:after="0" w:line="240" w:lineRule="auto"/>
        <w:ind w:left="284" w:hanging="284"/>
        <w:jc w:val="both"/>
        <w:rPr>
          <w:rStyle w:val="Hyperlink"/>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Affaire M.8084 - Bayer/Monsanto.</w:t>
      </w:r>
      <w:r>
        <w:rPr>
          <w:rFonts w:ascii="Times New Roman" w:hAnsi="Times New Roman"/>
          <w:i/>
          <w:lang w:val="fr-BE"/>
        </w:rPr>
        <w:t xml:space="preserve"> Voir:</w:t>
      </w:r>
      <w:r>
        <w:rPr>
          <w:rStyle w:val="Hyperlink"/>
          <w:rFonts w:ascii="Times New Roman" w:hAnsi="Times New Roman"/>
          <w:i/>
          <w:u w:val="none"/>
          <w:lang w:val="fr-BE"/>
        </w:rPr>
        <w:t xml:space="preserve"> </w:t>
      </w:r>
      <w:hyperlink r:id="rId33">
        <w:r>
          <w:rPr>
            <w:rStyle w:val="Hyperlink"/>
            <w:rFonts w:ascii="Times New Roman" w:hAnsi="Times New Roman"/>
            <w:i/>
            <w:lang w:val="fr-BE"/>
          </w:rPr>
          <w:t>http://europa.eu/rapid/press-release_IP-17-772_fr.htm</w:t>
        </w:r>
      </w:hyperlink>
      <w:r>
        <w:rPr>
          <w:rStyle w:val="Hyperlink"/>
          <w:rFonts w:ascii="Times New Roman" w:hAnsi="Times New Roman"/>
          <w:i/>
          <w:lang w:val="fr-BE"/>
        </w:rPr>
        <w:t>.</w:t>
      </w:r>
    </w:p>
  </w:footnote>
  <w:footnote w:id="7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 xml:space="preserve">Affaire M.8851 - BASF/activités cédées de Bayer. Voir: </w:t>
      </w:r>
      <w:hyperlink r:id="rId34">
        <w:r>
          <w:rPr>
            <w:rStyle w:val="Hyperlink"/>
            <w:rFonts w:ascii="Times New Roman" w:hAnsi="Times New Roman"/>
            <w:lang w:val="fr-BE"/>
          </w:rPr>
          <w:t>http://europa.eu/rapid/press-release_IP-18-3622_fr.htm</w:t>
        </w:r>
      </w:hyperlink>
      <w:r>
        <w:rPr>
          <w:rFonts w:ascii="Times New Roman" w:hAnsi="Times New Roman"/>
          <w:lang w:val="fr-BE"/>
        </w:rPr>
        <w:t>.</w:t>
      </w:r>
    </w:p>
  </w:footnote>
  <w:footnote w:id="7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 xml:space="preserve">Affaire M.8084 - Bayer/Monsanto, décision de la Commission du 21 mars 2018; affaire M.8444 - Arcelormittal/Ilva, décision de la Commission du 7 mai 2018; affaire M.8480 - Praxair/Linde, décision </w:t>
      </w:r>
      <w:r>
        <w:rPr>
          <w:rFonts w:ascii="Times New Roman" w:hAnsi="Times New Roman"/>
          <w:lang w:val="fr-BE"/>
        </w:rPr>
        <w:t>de la Commission du 20 août 2018.</w:t>
      </w:r>
    </w:p>
  </w:footnote>
  <w:footnote w:id="7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Affaire M.8306 - Qualcomm/NXP semi-conducteurs, décision de la Commission du 18 janvier 2018; affaire M.7000 - Libery Global/Ziggo, décision de la Commission du 30 mai 2018.</w:t>
      </w:r>
    </w:p>
  </w:footnote>
  <w:footnote w:id="7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Règlement (CE) nº 139/2004 du Conseil du 2</w:t>
      </w:r>
      <w:r>
        <w:rPr>
          <w:rFonts w:ascii="Times New Roman" w:hAnsi="Times New Roman"/>
          <w:lang w:val="fr-BE"/>
        </w:rPr>
        <w:t>0 janvier 2004 relatif au contrôle des concentrations entre entreprises (le «règlement CE sur les concentrations») (JO L 24 du 29.1.2004, pp. 1-22).</w:t>
      </w:r>
    </w:p>
  </w:footnote>
  <w:footnote w:id="7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 xml:space="preserve">Affaire M.8228 - Facebook/WhatsApp. Voir: </w:t>
      </w:r>
      <w:hyperlink r:id="rId35">
        <w:r>
          <w:rPr>
            <w:rStyle w:val="Hyperlink"/>
            <w:rFonts w:ascii="Times New Roman" w:hAnsi="Times New Roman"/>
            <w:lang w:val="fr-BE"/>
          </w:rPr>
          <w:t>http://europa.eu/rapid/press-release_IP-17-1369_fr.htm</w:t>
        </w:r>
      </w:hyperlink>
      <w:r>
        <w:rPr>
          <w:rStyle w:val="Hyperlink"/>
          <w:rFonts w:ascii="Times New Roman" w:hAnsi="Times New Roman"/>
          <w:lang w:val="fr-BE"/>
        </w:rPr>
        <w:t>.</w:t>
      </w:r>
      <w:r>
        <w:rPr>
          <w:rFonts w:ascii="Times New Roman" w:hAnsi="Times New Roman"/>
          <w:lang w:val="fr-BE"/>
        </w:rPr>
        <w:t xml:space="preserve"> </w:t>
      </w:r>
    </w:p>
  </w:footnote>
  <w:footnote w:id="7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 xml:space="preserve">Voir: </w:t>
      </w:r>
      <w:hyperlink r:id="rId36">
        <w:r>
          <w:rPr>
            <w:rStyle w:val="Hyperlink"/>
            <w:rFonts w:ascii="Times New Roman" w:hAnsi="Times New Roman"/>
            <w:lang w:val="fr-BE"/>
          </w:rPr>
          <w:t>http://europa.eu/rapid/press-release_IP-18-3522_fr.htm</w:t>
        </w:r>
      </w:hyperlink>
      <w:r>
        <w:rPr>
          <w:rFonts w:ascii="Times New Roman" w:hAnsi="Times New Roman"/>
          <w:lang w:val="fr-BE"/>
        </w:rPr>
        <w:t>.</w:t>
      </w:r>
    </w:p>
  </w:footnote>
  <w:footnote w:id="7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noProof/>
          <w:lang w:val="fr-BE"/>
        </w:rPr>
        <w:t xml:space="preserve">Voir: </w:t>
      </w:r>
      <w:hyperlink r:id="rId37">
        <w:r>
          <w:rPr>
            <w:rStyle w:val="Hyperlink"/>
            <w:rFonts w:ascii="Times New Roman" w:hAnsi="Times New Roman"/>
            <w:lang w:val="fr-BE"/>
          </w:rPr>
          <w:t>http://ec.europa.eu/competition/consultations/2014_merger_control/index_en.html</w:t>
        </w:r>
      </w:hyperlink>
      <w:r>
        <w:rPr>
          <w:rFonts w:ascii="Times New Roman" w:hAnsi="Times New Roman"/>
          <w:lang w:val="fr-BE"/>
        </w:rPr>
        <w:t xml:space="preserve">. </w:t>
      </w:r>
    </w:p>
  </w:footnote>
  <w:footnote w:id="80">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Pour le résumé des réponses et leurs versions non confidentielles, voir: </w:t>
      </w:r>
      <w:hyperlink r:id="rId38">
        <w:r>
          <w:rPr>
            <w:rStyle w:val="Hyperlink"/>
            <w:rFonts w:ascii="Times New Roman" w:hAnsi="Times New Roman"/>
            <w:lang w:val="fr-BE"/>
          </w:rPr>
          <w:t>http://ec.europa.eu/competition/consultations/2016_merger_control/index_en.html</w:t>
        </w:r>
      </w:hyperlink>
      <w:r>
        <w:rPr>
          <w:rFonts w:ascii="Times New Roman" w:hAnsi="Times New Roman"/>
          <w:lang w:val="fr-BE"/>
        </w:rPr>
        <w:t xml:space="preserve">. </w:t>
      </w:r>
    </w:p>
  </w:footnote>
  <w:footnote w:id="8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r>
      <w:r>
        <w:rPr>
          <w:rFonts w:ascii="Times New Roman" w:hAnsi="Times New Roman"/>
          <w:color w:val="000000" w:themeColor="text1"/>
          <w:lang w:val="fr-BE"/>
        </w:rPr>
        <w:t xml:space="preserve">Affaire T-712/16 - </w:t>
      </w:r>
      <w:r>
        <w:rPr>
          <w:rFonts w:ascii="Times New Roman" w:hAnsi="Times New Roman"/>
          <w:lang w:val="fr-BE"/>
        </w:rPr>
        <w:t>Deutsche Lufthansa AG c. Commission, arrêt du Tribunal du 18 mai 2018.</w:t>
      </w:r>
    </w:p>
  </w:footnote>
  <w:footnote w:id="82">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Décision C(2016) 4964 final de la Commission du 25 juillet 2016. Voir: </w:t>
      </w:r>
      <w:hyperlink r:id="rId39">
        <w:r>
          <w:rPr>
            <w:rStyle w:val="Hyperlink"/>
            <w:rFonts w:ascii="Times New Roman" w:hAnsi="Times New Roman"/>
            <w:lang w:val="fr-BE"/>
          </w:rPr>
          <w:t>http://ec.europa.eu/competition/mergers/cases/decisions/m3770_373_3.pdf</w:t>
        </w:r>
      </w:hyperlink>
      <w:r>
        <w:rPr>
          <w:rFonts w:ascii="Times New Roman" w:hAnsi="Times New Roman"/>
          <w:lang w:val="fr-BE"/>
        </w:rPr>
        <w:t xml:space="preserve">.  </w:t>
      </w:r>
    </w:p>
  </w:footnote>
  <w:footnote w:id="8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rFonts w:ascii="Times New Roman" w:hAnsi="Times New Roman"/>
          <w:lang w:val="fr-BE"/>
        </w:rPr>
        <w:tab/>
        <w:t>Affaire M.3770 –</w:t>
      </w:r>
      <w:r>
        <w:rPr>
          <w:rFonts w:ascii="Times New Roman" w:hAnsi="Times New Roman"/>
          <w:lang w:val="fr-BE"/>
        </w:rPr>
        <w:t xml:space="preserve"> Lufthansa/Swiss, décision du 4 juillet 2005, voir:</w:t>
      </w:r>
      <w:r>
        <w:rPr>
          <w:rFonts w:ascii="Times New Roman" w:hAnsi="Times New Roman"/>
          <w:b/>
          <w:color w:val="006D21"/>
          <w:lang w:val="fr-BE"/>
        </w:rPr>
        <w:t xml:space="preserve"> </w:t>
      </w:r>
      <w:hyperlink r:id="rId40">
        <w:r>
          <w:rPr>
            <w:rStyle w:val="Hyperlink"/>
            <w:rFonts w:ascii="Times New Roman" w:hAnsi="Times New Roman"/>
            <w:lang w:val="fr-BE"/>
          </w:rPr>
          <w:t>http://ec.europa.eu/competition/mergers/cases/decisions/m3770_373_3.pdf</w:t>
        </w:r>
      </w:hyperlink>
      <w:r>
        <w:rPr>
          <w:rFonts w:ascii="Times New Roman" w:hAnsi="Times New Roman"/>
          <w:color w:val="006D21"/>
          <w:lang w:val="fr-BE"/>
        </w:rPr>
        <w:t>.</w:t>
      </w:r>
      <w:r>
        <w:rPr>
          <w:rFonts w:ascii="Times New Roman" w:hAnsi="Times New Roman"/>
          <w:lang w:val="fr-BE"/>
        </w:rPr>
        <w:t xml:space="preserve">   </w:t>
      </w:r>
    </w:p>
  </w:footnote>
  <w:footnote w:id="8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color w:val="000000" w:themeColor="text1"/>
          <w:lang w:val="fr-BE"/>
        </w:rPr>
        <w:t xml:space="preserve">Affaire C-633/16 Ernst &amp; Young c. </w:t>
      </w:r>
      <w:r>
        <w:rPr>
          <w:rFonts w:ascii="Times New Roman" w:hAnsi="Times New Roman"/>
          <w:color w:val="000000" w:themeColor="text1"/>
          <w:lang w:val="fr-BE"/>
        </w:rPr>
        <w:t xml:space="preserve">Konkurrencerådet, arrêt du 31 mai 2018. </w:t>
      </w:r>
    </w:p>
  </w:footnote>
  <w:footnote w:id="8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Arrêts du Tribunal dans les affaires T-43/16, T-884/16 et T-885/16. </w:t>
      </w:r>
    </w:p>
  </w:footnote>
  <w:footnote w:id="8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de-DE"/>
        </w:rPr>
        <w:tab/>
        <w:t xml:space="preserve">Affaire M.7018 - Telefonica Deutschland/E-Plus. </w:t>
      </w:r>
      <w:r>
        <w:rPr>
          <w:rFonts w:ascii="Times New Roman" w:hAnsi="Times New Roman"/>
          <w:lang w:val="fr-BE"/>
        </w:rPr>
        <w:t>Voir:</w:t>
      </w:r>
      <w:r>
        <w:rPr>
          <w:lang w:val="fr-BE"/>
        </w:rPr>
        <w:t xml:space="preserve">  </w:t>
      </w:r>
      <w:hyperlink r:id="rId41">
        <w:r>
          <w:rPr>
            <w:rStyle w:val="Hyperlink"/>
            <w:rFonts w:ascii="Times New Roman" w:hAnsi="Times New Roman"/>
            <w:lang w:val="fr-BE"/>
          </w:rPr>
          <w:t>http://ec.europa.eu/competition/mergers/cases/decisions/m7018_6053_3.pdf</w:t>
        </w:r>
      </w:hyperlink>
      <w:r>
        <w:rPr>
          <w:rStyle w:val="Hyperlink"/>
          <w:rFonts w:ascii="Times New Roman" w:hAnsi="Times New Roman"/>
          <w:lang w:val="fr-BE"/>
        </w:rPr>
        <w:t>.</w:t>
      </w:r>
    </w:p>
  </w:footnote>
  <w:footnote w:id="8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 tableau de bord des aides d’État de 2018 comprend les dépenses consacrées aux aides effectuées par les États membres avant le 31 décembre 2017 et qui relèvent de l’articl</w:t>
      </w:r>
      <w:r>
        <w:rPr>
          <w:rFonts w:ascii="Times New Roman" w:hAnsi="Times New Roman"/>
          <w:lang w:val="fr-BE"/>
        </w:rPr>
        <w:t xml:space="preserve">e 107, paragraphe 1, TFUE. Les données sont basées sur les rapports annuels des États membres conformément à l’article 6, paragraphe 1, du règlement (CE) nº 794/2004 de la Commission. Voir: </w:t>
      </w:r>
      <w:hyperlink r:id="rId42">
        <w:r>
          <w:rPr>
            <w:rStyle w:val="Hyperlink"/>
            <w:rFonts w:ascii="Times New Roman" w:hAnsi="Times New Roman"/>
            <w:lang w:val="fr-BE"/>
          </w:rPr>
          <w:t>http://ec.europa.eu/competition/state_aid/scoreboard/index_en.html</w:t>
        </w:r>
      </w:hyperlink>
      <w:r>
        <w:rPr>
          <w:rStyle w:val="Hyperlink"/>
          <w:rFonts w:ascii="Times New Roman" w:hAnsi="Times New Roman"/>
          <w:lang w:val="fr-BE"/>
        </w:rPr>
        <w:t>.</w:t>
      </w:r>
      <w:r>
        <w:rPr>
          <w:rFonts w:ascii="Times New Roman" w:hAnsi="Times New Roman"/>
          <w:lang w:val="fr-BE"/>
        </w:rPr>
        <w:t xml:space="preserve"> </w:t>
      </w:r>
    </w:p>
  </w:footnote>
  <w:footnote w:id="88">
    <w:p w:rsidR="00D9323F" w:rsidRDefault="00F47CDD">
      <w:pPr>
        <w:pStyle w:val="FootnoteText"/>
        <w:tabs>
          <w:tab w:val="left" w:pos="284"/>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Règlement (UE) nº 651/2014 de la Commission du 17 juin 2014 déclarant certaines catégories d’aides compatibles avec le marché intérieur en application des articles </w:t>
      </w:r>
      <w:r>
        <w:rPr>
          <w:rFonts w:ascii="Times New Roman" w:hAnsi="Times New Roman"/>
          <w:lang w:val="fr-BE"/>
        </w:rPr>
        <w:t>107 et 108 TFUE (JO L 187 du 26.6.2014, p. 1).</w:t>
      </w:r>
    </w:p>
  </w:footnote>
  <w:footnote w:id="8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Chiffres extraits du tableau de bord des aides d’État de 2018: </w:t>
      </w:r>
      <w:hyperlink r:id="rId43">
        <w:r>
          <w:rPr>
            <w:rStyle w:val="Hyperlink"/>
            <w:rFonts w:ascii="Times New Roman" w:hAnsi="Times New Roman"/>
            <w:lang w:val="fr-BE"/>
          </w:rPr>
          <w:t>http://ec.europa.eu/competition/state_aid/scoreboard/index_en.html</w:t>
        </w:r>
      </w:hyperlink>
      <w:r>
        <w:rPr>
          <w:rStyle w:val="Hyperlink"/>
          <w:rFonts w:ascii="Times New Roman" w:hAnsi="Times New Roman"/>
          <w:lang w:val="fr-BE"/>
        </w:rPr>
        <w:t xml:space="preserve">. </w:t>
      </w:r>
    </w:p>
  </w:footnote>
  <w:footnote w:id="9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Aides en faveur des pôles d’innovation et aides en faveur de l’innovation de procédé et d’organisation, régimes d’aides destinés à remédier aux dommages causés par certaines calamités </w:t>
      </w:r>
      <w:r>
        <w:rPr>
          <w:rFonts w:ascii="Times New Roman" w:hAnsi="Times New Roman"/>
          <w:lang w:val="fr-BE"/>
        </w:rPr>
        <w:t>naturelles, aides sociales au transport en faveur des habitants de régions périphériques, aides en faveur des infrastructures à haut débit, aides en faveur de la culture et de la conservation du patrimoine, dont les régimes d’aides en faveur des œuvres aud</w:t>
      </w:r>
      <w:r>
        <w:rPr>
          <w:rFonts w:ascii="Times New Roman" w:hAnsi="Times New Roman"/>
          <w:lang w:val="fr-BE"/>
        </w:rPr>
        <w:t>iovisuelles, aides en faveur des infrastructures sportives et des infrastructures récréatives multifonctionnelles, et aides à l’investissement en faveur des infrastructures locales. Le nouveau RGEC a également élargi les catégories d’aides déjà couvertes p</w:t>
      </w:r>
      <w:r>
        <w:rPr>
          <w:rFonts w:ascii="Times New Roman" w:hAnsi="Times New Roman"/>
          <w:lang w:val="fr-BE"/>
        </w:rPr>
        <w:t>ar le précédent RGEC (2008).</w:t>
      </w:r>
    </w:p>
  </w:footnote>
  <w:footnote w:id="9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En 2017, les États membres ont fait état de plus de 50 millions d’EUR de dépenses d’aides d’État au titre des articles 56 </w:t>
      </w:r>
      <w:r>
        <w:rPr>
          <w:rFonts w:ascii="Times New Roman" w:hAnsi="Times New Roman"/>
          <w:i/>
          <w:lang w:val="fr-BE"/>
        </w:rPr>
        <w:t>bis</w:t>
      </w:r>
      <w:r>
        <w:rPr>
          <w:rFonts w:ascii="Times New Roman" w:hAnsi="Times New Roman"/>
          <w:lang w:val="fr-BE"/>
        </w:rPr>
        <w:t xml:space="preserve"> et 56 </w:t>
      </w:r>
      <w:r>
        <w:rPr>
          <w:rFonts w:ascii="Times New Roman" w:hAnsi="Times New Roman"/>
          <w:i/>
          <w:lang w:val="fr-BE"/>
        </w:rPr>
        <w:t>ter</w:t>
      </w:r>
      <w:r>
        <w:rPr>
          <w:rFonts w:ascii="Times New Roman" w:hAnsi="Times New Roman"/>
          <w:lang w:val="fr-BE"/>
        </w:rPr>
        <w:t xml:space="preserve"> du RGEC, dont 7 millions pour les ports intérieurs, 39 millions pour les ports maritimes</w:t>
      </w:r>
      <w:r>
        <w:rPr>
          <w:rFonts w:ascii="Times New Roman" w:hAnsi="Times New Roman"/>
          <w:lang w:val="fr-BE"/>
        </w:rPr>
        <w:t xml:space="preserve"> et 6 millions pour les aéroports régionaux.</w:t>
      </w:r>
    </w:p>
  </w:footnote>
  <w:footnote w:id="92">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Discours du Président élu de la Commission européenne le 10 septembre 2014, disponible à l’adresse suivante: </w:t>
      </w:r>
      <w:hyperlink r:id="rId44">
        <w:r>
          <w:rPr>
            <w:rStyle w:val="Hyperlink"/>
            <w:rFonts w:ascii="Times New Roman" w:hAnsi="Times New Roman"/>
            <w:lang w:val="fr-BE"/>
          </w:rPr>
          <w:t>http://europa.eu/rapid</w:t>
        </w:r>
        <w:r>
          <w:rPr>
            <w:rStyle w:val="Hyperlink"/>
            <w:rFonts w:ascii="Times New Roman" w:hAnsi="Times New Roman"/>
            <w:lang w:val="fr-BE"/>
          </w:rPr>
          <w:t>/press-release_SPEECH-14-585_fr.htm</w:t>
        </w:r>
      </w:hyperlink>
      <w:r>
        <w:rPr>
          <w:lang w:val="fr-BE"/>
        </w:rPr>
        <w:t>.</w:t>
      </w:r>
    </w:p>
  </w:footnote>
  <w:footnote w:id="93">
    <w:p w:rsidR="00D9323F" w:rsidRDefault="00F47CDD">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Competition Policy Brief 4/2016: </w:t>
      </w:r>
      <w:hyperlink r:id="rId45">
        <w:r>
          <w:rPr>
            <w:rStyle w:val="Hyperlink"/>
            <w:rFonts w:ascii="Times New Roman" w:hAnsi="Times New Roman"/>
          </w:rPr>
          <w:t>http://ec.europa.eu/competition/publications/cpb/2016/2016_004_en.pdf</w:t>
        </w:r>
      </w:hyperlink>
      <w:r>
        <w:rPr>
          <w:rStyle w:val="Hyperlink"/>
          <w:rFonts w:ascii="Times New Roman" w:hAnsi="Times New Roman"/>
        </w:rPr>
        <w:t>.</w:t>
      </w:r>
      <w:r>
        <w:rPr>
          <w:rFonts w:ascii="Times New Roman" w:hAnsi="Times New Roman"/>
        </w:rPr>
        <w:t xml:space="preserve"> </w:t>
      </w:r>
    </w:p>
  </w:footnote>
  <w:footnote w:id="94">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le Transparency Award Module (TAM): </w:t>
      </w:r>
      <w:hyperlink r:id="rId46">
        <w:r>
          <w:rPr>
            <w:rStyle w:val="Hyperlink"/>
            <w:rFonts w:ascii="Times New Roman" w:hAnsi="Times New Roman"/>
            <w:lang w:val="fr-BE"/>
          </w:rPr>
          <w:t>https://webgate.ec.europa.eu/competition/transparency/public?lang=fr</w:t>
        </w:r>
      </w:hyperlink>
      <w:r>
        <w:rPr>
          <w:rStyle w:val="Hyperlink"/>
          <w:rFonts w:ascii="Times New Roman" w:hAnsi="Times New Roman"/>
          <w:lang w:val="fr-BE"/>
        </w:rPr>
        <w:t>.</w:t>
      </w:r>
      <w:r>
        <w:rPr>
          <w:rFonts w:ascii="Times New Roman" w:hAnsi="Times New Roman"/>
          <w:lang w:val="fr-BE"/>
        </w:rPr>
        <w:t xml:space="preserve"> </w:t>
      </w:r>
    </w:p>
  </w:footnote>
  <w:footnote w:id="9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Régimes dont le budget annuel moyen affecté aux aides</w:t>
      </w:r>
      <w:r>
        <w:rPr>
          <w:rFonts w:ascii="Times New Roman" w:hAnsi="Times New Roman"/>
          <w:lang w:val="fr-BE"/>
        </w:rPr>
        <w:t xml:space="preserve"> d’État est supérieur à 150 millions d’EUR dans les domaines des aides à finalité régionale, des aides aux PME et à l’accès au financement, des aides à la recherche, au développement et à l’innovation, des aides à l’environnement et à l’énergie et des aide</w:t>
      </w:r>
      <w:r>
        <w:rPr>
          <w:rFonts w:ascii="Times New Roman" w:hAnsi="Times New Roman"/>
          <w:lang w:val="fr-BE"/>
        </w:rPr>
        <w:t>s en faveur des infrastructures à haut débit.</w:t>
      </w:r>
    </w:p>
  </w:footnote>
  <w:footnote w:id="9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L’évaluation peut s’appliquer aux régimes d’aide notifiés dont le budget est élevé, qui renferment des caractéristiques nouvelles ou lorsque d’importantes modifications sont prévues sur le plan du marché, de</w:t>
      </w:r>
      <w:r>
        <w:rPr>
          <w:rFonts w:ascii="Times New Roman" w:hAnsi="Times New Roman"/>
          <w:lang w:val="fr-BE"/>
        </w:rPr>
        <w:t xml:space="preserve">s technologies ou de la réglementation. </w:t>
      </w:r>
    </w:p>
  </w:footnote>
  <w:footnote w:id="9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République tchèque, Allemagne, Grèce, Espagne, France, Hongrie, Irlande, Italie, Lituanie, Autriche, Pologne, Portugal, Finlande, Suède et Royaume-Uni. </w:t>
      </w:r>
    </w:p>
  </w:footnote>
  <w:footnote w:id="98">
    <w:p w:rsidR="00D9323F" w:rsidRDefault="00F47CDD">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Competition Policy Brief 7/2014: </w:t>
      </w:r>
      <w:hyperlink r:id="rId47">
        <w:r>
          <w:rPr>
            <w:rStyle w:val="Hyperlink"/>
            <w:rFonts w:ascii="Times New Roman" w:hAnsi="Times New Roman"/>
          </w:rPr>
          <w:t>http://ec.europa.eu/competition/publications/cpb/2014/007_en.pdf</w:t>
        </w:r>
      </w:hyperlink>
      <w:r>
        <w:rPr>
          <w:rFonts w:ascii="Times New Roman" w:hAnsi="Times New Roman"/>
        </w:rPr>
        <w:t xml:space="preserve">; </w:t>
      </w:r>
    </w:p>
    <w:p w:rsidR="00D9323F" w:rsidRDefault="00F47CDD">
      <w:pPr>
        <w:pStyle w:val="FootnoteText"/>
        <w:spacing w:after="0" w:line="240" w:lineRule="auto"/>
        <w:jc w:val="both"/>
        <w:rPr>
          <w:rFonts w:ascii="Times New Roman" w:hAnsi="Times New Roman"/>
          <w:lang w:val="fr-BE"/>
        </w:rPr>
      </w:pPr>
      <w:r>
        <w:rPr>
          <w:rFonts w:ascii="Times New Roman" w:hAnsi="Times New Roman"/>
        </w:rPr>
        <w:t xml:space="preserve">     </w:t>
      </w:r>
      <w:r>
        <w:rPr>
          <w:rFonts w:ascii="Times New Roman" w:hAnsi="Times New Roman"/>
          <w:lang w:val="fr-BE"/>
        </w:rPr>
        <w:t xml:space="preserve">et 3/2016: </w:t>
      </w:r>
      <w:hyperlink r:id="rId48">
        <w:r>
          <w:rPr>
            <w:rStyle w:val="Hyperlink"/>
            <w:rFonts w:ascii="Times New Roman" w:hAnsi="Times New Roman"/>
            <w:lang w:val="fr-BE"/>
          </w:rPr>
          <w:t>http://ec.europa.eu/competition/publications/cpb/2016/2016_003_en.pdf</w:t>
        </w:r>
      </w:hyperlink>
      <w:r>
        <w:rPr>
          <w:rStyle w:val="Hyperlink"/>
          <w:rFonts w:ascii="Times New Roman" w:hAnsi="Times New Roman"/>
          <w:lang w:val="fr-BE"/>
        </w:rPr>
        <w:t>.</w:t>
      </w:r>
    </w:p>
  </w:footnote>
  <w:footnote w:id="9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Communication de la Commission du 3 mars 2010 «</w:t>
      </w:r>
      <w:r>
        <w:rPr>
          <w:rFonts w:ascii="Times New Roman" w:hAnsi="Times New Roman"/>
          <w:i/>
          <w:lang w:val="fr-BE"/>
        </w:rPr>
        <w:t>Europe 2020 — Une stratégie pour une croissance intelligente, durable et inclusive</w:t>
      </w:r>
      <w:r>
        <w:rPr>
          <w:rFonts w:ascii="Times New Roman" w:hAnsi="Times New Roman"/>
          <w:lang w:val="fr-BE"/>
        </w:rPr>
        <w:t>», COM(2010) 2020 final. Voir:</w:t>
      </w:r>
      <w:hyperlink r:id="rId49">
        <w:r>
          <w:rPr>
            <w:rStyle w:val="Hyperlink"/>
            <w:rFonts w:ascii="Times New Roman" w:hAnsi="Times New Roman"/>
            <w:lang w:val="fr-BE"/>
          </w:rPr>
          <w:t>http://eur-lex.europa.eu/legal-content/FR/TXT/?qid=1427303331326&amp;uri=CELEX:52010DC2020</w:t>
        </w:r>
      </w:hyperlink>
      <w:r>
        <w:rPr>
          <w:rStyle w:val="Hyperlink"/>
          <w:rFonts w:ascii="Times New Roman" w:hAnsi="Times New Roman"/>
          <w:lang w:val="fr-BE"/>
        </w:rPr>
        <w:t>.</w:t>
      </w:r>
      <w:r>
        <w:rPr>
          <w:rFonts w:ascii="Times New Roman" w:hAnsi="Times New Roman"/>
          <w:lang w:val="fr-BE"/>
        </w:rPr>
        <w:t xml:space="preserve"> </w:t>
      </w:r>
    </w:p>
  </w:footnote>
  <w:footnote w:id="10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Communication de la Commission – Critères relatifs à l’analyse de la compatibilit</w:t>
      </w:r>
      <w:r>
        <w:rPr>
          <w:rFonts w:ascii="Times New Roman" w:hAnsi="Times New Roman"/>
          <w:lang w:val="fr-BE"/>
        </w:rPr>
        <w:t>é avec le marché intérieur des aides d’État destinées à promouvoir la réalisation de projets importants d’intérêt européen commun, JO C 188 du 20.6.2014, p. 4–12.</w:t>
      </w:r>
    </w:p>
  </w:footnote>
  <w:footnote w:id="10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50" w:anchor="gber">
        <w:r>
          <w:rPr>
            <w:rStyle w:val="Hyperlink"/>
            <w:rFonts w:ascii="Times New Roman" w:hAnsi="Times New Roman"/>
            <w:lang w:val="fr-BE"/>
          </w:rPr>
          <w:t>http://ec.europa.eu/competition/state_aid/legislation/block.html#gber</w:t>
        </w:r>
      </w:hyperlink>
      <w:r>
        <w:rPr>
          <w:lang w:val="fr-BE"/>
        </w:rPr>
        <w:t>.</w:t>
      </w:r>
      <w:r>
        <w:rPr>
          <w:rFonts w:ascii="Times New Roman" w:hAnsi="Times New Roman"/>
          <w:lang w:val="fr-BE"/>
        </w:rPr>
        <w:t xml:space="preserve"> </w:t>
      </w:r>
    </w:p>
  </w:footnote>
  <w:footnote w:id="10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Communication de la Commission «Encadrement des aides d’État à la recherche, au développement et à l’innovation», JO C 198 du 27.6.2014, p. 1–29.</w:t>
      </w:r>
    </w:p>
  </w:footnote>
  <w:footnote w:id="10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SA.46705 </w:t>
      </w:r>
      <w:r>
        <w:rPr>
          <w:lang w:val="fr-BE"/>
        </w:rPr>
        <w:t xml:space="preserve">PIIEC </w:t>
      </w:r>
      <w:r>
        <w:rPr>
          <w:lang w:val="fr-BE"/>
        </w:rPr>
        <w:t xml:space="preserve">dans le domaine de la microélectronique – France, voir: </w:t>
      </w:r>
      <w:hyperlink r:id="rId51">
        <w:r>
          <w:rPr>
            <w:rStyle w:val="Hyperlink"/>
            <w:rFonts w:ascii="Times New Roman" w:hAnsi="Times New Roman"/>
            <w:lang w:val="fr-BE"/>
          </w:rPr>
          <w:t>http://ec.europa.eu/competition/elojade/isef/case_details.cfm?proc_code=3_SA_46705</w:t>
        </w:r>
      </w:hyperlink>
      <w:r>
        <w:rPr>
          <w:rFonts w:ascii="Times New Roman" w:hAnsi="Times New Roman"/>
          <w:lang w:val="fr-BE"/>
        </w:rPr>
        <w:t>.</w:t>
      </w:r>
    </w:p>
  </w:footnote>
  <w:footnote w:id="104">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SA.</w:t>
      </w:r>
      <w:r>
        <w:rPr>
          <w:rFonts w:ascii="Times New Roman" w:hAnsi="Times New Roman"/>
          <w:lang w:val="fr-BE"/>
        </w:rPr>
        <w:t xml:space="preserve">46578 </w:t>
      </w:r>
      <w:r>
        <w:rPr>
          <w:lang w:val="fr-BE"/>
        </w:rPr>
        <w:t xml:space="preserve">PIIEC dans le domaine de la microélectronique – Allemagne, voir:  </w:t>
      </w:r>
      <w:hyperlink r:id="rId52">
        <w:r>
          <w:rPr>
            <w:rStyle w:val="Hyperlink"/>
            <w:rFonts w:ascii="Times New Roman" w:hAnsi="Times New Roman"/>
            <w:lang w:val="fr-BE"/>
          </w:rPr>
          <w:t>http://ec.europa.eu/competition/elojade/isef/case_details.cfm?proc_code=3_SA_46578</w:t>
        </w:r>
      </w:hyperlink>
      <w:r>
        <w:rPr>
          <w:rFonts w:ascii="Times New Roman" w:hAnsi="Times New Roman"/>
          <w:lang w:val="fr-BE"/>
        </w:rPr>
        <w:t>.</w:t>
      </w:r>
    </w:p>
  </w:footnote>
  <w:footnote w:id="105">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SA.46595 </w:t>
      </w:r>
      <w:r>
        <w:rPr>
          <w:lang w:val="fr-BE"/>
        </w:rPr>
        <w:t xml:space="preserve">PIIEC dans le domaine de la microélectronique – Italie, voir: </w:t>
      </w:r>
      <w:hyperlink r:id="rId53">
        <w:r>
          <w:rPr>
            <w:rStyle w:val="Hyperlink"/>
            <w:rFonts w:ascii="Times New Roman" w:hAnsi="Times New Roman"/>
            <w:lang w:val="fr-BE"/>
          </w:rPr>
          <w:t>http://ec.europa.eu/competition/elojade/isef/case_details.cfm?proc_code=3_SA_46595</w:t>
        </w:r>
      </w:hyperlink>
      <w:r>
        <w:rPr>
          <w:rFonts w:ascii="Times New Roman" w:hAnsi="Times New Roman"/>
          <w:lang w:val="fr-BE"/>
        </w:rPr>
        <w:t>.</w:t>
      </w:r>
    </w:p>
  </w:footnote>
  <w:footnote w:id="10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SA.46590 </w:t>
      </w:r>
      <w:r>
        <w:rPr>
          <w:lang w:val="fr-BE"/>
        </w:rPr>
        <w:t xml:space="preserve">PIIEC dans le domaine de la microélectronique – Royaume-Uni, voir: </w:t>
      </w:r>
      <w:hyperlink r:id="rId54">
        <w:r>
          <w:rPr>
            <w:rStyle w:val="Hyperlink"/>
            <w:rFonts w:ascii="Times New Roman" w:hAnsi="Times New Roman"/>
            <w:lang w:val="fr-BE"/>
          </w:rPr>
          <w:t>http://ec.europa.eu/competition/elojade/isef/case_details.cfm?proc_code=3_SA_46590</w:t>
        </w:r>
      </w:hyperlink>
      <w:r>
        <w:rPr>
          <w:rFonts w:ascii="Times New Roman" w:hAnsi="Times New Roman"/>
          <w:lang w:val="fr-BE"/>
        </w:rPr>
        <w:t>.</w:t>
      </w:r>
    </w:p>
  </w:footnote>
  <w:footnote w:id="107">
    <w:p w:rsidR="00D9323F" w:rsidRDefault="00F47CDD">
      <w:pPr>
        <w:pStyle w:val="FootnoteText"/>
        <w:spacing w:after="0" w:line="240" w:lineRule="auto"/>
        <w:ind w:left="284" w:hanging="284"/>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Voir</w:t>
      </w:r>
      <w:r>
        <w:rPr>
          <w:rStyle w:val="Hyperlink"/>
          <w:lang w:val="fr-BE"/>
        </w:rPr>
        <w:t>:</w:t>
      </w:r>
      <w:r>
        <w:rPr>
          <w:rStyle w:val="Hyperlink"/>
          <w:rFonts w:ascii="Times New Roman" w:hAnsi="Times New Roman"/>
          <w:lang w:val="fr-BE"/>
        </w:rPr>
        <w:t xml:space="preserve"> https://ec.europa.eu/growth/industry/policy/key-enabling-technologies/description_en</w:t>
      </w:r>
      <w:r>
        <w:rPr>
          <w:lang w:val="fr-BE"/>
        </w:rPr>
        <w:t>.</w:t>
      </w:r>
    </w:p>
  </w:footnote>
  <w:footnote w:id="10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SA.49580 (2017/N), grand projet d’investissement </w:t>
      </w:r>
      <w:r>
        <w:rPr>
          <w:rFonts w:ascii="Times New Roman" w:hAnsi="Times New Roman"/>
          <w:lang w:val="fr-BE"/>
        </w:rPr>
        <w:t xml:space="preserve">– Aide à l’investissement à finalité régionale en faveur de BorsodChem, décision de la Commission du 28 septembre 2018. La version publique sera disponible prochainement sur: </w:t>
      </w:r>
      <w:hyperlink r:id="rId55">
        <w:r>
          <w:rPr>
            <w:rStyle w:val="Hyperlink"/>
            <w:rFonts w:ascii="Times New Roman" w:hAnsi="Times New Roman"/>
            <w:lang w:val="fr-BE"/>
          </w:rPr>
          <w:t>http://ec.europa.eu/competition/elojade/isef/case_details.cfm?proc_code=3_SA_49580</w:t>
        </w:r>
      </w:hyperlink>
      <w:r>
        <w:rPr>
          <w:rStyle w:val="Hyperlink"/>
          <w:rFonts w:ascii="Times New Roman" w:hAnsi="Times New Roman"/>
          <w:lang w:val="fr-BE"/>
        </w:rPr>
        <w:t>.</w:t>
      </w:r>
      <w:r>
        <w:rPr>
          <w:rFonts w:ascii="Times New Roman" w:hAnsi="Times New Roman"/>
          <w:lang w:val="fr-BE"/>
        </w:rPr>
        <w:t xml:space="preserve"> </w:t>
      </w:r>
    </w:p>
  </w:footnote>
  <w:footnote w:id="10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SA.45359 (2017/C), aide à l’investissement à finalité régionale en faveur de Jaguar Land Rover – grand projet d’investissement – Slovaquie,</w:t>
      </w:r>
      <w:r>
        <w:rPr>
          <w:rFonts w:ascii="Times New Roman" w:hAnsi="Times New Roman"/>
          <w:lang w:val="fr-BE"/>
        </w:rPr>
        <w:t xml:space="preserve"> décision de la Commission du 4 octobre 2018. Voir: </w:t>
      </w:r>
      <w:hyperlink r:id="rId56">
        <w:r>
          <w:rPr>
            <w:rStyle w:val="Hyperlink"/>
            <w:rFonts w:ascii="Times New Roman" w:hAnsi="Times New Roman"/>
            <w:lang w:val="fr-BE"/>
          </w:rPr>
          <w:t>http://ec.europa.eu/competition/elojade/isef/case_details.cfm?proc_code=3_SA_45359</w:t>
        </w:r>
      </w:hyperlink>
      <w:r>
        <w:rPr>
          <w:rStyle w:val="Hyperlink"/>
          <w:rFonts w:ascii="Times New Roman" w:hAnsi="Times New Roman"/>
          <w:lang w:val="fr-BE"/>
        </w:rPr>
        <w:t>.</w:t>
      </w:r>
      <w:r>
        <w:rPr>
          <w:rFonts w:ascii="Times New Roman" w:hAnsi="Times New Roman"/>
          <w:lang w:val="fr-BE"/>
        </w:rPr>
        <w:t xml:space="preserve"> </w:t>
      </w:r>
    </w:p>
  </w:footnote>
  <w:footnote w:id="11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SA.486</w:t>
      </w:r>
      <w:r>
        <w:rPr>
          <w:rFonts w:ascii="Times New Roman" w:hAnsi="Times New Roman"/>
          <w:lang w:val="fr-BE"/>
        </w:rPr>
        <w:t>80 (2017/EV), plan d’évaluation concernant le décret gouvernemental 210/2014 (VIII.27.) relatif à l’utilisation des incitations à l’investissement</w:t>
      </w:r>
      <w:r>
        <w:rPr>
          <w:rFonts w:ascii="Times New Roman" w:hAnsi="Times New Roman"/>
          <w:i/>
          <w:lang w:val="fr-BE"/>
        </w:rPr>
        <w:t>,</w:t>
      </w:r>
      <w:r>
        <w:rPr>
          <w:rFonts w:ascii="Times New Roman" w:hAnsi="Times New Roman"/>
          <w:lang w:val="fr-BE"/>
        </w:rPr>
        <w:t xml:space="preserve"> décision de la Commission du 1</w:t>
      </w:r>
      <w:r>
        <w:rPr>
          <w:rFonts w:ascii="Times New Roman" w:hAnsi="Times New Roman"/>
          <w:vertAlign w:val="superscript"/>
          <w:lang w:val="fr-BE"/>
        </w:rPr>
        <w:t>er</w:t>
      </w:r>
      <w:r>
        <w:rPr>
          <w:rFonts w:ascii="Times New Roman" w:hAnsi="Times New Roman"/>
          <w:lang w:val="fr-BE"/>
        </w:rPr>
        <w:t xml:space="preserve"> juin 2018. Voir: </w:t>
      </w:r>
      <w:hyperlink r:id="rId57">
        <w:r>
          <w:rPr>
            <w:rStyle w:val="Hyperlink"/>
            <w:rFonts w:ascii="Times New Roman" w:hAnsi="Times New Roman"/>
            <w:lang w:val="fr-BE"/>
          </w:rPr>
          <w:t>http://ec.europa.eu/competition/elojade/isef/case_details.cfm?proc_code=3_SA_48680</w:t>
        </w:r>
      </w:hyperlink>
      <w:r>
        <w:rPr>
          <w:rFonts w:ascii="Times New Roman" w:hAnsi="Times New Roman"/>
          <w:lang w:val="fr-BE"/>
        </w:rPr>
        <w:t>.</w:t>
      </w:r>
    </w:p>
  </w:footnote>
  <w:footnote w:id="11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SA.47412 (2017/EV), </w:t>
      </w:r>
      <w:r>
        <w:rPr>
          <w:lang w:val="fr-BE"/>
        </w:rPr>
        <w:t>Plan d’évaluation du régime d’aide «Entrepreneuriat général» de la loi sur le développement 4399/</w:t>
      </w:r>
      <w:r>
        <w:rPr>
          <w:lang w:val="fr-BE"/>
        </w:rPr>
        <w:t xml:space="preserve">2016, décision de la Commission du 6 juillet 2018. Voir: </w:t>
      </w:r>
      <w:hyperlink r:id="rId58">
        <w:r>
          <w:rPr>
            <w:rStyle w:val="Hyperlink"/>
            <w:rFonts w:ascii="Times New Roman" w:hAnsi="Times New Roman"/>
            <w:noProof/>
            <w:lang w:val="fr-BE"/>
          </w:rPr>
          <w:t>http://ec.europa.eu/competition/elojade/isef/case_details.cfm?proc_code=3_SA_47412</w:t>
        </w:r>
      </w:hyperlink>
      <w:r>
        <w:rPr>
          <w:rFonts w:ascii="Times New Roman" w:hAnsi="Times New Roman"/>
          <w:noProof/>
          <w:lang w:val="fr-BE"/>
        </w:rPr>
        <w:t>.</w:t>
      </w:r>
    </w:p>
  </w:footnote>
  <w:footnote w:id="11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SA.48571 (2018/N), Italie – crédit d’impôt à l’investissement productif dans les régions du Latium, de l’Ombrie, des Marches et des Abruzzes touchées par les séismes de 2016-2017, décision de la Commission du 6 avril 2018. Voir: </w:t>
      </w:r>
      <w:hyperlink r:id="rId59">
        <w:r>
          <w:rPr>
            <w:rStyle w:val="Hyperlink"/>
            <w:rFonts w:ascii="Times New Roman" w:hAnsi="Times New Roman"/>
            <w:lang w:val="fr-BE"/>
          </w:rPr>
          <w:t>http://ec.europa.eu/competition/elojade/isef/case_details.cfm?proc_code=3_SA_48571</w:t>
        </w:r>
      </w:hyperlink>
      <w:r>
        <w:rPr>
          <w:rStyle w:val="Hyperlink"/>
          <w:rFonts w:ascii="Times New Roman" w:hAnsi="Times New Roman"/>
          <w:lang w:val="fr-BE"/>
        </w:rPr>
        <w:t>.</w:t>
      </w:r>
      <w:r>
        <w:rPr>
          <w:rFonts w:ascii="Times New Roman" w:hAnsi="Times New Roman"/>
          <w:lang w:val="fr-BE"/>
        </w:rPr>
        <w:t xml:space="preserve"> </w:t>
      </w:r>
    </w:p>
  </w:footnote>
  <w:footnote w:id="11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Aperçu du programme de l’UE pour la compétitivité des entreprises et des petites et m</w:t>
      </w:r>
      <w:r>
        <w:rPr>
          <w:rFonts w:ascii="Times New Roman" w:hAnsi="Times New Roman"/>
          <w:lang w:val="fr-BE"/>
        </w:rPr>
        <w:t xml:space="preserve">oyennes entreprises. Voir: </w:t>
      </w:r>
      <w:hyperlink r:id="rId60">
        <w:r>
          <w:rPr>
            <w:rStyle w:val="Hyperlink"/>
            <w:rFonts w:ascii="Times New Roman" w:hAnsi="Times New Roman"/>
            <w:lang w:val="fr-BE"/>
          </w:rPr>
          <w:t>http://ec.europa.eu/growth/smes/cosme_fr</w:t>
        </w:r>
      </w:hyperlink>
      <w:r>
        <w:rPr>
          <w:rStyle w:val="Hyperlink"/>
          <w:rFonts w:ascii="Times New Roman" w:hAnsi="Times New Roman"/>
          <w:lang w:val="fr-BE"/>
        </w:rPr>
        <w:t xml:space="preserve">. </w:t>
      </w:r>
    </w:p>
  </w:footnote>
  <w:footnote w:id="11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Communication de la Commission – </w:t>
      </w:r>
      <w:r>
        <w:rPr>
          <w:rFonts w:ascii="Times New Roman" w:hAnsi="Times New Roman"/>
          <w:i/>
          <w:lang w:val="fr-BE"/>
        </w:rPr>
        <w:t>Lignes directrices relatives aux aides d’État visant à promouvoir les investissements en f</w:t>
      </w:r>
      <w:r>
        <w:rPr>
          <w:rFonts w:ascii="Times New Roman" w:hAnsi="Times New Roman"/>
          <w:i/>
          <w:lang w:val="fr-BE"/>
        </w:rPr>
        <w:t>aveur du financement des risques</w:t>
      </w:r>
      <w:r>
        <w:rPr>
          <w:rFonts w:ascii="Times New Roman" w:hAnsi="Times New Roman"/>
          <w:lang w:val="fr-BE"/>
        </w:rPr>
        <w:t xml:space="preserve"> (JO C 19 du 22.01.2014, p. 4). Voir: </w:t>
      </w:r>
      <w:hyperlink r:id="rId61">
        <w:r>
          <w:rPr>
            <w:rStyle w:val="Hyperlink"/>
            <w:rFonts w:ascii="Times New Roman" w:hAnsi="Times New Roman"/>
            <w:lang w:val="fr-BE"/>
          </w:rPr>
          <w:t>https://eur-lex.europa.eu/legal-content/FR/TXT/?uri=CELEX:52014XC0122(04)</w:t>
        </w:r>
      </w:hyperlink>
      <w:r>
        <w:rPr>
          <w:rStyle w:val="Hyperlink"/>
          <w:rFonts w:ascii="Times New Roman" w:hAnsi="Times New Roman"/>
          <w:lang w:val="fr-BE"/>
        </w:rPr>
        <w:t>.</w:t>
      </w:r>
      <w:r>
        <w:rPr>
          <w:rFonts w:ascii="Times New Roman" w:hAnsi="Times New Roman"/>
          <w:lang w:val="fr-BE"/>
        </w:rPr>
        <w:t xml:space="preserve"> </w:t>
      </w:r>
    </w:p>
  </w:footnote>
  <w:footnote w:id="11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JO C 262 du 19</w:t>
      </w:r>
      <w:r>
        <w:rPr>
          <w:rFonts w:ascii="Times New Roman" w:hAnsi="Times New Roman"/>
          <w:lang w:val="fr-BE"/>
        </w:rPr>
        <w:t>.7.2016, p. 1.</w:t>
      </w:r>
    </w:p>
  </w:footnote>
  <w:footnote w:id="11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JO L 156 du 20.6.2017, p. 1.</w:t>
      </w:r>
    </w:p>
  </w:footnote>
  <w:footnote w:id="11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SA.49335 (2017/N), plan d’investissement autoroutier en faveur de Società Asti Cuneo et Satap A4 et affaire SA. 49336 (2017/N), plan d’investissement autoroutier en faveur d’Autostrade per l’Italia Spa, décision de la Commission du 27 avril 2018. V</w:t>
      </w:r>
      <w:r>
        <w:rPr>
          <w:rFonts w:ascii="Times New Roman" w:hAnsi="Times New Roman"/>
          <w:lang w:val="fr-BE"/>
        </w:rPr>
        <w:t xml:space="preserve">oir: </w:t>
      </w:r>
      <w:hyperlink r:id="rId62">
        <w:r>
          <w:rPr>
            <w:rStyle w:val="Hyperlink"/>
            <w:rFonts w:ascii="Times New Roman" w:hAnsi="Times New Roman"/>
            <w:lang w:val="fr-BE"/>
          </w:rPr>
          <w:t>http://ec.europa.eu/competition/elojade/isef/case_details.cfm?proc_code=3_SA_49335</w:t>
        </w:r>
      </w:hyperlink>
      <w:r>
        <w:rPr>
          <w:rFonts w:ascii="Times New Roman" w:hAnsi="Times New Roman"/>
          <w:lang w:val="fr-BE"/>
        </w:rPr>
        <w:t xml:space="preserve"> et </w:t>
      </w:r>
      <w:hyperlink r:id="rId63">
        <w:r>
          <w:rPr>
            <w:rStyle w:val="Hyperlink"/>
            <w:rFonts w:ascii="Times New Roman" w:hAnsi="Times New Roman"/>
            <w:lang w:val="fr-BE"/>
          </w:rPr>
          <w:t>http://ec.europa.eu/competition/elojade/isef/case_details.cfm?proc_code=3_SA_49336</w:t>
        </w:r>
      </w:hyperlink>
      <w:r>
        <w:rPr>
          <w:rFonts w:ascii="Times New Roman" w:hAnsi="Times New Roman"/>
          <w:lang w:val="fr-BE"/>
        </w:rPr>
        <w:t>.</w:t>
      </w:r>
    </w:p>
  </w:footnote>
  <w:footnote w:id="118">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SA.48472 (2018/N), modification du contrat de concession relatif à l’autoroute Y d’Istrie, décision de la Commission du 14</w:t>
      </w:r>
      <w:r>
        <w:rPr>
          <w:rFonts w:ascii="Times New Roman" w:hAnsi="Times New Roman"/>
          <w:lang w:val="fr-BE"/>
        </w:rPr>
        <w:t xml:space="preserve"> juin 2018. Voir: </w:t>
      </w:r>
      <w:hyperlink r:id="rId64">
        <w:r>
          <w:rPr>
            <w:rStyle w:val="Hyperlink"/>
            <w:rFonts w:ascii="Times New Roman" w:hAnsi="Times New Roman"/>
            <w:lang w:val="fr-BE"/>
          </w:rPr>
          <w:t>http://ec.europa.eu/competition/elojade/isef/case_details.cfm?proc_code=3_SA_48472</w:t>
        </w:r>
      </w:hyperlink>
      <w:r>
        <w:rPr>
          <w:rFonts w:ascii="Times New Roman" w:hAnsi="Times New Roman"/>
          <w:lang w:val="fr-BE"/>
        </w:rPr>
        <w:t>.</w:t>
      </w:r>
    </w:p>
  </w:footnote>
  <w:footnote w:id="11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 50233 (2018/N), aide d’État pour la c</w:t>
      </w:r>
      <w:r>
        <w:rPr>
          <w:rFonts w:ascii="Times New Roman" w:hAnsi="Times New Roman"/>
          <w:lang w:val="fr-BE"/>
        </w:rPr>
        <w:t xml:space="preserve">onstruction du tronçon Lamia-Xyniada de l’autoroute E65, décision de la Commission du 19 octobre 2018. La version publique sera disponible prochainement sur: </w:t>
      </w:r>
      <w:hyperlink r:id="rId65">
        <w:r>
          <w:rPr>
            <w:rStyle w:val="Hyperlink"/>
            <w:rFonts w:ascii="Times New Roman" w:hAnsi="Times New Roman"/>
            <w:lang w:val="fr-BE"/>
          </w:rPr>
          <w:t>http://ec.europa.eu/competition/elojade/isef/case_details.cfm?proc_code=3_SA_50233</w:t>
        </w:r>
      </w:hyperlink>
      <w:r>
        <w:rPr>
          <w:rFonts w:ascii="Times New Roman" w:hAnsi="Times New Roman"/>
          <w:lang w:val="fr-BE"/>
        </w:rPr>
        <w:t>.</w:t>
      </w:r>
    </w:p>
  </w:footnote>
  <w:footnote w:id="12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N565/2007 – Grèce – infrastructure routière – financement public du projet d’autoroute en Grèce centrale (E65), décision de la Commission du 30 janvier 2008. Voir: </w:t>
      </w:r>
      <w:hyperlink r:id="rId66">
        <w:r>
          <w:rPr>
            <w:rStyle w:val="Hyperlink"/>
            <w:rFonts w:ascii="Times New Roman" w:hAnsi="Times New Roman"/>
            <w:lang w:val="fr-BE"/>
          </w:rPr>
          <w:t>http://ec.europa.eu/competition/elojade/isef/case_details.cfm?proc_code=3_N565_2007</w:t>
        </w:r>
      </w:hyperlink>
      <w:r>
        <w:rPr>
          <w:rStyle w:val="Hyperlink"/>
          <w:rFonts w:ascii="Times New Roman" w:hAnsi="Times New Roman"/>
          <w:lang w:val="fr-BE"/>
        </w:rPr>
        <w:t>.</w:t>
      </w:r>
    </w:p>
  </w:footnote>
  <w:footnote w:id="121">
    <w:p w:rsidR="00D9323F" w:rsidRDefault="00F47CDD">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 bilan de qualité est une évaluation d’un groupe d’interventions de l’UE qui ont des liens entre elles – généralement un ensemble commun d’objectif</w:t>
      </w:r>
      <w:r>
        <w:rPr>
          <w:rFonts w:ascii="Times New Roman" w:hAnsi="Times New Roman"/>
          <w:lang w:val="fr-BE"/>
        </w:rPr>
        <w:t>s – et qui justifient une analyse commune. Il évalue le rendement du cadre pertinent au regard ses objectifs. Il devrait accorder une attention particulière à la détermination et à la quantification des synergies (p. ex. amélioration des performances, simp</w:t>
      </w:r>
      <w:r>
        <w:rPr>
          <w:rFonts w:ascii="Times New Roman" w:hAnsi="Times New Roman"/>
          <w:lang w:val="fr-BE"/>
        </w:rPr>
        <w:t>lification, réduction des coûts, réduction des charges) ou des inefficacités (p. ex. charges excessives, chevauchements, lacunes, incohérences, problèmes de mise en œuvre et/ou mesures obsolètes) au sein du groupe d’interventions qui ont pu apparaître avec</w:t>
      </w:r>
      <w:r>
        <w:rPr>
          <w:rFonts w:ascii="Times New Roman" w:hAnsi="Times New Roman"/>
          <w:lang w:val="fr-BE"/>
        </w:rPr>
        <w:t xml:space="preserve"> le temps et contribuer à établir l’incidence cumulative des interventions, en tenant compte à la fois des coûts et des avantages. Voir: </w:t>
      </w:r>
      <w:hyperlink r:id="rId67">
        <w:r>
          <w:rPr>
            <w:rStyle w:val="Hyperlink"/>
            <w:rFonts w:ascii="Times New Roman" w:hAnsi="Times New Roman"/>
            <w:lang w:val="fr-BE"/>
          </w:rPr>
          <w:t>https://ec.europa.eu/info/sites/info/files/better-regulation-guidelines-evaluation-fitness-checks.pdf</w:t>
        </w:r>
        <w:r>
          <w:rPr>
            <w:rStyle w:val="Hyperlink"/>
            <w:rFonts w:ascii="Times New Roman" w:hAnsi="Times New Roman"/>
            <w:u w:val="none"/>
            <w:lang w:val="fr-BE"/>
          </w:rPr>
          <w:t>.</w:t>
        </w:r>
      </w:hyperlink>
    </w:p>
  </w:footnote>
  <w:footnote w:id="12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bilan de qualité actuel portera sur le règlement général d’exemption par catégorie (RGEC), le règlement de minimis, les lignes directrices concer</w:t>
      </w:r>
      <w:r>
        <w:rPr>
          <w:rFonts w:ascii="Times New Roman" w:hAnsi="Times New Roman"/>
          <w:lang w:val="fr-BE"/>
        </w:rPr>
        <w:t>nant les aides d’État à finalité régionale, l’encadrement des aides d’État à la recherche, au développement et à l’innovation (RDI), la communication sur les projets importants d’intérêt européen commun (communication PIIEC), les lignes directrices relativ</w:t>
      </w:r>
      <w:r>
        <w:rPr>
          <w:rFonts w:ascii="Times New Roman" w:hAnsi="Times New Roman"/>
          <w:lang w:val="fr-BE"/>
        </w:rPr>
        <w:t>es au financement des risques, les lignes directrices relatives aux aéroports et à l’aviation, les lignes directrices concernant les aides à la protection de l’environnement et à l’énergie, les lignes directrices concernant le sauvetage et la restructurati</w:t>
      </w:r>
      <w:r>
        <w:rPr>
          <w:rFonts w:ascii="Times New Roman" w:hAnsi="Times New Roman"/>
          <w:lang w:val="fr-BE"/>
        </w:rPr>
        <w:t xml:space="preserve">on, les lignes directrices sur le transport ferroviaire et la communication sur l’assurance-crédit à l’exportation à court terme. Ces deux derniers documents n’ont pas été inclus dans le paquet législatif de 2012 sur la modernisation du contrôle des aides </w:t>
      </w:r>
      <w:r>
        <w:rPr>
          <w:rFonts w:ascii="Times New Roman" w:hAnsi="Times New Roman"/>
          <w:lang w:val="fr-BE"/>
        </w:rPr>
        <w:t>d’État.</w:t>
      </w:r>
    </w:p>
  </w:footnote>
  <w:footnote w:id="12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Communication de la Commission relative à la prolongation de la communication de la Commission aux États membres concernant l’application des articles 107 et 108 du traité sur le fonctionnement de l’Union européenne à l’assurance-crédit à l’expo</w:t>
      </w:r>
      <w:r>
        <w:rPr>
          <w:rFonts w:ascii="Times New Roman" w:hAnsi="Times New Roman"/>
          <w:lang w:val="fr-BE"/>
        </w:rPr>
        <w:t xml:space="preserve">rtation à court terme (JO C 457 du 19.12.2018, p. 9). Voir: </w:t>
      </w:r>
      <w:hyperlink r:id="rId68">
        <w:r>
          <w:rPr>
            <w:rStyle w:val="Hyperlink"/>
            <w:rFonts w:ascii="Times New Roman" w:hAnsi="Times New Roman"/>
            <w:lang w:val="fr-BE"/>
          </w:rPr>
          <w:t>https://eur-lex.europa.eu/legal-content/FR/TXT/PDF/?uri=CELEX:52018XC1219(01)&amp;from=FR</w:t>
        </w:r>
      </w:hyperlink>
      <w:r>
        <w:rPr>
          <w:rFonts w:ascii="Times New Roman" w:hAnsi="Times New Roman"/>
          <w:lang w:val="fr-BE"/>
        </w:rPr>
        <w:t xml:space="preserve">. </w:t>
      </w:r>
    </w:p>
  </w:footnote>
  <w:footnote w:id="12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Règlement (UE) 2018/1923 de la Commission du 7 décembre 2018 modifiant le règlement (UE) nº 360/2012 en ce qui concerne sa durée d’application (JO L 313 du 10.12.2018, p. 2). Voir: </w:t>
      </w:r>
      <w:hyperlink r:id="rId69">
        <w:r>
          <w:rPr>
            <w:rStyle w:val="Hyperlink"/>
            <w:rFonts w:ascii="Times New Roman" w:hAnsi="Times New Roman"/>
            <w:lang w:val="fr-BE"/>
          </w:rPr>
          <w:t>https://eur-lex.europa.eu/legal-content/FR/TXT/PDF/?uri=CELEX:32018R1923&amp;from=FR</w:t>
        </w:r>
      </w:hyperlink>
      <w:r>
        <w:rPr>
          <w:rStyle w:val="Hyperlink"/>
          <w:rFonts w:ascii="Times New Roman" w:hAnsi="Times New Roman"/>
          <w:lang w:val="fr-BE"/>
        </w:rPr>
        <w:t>.</w:t>
      </w:r>
      <w:r>
        <w:rPr>
          <w:rFonts w:ascii="Times New Roman" w:hAnsi="Times New Roman"/>
          <w:lang w:val="fr-BE"/>
        </w:rPr>
        <w:t xml:space="preserve"> </w:t>
      </w:r>
    </w:p>
  </w:footnote>
  <w:footnote w:id="125">
    <w:p w:rsidR="00D9323F" w:rsidRDefault="00F47CDD">
      <w:pPr>
        <w:pStyle w:val="FootnoteText"/>
        <w:spacing w:after="0" w:line="240" w:lineRule="auto"/>
        <w:ind w:left="284" w:hanging="284"/>
        <w:rPr>
          <w:rStyle w:val="Hyperlink"/>
          <w:rFonts w:ascii="Times New Roman" w:hAnsi="Times New Roman"/>
          <w:sz w:val="22"/>
          <w:szCs w:val="22"/>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w:t>
      </w:r>
      <w:r>
        <w:rPr>
          <w:rStyle w:val="Hyperlink"/>
          <w:lang w:val="fr-BE"/>
        </w:rPr>
        <w:t>:</w:t>
      </w:r>
      <w:r>
        <w:rPr>
          <w:rStyle w:val="Hyperlink"/>
          <w:rFonts w:ascii="Times New Roman" w:hAnsi="Times New Roman"/>
          <w:lang w:val="fr-BE"/>
        </w:rPr>
        <w:t xml:space="preserve"> http://ec.europa.eu/competition/state_aid/reform/best_practise/fr.pdf.</w:t>
      </w:r>
    </w:p>
  </w:footnote>
  <w:footnote w:id="12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Tableau de bord des aides d’État 2017:  </w:t>
      </w:r>
      <w:hyperlink r:id="rId70">
        <w:r>
          <w:rPr>
            <w:rStyle w:val="Hyperlink"/>
            <w:rFonts w:ascii="Times New Roman" w:hAnsi="Times New Roman"/>
            <w:lang w:val="fr-BE"/>
          </w:rPr>
          <w:t>http://ec.europa.eu/competition/state_aid/scoreboard/index_en.html</w:t>
        </w:r>
      </w:hyperlink>
      <w:r>
        <w:rPr>
          <w:rFonts w:ascii="Times New Roman" w:hAnsi="Times New Roman"/>
          <w:lang w:val="fr-BE"/>
        </w:rPr>
        <w:t xml:space="preserve">.  </w:t>
      </w:r>
    </w:p>
  </w:footnote>
  <w:footnote w:id="12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Dans son rapport de 2011 sur l’efficacité des procédures en matière d’aides d’État, la Cour des comptes estimait que, compte tenu de l’importance des aides octroyées au titre de régimes d’aides existants, la Commission devait renforcer son contrôle. Voir l</w:t>
      </w:r>
      <w:r>
        <w:rPr>
          <w:rFonts w:ascii="Times New Roman" w:hAnsi="Times New Roman"/>
          <w:lang w:val="fr-BE"/>
        </w:rPr>
        <w:t xml:space="preserve">a recommandation nº 1 du rapport de la Cour des comptes, considérant 96, p. 41. Voir: </w:t>
      </w:r>
      <w:hyperlink r:id="rId71">
        <w:r>
          <w:rPr>
            <w:rStyle w:val="Hyperlink"/>
            <w:rFonts w:ascii="Times New Roman" w:hAnsi="Times New Roman"/>
            <w:lang w:val="fr-BE"/>
          </w:rPr>
          <w:t>http://eca.europa.eu/portal/pls/portal/docs/1/10952771.PDF</w:t>
        </w:r>
      </w:hyperlink>
      <w:r>
        <w:rPr>
          <w:rStyle w:val="Hyperlink"/>
          <w:rFonts w:ascii="Times New Roman" w:hAnsi="Times New Roman"/>
          <w:lang w:val="fr-BE"/>
        </w:rPr>
        <w:t>.</w:t>
      </w:r>
    </w:p>
  </w:footnote>
  <w:footnote w:id="12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JO L 7 du 11.1.2012, p. 3.</w:t>
      </w:r>
    </w:p>
  </w:footnote>
  <w:footnote w:id="12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vertAlign w:val="superscript"/>
          <w:lang w:val="fr-BE"/>
        </w:rPr>
        <w:t xml:space="preserve"> </w:t>
      </w:r>
      <w:r>
        <w:rPr>
          <w:rFonts w:ascii="Times New Roman" w:hAnsi="Times New Roman"/>
          <w:lang w:val="fr-BE"/>
        </w:rPr>
        <w:t>À l’exception de la Bulgarie, de Chypre, du Danemark, de l’Estonie et de la Slovaquie.</w:t>
      </w:r>
    </w:p>
  </w:footnote>
  <w:footnote w:id="13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72">
        <w:r>
          <w:rPr>
            <w:rStyle w:val="Hyperlink"/>
            <w:rFonts w:ascii="Times New Roman" w:hAnsi="Times New Roman"/>
            <w:lang w:val="fr-BE"/>
          </w:rPr>
          <w:t>https://webgate.ec.europa.eu/competition/transparency/publi</w:t>
        </w:r>
        <w:r>
          <w:rPr>
            <w:rStyle w:val="Hyperlink"/>
            <w:rFonts w:ascii="Times New Roman" w:hAnsi="Times New Roman"/>
            <w:lang w:val="fr-BE"/>
          </w:rPr>
          <w:t>c/search/home?lang=fr</w:t>
        </w:r>
      </w:hyperlink>
      <w:r>
        <w:rPr>
          <w:rFonts w:ascii="Times New Roman" w:hAnsi="Times New Roman"/>
          <w:lang w:val="fr-BE"/>
        </w:rPr>
        <w:t>.</w:t>
      </w:r>
    </w:p>
  </w:footnote>
  <w:footnote w:id="131">
    <w:p w:rsidR="00D9323F" w:rsidRDefault="00F47CDD">
      <w:pPr>
        <w:pStyle w:val="FootnoteText"/>
        <w:spacing w:after="0" w:line="240" w:lineRule="auto"/>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La période de référence s’étend du 1</w:t>
      </w:r>
      <w:r>
        <w:rPr>
          <w:rFonts w:ascii="Times New Roman" w:hAnsi="Times New Roman"/>
          <w:vertAlign w:val="superscript"/>
          <w:lang w:val="fr-BE"/>
        </w:rPr>
        <w:t>er</w:t>
      </w:r>
      <w:r>
        <w:rPr>
          <w:rFonts w:ascii="Times New Roman" w:hAnsi="Times New Roman"/>
          <w:lang w:val="fr-BE"/>
        </w:rPr>
        <w:t> janvier 1999 au 31 décembre 2018.</w:t>
      </w:r>
    </w:p>
  </w:footnote>
  <w:footnote w:id="132">
    <w:p w:rsidR="00D9323F" w:rsidRDefault="00F47CDD">
      <w:pPr>
        <w:pStyle w:val="FootnoteText"/>
        <w:spacing w:after="0" w:line="240" w:lineRule="auto"/>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Version consolidée du TFUE (JO C 115 du 9.5.2008, p. 47).</w:t>
      </w:r>
    </w:p>
  </w:footnote>
  <w:footnote w:id="133">
    <w:p w:rsidR="00D9323F" w:rsidRDefault="00F47CDD">
      <w:pPr>
        <w:pStyle w:val="FootnoteText"/>
        <w:spacing w:after="0" w:line="240" w:lineRule="auto"/>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Communication de la Commission: Vers une mise en œuvre effective des décisions de la Commission </w:t>
      </w:r>
      <w:r>
        <w:rPr>
          <w:rFonts w:ascii="Times New Roman" w:hAnsi="Times New Roman"/>
          <w:lang w:val="fr-BE"/>
        </w:rPr>
        <w:t>enjoignant aux États membres de récupérer les aides d’État illégales et incompatibles avec le marché commun; JO C 272 du 15.11.2007, p. 1.</w:t>
      </w:r>
    </w:p>
  </w:footnote>
  <w:footnote w:id="13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Règlement (UE) 2015/1589 du Conseil du 13 juillet 2015 portant modalités d’application de l’article 108 du traité </w:t>
      </w:r>
      <w:r>
        <w:rPr>
          <w:rFonts w:ascii="Times New Roman" w:hAnsi="Times New Roman"/>
          <w:lang w:val="fr-BE"/>
        </w:rPr>
        <w:t>sur le fonctionnement de l’Union européenne (JO L 248 du 24.9.2015, p. 9).</w:t>
      </w:r>
    </w:p>
  </w:footnote>
  <w:footnote w:id="13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La Commission a présenté des observations écrites dans deux affaires portées devant des juridictions italiennes et une affaire portée devant une juridiction polonaise, ainsi que </w:t>
      </w:r>
      <w:r>
        <w:rPr>
          <w:rFonts w:ascii="Times New Roman" w:hAnsi="Times New Roman"/>
          <w:lang w:val="fr-BE"/>
        </w:rPr>
        <w:t xml:space="preserve">des observations écrites et/ou orales dans quatre affaires concernant l’incidence de la décision de la Commission du 30 mars 2015 dans l’affaire SA.38517 (2014/NNN; 2014/C) </w:t>
      </w:r>
      <w:r>
        <w:rPr>
          <w:rFonts w:ascii="Times New Roman" w:hAnsi="Times New Roman"/>
          <w:i/>
          <w:noProof/>
          <w:lang w:val="fr-BE"/>
        </w:rPr>
        <w:t>Micula c. Roumanie</w:t>
      </w:r>
      <w:r>
        <w:rPr>
          <w:rFonts w:ascii="Times New Roman" w:hAnsi="Times New Roman"/>
          <w:lang w:val="fr-BE"/>
        </w:rPr>
        <w:t xml:space="preserve"> (sentence arbitrale CIRDI) sur la reconnaissance et l’exécution </w:t>
      </w:r>
      <w:r>
        <w:rPr>
          <w:rFonts w:ascii="Times New Roman" w:hAnsi="Times New Roman"/>
          <w:lang w:val="fr-BE"/>
        </w:rPr>
        <w:t>d’une sentence arbitrale devant les juridictions belges, luxembourgeoises, suédoises et britanniques. En outre, la Commission a participé en qualité de partie non contestante à des affaires portées devant le tribunal arbitral du CIRDI et a présenté ses obs</w:t>
      </w:r>
      <w:r>
        <w:rPr>
          <w:rFonts w:ascii="Times New Roman" w:hAnsi="Times New Roman"/>
          <w:lang w:val="fr-BE"/>
        </w:rPr>
        <w:t>ervations écrites dans l’affaire ARB/16/20 Iskandar et Akram Safa/République hellénique le 5 octobre 2018. La Commission a également présenté des observations à titre d’</w:t>
      </w:r>
      <w:r>
        <w:rPr>
          <w:rFonts w:ascii="Times New Roman" w:hAnsi="Times New Roman"/>
          <w:i/>
          <w:lang w:val="fr-BE"/>
        </w:rPr>
        <w:t>amicus curiae</w:t>
      </w:r>
      <w:r>
        <w:rPr>
          <w:rFonts w:ascii="Times New Roman" w:hAnsi="Times New Roman"/>
          <w:lang w:val="fr-BE"/>
        </w:rPr>
        <w:t xml:space="preserve"> dans le cadre d’une procédure de reconnaissance et d’exécution devant la </w:t>
      </w:r>
      <w:r>
        <w:rPr>
          <w:rFonts w:ascii="Times New Roman" w:hAnsi="Times New Roman"/>
          <w:lang w:val="fr-BE"/>
        </w:rPr>
        <w:t>United States District Court for the District of Columbia dans l’affaire Micula.</w:t>
      </w:r>
    </w:p>
  </w:footnote>
  <w:footnote w:id="13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73">
        <w:r>
          <w:rPr>
            <w:rStyle w:val="Hyperlink"/>
            <w:rFonts w:ascii="Times New Roman" w:hAnsi="Times New Roman"/>
            <w:lang w:val="fr-BE"/>
          </w:rPr>
          <w:t>http://ec.europa.eu/competition/court/overview_en.html</w:t>
        </w:r>
      </w:hyperlink>
      <w:r>
        <w:rPr>
          <w:rFonts w:ascii="Times New Roman" w:hAnsi="Times New Roman"/>
          <w:lang w:val="fr-BE"/>
        </w:rPr>
        <w:t>.</w:t>
      </w:r>
    </w:p>
  </w:footnote>
  <w:footnote w:id="13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aussi la section </w:t>
      </w:r>
      <w:r>
        <w:rPr>
          <w:rFonts w:ascii="Times New Roman" w:hAnsi="Times New Roman"/>
          <w:i/>
          <w:lang w:val="fr-BE"/>
        </w:rPr>
        <w:t>Coopération</w:t>
      </w:r>
      <w:r>
        <w:rPr>
          <w:rFonts w:ascii="Times New Roman" w:hAnsi="Times New Roman"/>
          <w:i/>
          <w:lang w:val="fr-BE"/>
        </w:rPr>
        <w:t xml:space="preserve"> avec les juridictions nationales</w:t>
      </w:r>
      <w:r>
        <w:rPr>
          <w:rFonts w:ascii="Times New Roman" w:hAnsi="Times New Roman"/>
          <w:lang w:val="fr-BE"/>
        </w:rPr>
        <w:t>, section Pratiques anticoncurrentielles et ententes, voir I. Pratiques anticoncurrentielles, chapitre 4.</w:t>
      </w:r>
    </w:p>
  </w:footnote>
  <w:footnote w:id="13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C-579/16P, Commission européenne/FIH Holding A/S et FIH Erhvervsbank A/S, EU:C:2018:159.</w:t>
      </w:r>
    </w:p>
  </w:footnote>
  <w:footnote w:id="13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T-747/15, </w:t>
      </w:r>
      <w:r>
        <w:rPr>
          <w:rFonts w:ascii="Times New Roman" w:hAnsi="Times New Roman"/>
          <w:i/>
          <w:lang w:val="fr-BE"/>
        </w:rPr>
        <w:t>Électricité de France (EDF)/Commission européenne,</w:t>
      </w:r>
      <w:r>
        <w:rPr>
          <w:rFonts w:ascii="Times New Roman" w:hAnsi="Times New Roman"/>
          <w:lang w:val="fr-BE"/>
        </w:rPr>
        <w:t xml:space="preserve"> EU:T:2018:6.</w:t>
      </w:r>
    </w:p>
  </w:footnote>
  <w:footnote w:id="14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Affaires jointes C-214/12 P, C-215/12 P et C-223/12 P,</w:t>
      </w:r>
      <w:r>
        <w:rPr>
          <w:rFonts w:ascii="Times New Roman" w:hAnsi="Times New Roman"/>
          <w:i/>
          <w:lang w:val="fr-BE"/>
        </w:rPr>
        <w:t xml:space="preserve"> Land Burgenland/Commission européenne,</w:t>
      </w:r>
      <w:r>
        <w:rPr>
          <w:rFonts w:ascii="Times New Roman" w:hAnsi="Times New Roman"/>
          <w:lang w:val="fr-BE"/>
        </w:rPr>
        <w:t xml:space="preserve"> EU:C:2013:682. </w:t>
      </w:r>
    </w:p>
  </w:footnote>
  <w:footnote w:id="14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C-374/17, </w:t>
      </w:r>
      <w:r>
        <w:rPr>
          <w:rFonts w:ascii="Times New Roman" w:hAnsi="Times New Roman"/>
          <w:i/>
          <w:lang w:val="fr-BE"/>
        </w:rPr>
        <w:t>Finanzamt B/A-Brauerei,</w:t>
      </w:r>
      <w:r>
        <w:rPr>
          <w:rFonts w:ascii="Times New Roman" w:hAnsi="Times New Roman"/>
          <w:lang w:val="fr-BE"/>
        </w:rPr>
        <w:t xml:space="preserve"> EU:C:2018:1024.</w:t>
      </w:r>
    </w:p>
  </w:footnote>
  <w:footnote w:id="14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Selon ce test, la Commission doit d’abord déterminer le «système de référence» (règles normales d’imposition), puis (deuxième étape) évaluer si une mesure donnée constitue une dérogation à ce système dans la mesure où elle établit une distinction entre </w:t>
      </w:r>
      <w:r>
        <w:rPr>
          <w:rFonts w:ascii="Times New Roman" w:hAnsi="Times New Roman"/>
          <w:lang w:val="fr-BE"/>
        </w:rPr>
        <w:t>des opérateurs économiques qui, au regard des objectifs inhérents au système, sont dans une situation factuelle et juridique comparable. Dans le cadre de la troisième étape, une mesure à première vue sélective peut être considérée comme justifiée par la na</w:t>
      </w:r>
      <w:r>
        <w:rPr>
          <w:rFonts w:ascii="Times New Roman" w:hAnsi="Times New Roman"/>
          <w:lang w:val="fr-BE"/>
        </w:rPr>
        <w:t>ture ou l’économie générale du système fiscal et ainsi ne pas entrer dans le champ d’application des règles relatives aux aides d’État.</w:t>
      </w:r>
    </w:p>
  </w:footnote>
  <w:footnote w:id="14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C-203/16 P, Dirk Andres/Commission européenne, EU:C:2018:505.</w:t>
      </w:r>
    </w:p>
  </w:footnote>
  <w:footnote w:id="14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Affaires T-287/11 et T-620/11. </w:t>
      </w:r>
    </w:p>
  </w:footnote>
  <w:footnote w:id="14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2011/527/U</w:t>
      </w:r>
      <w:r>
        <w:rPr>
          <w:rFonts w:ascii="Times New Roman" w:hAnsi="Times New Roman"/>
          <w:lang w:val="fr-BE"/>
        </w:rPr>
        <w:t xml:space="preserve">E: décision de la Commission du 26 janvier 2011 concernant l’aide d’État de l’Allemagne C 7/10 (ex CP 250/09 et NN 5/10) au titre de la clause d’assainissement prévue par la loi relative à l’impôt sur les sociétés («KStG, Sanierungsklausel»). </w:t>
      </w:r>
    </w:p>
  </w:footnote>
  <w:footnote w:id="146">
    <w:p w:rsidR="00D9323F" w:rsidRDefault="00F47CDD">
      <w:pPr>
        <w:pStyle w:val="FootnoteText"/>
        <w:spacing w:after="0" w:line="240" w:lineRule="auto"/>
        <w:ind w:left="284" w:hanging="284"/>
        <w:jc w:val="both"/>
        <w:rPr>
          <w:rFonts w:ascii="Times New Roman" w:hAnsi="Times New Roman"/>
          <w:lang w:val="es-ES"/>
        </w:rPr>
      </w:pPr>
      <w:r>
        <w:rPr>
          <w:rFonts w:ascii="Times New Roman" w:hAnsi="Times New Roman"/>
          <w:vertAlign w:val="superscript"/>
        </w:rPr>
        <w:footnoteRef/>
      </w:r>
      <w:r>
        <w:rPr>
          <w:rFonts w:ascii="Times New Roman" w:hAnsi="Times New Roman"/>
          <w:lang w:val="es-ES"/>
        </w:rPr>
        <w:t xml:space="preserve"> </w:t>
      </w:r>
      <w:r>
        <w:rPr>
          <w:lang w:val="es-ES"/>
        </w:rPr>
        <w:tab/>
      </w:r>
      <w:r>
        <w:rPr>
          <w:rFonts w:ascii="Times New Roman" w:hAnsi="Times New Roman"/>
          <w:lang w:val="es-ES"/>
        </w:rPr>
        <w:t>Affaires </w:t>
      </w:r>
      <w:r>
        <w:rPr>
          <w:rFonts w:ascii="Times New Roman" w:hAnsi="Times New Roman"/>
          <w:lang w:val="es-ES"/>
        </w:rPr>
        <w:t xml:space="preserve">C-233/16 à C-237/16, </w:t>
      </w:r>
      <w:r>
        <w:rPr>
          <w:rFonts w:ascii="Times New Roman" w:hAnsi="Times New Roman"/>
          <w:i/>
          <w:lang w:val="es-ES"/>
        </w:rPr>
        <w:t>Asociación Nacional de Grandes Empresas de Distribución (ANGED)/Generalitat de Catalunya,</w:t>
      </w:r>
      <w:r>
        <w:rPr>
          <w:rFonts w:ascii="Times New Roman" w:hAnsi="Times New Roman"/>
          <w:lang w:val="es-ES"/>
        </w:rPr>
        <w:t xml:space="preserve"> EU:C:2018:280.</w:t>
      </w:r>
    </w:p>
  </w:footnote>
  <w:footnote w:id="14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T-356/15, </w:t>
      </w:r>
      <w:r>
        <w:rPr>
          <w:rFonts w:ascii="Times New Roman" w:hAnsi="Times New Roman"/>
          <w:i/>
          <w:lang w:val="fr-BE"/>
        </w:rPr>
        <w:t>République d’Autriche/ Commission européenne,</w:t>
      </w:r>
      <w:r>
        <w:rPr>
          <w:rFonts w:ascii="Times New Roman" w:hAnsi="Times New Roman"/>
          <w:lang w:val="fr-BE"/>
        </w:rPr>
        <w:t xml:space="preserve"> EU:T:2018:439.</w:t>
      </w:r>
    </w:p>
  </w:footnote>
  <w:footnote w:id="14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L’objectif d’intérêt public d’un État membre </w:t>
      </w:r>
      <w:r>
        <w:rPr>
          <w:rFonts w:ascii="Times New Roman" w:hAnsi="Times New Roman"/>
          <w:lang w:val="fr-BE"/>
        </w:rPr>
        <w:t>est à distinguer de l’intérêt privé du bénéficiaire de l’aide. Il n’est pas nécessaire qu’il soit dans l’intérêt de tous les États membres ou même d’une majorité d’États membres. Cette notion diffère de celle d’intérêt commun, que la Commission doit prendr</w:t>
      </w:r>
      <w:r>
        <w:rPr>
          <w:rFonts w:ascii="Times New Roman" w:hAnsi="Times New Roman"/>
          <w:lang w:val="fr-BE"/>
        </w:rPr>
        <w:t>e en compte lorsqu’elle procède au test de mise en balance.</w:t>
      </w:r>
    </w:p>
  </w:footnote>
  <w:footnote w:id="149">
    <w:p w:rsidR="00D9323F" w:rsidRDefault="00F47CDD">
      <w:pPr>
        <w:shd w:val="clear" w:color="auto" w:fill="FFFFFF"/>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hyperlink r:id="rId74">
        <w:r>
          <w:rPr>
            <w:rFonts w:ascii="Times New Roman" w:hAnsi="Times New Roman"/>
            <w:sz w:val="20"/>
            <w:lang w:val="fr-BE"/>
          </w:rPr>
          <w:t>Arrêt de la Cour de justice dans l’affaire C-492/17</w:t>
        </w:r>
      </w:hyperlink>
      <w:r>
        <w:rPr>
          <w:rFonts w:ascii="Times New Roman" w:hAnsi="Times New Roman"/>
          <w:sz w:val="20"/>
          <w:lang w:val="fr-BE"/>
        </w:rPr>
        <w:t xml:space="preserve">, </w:t>
      </w:r>
      <w:hyperlink r:id="rId75">
        <w:r>
          <w:rPr>
            <w:rFonts w:ascii="Times New Roman" w:hAnsi="Times New Roman"/>
            <w:sz w:val="20"/>
            <w:lang w:val="fr-BE"/>
          </w:rPr>
          <w:t>Rittinger e.a</w:t>
        </w:r>
      </w:hyperlink>
      <w:r>
        <w:rPr>
          <w:rFonts w:ascii="Times New Roman" w:hAnsi="Times New Roman"/>
          <w:sz w:val="20"/>
          <w:lang w:val="fr-BE"/>
        </w:rPr>
        <w:t>. Voir</w:t>
      </w:r>
      <w:r>
        <w:rPr>
          <w:rFonts w:ascii="Times New Roman" w:hAnsi="Times New Roman"/>
          <w:color w:val="475055"/>
          <w:sz w:val="20"/>
          <w:lang w:val="fr-BE"/>
        </w:rPr>
        <w:t xml:space="preserve">: </w:t>
      </w:r>
      <w:hyperlink r:id="rId76">
        <w:r>
          <w:rPr>
            <w:rStyle w:val="Hyperlink"/>
            <w:rFonts w:ascii="Times New Roman" w:hAnsi="Times New Roman"/>
            <w:sz w:val="20"/>
            <w:lang w:val="fr-BE"/>
          </w:rPr>
          <w:t>http://curia.europa.eu/juris/document/document.jsf?text=&amp;docid=208961&amp;pageIndex</w:t>
        </w:r>
        <w:r>
          <w:rPr>
            <w:rStyle w:val="Hyperlink"/>
            <w:rFonts w:ascii="Times New Roman" w:hAnsi="Times New Roman"/>
            <w:sz w:val="20"/>
            <w:lang w:val="fr-BE"/>
          </w:rPr>
          <w:t>=0&amp;doclang=FR&amp;mode=lst&amp;dir=&amp;occ=first&amp;part=1&amp;cid=12230735</w:t>
        </w:r>
      </w:hyperlink>
      <w:r>
        <w:rPr>
          <w:rStyle w:val="Hyperlink"/>
          <w:rFonts w:ascii="Times New Roman" w:hAnsi="Times New Roman"/>
          <w:sz w:val="20"/>
          <w:lang w:val="fr-BE"/>
        </w:rPr>
        <w:t>.</w:t>
      </w:r>
    </w:p>
  </w:footnote>
  <w:footnote w:id="15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Décision de la Commission du 24 avril 2007 [C(2007) 1761 final – Aide d’État E 3/2005 (ex CP 2/2003, CP 232/2002, CP 43/2003, CP 243/2004 et CP 195/2004) – Financement des radiodiffuseurs public</w:t>
      </w:r>
      <w:r>
        <w:rPr>
          <w:rFonts w:ascii="Times New Roman" w:hAnsi="Times New Roman"/>
          <w:lang w:val="fr-BE"/>
        </w:rPr>
        <w:t>s en Allemagne (ARD/ZDF)].</w:t>
      </w:r>
    </w:p>
  </w:footnote>
  <w:footnote w:id="15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T-160/16, Groningen Seaports NV e.a./Commission européenne, EU:T:2018:317.</w:t>
      </w:r>
    </w:p>
  </w:footnote>
  <w:footnote w:id="15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T-793/14, </w:t>
      </w:r>
      <w:r>
        <w:rPr>
          <w:rFonts w:ascii="Times New Roman" w:hAnsi="Times New Roman"/>
          <w:i/>
          <w:lang w:val="fr-BE"/>
        </w:rPr>
        <w:t>Tempus Energy Ltd et Tempus Energy Technology Ltd/Commission européenne,</w:t>
      </w:r>
      <w:r>
        <w:rPr>
          <w:rFonts w:ascii="Times New Roman" w:hAnsi="Times New Roman"/>
          <w:lang w:val="fr-BE"/>
        </w:rPr>
        <w:t xml:space="preserve"> EU:T:2018:790. </w:t>
      </w:r>
    </w:p>
  </w:footnote>
  <w:footnote w:id="15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JO C 200 du 28.6.2014, p. 1.</w:t>
      </w:r>
    </w:p>
  </w:footnote>
  <w:footnote w:id="15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T-68/15, </w:t>
      </w:r>
      <w:r>
        <w:rPr>
          <w:rFonts w:ascii="Times New Roman" w:hAnsi="Times New Roman"/>
          <w:i/>
          <w:lang w:val="fr-BE"/>
        </w:rPr>
        <w:t>HH Ferries I/S, anciennement Scandlines Øresund I/S e.a./Commission européenne,</w:t>
      </w:r>
      <w:r>
        <w:rPr>
          <w:rFonts w:ascii="Times New Roman" w:hAnsi="Times New Roman"/>
          <w:lang w:val="fr-BE"/>
        </w:rPr>
        <w:t xml:space="preserve"> EU:T:2018:563.</w:t>
      </w:r>
    </w:p>
  </w:footnote>
  <w:footnote w:id="15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Affaires jointes C-622/16 P, </w:t>
      </w:r>
      <w:r>
        <w:rPr>
          <w:rFonts w:ascii="Times New Roman" w:hAnsi="Times New Roman"/>
          <w:i/>
          <w:lang w:val="fr-BE"/>
        </w:rPr>
        <w:t>Scuola Elementare Maria Montessori Srl/Commission européenne,</w:t>
      </w:r>
      <w:r>
        <w:rPr>
          <w:rFonts w:ascii="Times New Roman" w:hAnsi="Times New Roman"/>
          <w:lang w:val="fr-BE"/>
        </w:rPr>
        <w:t xml:space="preserve"> EU:C:2018:873.</w:t>
      </w:r>
    </w:p>
  </w:footnote>
  <w:footnote w:id="15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77">
        <w:r>
          <w:rPr>
            <w:rStyle w:val="Hyperlink"/>
            <w:rFonts w:ascii="Times New Roman" w:hAnsi="Times New Roman"/>
            <w:lang w:val="fr-BE"/>
          </w:rPr>
          <w:t>http://europa.eu/rapid/press-release_IP-18-5865_fr.htm</w:t>
        </w:r>
      </w:hyperlink>
      <w:r>
        <w:rPr>
          <w:rStyle w:val="Hyperlink"/>
          <w:rFonts w:ascii="Times New Roman" w:hAnsi="Times New Roman"/>
          <w:lang w:val="fr-BE"/>
        </w:rPr>
        <w:t>.</w:t>
      </w:r>
    </w:p>
  </w:footnote>
  <w:footnote w:id="15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Les membres du GAMS sont la Chine, le Taipei chinois, l’Union européenne, le Japon, la Corée et les États-Unis. </w:t>
      </w:r>
    </w:p>
  </w:footnote>
  <w:footnote w:id="15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78">
        <w:r>
          <w:rPr>
            <w:rStyle w:val="Hyperlink"/>
            <w:rFonts w:ascii="Times New Roman" w:hAnsi="Times New Roman"/>
            <w:lang w:val="fr-BE"/>
          </w:rPr>
          <w:t>https://ec.europa.eu/commission/commissioners/2014-2019/vestager/announcements/state-aid-rules-fair-competition_en</w:t>
        </w:r>
      </w:hyperlink>
      <w:r>
        <w:rPr>
          <w:rStyle w:val="Hyperlink"/>
          <w:rFonts w:ascii="Times New Roman" w:hAnsi="Times New Roman"/>
          <w:lang w:val="fr-BE"/>
        </w:rPr>
        <w:t>.</w:t>
      </w:r>
    </w:p>
  </w:footnote>
  <w:footnote w:id="15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w:t>
      </w:r>
      <w:r>
        <w:rPr>
          <w:rFonts w:ascii="Times New Roman" w:hAnsi="Times New Roman"/>
          <w:lang w:val="fr-BE"/>
        </w:rPr>
        <w:t xml:space="preserve"> </w:t>
      </w:r>
      <w:hyperlink r:id="rId79">
        <w:r>
          <w:rPr>
            <w:rStyle w:val="Hyperlink"/>
            <w:rFonts w:ascii="Times New Roman" w:hAnsi="Times New Roman"/>
            <w:lang w:val="fr-BE"/>
          </w:rPr>
          <w:t>http://www.oecd.org/daf/competition/rethinking-antitrust-enforcement-tools-in-multi-sided-markets.htm</w:t>
        </w:r>
      </w:hyperlink>
      <w:r>
        <w:rPr>
          <w:rStyle w:val="Hyperlink"/>
          <w:rFonts w:ascii="Times New Roman" w:hAnsi="Times New Roman"/>
          <w:lang w:val="fr-BE"/>
        </w:rPr>
        <w:t>.</w:t>
      </w:r>
    </w:p>
  </w:footnote>
  <w:footnote w:id="16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0">
        <w:r>
          <w:rPr>
            <w:rStyle w:val="Hyperlink"/>
            <w:rFonts w:ascii="Times New Roman" w:hAnsi="Times New Roman"/>
            <w:lang w:val="fr-BE"/>
          </w:rPr>
          <w:t>http://www.oecd.org/daf/competition/non-price-effects-of-mergers.htm</w:t>
        </w:r>
      </w:hyperlink>
      <w:r>
        <w:rPr>
          <w:rStyle w:val="Hyperlink"/>
          <w:rFonts w:ascii="Times New Roman" w:hAnsi="Times New Roman"/>
          <w:lang w:val="fr-BE"/>
        </w:rPr>
        <w:t>.</w:t>
      </w:r>
    </w:p>
  </w:footnote>
  <w:footnote w:id="16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1">
        <w:r>
          <w:rPr>
            <w:rStyle w:val="Hyperlink"/>
            <w:rFonts w:ascii="Times New Roman" w:hAnsi="Times New Roman"/>
            <w:lang w:val="fr-BE"/>
          </w:rPr>
          <w:t>htt</w:t>
        </w:r>
        <w:r>
          <w:rPr>
            <w:rStyle w:val="Hyperlink"/>
            <w:rFonts w:ascii="Times New Roman" w:hAnsi="Times New Roman"/>
            <w:lang w:val="fr-BE"/>
          </w:rPr>
          <w:t>p://www.oecd.org/daf/competition/e-commerce-implications-for-competition-policy.htm</w:t>
        </w:r>
      </w:hyperlink>
      <w:r>
        <w:rPr>
          <w:rStyle w:val="Hyperlink"/>
          <w:rFonts w:ascii="Times New Roman" w:hAnsi="Times New Roman"/>
          <w:lang w:val="fr-BE"/>
        </w:rPr>
        <w:t>.</w:t>
      </w:r>
    </w:p>
  </w:footnote>
  <w:footnote w:id="16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82">
        <w:r>
          <w:rPr>
            <w:rStyle w:val="Hyperlink"/>
            <w:rFonts w:ascii="Times New Roman" w:hAnsi="Times New Roman"/>
            <w:lang w:val="fr-BE"/>
          </w:rPr>
          <w:t>http://www.oecd.org/daf/competition/market-concentration.htm</w:t>
        </w:r>
      </w:hyperlink>
      <w:r>
        <w:rPr>
          <w:rStyle w:val="Hyperlink"/>
          <w:rFonts w:ascii="Times New Roman" w:hAnsi="Times New Roman"/>
          <w:lang w:val="fr-BE"/>
        </w:rPr>
        <w:t>.</w:t>
      </w:r>
    </w:p>
  </w:footnote>
  <w:footnote w:id="16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 xml:space="preserve">Voir: </w:t>
      </w:r>
      <w:hyperlink r:id="rId83">
        <w:r>
          <w:rPr>
            <w:rStyle w:val="Hyperlink"/>
            <w:rFonts w:ascii="Times New Roman" w:hAnsi="Times New Roman"/>
            <w:lang w:val="fr-BE"/>
          </w:rPr>
          <w:t>http://www.oecd.org/daf/competition/treatment-of-legally-privileged-information-in-competition-proceedings.htm</w:t>
        </w:r>
      </w:hyperlink>
      <w:r>
        <w:rPr>
          <w:rStyle w:val="Hyperlink"/>
          <w:rFonts w:ascii="Times New Roman" w:hAnsi="Times New Roman"/>
          <w:lang w:val="fr-BE"/>
        </w:rPr>
        <w:t>.</w:t>
      </w:r>
    </w:p>
  </w:footnote>
  <w:footnote w:id="164">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84">
        <w:r>
          <w:rPr>
            <w:rStyle w:val="Hyperlink"/>
            <w:rFonts w:ascii="Times New Roman" w:hAnsi="Times New Roman"/>
            <w:lang w:val="fr-BE"/>
          </w:rPr>
          <w:t>http://www.oecd.org/daf/competition/gun-jumping-and-suspensory-effects-of-merger-notifications.htm</w:t>
        </w:r>
      </w:hyperlink>
      <w:r>
        <w:rPr>
          <w:rStyle w:val="Hyperlink"/>
          <w:rFonts w:ascii="Times New Roman" w:hAnsi="Times New Roman"/>
          <w:lang w:val="fr-BE"/>
        </w:rPr>
        <w:t>.</w:t>
      </w:r>
    </w:p>
  </w:footnote>
  <w:footnote w:id="16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5">
        <w:r>
          <w:rPr>
            <w:rStyle w:val="Hyperlink"/>
            <w:rFonts w:ascii="Times New Roman" w:hAnsi="Times New Roman"/>
            <w:lang w:val="fr-BE"/>
          </w:rPr>
          <w:t>http://www.oecd.org/daf/competition/excessive-pricing-in-pharmaceuticals.htm</w:t>
        </w:r>
      </w:hyperlink>
      <w:r>
        <w:rPr>
          <w:rStyle w:val="Hyperlink"/>
          <w:rFonts w:ascii="Times New Roman" w:hAnsi="Times New Roman"/>
          <w:lang w:val="fr-BE"/>
        </w:rPr>
        <w:t>.</w:t>
      </w:r>
    </w:p>
  </w:footnote>
  <w:footnote w:id="16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86">
        <w:r>
          <w:rPr>
            <w:rStyle w:val="Hyperlink"/>
            <w:rFonts w:ascii="Times New Roman" w:hAnsi="Times New Roman"/>
            <w:lang w:val="fr-BE"/>
          </w:rPr>
          <w:t>http://www.oecd.org/daf/competition/personalised-pricing-in-the-digital-era.htm</w:t>
        </w:r>
      </w:hyperlink>
      <w:r>
        <w:rPr>
          <w:rStyle w:val="Hyperlink"/>
          <w:rFonts w:ascii="Times New Roman" w:hAnsi="Times New Roman"/>
          <w:lang w:val="fr-BE"/>
        </w:rPr>
        <w:t>.</w:t>
      </w:r>
    </w:p>
  </w:footnote>
  <w:footnote w:id="16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7">
        <w:r>
          <w:rPr>
            <w:rStyle w:val="Hyperlink"/>
            <w:rFonts w:ascii="Times New Roman" w:hAnsi="Times New Roman"/>
            <w:lang w:val="fr-BE"/>
          </w:rPr>
          <w:t>http://www.oecd.org/daf/competition/quality-considerations</w:t>
        </w:r>
        <w:r>
          <w:rPr>
            <w:rStyle w:val="Hyperlink"/>
            <w:rFonts w:ascii="Times New Roman" w:hAnsi="Times New Roman"/>
            <w:lang w:val="fr-BE"/>
          </w:rPr>
          <w:t>-in-the-zero-price-economy.htm</w:t>
        </w:r>
      </w:hyperlink>
      <w:r>
        <w:rPr>
          <w:rStyle w:val="Hyperlink"/>
          <w:rFonts w:ascii="Times New Roman" w:hAnsi="Times New Roman"/>
          <w:lang w:val="fr-BE"/>
        </w:rPr>
        <w:t>.</w:t>
      </w:r>
    </w:p>
  </w:footnote>
  <w:footnote w:id="16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8">
        <w:r>
          <w:rPr>
            <w:rStyle w:val="Hyperlink"/>
            <w:rFonts w:ascii="Times New Roman" w:hAnsi="Times New Roman"/>
            <w:lang w:val="fr-BE"/>
          </w:rPr>
          <w:t>http://www.oecd.org/fr/concurrence/forum-mondial/accords-de-cooperation-regionale-en</w:t>
        </w:r>
        <w:r>
          <w:rPr>
            <w:rStyle w:val="Hyperlink"/>
            <w:rFonts w:ascii="Times New Roman" w:hAnsi="Times New Roman"/>
            <w:lang w:val="fr-BE"/>
          </w:rPr>
          <w:t>-matiere-de-concurrence.htm</w:t>
        </w:r>
      </w:hyperlink>
      <w:r>
        <w:rPr>
          <w:rStyle w:val="Hyperlink"/>
          <w:rFonts w:ascii="Times New Roman" w:hAnsi="Times New Roman"/>
          <w:lang w:val="fr-BE"/>
        </w:rPr>
        <w:t>.</w:t>
      </w:r>
    </w:p>
  </w:footnote>
  <w:footnote w:id="16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89">
        <w:r>
          <w:rPr>
            <w:rStyle w:val="Hyperlink"/>
            <w:rFonts w:ascii="Times New Roman" w:hAnsi="Times New Roman"/>
            <w:lang w:val="fr-BE"/>
          </w:rPr>
          <w:t>http://www.oecd.org/fr/concurrence/forum-mondial/pouvoirs-investigation-des-autorites-en-pratique</w:t>
        </w:r>
        <w:r>
          <w:rPr>
            <w:rStyle w:val="Hyperlink"/>
            <w:rFonts w:ascii="Times New Roman" w:hAnsi="Times New Roman"/>
            <w:lang w:val="fr-BE"/>
          </w:rPr>
          <w:t>.htm</w:t>
        </w:r>
      </w:hyperlink>
      <w:r>
        <w:rPr>
          <w:rStyle w:val="Hyperlink"/>
          <w:rFonts w:ascii="Times New Roman" w:hAnsi="Times New Roman"/>
          <w:lang w:val="fr-BE"/>
        </w:rPr>
        <w:t>.</w:t>
      </w:r>
    </w:p>
  </w:footnote>
  <w:footnote w:id="17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90">
        <w:r>
          <w:rPr>
            <w:rStyle w:val="Hyperlink"/>
            <w:rFonts w:ascii="Times New Roman" w:hAnsi="Times New Roman"/>
            <w:lang w:val="fr-BE"/>
          </w:rPr>
          <w:t>https://unctad.org/en/Pages/MeetingDetails.aspx?meetingid=1675</w:t>
        </w:r>
      </w:hyperlink>
      <w:r>
        <w:rPr>
          <w:rStyle w:val="Hyperlink"/>
          <w:rFonts w:ascii="Times New Roman" w:hAnsi="Times New Roman"/>
          <w:lang w:val="fr-BE"/>
        </w:rPr>
        <w:t>.</w:t>
      </w:r>
    </w:p>
  </w:footnote>
  <w:footnote w:id="171">
    <w:p w:rsidR="00D9323F" w:rsidRDefault="00F47CDD">
      <w:pPr>
        <w:pStyle w:val="FootnoteText"/>
        <w:spacing w:after="0" w:line="240" w:lineRule="auto"/>
        <w:ind w:left="284" w:hanging="284"/>
        <w:jc w:val="both"/>
        <w:rPr>
          <w:rStyle w:val="Hyperlink"/>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91">
        <w:r>
          <w:rPr>
            <w:rStyle w:val="Hyperlink"/>
            <w:rFonts w:ascii="Times New Roman" w:hAnsi="Times New Roman"/>
            <w:lang w:val="fr-BE"/>
          </w:rPr>
          <w:t>http</w:t>
        </w:r>
        <w:r>
          <w:rPr>
            <w:rStyle w:val="Hyperlink"/>
            <w:rFonts w:ascii="Times New Roman" w:hAnsi="Times New Roman"/>
            <w:lang w:val="fr-BE"/>
          </w:rPr>
          <w:t>s://unctad.org/en/Pages/MeetingDetails.aspx?meetingid=1675</w:t>
        </w:r>
      </w:hyperlink>
      <w:r>
        <w:rPr>
          <w:rStyle w:val="Hyperlink"/>
          <w:rFonts w:ascii="Times New Roman" w:hAnsi="Times New Roman"/>
          <w:lang w:val="fr-BE"/>
        </w:rPr>
        <w:t>.</w:t>
      </w:r>
    </w:p>
  </w:footnote>
  <w:footnote w:id="17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92">
        <w:r>
          <w:rPr>
            <w:rStyle w:val="Hyperlink"/>
            <w:rFonts w:ascii="Times New Roman" w:hAnsi="Times New Roman"/>
            <w:lang w:val="fr-BE"/>
          </w:rPr>
          <w:t>http://curia.europa.eu/juris/liste.jsf?pro=AVIS&amp;num=C-1/15</w:t>
        </w:r>
      </w:hyperlink>
      <w:r>
        <w:rPr>
          <w:rStyle w:val="Hyperlink"/>
          <w:rFonts w:ascii="Times New Roman" w:hAnsi="Times New Roman"/>
          <w:lang w:val="fr-BE"/>
        </w:rPr>
        <w:t>.</w:t>
      </w:r>
    </w:p>
  </w:footnote>
  <w:footnote w:id="17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93">
        <w:r>
          <w:rPr>
            <w:rStyle w:val="Hyperlink"/>
            <w:rFonts w:ascii="Times New Roman" w:hAnsi="Times New Roman"/>
            <w:lang w:val="fr-BE"/>
          </w:rPr>
          <w:t>https://eur-lex.europa.eu/legal-content/FR/ALL/?uri=CELEX:22003A0722(01)</w:t>
        </w:r>
      </w:hyperlink>
      <w:r>
        <w:rPr>
          <w:rStyle w:val="Hyperlink"/>
          <w:rFonts w:ascii="Times New Roman" w:hAnsi="Times New Roman"/>
          <w:lang w:val="fr-BE"/>
        </w:rPr>
        <w:t>.</w:t>
      </w:r>
    </w:p>
  </w:footnote>
  <w:footnote w:id="17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BRICS est un acronyme couramment utilisé pour désigner les pays suivants: Brésil, Russie, Inde, Chine et Afrique du Sud.</w:t>
      </w:r>
    </w:p>
  </w:footnote>
  <w:footnote w:id="17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94">
        <w:r>
          <w:rPr>
            <w:rStyle w:val="Hyperlink"/>
            <w:rFonts w:ascii="Times New Roman" w:hAnsi="Times New Roman"/>
            <w:lang w:val="fr-BE"/>
          </w:rPr>
          <w:t>http://ec.europa.eu/competition/international/bilateral/mexico_mou_2018_en.pdf</w:t>
        </w:r>
      </w:hyperlink>
      <w:r>
        <w:rPr>
          <w:rStyle w:val="Hyperlink"/>
          <w:rFonts w:ascii="Times New Roman" w:hAnsi="Times New Roman"/>
          <w:lang w:val="fr-BE"/>
        </w:rPr>
        <w:t>.</w:t>
      </w:r>
    </w:p>
    <w:p w:rsidR="00D9323F" w:rsidRDefault="00D9323F">
      <w:pPr>
        <w:pStyle w:val="FootnoteText"/>
        <w:spacing w:after="0" w:line="240" w:lineRule="auto"/>
        <w:jc w:val="both"/>
        <w:rPr>
          <w:rFonts w:ascii="Times New Roman" w:hAnsi="Times New Roman"/>
          <w:lang w:val="fr-BE"/>
        </w:rPr>
      </w:pPr>
    </w:p>
  </w:footnote>
  <w:footnote w:id="17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Discours publiés sur le site internet de la DG Concurrence: </w:t>
      </w:r>
      <w:r>
        <w:rPr>
          <w:rStyle w:val="Hyperlink"/>
          <w:rFonts w:ascii="Times New Roman" w:hAnsi="Times New Roman"/>
          <w:lang w:val="fr-BE"/>
        </w:rPr>
        <w:t>ec.europ</w:t>
      </w:r>
      <w:r>
        <w:rPr>
          <w:rStyle w:val="Hyperlink"/>
          <w:rFonts w:ascii="Times New Roman" w:hAnsi="Times New Roman"/>
          <w:lang w:val="fr-BE"/>
        </w:rPr>
        <w:t>a.eu/competition/speeches/index_2018.html</w:t>
      </w:r>
      <w:r>
        <w:rPr>
          <w:rStyle w:val="Hyperlink"/>
          <w:rFonts w:ascii="Times New Roman" w:hAnsi="Times New Roman"/>
          <w:u w:val="none"/>
          <w:lang w:val="fr-BE"/>
        </w:rPr>
        <w:t>.</w:t>
      </w:r>
    </w:p>
  </w:footnote>
  <w:footnote w:id="17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nombre d’impressions correspond au nombre de fois qu’un tweet apparaît sur le fil d’actualités des utilisateurs.</w:t>
      </w:r>
    </w:p>
  </w:footnote>
  <w:footnote w:id="178">
    <w:p w:rsidR="00D9323F" w:rsidRDefault="00F47CDD">
      <w:pPr>
        <w:pStyle w:val="FootnoteText"/>
        <w:spacing w:after="0" w:line="240" w:lineRule="auto"/>
        <w:ind w:left="284" w:hanging="284"/>
        <w:jc w:val="both"/>
        <w:rPr>
          <w:rStyle w:val="FootnoteTextCha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Style w:val="FootnoteTextChar"/>
          <w:rFonts w:ascii="Times New Roman" w:hAnsi="Times New Roman"/>
          <w:lang w:val="fr-BE"/>
        </w:rPr>
        <w:t>Proposition de règlement du Parlement européen et du Conseil établissant le programme en fa</w:t>
      </w:r>
      <w:r>
        <w:rPr>
          <w:rStyle w:val="FootnoteTextChar"/>
          <w:rFonts w:ascii="Times New Roman" w:hAnsi="Times New Roman"/>
          <w:lang w:val="fr-BE"/>
        </w:rPr>
        <w:t>veur du marché unique, de la compétitivité des entreprises, dont les petites et moyennes entreprises, et des statistiques européennes et abrogeant les règlements (UE) nº 99/2013, (UE) nº 1287/2013, (UE) nº 254/2014, (UE) nº 258/2014, (UE) nº 652/2014 et (U</w:t>
      </w:r>
      <w:r>
        <w:rPr>
          <w:rStyle w:val="FootnoteTextChar"/>
          <w:rFonts w:ascii="Times New Roman" w:hAnsi="Times New Roman"/>
          <w:lang w:val="fr-BE"/>
        </w:rPr>
        <w:t xml:space="preserve">E) 2017/826. Voir: </w:t>
      </w:r>
      <w:hyperlink r:id="rId95">
        <w:r>
          <w:rPr>
            <w:rStyle w:val="Hyperlink"/>
            <w:rFonts w:ascii="Times New Roman" w:hAnsi="Times New Roman"/>
            <w:lang w:val="fr-BE"/>
          </w:rPr>
          <w:t>https://eur-lex.europa.eu/legal-content/FR/TXT/?qid=1540389031742&amp;uri=CELEX%3A52018PC0441</w:t>
        </w:r>
      </w:hyperlink>
      <w:r>
        <w:rPr>
          <w:rStyle w:val="Hyperlink"/>
          <w:rFonts w:ascii="Times New Roman" w:hAnsi="Times New Roman"/>
          <w:lang w:val="fr-BE"/>
        </w:rPr>
        <w:t>.</w:t>
      </w:r>
    </w:p>
    <w:p w:rsidR="00D9323F" w:rsidRDefault="00F47CDD">
      <w:pPr>
        <w:pStyle w:val="FootnoteText"/>
        <w:spacing w:after="0" w:line="240" w:lineRule="auto"/>
        <w:ind w:left="284"/>
        <w:jc w:val="both"/>
        <w:rPr>
          <w:rFonts w:ascii="Times New Roman" w:hAnsi="Times New Roman"/>
          <w:lang w:val="fr-BE"/>
        </w:rPr>
      </w:pPr>
      <w:r>
        <w:rPr>
          <w:rStyle w:val="FootnoteTextChar"/>
          <w:rFonts w:ascii="Times New Roman" w:hAnsi="Times New Roman"/>
          <w:lang w:val="fr-BE"/>
        </w:rPr>
        <w:t xml:space="preserve">Document de travail des services de la </w:t>
      </w:r>
      <w:r>
        <w:rPr>
          <w:rStyle w:val="FootnoteTextChar"/>
          <w:rFonts w:ascii="Times New Roman" w:hAnsi="Times New Roman"/>
          <w:lang w:val="fr-BE"/>
        </w:rPr>
        <w:t>Commission: Analyse d’impact accompagnant le document «Proposition de règlement du Parlement européen et du Conseil établissant le programme en faveur du marché unique, de la compétitivité des entreprises, dont les petites et moyennes entreprises, et des s</w:t>
      </w:r>
      <w:r>
        <w:rPr>
          <w:rStyle w:val="FootnoteTextChar"/>
          <w:rFonts w:ascii="Times New Roman" w:hAnsi="Times New Roman"/>
          <w:lang w:val="fr-BE"/>
        </w:rPr>
        <w:t xml:space="preserve">tatistiques européennes et abrogeant les règlements (UE) nº 99/2013, (UE) nº 1287/2013, (UE) nº 254/2014, (UE) nº 258/2014, (UE) nº 652/2014 et (UE) 2017/826». Voir: </w:t>
      </w:r>
      <w:hyperlink r:id="rId96">
        <w:r>
          <w:rPr>
            <w:rStyle w:val="Hyperlink"/>
            <w:rFonts w:ascii="Times New Roman" w:hAnsi="Times New Roman"/>
            <w:lang w:val="fr-BE"/>
          </w:rPr>
          <w:t>https://eur-lex.europa.eu/legal-content/EN/TXT/?qid=1540389285918&amp;uri=CELEX%3A52018SC0320</w:t>
        </w:r>
      </w:hyperlink>
      <w:r>
        <w:rPr>
          <w:rStyle w:val="Hyperlink"/>
          <w:rFonts w:ascii="Times New Roman" w:hAnsi="Times New Roman"/>
          <w:lang w:val="fr-BE"/>
        </w:rPr>
        <w:t>.</w:t>
      </w:r>
    </w:p>
  </w:footnote>
  <w:footnote w:id="179">
    <w:p w:rsidR="00D9323F" w:rsidRDefault="00F47CDD">
      <w:pPr>
        <w:pStyle w:val="FootnoteText"/>
        <w:spacing w:after="0" w:line="240" w:lineRule="auto"/>
        <w:ind w:left="284" w:hanging="284"/>
        <w:jc w:val="both"/>
        <w:rPr>
          <w:rFonts w:ascii="Times New Roman" w:hAnsi="Times New Roman"/>
          <w:bCs/>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On entend par «électromobilité» l’utilisation d’énergie provenant de sources renouvelables, le recours à l’hydrogène et au gaz naturel pour des v</w:t>
      </w:r>
      <w:r>
        <w:rPr>
          <w:rFonts w:ascii="Times New Roman" w:hAnsi="Times New Roman"/>
          <w:lang w:val="fr-BE"/>
        </w:rPr>
        <w:t xml:space="preserve">éhicules à faibles émissions ainsi que la mise en place de l’infrastructure nécessaire pour permettre cette transition. Voir: </w:t>
      </w:r>
      <w:hyperlink r:id="rId97">
        <w:r>
          <w:rPr>
            <w:rStyle w:val="Hyperlink"/>
            <w:rFonts w:ascii="Times New Roman" w:hAnsi="Times New Roman"/>
            <w:lang w:val="fr-BE"/>
          </w:rPr>
          <w:t>https://</w:t>
        </w:r>
        <w:r>
          <w:rPr>
            <w:rStyle w:val="Hyperlink"/>
            <w:rFonts w:ascii="Times New Roman" w:hAnsi="Times New Roman"/>
            <w:b/>
            <w:lang w:val="fr-BE"/>
          </w:rPr>
          <w:t>ec.europa.eu</w:t>
        </w:r>
        <w:r>
          <w:rPr>
            <w:rStyle w:val="Hyperlink"/>
            <w:rFonts w:ascii="Times New Roman" w:hAnsi="Times New Roman"/>
            <w:lang w:val="fr-BE"/>
          </w:rPr>
          <w:t>/transport</w:t>
        </w:r>
      </w:hyperlink>
      <w:r>
        <w:rPr>
          <w:rStyle w:val="Hyperlink"/>
          <w:rFonts w:ascii="Times New Roman" w:hAnsi="Times New Roman"/>
          <w:lang w:val="fr-BE"/>
        </w:rPr>
        <w:t>.</w:t>
      </w:r>
    </w:p>
    <w:p w:rsidR="00D9323F" w:rsidRDefault="00D9323F">
      <w:pPr>
        <w:pStyle w:val="FootnoteText"/>
        <w:spacing w:after="0" w:line="240" w:lineRule="auto"/>
        <w:jc w:val="both"/>
        <w:rPr>
          <w:rFonts w:ascii="Times New Roman" w:hAnsi="Times New Roman"/>
          <w:sz w:val="2"/>
          <w:szCs w:val="2"/>
          <w:lang w:val="fr-BE"/>
        </w:rPr>
      </w:pPr>
    </w:p>
  </w:footnote>
  <w:footnote w:id="180">
    <w:p w:rsidR="00D9323F" w:rsidRDefault="00F47CDD">
      <w:pPr>
        <w:pStyle w:val="FootnoteText"/>
        <w:spacing w:after="0" w:line="240" w:lineRule="auto"/>
        <w:ind w:left="284" w:hanging="284"/>
        <w:rPr>
          <w:rStyle w:val="Hyperlink"/>
          <w:rFonts w:ascii="Times New Roman" w:hAnsi="Times New Roman"/>
          <w:u w:val="none"/>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r>
        <w:rPr>
          <w:rStyle w:val="Hyperlink"/>
          <w:rFonts w:ascii="Times New Roman" w:hAnsi="Times New Roman"/>
          <w:lang w:val="fr-BE"/>
        </w:rPr>
        <w:t>https://ec.europa.eu/energy/en/topics/energy-strategy-and-energy-union/clean-energy-all-europeans</w:t>
      </w:r>
      <w:r>
        <w:rPr>
          <w:rStyle w:val="Hyperlink"/>
          <w:rFonts w:ascii="Times New Roman" w:hAnsi="Times New Roman"/>
          <w:u w:val="none"/>
          <w:lang w:val="fr-BE"/>
        </w:rPr>
        <w:t>.</w:t>
      </w:r>
    </w:p>
  </w:footnote>
  <w:footnote w:id="18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98">
        <w:r>
          <w:rPr>
            <w:rStyle w:val="Hyperlink"/>
            <w:rFonts w:ascii="Times New Roman" w:hAnsi="Times New Roman"/>
            <w:lang w:val="fr-BE"/>
          </w:rPr>
          <w:t>http://ec.europa.eu/competition/state_aid/cases/26</w:t>
        </w:r>
        <w:r>
          <w:rPr>
            <w:rStyle w:val="Hyperlink"/>
            <w:rFonts w:ascii="Times New Roman" w:hAnsi="Times New Roman"/>
            <w:lang w:val="fr-BE"/>
          </w:rPr>
          <w:t>9473/269473_1980325_81_2.pdf</w:t>
        </w:r>
      </w:hyperlink>
      <w:r>
        <w:rPr>
          <w:rStyle w:val="Hyperlink"/>
          <w:rFonts w:ascii="Times New Roman" w:hAnsi="Times New Roman"/>
          <w:u w:val="none"/>
          <w:lang w:val="fr-BE"/>
        </w:rPr>
        <w:t>.</w:t>
      </w:r>
    </w:p>
  </w:footnote>
  <w:footnote w:id="18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99">
        <w:r>
          <w:rPr>
            <w:rStyle w:val="Hyperlink"/>
            <w:rFonts w:ascii="Times New Roman" w:hAnsi="Times New Roman"/>
            <w:lang w:val="fr-BE"/>
          </w:rPr>
          <w:t>http://europa.eu/rapid/press-release_IP-16-3521_fr.htm</w:t>
        </w:r>
      </w:hyperlink>
      <w:r>
        <w:rPr>
          <w:rStyle w:val="Hyperlink"/>
          <w:rFonts w:ascii="Times New Roman" w:hAnsi="Times New Roman"/>
          <w:u w:val="none"/>
          <w:lang w:val="fr-BE"/>
        </w:rPr>
        <w:t>.</w:t>
      </w:r>
    </w:p>
  </w:footnote>
  <w:footnote w:id="18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Voir:</w:t>
      </w:r>
      <w:r>
        <w:rPr>
          <w:lang w:val="fr-BE"/>
        </w:rPr>
        <w:tab/>
      </w:r>
      <w:hyperlink r:id="rId100">
        <w:r>
          <w:rPr>
            <w:rStyle w:val="Hyperlink"/>
            <w:rFonts w:ascii="Times New Roman" w:hAnsi="Times New Roman"/>
            <w:lang w:val="fr-BE"/>
          </w:rPr>
          <w:t>http://europa.eu/rapid/press-release_IP-18-6414_fr.htm</w:t>
        </w:r>
      </w:hyperlink>
      <w:r>
        <w:rPr>
          <w:rStyle w:val="Hyperlink"/>
          <w:rFonts w:ascii="Times New Roman" w:hAnsi="Times New Roman"/>
          <w:u w:val="none"/>
          <w:lang w:val="fr-BE"/>
        </w:rPr>
        <w:t>.</w:t>
      </w:r>
    </w:p>
  </w:footnote>
  <w:footnote w:id="18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AT.40461 – </w:t>
      </w:r>
      <w:r>
        <w:rPr>
          <w:rFonts w:ascii="Times New Roman" w:hAnsi="Times New Roman"/>
          <w:i/>
          <w:lang w:val="fr-BE"/>
        </w:rPr>
        <w:t>TenneT</w:t>
      </w:r>
      <w:r>
        <w:rPr>
          <w:rFonts w:ascii="Times New Roman" w:hAnsi="Times New Roman"/>
          <w:lang w:val="fr-BE"/>
        </w:rPr>
        <w:t xml:space="preserve">. Voir: </w:t>
      </w:r>
      <w:hyperlink r:id="rId101">
        <w:r>
          <w:rPr>
            <w:rStyle w:val="Hyperlink"/>
            <w:rFonts w:ascii="Times New Roman" w:hAnsi="Times New Roman"/>
            <w:lang w:val="fr-BE"/>
          </w:rPr>
          <w:t>http://europa.eu/rapid/press-release_IP-18-6722_fr.htm</w:t>
        </w:r>
      </w:hyperlink>
      <w:r>
        <w:rPr>
          <w:rStyle w:val="Hyperlink"/>
          <w:rFonts w:ascii="Times New Roman" w:hAnsi="Times New Roman"/>
          <w:lang w:val="fr-BE"/>
        </w:rPr>
        <w:t>.</w:t>
      </w:r>
    </w:p>
    <w:p w:rsidR="00D9323F" w:rsidRDefault="00D9323F">
      <w:pPr>
        <w:pStyle w:val="FootnoteText"/>
        <w:spacing w:after="0" w:line="240" w:lineRule="auto"/>
        <w:jc w:val="both"/>
        <w:rPr>
          <w:rFonts w:ascii="Times New Roman" w:hAnsi="Times New Roman"/>
          <w:sz w:val="2"/>
          <w:szCs w:val="2"/>
          <w:lang w:val="fr-BE"/>
        </w:rPr>
      </w:pPr>
    </w:p>
  </w:footnote>
  <w:footnote w:id="18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02">
        <w:r>
          <w:rPr>
            <w:rStyle w:val="Hyperlink"/>
            <w:rFonts w:ascii="Times New Roman" w:hAnsi="Times New Roman"/>
            <w:lang w:val="fr-BE"/>
          </w:rPr>
          <w:t>http://europa.eu/rapid/press-release_IP-18-6722_fr.htm</w:t>
        </w:r>
      </w:hyperlink>
      <w:r>
        <w:rPr>
          <w:rFonts w:ascii="Times New Roman" w:hAnsi="Times New Roman"/>
          <w:lang w:val="fr-BE"/>
        </w:rPr>
        <w:t xml:space="preserve">. </w:t>
      </w:r>
    </w:p>
  </w:footnote>
  <w:footnote w:id="18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03">
        <w:r>
          <w:rPr>
            <w:rStyle w:val="Hyperlink"/>
            <w:rFonts w:ascii="Times New Roman" w:hAnsi="Times New Roman"/>
            <w:lang w:val="fr-BE"/>
          </w:rPr>
          <w:t>http://europa.eu/rapid/press-release_IP-18-3401_fr.htm</w:t>
        </w:r>
      </w:hyperlink>
      <w:r>
        <w:rPr>
          <w:rStyle w:val="Hyperlink"/>
          <w:rFonts w:ascii="Times New Roman" w:hAnsi="Times New Roman"/>
          <w:lang w:val="fr-BE"/>
        </w:rPr>
        <w:t>.</w:t>
      </w:r>
    </w:p>
  </w:footnote>
  <w:footnote w:id="18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04">
        <w:r>
          <w:rPr>
            <w:rStyle w:val="Hyperlink"/>
            <w:rFonts w:ascii="Times New Roman" w:hAnsi="Times New Roman"/>
            <w:lang w:val="fr-BE"/>
          </w:rPr>
          <w:t>http://ec.europa.eu/competition/mergers/cases/decisions/m8660_525_3.pdf</w:t>
        </w:r>
      </w:hyperlink>
      <w:r>
        <w:rPr>
          <w:rStyle w:val="Hyperlink"/>
          <w:rFonts w:ascii="Times New Roman" w:hAnsi="Times New Roman"/>
          <w:lang w:val="fr-BE"/>
        </w:rPr>
        <w:t>.</w:t>
      </w:r>
    </w:p>
  </w:footnote>
  <w:footnote w:id="188">
    <w:p w:rsidR="00D9323F" w:rsidRDefault="00F47CDD">
      <w:pPr>
        <w:pStyle w:val="FootnoteText"/>
        <w:spacing w:after="0" w:line="240" w:lineRule="auto"/>
        <w:ind w:left="284" w:hanging="284"/>
        <w:rPr>
          <w:rFonts w:asciiTheme="minorHAnsi" w:eastAsiaTheme="minorHAnsi" w:hAnsiTheme="minorHAnsi" w:cstheme="minorBidi"/>
          <w:lang w:val="fr-BE"/>
        </w:rPr>
      </w:pPr>
      <w:r>
        <w:rPr>
          <w:rStyle w:val="FootnoteReference"/>
          <w:rFonts w:ascii="Times New Roman" w:hAnsi="Times New Roman"/>
        </w:rPr>
        <w:footnoteRef/>
      </w:r>
      <w:r>
        <w:rPr>
          <w:rFonts w:ascii="Times New Roman" w:hAnsi="Times New Roman"/>
          <w:lang w:val="fr-BE"/>
        </w:rPr>
        <w:t xml:space="preserve"> Voir </w:t>
      </w:r>
      <w:hyperlink r:id="rId105">
        <w:r>
          <w:rPr>
            <w:rStyle w:val="Hyperlink"/>
            <w:rFonts w:ascii="Times New Roman" w:hAnsi="Times New Roman"/>
            <w:lang w:val="fr-BE"/>
          </w:rPr>
          <w:t>http://ec.europa.eu/competition/sectors/energy/capacity_mechanisms_final_report_fr.pdf</w:t>
        </w:r>
      </w:hyperlink>
    </w:p>
  </w:footnote>
  <w:footnote w:id="189">
    <w:p w:rsidR="00D9323F" w:rsidRDefault="00F47CDD">
      <w:pPr>
        <w:pStyle w:val="FootnoteText"/>
        <w:spacing w:after="0" w:line="240" w:lineRule="auto"/>
        <w:ind w:left="284" w:hanging="284"/>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06">
        <w:r>
          <w:rPr>
            <w:rStyle w:val="Hyperlink"/>
            <w:rFonts w:ascii="Times New Roman" w:hAnsi="Times New Roman"/>
            <w:lang w:val="fr-BE"/>
          </w:rPr>
          <w:t>http://europa.eu/rapid/press-release_IP-18-682_fr.htm</w:t>
        </w:r>
      </w:hyperlink>
      <w:r>
        <w:rPr>
          <w:rFonts w:ascii="Times New Roman" w:hAnsi="Times New Roman"/>
          <w:lang w:val="fr-BE"/>
        </w:rPr>
        <w:t xml:space="preserve">, et </w:t>
      </w:r>
      <w:hyperlink r:id="rId107">
        <w:r>
          <w:rPr>
            <w:rStyle w:val="Hyperlink"/>
            <w:rFonts w:ascii="Times New Roman" w:hAnsi="Times New Roman"/>
            <w:lang w:val="fr-BE"/>
          </w:rPr>
          <w:t>http://ec.europa.eu/competition/sectors/energy/state_aid_to_secure_electricity_supply_en.html</w:t>
        </w:r>
      </w:hyperlink>
      <w:r>
        <w:rPr>
          <w:rFonts w:ascii="Times New Roman" w:hAnsi="Times New Roman"/>
          <w:lang w:val="fr-BE"/>
        </w:rPr>
        <w:t>.</w:t>
      </w:r>
    </w:p>
    <w:p w:rsidR="00D9323F" w:rsidRDefault="00F47CDD">
      <w:pPr>
        <w:pStyle w:val="FootnoteText"/>
        <w:spacing w:after="0" w:line="240" w:lineRule="auto"/>
        <w:rPr>
          <w:sz w:val="2"/>
          <w:szCs w:val="2"/>
          <w:lang w:val="fr-BE"/>
        </w:rPr>
      </w:pPr>
      <w:r>
        <w:rPr>
          <w:sz w:val="2"/>
          <w:lang w:val="fr-BE"/>
        </w:rPr>
        <w:t xml:space="preserve"> </w:t>
      </w:r>
    </w:p>
  </w:footnote>
  <w:footnote w:id="190">
    <w:p w:rsidR="00D9323F" w:rsidRDefault="00F47CDD">
      <w:pPr>
        <w:pStyle w:val="FootnoteText"/>
        <w:spacing w:after="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08">
        <w:r>
          <w:rPr>
            <w:rStyle w:val="Hyperlink"/>
            <w:rFonts w:ascii="Times New Roman" w:hAnsi="Times New Roman"/>
            <w:lang w:val="fr-BE"/>
          </w:rPr>
          <w:t>https://eur-lex.europa.eu/legal-content/FR/TXT/?uri=CELEX:52014XC0628(01)</w:t>
        </w:r>
      </w:hyperlink>
      <w:r>
        <w:rPr>
          <w:rFonts w:ascii="Times New Roman" w:hAnsi="Times New Roman"/>
          <w:lang w:val="fr-BE"/>
        </w:rPr>
        <w:t>.</w:t>
      </w:r>
    </w:p>
  </w:footnote>
  <w:footnote w:id="19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09">
        <w:r>
          <w:rPr>
            <w:rStyle w:val="Hyperlink"/>
            <w:rFonts w:ascii="Times New Roman" w:hAnsi="Times New Roman"/>
            <w:lang w:val="fr-BE"/>
          </w:rPr>
          <w:t>http://europa.eu/rapid/press-release_IP-18-3921_fr.</w:t>
        </w:r>
        <w:r>
          <w:rPr>
            <w:rStyle w:val="Hyperlink"/>
            <w:rFonts w:ascii="Times New Roman" w:hAnsi="Times New Roman"/>
            <w:lang w:val="fr-BE"/>
          </w:rPr>
          <w:t>htm</w:t>
        </w:r>
      </w:hyperlink>
      <w:r>
        <w:rPr>
          <w:rStyle w:val="Hyperlink"/>
          <w:rFonts w:ascii="Times New Roman" w:hAnsi="Times New Roman"/>
          <w:lang w:val="fr-BE"/>
        </w:rPr>
        <w:t>.</w:t>
      </w:r>
    </w:p>
  </w:footnote>
  <w:footnote w:id="19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10">
        <w:r>
          <w:rPr>
            <w:rStyle w:val="Hyperlink"/>
            <w:rFonts w:ascii="Times New Roman" w:hAnsi="Times New Roman"/>
            <w:lang w:val="fr-BE"/>
          </w:rPr>
          <w:t>http://europa.eu/rapid/press-release_IP-18-6846_fr.htm</w:t>
        </w:r>
      </w:hyperlink>
      <w:r>
        <w:rPr>
          <w:rStyle w:val="Hyperlink"/>
          <w:rFonts w:ascii="Times New Roman" w:hAnsi="Times New Roman"/>
          <w:lang w:val="fr-BE"/>
        </w:rPr>
        <w:t>.</w:t>
      </w:r>
      <w:r>
        <w:rPr>
          <w:rFonts w:ascii="Times New Roman" w:hAnsi="Times New Roman"/>
          <w:lang w:val="fr-BE"/>
        </w:rPr>
        <w:t xml:space="preserve"> </w:t>
      </w:r>
    </w:p>
  </w:footnote>
  <w:footnote w:id="19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AT.40335 - </w:t>
      </w:r>
      <w:r>
        <w:rPr>
          <w:rFonts w:ascii="Times New Roman" w:hAnsi="Times New Roman"/>
          <w:i/>
          <w:lang w:val="fr-BE"/>
        </w:rPr>
        <w:t>Interconne</w:t>
      </w:r>
      <w:r>
        <w:rPr>
          <w:i/>
          <w:lang w:val="fr-BE"/>
        </w:rPr>
        <w:t xml:space="preserve">xions gazières en Roumanie. Voir: </w:t>
      </w:r>
      <w:hyperlink r:id="rId111">
        <w:r>
          <w:rPr>
            <w:rStyle w:val="Hyperlink"/>
            <w:rFonts w:ascii="Times New Roman" w:hAnsi="Times New Roman"/>
            <w:i/>
            <w:lang w:val="fr-BE"/>
          </w:rPr>
          <w:t>http://europa.eu/rapid/press-release_IP-18-5861_fr.htm</w:t>
        </w:r>
      </w:hyperlink>
      <w:r>
        <w:rPr>
          <w:rStyle w:val="Hyperlink"/>
          <w:rFonts w:ascii="Times New Roman" w:hAnsi="Times New Roman"/>
          <w:i/>
          <w:lang w:val="fr-BE"/>
        </w:rPr>
        <w:t>.</w:t>
      </w:r>
    </w:p>
  </w:footnote>
  <w:footnote w:id="194">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M.7095 – </w:t>
      </w:r>
      <w:r>
        <w:rPr>
          <w:rFonts w:ascii="Times New Roman" w:hAnsi="Times New Roman"/>
          <w:i/>
          <w:lang w:val="fr-BE"/>
        </w:rPr>
        <w:t>Soca/Desfa</w:t>
      </w:r>
      <w:r>
        <w:rPr>
          <w:rFonts w:ascii="Times New Roman" w:hAnsi="Times New Roman"/>
          <w:lang w:val="fr-BE"/>
        </w:rPr>
        <w:t xml:space="preserve"> (notification retirée). Voir: </w:t>
      </w:r>
      <w:hyperlink r:id="rId112">
        <w:r>
          <w:rPr>
            <w:rStyle w:val="Hyperlink"/>
            <w:rFonts w:ascii="Times New Roman" w:hAnsi="Times New Roman"/>
            <w:lang w:val="fr-BE"/>
          </w:rPr>
          <w:t>http://ec.europa.eu/competition/mergers/cases/decisions/m8953_141_3.pdf</w:t>
        </w:r>
      </w:hyperlink>
      <w:r>
        <w:rPr>
          <w:rStyle w:val="Hyperlink"/>
          <w:rFonts w:ascii="Times New Roman" w:hAnsi="Times New Roman"/>
          <w:lang w:val="fr-BE"/>
        </w:rPr>
        <w:t>.</w:t>
      </w:r>
    </w:p>
  </w:footnote>
  <w:footnote w:id="195">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Communication du 6 mai 2015 de la Commission au Parlement européen, au Conseil, au Comité économique et social européen et au Comité des régions – Stratégie</w:t>
      </w:r>
      <w:r>
        <w:rPr>
          <w:rFonts w:ascii="Times New Roman" w:hAnsi="Times New Roman"/>
          <w:lang w:val="fr-BE"/>
        </w:rPr>
        <w:t xml:space="preserve"> pour un marché unique numérique en Europe, COM(2015) 192 final. Voir: </w:t>
      </w:r>
      <w:hyperlink r:id="rId113">
        <w:r>
          <w:rPr>
            <w:rStyle w:val="Hyperlink"/>
            <w:rFonts w:ascii="Times New Roman" w:eastAsiaTheme="minorEastAsia" w:hAnsi="Times New Roman"/>
            <w:noProof/>
            <w:lang w:val="fr-BE"/>
          </w:rPr>
          <w:t>http://eur-lex.europa.eu/legal-content/FR/TXT/?qid=1447773803386&amp;uri=CELEX%3A52</w:t>
        </w:r>
        <w:r>
          <w:rPr>
            <w:rStyle w:val="Hyperlink"/>
            <w:rFonts w:ascii="Times New Roman" w:eastAsiaTheme="minorEastAsia" w:hAnsi="Times New Roman"/>
            <w:noProof/>
            <w:lang w:val="fr-BE"/>
          </w:rPr>
          <w:t>015DC0192</w:t>
        </w:r>
      </w:hyperlink>
      <w:r>
        <w:rPr>
          <w:rFonts w:ascii="Times New Roman" w:eastAsiaTheme="minorEastAsia" w:hAnsi="Times New Roman"/>
          <w:noProof/>
          <w:lang w:val="fr-BE"/>
        </w:rPr>
        <w:t>.</w:t>
      </w:r>
      <w:r>
        <w:rPr>
          <w:rStyle w:val="Hyperlink"/>
          <w:rFonts w:ascii="Times New Roman" w:eastAsiaTheme="minorEastAsia" w:hAnsi="Times New Roman"/>
          <w:noProof/>
          <w:lang w:val="fr-BE"/>
        </w:rPr>
        <w:t xml:space="preserve"> </w:t>
      </w:r>
    </w:p>
  </w:footnote>
  <w:footnote w:id="196">
    <w:p w:rsidR="00D9323F" w:rsidRDefault="00F47CDD">
      <w:pPr>
        <w:pStyle w:val="FootnoteText"/>
        <w:spacing w:after="0" w:line="240" w:lineRule="auto"/>
        <w:ind w:left="284" w:hanging="284"/>
        <w:jc w:val="both"/>
        <w:rPr>
          <w:rFonts w:ascii="Times New Roman" w:eastAsiaTheme="minorEastAsia" w:hAnsi="Times New Roman"/>
          <w:noProof/>
          <w:lang w:val="fr-BE" w:eastAsia="en-GB"/>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Rapport du 10 mai 2017 de la Commission au Conseil et au Parlement européen, Rapport final relatif à l’enquête sectorielle sur le commerce électronique, </w:t>
      </w:r>
      <w:r>
        <w:rPr>
          <w:lang w:val="fr-BE"/>
        </w:rPr>
        <w:t xml:space="preserve">[SWD (2017) 154 final], COM(2017) 229 final. Voir: </w:t>
      </w:r>
      <w:hyperlink r:id="rId114">
        <w:r>
          <w:rPr>
            <w:rStyle w:val="Hyperlink"/>
            <w:rFonts w:ascii="Times New Roman" w:eastAsiaTheme="minorEastAsia" w:hAnsi="Times New Roman"/>
            <w:noProof/>
            <w:lang w:val="fr-BE"/>
          </w:rPr>
          <w:t>http://ec.europa.eu/competition/antitrust/sector_inquiry_final_report_fr.pdf</w:t>
        </w:r>
      </w:hyperlink>
      <w:r>
        <w:rPr>
          <w:rStyle w:val="Hyperlink"/>
          <w:rFonts w:ascii="Times New Roman" w:eastAsiaTheme="minorEastAsia" w:hAnsi="Times New Roman"/>
          <w:noProof/>
          <w:lang w:val="fr-BE"/>
        </w:rPr>
        <w:t>.</w:t>
      </w:r>
    </w:p>
  </w:footnote>
  <w:footnote w:id="197">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en-US"/>
        </w:rPr>
        <w:t xml:space="preserve"> </w:t>
      </w:r>
      <w:r>
        <w:rPr>
          <w:lang w:val="en-US"/>
        </w:rPr>
        <w:tab/>
      </w:r>
      <w:r>
        <w:rPr>
          <w:rFonts w:ascii="Times New Roman" w:hAnsi="Times New Roman"/>
          <w:lang w:val="en-US"/>
        </w:rPr>
        <w:t xml:space="preserve">Affaires AT.40465 - </w:t>
      </w:r>
      <w:r>
        <w:rPr>
          <w:rFonts w:ascii="Times New Roman" w:hAnsi="Times New Roman"/>
          <w:i/>
          <w:lang w:val="en-US"/>
        </w:rPr>
        <w:t>Asus</w:t>
      </w:r>
      <w:r>
        <w:rPr>
          <w:rFonts w:ascii="Times New Roman" w:hAnsi="Times New Roman"/>
          <w:lang w:val="en-US"/>
        </w:rPr>
        <w:t xml:space="preserve">, AT.40469 - </w:t>
      </w:r>
      <w:r>
        <w:rPr>
          <w:rFonts w:ascii="Times New Roman" w:hAnsi="Times New Roman"/>
          <w:i/>
          <w:lang w:val="en-US"/>
        </w:rPr>
        <w:t>Denon &amp; Marantz</w:t>
      </w:r>
      <w:r>
        <w:rPr>
          <w:rFonts w:ascii="Times New Roman" w:hAnsi="Times New Roman"/>
          <w:lang w:val="en-US"/>
        </w:rPr>
        <w:t xml:space="preserve">, AT.40181 - </w:t>
      </w:r>
      <w:r>
        <w:rPr>
          <w:rFonts w:ascii="Times New Roman" w:hAnsi="Times New Roman"/>
          <w:i/>
          <w:lang w:val="en-US"/>
        </w:rPr>
        <w:t>Philips</w:t>
      </w:r>
      <w:r>
        <w:rPr>
          <w:rFonts w:ascii="Times New Roman" w:hAnsi="Times New Roman"/>
          <w:lang w:val="en-US"/>
        </w:rPr>
        <w:t xml:space="preserve"> et AT.40182 - </w:t>
      </w:r>
      <w:r>
        <w:rPr>
          <w:rFonts w:ascii="Times New Roman" w:hAnsi="Times New Roman"/>
          <w:i/>
          <w:lang w:val="en-US"/>
        </w:rPr>
        <w:t>Pioneer</w:t>
      </w:r>
      <w:r>
        <w:rPr>
          <w:rFonts w:ascii="Times New Roman" w:hAnsi="Times New Roman"/>
          <w:lang w:val="en-US"/>
        </w:rPr>
        <w:t xml:space="preserve">. </w:t>
      </w:r>
      <w:r>
        <w:rPr>
          <w:rFonts w:ascii="Times New Roman" w:hAnsi="Times New Roman"/>
          <w:lang w:val="fr-BE"/>
        </w:rPr>
        <w:t xml:space="preserve">Voir: </w:t>
      </w:r>
      <w:hyperlink r:id="rId115">
        <w:r>
          <w:rPr>
            <w:rStyle w:val="Hyperlink"/>
            <w:rFonts w:ascii="Times New Roman" w:hAnsi="Times New Roman"/>
            <w:lang w:val="fr-BE"/>
          </w:rPr>
          <w:t>http://europa.eu/rapid/press-release_IP-18-4601_fr.htm</w:t>
        </w:r>
      </w:hyperlink>
      <w:r>
        <w:rPr>
          <w:rFonts w:ascii="Times New Roman" w:hAnsi="Times New Roman"/>
          <w:lang w:val="fr-BE"/>
        </w:rPr>
        <w:t>.</w:t>
      </w:r>
    </w:p>
  </w:footnote>
  <w:footnote w:id="198">
    <w:p w:rsidR="00D9323F" w:rsidRDefault="00F47CDD">
      <w:pPr>
        <w:pStyle w:val="FootnoteText"/>
        <w:tabs>
          <w:tab w:val="left" w:pos="360"/>
        </w:tabs>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lang w:val="en-US"/>
        </w:rPr>
        <w:t xml:space="preserve"> </w:t>
      </w:r>
      <w:r>
        <w:rPr>
          <w:lang w:val="en-US"/>
        </w:rPr>
        <w:tab/>
      </w:r>
      <w:r>
        <w:rPr>
          <w:rFonts w:ascii="Times New Roman" w:hAnsi="Times New Roman"/>
          <w:lang w:val="en-US"/>
        </w:rPr>
        <w:t xml:space="preserve">Affaire AT.40428 - </w:t>
      </w:r>
      <w:r>
        <w:rPr>
          <w:rFonts w:ascii="Times New Roman" w:hAnsi="Times New Roman"/>
          <w:i/>
          <w:lang w:val="en-US"/>
        </w:rPr>
        <w:t>Guess</w:t>
      </w:r>
      <w:r>
        <w:rPr>
          <w:rFonts w:ascii="Times New Roman" w:hAnsi="Times New Roman"/>
          <w:lang w:val="en-US"/>
        </w:rPr>
        <w:t xml:space="preserve">. Voir </w:t>
      </w:r>
      <w:hyperlink r:id="rId116">
        <w:r>
          <w:rPr>
            <w:rStyle w:val="Hyperlink"/>
            <w:rFonts w:ascii="Times New Roman" w:hAnsi="Times New Roman"/>
            <w:lang w:val="en-US"/>
          </w:rPr>
          <w:t>http://europa.eu/rap</w:t>
        </w:r>
        <w:r>
          <w:rPr>
            <w:rStyle w:val="Hyperlink"/>
            <w:rFonts w:ascii="Times New Roman" w:hAnsi="Times New Roman"/>
            <w:lang w:val="en-US"/>
          </w:rPr>
          <w:t>id/press-release_IP-18-6844_fr.htm</w:t>
        </w:r>
      </w:hyperlink>
      <w:r>
        <w:rPr>
          <w:rFonts w:ascii="Times New Roman" w:hAnsi="Times New Roman"/>
          <w:lang w:val="en-US"/>
        </w:rPr>
        <w:t>.</w:t>
      </w:r>
    </w:p>
  </w:footnote>
  <w:footnote w:id="199">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en-US"/>
        </w:rPr>
        <w:t xml:space="preserve"> </w:t>
      </w:r>
      <w:r>
        <w:rPr>
          <w:lang w:val="en-US"/>
        </w:rPr>
        <w:tab/>
      </w:r>
      <w:r>
        <w:rPr>
          <w:rFonts w:ascii="Times New Roman" w:hAnsi="Times New Roman"/>
          <w:lang w:val="en-US"/>
        </w:rPr>
        <w:t xml:space="preserve">Affaires AT.40413 - </w:t>
      </w:r>
      <w:r>
        <w:rPr>
          <w:rFonts w:ascii="Times New Roman" w:hAnsi="Times New Roman"/>
          <w:i/>
          <w:lang w:val="en-US"/>
        </w:rPr>
        <w:t>Focus Home</w:t>
      </w:r>
      <w:r>
        <w:rPr>
          <w:rFonts w:ascii="Times New Roman" w:hAnsi="Times New Roman"/>
          <w:lang w:val="en-US"/>
        </w:rPr>
        <w:t xml:space="preserve">, AT.40414 - </w:t>
      </w:r>
      <w:r>
        <w:rPr>
          <w:rFonts w:ascii="Times New Roman" w:hAnsi="Times New Roman"/>
          <w:i/>
          <w:lang w:val="en-US"/>
        </w:rPr>
        <w:t>Koch Media</w:t>
      </w:r>
      <w:r>
        <w:rPr>
          <w:rFonts w:ascii="Times New Roman" w:hAnsi="Times New Roman"/>
          <w:lang w:val="en-US"/>
        </w:rPr>
        <w:t xml:space="preserve">, AT.40420 - </w:t>
      </w:r>
      <w:r>
        <w:rPr>
          <w:rFonts w:ascii="Times New Roman" w:hAnsi="Times New Roman"/>
          <w:i/>
          <w:lang w:val="en-US"/>
        </w:rPr>
        <w:t>ZeniMax</w:t>
      </w:r>
      <w:r>
        <w:rPr>
          <w:rFonts w:ascii="Times New Roman" w:hAnsi="Times New Roman"/>
          <w:lang w:val="en-US"/>
        </w:rPr>
        <w:t xml:space="preserve">, AT.40422 - </w:t>
      </w:r>
      <w:r>
        <w:rPr>
          <w:rFonts w:ascii="Times New Roman" w:hAnsi="Times New Roman"/>
          <w:i/>
          <w:lang w:val="en-US"/>
        </w:rPr>
        <w:t>Bandai Namco</w:t>
      </w:r>
      <w:r>
        <w:rPr>
          <w:rFonts w:ascii="Times New Roman" w:hAnsi="Times New Roman"/>
          <w:lang w:val="en-US"/>
        </w:rPr>
        <w:t xml:space="preserve"> et AT.40424 - </w:t>
      </w:r>
      <w:r>
        <w:rPr>
          <w:rFonts w:ascii="Times New Roman" w:hAnsi="Times New Roman"/>
          <w:i/>
          <w:lang w:val="en-US"/>
        </w:rPr>
        <w:t>Capcom</w:t>
      </w:r>
      <w:r>
        <w:rPr>
          <w:rFonts w:ascii="Times New Roman" w:hAnsi="Times New Roman"/>
          <w:lang w:val="en-US"/>
        </w:rPr>
        <w:t xml:space="preserve">. </w:t>
      </w:r>
      <w:r>
        <w:rPr>
          <w:rFonts w:ascii="Times New Roman" w:hAnsi="Times New Roman"/>
          <w:lang w:val="fr-BE"/>
        </w:rPr>
        <w:t xml:space="preserve">Voir: </w:t>
      </w:r>
      <w:hyperlink r:id="rId117">
        <w:r>
          <w:rPr>
            <w:rStyle w:val="Hyperlink"/>
            <w:rFonts w:ascii="Times New Roman" w:hAnsi="Times New Roman"/>
            <w:lang w:val="fr-BE"/>
          </w:rPr>
          <w:t>http://europa.eu/</w:t>
        </w:r>
        <w:r>
          <w:rPr>
            <w:rStyle w:val="Hyperlink"/>
            <w:rFonts w:ascii="Times New Roman" w:hAnsi="Times New Roman"/>
            <w:lang w:val="fr-BE"/>
          </w:rPr>
          <w:t>rapid/press-release_IP-17-201_fr.htm</w:t>
        </w:r>
      </w:hyperlink>
      <w:r>
        <w:rPr>
          <w:rFonts w:ascii="Times New Roman" w:hAnsi="Times New Roman"/>
          <w:lang w:val="fr-BE"/>
        </w:rPr>
        <w:t>.</w:t>
      </w:r>
    </w:p>
  </w:footnote>
  <w:footnote w:id="20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AT.40432 - </w:t>
      </w:r>
      <w:r>
        <w:rPr>
          <w:rFonts w:ascii="Times New Roman" w:hAnsi="Times New Roman"/>
          <w:i/>
          <w:lang w:val="fr-BE"/>
        </w:rPr>
        <w:t>Marchandises sous licence – Sanrio</w:t>
      </w:r>
      <w:r>
        <w:rPr>
          <w:rFonts w:ascii="Times New Roman" w:hAnsi="Times New Roman"/>
          <w:lang w:val="fr-BE"/>
        </w:rPr>
        <w:t xml:space="preserve">, affaire AT.40433 - </w:t>
      </w:r>
      <w:r>
        <w:rPr>
          <w:rFonts w:ascii="Times New Roman" w:hAnsi="Times New Roman"/>
          <w:i/>
          <w:lang w:val="fr-BE"/>
        </w:rPr>
        <w:t>Marchandises sous licence – Universal Studios</w:t>
      </w:r>
      <w:r>
        <w:rPr>
          <w:rFonts w:ascii="Times New Roman" w:hAnsi="Times New Roman"/>
          <w:lang w:val="fr-BE"/>
        </w:rPr>
        <w:t xml:space="preserve"> et affaire AT.40436 - </w:t>
      </w:r>
      <w:r>
        <w:rPr>
          <w:rFonts w:ascii="Times New Roman" w:hAnsi="Times New Roman"/>
          <w:i/>
          <w:lang w:val="fr-BE"/>
        </w:rPr>
        <w:t>Marchandises sous licence – Nike</w:t>
      </w:r>
      <w:r>
        <w:rPr>
          <w:rFonts w:ascii="Times New Roman" w:hAnsi="Times New Roman"/>
          <w:lang w:val="fr-BE"/>
        </w:rPr>
        <w:t xml:space="preserve">. Voir: IP/17/1646 du 14 juin 2017. Voir: </w:t>
      </w:r>
      <w:hyperlink r:id="rId118">
        <w:r>
          <w:rPr>
            <w:rStyle w:val="Hyperlink"/>
            <w:rFonts w:ascii="Times New Roman" w:hAnsi="Times New Roman"/>
            <w:lang w:val="fr-BE"/>
          </w:rPr>
          <w:t>http://europa.eu/rapid/press-release_IP-17-1646_fr.htm</w:t>
        </w:r>
      </w:hyperlink>
      <w:r>
        <w:rPr>
          <w:rStyle w:val="Hyperlink"/>
          <w:rFonts w:ascii="Times New Roman" w:hAnsi="Times New Roman"/>
          <w:lang w:val="fr-BE"/>
        </w:rPr>
        <w:t>.</w:t>
      </w:r>
    </w:p>
  </w:footnote>
  <w:footnote w:id="20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T-873/16 </w:t>
      </w:r>
      <w:r>
        <w:rPr>
          <w:rFonts w:ascii="Times New Roman" w:hAnsi="Times New Roman"/>
          <w:i/>
          <w:lang w:val="fr-BE"/>
        </w:rPr>
        <w:t>Groupe Canal+/Commission</w:t>
      </w:r>
      <w:r>
        <w:rPr>
          <w:rFonts w:ascii="Times New Roman" w:hAnsi="Times New Roman"/>
          <w:lang w:val="fr-BE"/>
        </w:rPr>
        <w:t xml:space="preserve">. </w:t>
      </w:r>
    </w:p>
  </w:footnote>
  <w:footnote w:id="20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Les engagements de Disney portent notamment sur sa future filiale Fox. La Commission a approuvé l’acquisition de Fox par Disney le 6 novembre 2018. Voir: </w:t>
      </w:r>
      <w:hyperlink r:id="rId119">
        <w:r>
          <w:rPr>
            <w:rStyle w:val="Hyperlink"/>
            <w:rFonts w:ascii="Times New Roman" w:hAnsi="Times New Roman"/>
            <w:lang w:val="fr-BE"/>
          </w:rPr>
          <w:t>http://europa.eu/rapid/press</w:t>
        </w:r>
        <w:r>
          <w:rPr>
            <w:rStyle w:val="Hyperlink"/>
            <w:rFonts w:ascii="Times New Roman" w:hAnsi="Times New Roman"/>
            <w:lang w:val="fr-BE"/>
          </w:rPr>
          <w:t>-release_IP-18-6312_fr.htm</w:t>
        </w:r>
      </w:hyperlink>
      <w:r>
        <w:rPr>
          <w:rStyle w:val="Hyperlink"/>
          <w:rFonts w:ascii="Times New Roman" w:hAnsi="Times New Roman"/>
          <w:lang w:val="fr-BE"/>
        </w:rPr>
        <w:t>.</w:t>
      </w:r>
    </w:p>
  </w:footnote>
  <w:footnote w:id="203">
    <w:p w:rsidR="00D9323F" w:rsidRDefault="00F47CDD">
      <w:pPr>
        <w:pStyle w:val="FootnoteText"/>
        <w:spacing w:after="0" w:line="240" w:lineRule="auto"/>
        <w:ind w:left="284" w:hanging="284"/>
        <w:rPr>
          <w:rFonts w:ascii="Times New Roman" w:hAnsi="Times New Roman"/>
          <w:lang w:val="hu-HU"/>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IP/18/6346 </w:t>
      </w:r>
      <w:r>
        <w:rPr>
          <w:rStyle w:val="Hyperlink"/>
          <w:rFonts w:ascii="Times New Roman" w:hAnsi="Times New Roman"/>
          <w:lang w:val="fr-BE"/>
        </w:rPr>
        <w:t>http://europa.eu/rapid/press-release_IP-18-6346_fr.htm</w:t>
      </w:r>
      <w:r>
        <w:rPr>
          <w:rFonts w:ascii="Times New Roman" w:hAnsi="Times New Roman"/>
          <w:lang w:val="fr-BE"/>
        </w:rPr>
        <w:t xml:space="preserve"> et IP/18/6894 </w:t>
      </w:r>
      <w:hyperlink r:id="rId120">
        <w:r>
          <w:rPr>
            <w:rStyle w:val="Hyperlink"/>
            <w:rFonts w:ascii="Times New Roman" w:hAnsi="Times New Roman"/>
            <w:lang w:val="fr-BE"/>
          </w:rPr>
          <w:t>http://europa.eu/rapid/press-release_IP-18-6894_fr.htm</w:t>
        </w:r>
      </w:hyperlink>
      <w:r>
        <w:rPr>
          <w:rFonts w:ascii="Times New Roman" w:hAnsi="Times New Roman"/>
          <w:lang w:val="fr-BE"/>
        </w:rPr>
        <w:t>.</w:t>
      </w:r>
      <w:r>
        <w:rPr>
          <w:rStyle w:val="Hyperlink"/>
          <w:rFonts w:ascii="Times New Roman" w:hAnsi="Times New Roman"/>
          <w:lang w:val="fr-BE"/>
        </w:rPr>
        <w:t xml:space="preserve"> </w:t>
      </w:r>
    </w:p>
  </w:footnote>
  <w:footnote w:id="20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Style w:val="Hyperlink"/>
          <w:rFonts w:ascii="Times New Roman" w:hAnsi="Times New Roman"/>
          <w:color w:val="auto"/>
          <w:u w:val="none"/>
          <w:lang w:val="fr-BE"/>
        </w:rPr>
        <w:t>Le 7 m</w:t>
      </w:r>
      <w:r>
        <w:rPr>
          <w:rStyle w:val="Hyperlink"/>
          <w:rFonts w:ascii="Times New Roman" w:hAnsi="Times New Roman"/>
          <w:color w:val="auto"/>
          <w:u w:val="none"/>
          <w:lang w:val="fr-BE"/>
        </w:rPr>
        <w:t xml:space="preserve">ars 2019, la Commission a adopté une décision rendant les engagements offerts par Sky, Disney, NBCUniversal, Sony et Warner Bros. juridiquement contraignants en vertu des règles de l’UE en matière de pratiques anticoncurrentielles. Voir: </w:t>
      </w:r>
      <w:hyperlink r:id="rId121">
        <w:r>
          <w:rPr>
            <w:rStyle w:val="Hyperlink"/>
            <w:rFonts w:ascii="Times New Roman" w:hAnsi="Times New Roman"/>
            <w:lang w:val="fr-BE"/>
          </w:rPr>
          <w:t>http://europa.eu/rapid/press-release_IP-19-1590_fr.htm</w:t>
        </w:r>
      </w:hyperlink>
      <w:r>
        <w:rPr>
          <w:rStyle w:val="Hyperlink"/>
          <w:rFonts w:ascii="Times New Roman" w:hAnsi="Times New Roman"/>
          <w:color w:val="auto"/>
          <w:u w:val="none"/>
          <w:lang w:val="fr-BE"/>
        </w:rPr>
        <w:t>. À la suite de l’acquisition de Fox par Disney, le 20 mars 2019, les engagements sont également contraignants pour Fox.</w:t>
      </w:r>
    </w:p>
  </w:footnote>
  <w:footnote w:id="205">
    <w:p w:rsidR="00D9323F" w:rsidRDefault="00F47CDD">
      <w:pPr>
        <w:pStyle w:val="FootnoteText"/>
        <w:tabs>
          <w:tab w:val="left" w:pos="360"/>
        </w:tabs>
        <w:spacing w:after="0" w:line="240" w:lineRule="auto"/>
        <w:ind w:left="284" w:hanging="284"/>
        <w:rPr>
          <w:rFonts w:ascii="Times New Roman" w:hAnsi="Times New Roman"/>
          <w:lang w:val="fr-BE" w:eastAsia="en-GB"/>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AT.40220 - </w:t>
      </w:r>
      <w:r>
        <w:rPr>
          <w:rFonts w:ascii="Times New Roman" w:hAnsi="Times New Roman"/>
          <w:i/>
          <w:lang w:val="fr-BE"/>
        </w:rPr>
        <w:t>Qua</w:t>
      </w:r>
      <w:r>
        <w:rPr>
          <w:rFonts w:ascii="Times New Roman" w:hAnsi="Times New Roman"/>
          <w:i/>
          <w:lang w:val="fr-BE"/>
        </w:rPr>
        <w:t xml:space="preserve">lcomm </w:t>
      </w:r>
      <w:r>
        <w:rPr>
          <w:rFonts w:ascii="Times New Roman" w:hAnsi="Times New Roman"/>
          <w:lang w:val="fr-BE"/>
        </w:rPr>
        <w:t xml:space="preserve">(paiements d’exclusivité). Voir: </w:t>
      </w:r>
      <w:hyperlink r:id="rId122">
        <w:r>
          <w:rPr>
            <w:rStyle w:val="Hyperlink"/>
            <w:rFonts w:ascii="Times New Roman" w:hAnsi="Times New Roman"/>
            <w:lang w:val="fr-BE"/>
          </w:rPr>
          <w:t>http://europa.eu/rapid/press-release_IP-18-421_fr.htm</w:t>
        </w:r>
      </w:hyperlink>
      <w:r>
        <w:rPr>
          <w:rFonts w:ascii="Times New Roman" w:hAnsi="Times New Roman"/>
          <w:lang w:val="fr-BE"/>
        </w:rPr>
        <w:t>.</w:t>
      </w:r>
    </w:p>
  </w:footnote>
  <w:footnote w:id="206">
    <w:p w:rsidR="00D9323F" w:rsidRDefault="00F47CDD">
      <w:pPr>
        <w:pStyle w:val="FootnoteText"/>
        <w:spacing w:after="0" w:line="240" w:lineRule="auto"/>
        <w:ind w:left="284" w:hanging="284"/>
        <w:rPr>
          <w:rFonts w:ascii="Times New Roman" w:hAnsi="Times New Roman"/>
          <w:lang w:val="fr-BE" w:eastAsia="en-GB"/>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Case</w:t>
      </w:r>
      <w:r>
        <w:rPr>
          <w:lang w:val="fr-BE"/>
        </w:rPr>
        <w:t> </w:t>
      </w:r>
      <w:r>
        <w:rPr>
          <w:rFonts w:ascii="Times New Roman" w:hAnsi="Times New Roman"/>
          <w:lang w:val="fr-BE"/>
        </w:rPr>
        <w:t xml:space="preserve">AT. 39711 - </w:t>
      </w:r>
      <w:r>
        <w:rPr>
          <w:rFonts w:ascii="Times New Roman" w:hAnsi="Times New Roman"/>
          <w:i/>
          <w:lang w:val="fr-BE"/>
        </w:rPr>
        <w:t>Qualcomm</w:t>
      </w:r>
      <w:r>
        <w:rPr>
          <w:rFonts w:ascii="Times New Roman" w:hAnsi="Times New Roman"/>
          <w:lang w:val="fr-BE"/>
        </w:rPr>
        <w:t xml:space="preserve"> (prédation). Voir: </w:t>
      </w:r>
      <w:hyperlink r:id="rId123">
        <w:r>
          <w:rPr>
            <w:rStyle w:val="Hyperlink"/>
            <w:rFonts w:ascii="Times New Roman" w:hAnsi="Times New Roman"/>
            <w:lang w:val="fr-BE"/>
          </w:rPr>
          <w:t>http://ec.europa.eu/competition/elojade/isef/case_details.cfm?proc_code=1_39711</w:t>
        </w:r>
      </w:hyperlink>
      <w:r>
        <w:rPr>
          <w:rFonts w:ascii="Times New Roman" w:hAnsi="Times New Roman"/>
          <w:lang w:val="fr-BE"/>
        </w:rPr>
        <w:t xml:space="preserve">. </w:t>
      </w:r>
    </w:p>
  </w:footnote>
  <w:footnote w:id="207">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AT.40099 - </w:t>
      </w:r>
      <w:r>
        <w:rPr>
          <w:rFonts w:ascii="Times New Roman" w:hAnsi="Times New Roman"/>
          <w:i/>
          <w:lang w:val="fr-BE"/>
        </w:rPr>
        <w:t>Google Android</w:t>
      </w:r>
      <w:r>
        <w:rPr>
          <w:rFonts w:ascii="Times New Roman" w:hAnsi="Times New Roman"/>
          <w:lang w:val="fr-BE"/>
        </w:rPr>
        <w:t xml:space="preserve">. Voir: </w:t>
      </w:r>
      <w:hyperlink r:id="rId124">
        <w:r>
          <w:rPr>
            <w:rStyle w:val="Hyperlink"/>
            <w:rFonts w:ascii="Times New Roman" w:hAnsi="Times New Roman"/>
            <w:lang w:val="fr-BE"/>
          </w:rPr>
          <w:t>http://europa.eu/rapid/press-release_IP-18-4581_fr.htm</w:t>
        </w:r>
      </w:hyperlink>
      <w:r>
        <w:rPr>
          <w:rFonts w:ascii="Times New Roman" w:hAnsi="Times New Roman"/>
          <w:lang w:val="fr-BE"/>
        </w:rPr>
        <w:t>.</w:t>
      </w:r>
    </w:p>
  </w:footnote>
  <w:footnote w:id="208">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Proposition de directive du Parlement européen et du Conseil établissant le code des communications électroniques européen, COM(2016) 590 final. Voir:  </w:t>
      </w:r>
      <w:hyperlink r:id="rId125">
        <w:r>
          <w:rPr>
            <w:rStyle w:val="Hyperlink"/>
            <w:rFonts w:ascii="Times New Roman" w:hAnsi="Times New Roman"/>
            <w:lang w:val="fr-BE"/>
          </w:rPr>
          <w:t>https://ec.europa.eu/transparency/regdoc/rep/1/2016/FR/1-2016-590-FR-F1-1.PDF</w:t>
        </w:r>
      </w:hyperlink>
      <w:r>
        <w:rPr>
          <w:rStyle w:val="Hyperlink"/>
          <w:rFonts w:ascii="Times New Roman" w:hAnsi="Times New Roman"/>
          <w:lang w:val="fr-BE"/>
        </w:rPr>
        <w:t>.</w:t>
      </w:r>
    </w:p>
  </w:footnote>
  <w:footnote w:id="209">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Proposition de règlement du Parlement européen et du Conseil instituant l’Organe </w:t>
      </w:r>
      <w:r>
        <w:rPr>
          <w:rFonts w:ascii="Times New Roman" w:hAnsi="Times New Roman"/>
          <w:lang w:val="fr-BE"/>
        </w:rPr>
        <w:t xml:space="preserve">des régulateurs européens des communications électroniques. Voir: </w:t>
      </w:r>
      <w:hyperlink r:id="rId126">
        <w:r>
          <w:rPr>
            <w:rStyle w:val="Hyperlink"/>
            <w:rFonts w:ascii="Times New Roman" w:hAnsi="Times New Roman"/>
            <w:lang w:val="fr-BE"/>
          </w:rPr>
          <w:t>http://eur-lex.europa.eu/legal-content/FR/TXT/PDF/?uri=CELEX:52016PC0591&amp;from=FR</w:t>
        </w:r>
      </w:hyperlink>
      <w:r>
        <w:rPr>
          <w:rStyle w:val="Hyperlink"/>
          <w:rFonts w:ascii="Times New Roman" w:hAnsi="Times New Roman"/>
          <w:lang w:val="fr-BE"/>
        </w:rPr>
        <w:t>.</w:t>
      </w:r>
    </w:p>
  </w:footnote>
  <w:footnote w:id="210">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Propo</w:t>
      </w:r>
      <w:r>
        <w:rPr>
          <w:rFonts w:ascii="Times New Roman" w:hAnsi="Times New Roman"/>
          <w:lang w:val="fr-BE"/>
        </w:rPr>
        <w:t xml:space="preserve">sition de règlement modifiant les règlements nº 1316/2013 et nº 283/2014 en ce qui concerne la promotion de la connectivité internet dans les communautés locales. Voir: </w:t>
      </w:r>
      <w:hyperlink r:id="rId127">
        <w:r>
          <w:rPr>
            <w:rStyle w:val="Hyperlink"/>
            <w:rFonts w:ascii="Times New Roman" w:hAnsi="Times New Roman"/>
            <w:lang w:val="fr-BE"/>
          </w:rPr>
          <w:t>http://eur-lex.europa.eu/legal-content/FR/TXT/PDF/?uri=CELEX:52016PC0589&amp;from=FR</w:t>
        </w:r>
      </w:hyperlink>
      <w:r>
        <w:rPr>
          <w:rFonts w:ascii="Times New Roman" w:hAnsi="Times New Roman"/>
          <w:lang w:val="fr-BE"/>
        </w:rPr>
        <w:t xml:space="preserve">. </w:t>
      </w:r>
    </w:p>
  </w:footnote>
  <w:footnote w:id="21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Communication de la Commission au Parlement européen, au Conseil, au Comité économique et social européen et au Comité des régions: </w:t>
      </w:r>
      <w:r>
        <w:rPr>
          <w:rFonts w:ascii="Times New Roman" w:hAnsi="Times New Roman"/>
          <w:i/>
          <w:lang w:val="fr-BE"/>
        </w:rPr>
        <w:t>Connectivité pour un marc</w:t>
      </w:r>
      <w:r>
        <w:rPr>
          <w:rFonts w:ascii="Times New Roman" w:hAnsi="Times New Roman"/>
          <w:i/>
          <w:lang w:val="fr-BE"/>
        </w:rPr>
        <w:t xml:space="preserve">hé unique numérique compétitif </w:t>
      </w:r>
      <w:r>
        <w:rPr>
          <w:i/>
          <w:lang w:val="fr-BE"/>
        </w:rPr>
        <w:t xml:space="preserve">– Vers une société européenne du gigabit, COM(2016) 587 final et document de travail des services de la Commission SWD(2016) 300. Voir: </w:t>
      </w:r>
      <w:hyperlink r:id="rId128">
        <w:r>
          <w:rPr>
            <w:rStyle w:val="Hyperlink"/>
            <w:rFonts w:ascii="Times New Roman" w:hAnsi="Times New Roman"/>
            <w:i/>
            <w:lang w:val="fr-BE"/>
          </w:rPr>
          <w:t>https://ec.europa.eu/digital-single-market/en/news/communication-connectivity-competitive-digital-single-market-towards-european-gigabit-society</w:t>
        </w:r>
      </w:hyperlink>
      <w:r>
        <w:rPr>
          <w:rStyle w:val="Hyperlink"/>
          <w:rFonts w:ascii="Times New Roman" w:hAnsi="Times New Roman"/>
          <w:i/>
          <w:lang w:val="fr-BE"/>
        </w:rPr>
        <w:t>.</w:t>
      </w:r>
    </w:p>
  </w:footnote>
  <w:footnote w:id="212">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lang w:val="fr-BE"/>
        </w:rPr>
        <w:tab/>
      </w:r>
      <w:r>
        <w:rPr>
          <w:rFonts w:ascii="Times New Roman" w:hAnsi="Times New Roman"/>
          <w:lang w:val="fr-BE"/>
        </w:rPr>
        <w:t xml:space="preserve">Communication de la Commission </w:t>
      </w:r>
      <w:r>
        <w:rPr>
          <w:rFonts w:ascii="Times New Roman" w:hAnsi="Times New Roman"/>
          <w:lang w:val="fr-BE"/>
        </w:rPr>
        <w:t xml:space="preserve">au Parlement européen, au Conseil, au Comité économique et social européen et au Comité des régions, </w:t>
      </w:r>
      <w:r>
        <w:rPr>
          <w:rFonts w:ascii="Times New Roman" w:hAnsi="Times New Roman"/>
          <w:i/>
          <w:lang w:val="fr-BE"/>
        </w:rPr>
        <w:t xml:space="preserve">Un plan d’action pour la </w:t>
      </w:r>
      <w:r>
        <w:rPr>
          <w:i/>
          <w:lang w:val="fr-BE"/>
        </w:rPr>
        <w:t>5G en Europe,</w:t>
      </w:r>
      <w:r>
        <w:rPr>
          <w:rFonts w:ascii="Times New Roman" w:hAnsi="Times New Roman"/>
          <w:i/>
          <w:lang w:val="fr-BE"/>
        </w:rPr>
        <w:t xml:space="preserve"> </w:t>
      </w:r>
      <w:r>
        <w:rPr>
          <w:i/>
          <w:lang w:val="fr-BE"/>
        </w:rPr>
        <w:t xml:space="preserve">COM(2016) 588 et document de travail des services de la Commission SWD(2016) 306. Voir: </w:t>
      </w:r>
      <w:hyperlink r:id="rId129">
        <w:r>
          <w:rPr>
            <w:rStyle w:val="Hyperlink"/>
            <w:rFonts w:ascii="Times New Roman" w:hAnsi="Times New Roman"/>
            <w:i/>
            <w:lang w:val="fr-BE"/>
          </w:rPr>
          <w:t>https://ec.europa.eu/digital-single-market/en/news/communication-5g-europe-action-plan-and-accompanying-staff-working-document</w:t>
        </w:r>
      </w:hyperlink>
      <w:r>
        <w:rPr>
          <w:rFonts w:ascii="Times New Roman" w:hAnsi="Times New Roman"/>
          <w:i/>
          <w:lang w:val="fr-BE"/>
        </w:rPr>
        <w:t>.</w:t>
      </w:r>
    </w:p>
  </w:footnote>
  <w:footnote w:id="213">
    <w:p w:rsidR="00D9323F" w:rsidRDefault="00F47CDD">
      <w:pPr>
        <w:pStyle w:val="FootnoteText"/>
        <w:tabs>
          <w:tab w:val="left" w:pos="360"/>
        </w:tabs>
        <w:spacing w:after="0" w:line="240" w:lineRule="auto"/>
        <w:ind w:left="284" w:hanging="284"/>
        <w:jc w:val="both"/>
        <w:rPr>
          <w:rFonts w:ascii="Times New Roman" w:hAnsi="Times New Roman"/>
          <w:lang w:val="fr-BE" w:eastAsia="en-GB"/>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Directive (UE) 2018/1972 du Parlement européen et du Conseil du 11 décembre 2018 établissant le code des communications électroniques européen, JO L 321 du 17.12.2018, p. 36. Règlement (UE) 2018/1971 du Parlement européen et du Conseil du 11 décembre 2018 </w:t>
      </w:r>
      <w:r>
        <w:rPr>
          <w:rFonts w:ascii="Times New Roman" w:hAnsi="Times New Roman"/>
          <w:lang w:val="fr-BE"/>
        </w:rPr>
        <w:t>établissant l’Organe des régulateurs européens des communications électroniques (ORECE) et l’Agence de soutien à l’ORECE (Office de l’ORECE)</w:t>
      </w:r>
      <w:r>
        <w:rPr>
          <w:lang w:val="fr-BE"/>
        </w:rPr>
        <w:t>, modifiant le règlement (UE) 2015/2120 et abrogeant le règlement (CE) nº 1211/2009, JO L 321 du 17.12.2018, p. 1.</w:t>
      </w:r>
    </w:p>
  </w:footnote>
  <w:footnote w:id="214">
    <w:p w:rsidR="00D9323F" w:rsidRDefault="00F47CDD">
      <w:pPr>
        <w:pStyle w:val="FootnoteText"/>
        <w:tabs>
          <w:tab w:val="left" w:pos="360"/>
        </w:tabs>
        <w:spacing w:after="0" w:line="240" w:lineRule="auto"/>
        <w:ind w:left="284" w:hanging="284"/>
        <w:jc w:val="both"/>
        <w:rPr>
          <w:rFonts w:ascii="Times New Roman" w:hAnsi="Times New Roman"/>
          <w:lang w:val="fr-BE" w:eastAsia="en-GB"/>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Lignes directrices sur l’analyse du marché et l’évaluation de la puissance sur le marché en application du cadre réglementaire de l’Union pour les réseaux et les services de communications électroniques, JO C 159 du 7.5.2018, p. 1.</w:t>
      </w:r>
    </w:p>
  </w:footnote>
  <w:footnote w:id="215">
    <w:p w:rsidR="00D9323F" w:rsidRDefault="00F47CDD">
      <w:pPr>
        <w:pStyle w:val="FootnoteText"/>
        <w:tabs>
          <w:tab w:val="left" w:pos="360"/>
        </w:tabs>
        <w:spacing w:after="0" w:line="240" w:lineRule="auto"/>
        <w:ind w:left="284" w:hanging="284"/>
        <w:jc w:val="both"/>
        <w:rPr>
          <w:rFonts w:ascii="Times New Roman" w:hAnsi="Times New Roman"/>
          <w:lang w:val="fr-BE" w:eastAsia="en-GB"/>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Lignes directrices </w:t>
      </w:r>
      <w:r>
        <w:rPr>
          <w:rFonts w:ascii="Times New Roman" w:hAnsi="Times New Roman"/>
          <w:lang w:val="fr-BE"/>
        </w:rPr>
        <w:t>de la Commission sur l’analyse du marché et l’évaluation de la puissance sur le marché en application du cadre réglementaire communautaire pour les réseaux et services de communications électroniques, JO C 165 du 11.7.2002, p. 6.</w:t>
      </w:r>
    </w:p>
  </w:footnote>
  <w:footnote w:id="216">
    <w:p w:rsidR="00D9323F" w:rsidRDefault="00F47CDD">
      <w:pPr>
        <w:pStyle w:val="FootnoteText"/>
        <w:tabs>
          <w:tab w:val="left" w:pos="360"/>
        </w:tabs>
        <w:spacing w:after="0" w:line="240" w:lineRule="auto"/>
        <w:ind w:left="284" w:hanging="284"/>
        <w:jc w:val="both"/>
        <w:rPr>
          <w:rFonts w:ascii="Times New Roman" w:hAnsi="Times New Roman"/>
          <w:lang w:val="hu-HU" w:eastAsia="en-GB"/>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 40305 - </w:t>
      </w:r>
      <w:r>
        <w:rPr>
          <w:rFonts w:ascii="Times New Roman" w:hAnsi="Times New Roman"/>
          <w:i/>
          <w:lang w:val="fr-BE"/>
        </w:rPr>
        <w:t>Par</w:t>
      </w:r>
      <w:r>
        <w:rPr>
          <w:rFonts w:ascii="Times New Roman" w:hAnsi="Times New Roman"/>
          <w:i/>
          <w:lang w:val="fr-BE"/>
        </w:rPr>
        <w:t>tage de réseau – République tchèque</w:t>
      </w:r>
      <w:r>
        <w:rPr>
          <w:rFonts w:ascii="Times New Roman" w:hAnsi="Times New Roman"/>
          <w:lang w:val="fr-BE"/>
        </w:rPr>
        <w:t xml:space="preserve">. Voir: </w:t>
      </w:r>
      <w:hyperlink r:id="rId130">
        <w:r>
          <w:rPr>
            <w:rStyle w:val="Hyperlink"/>
            <w:rFonts w:ascii="Times New Roman" w:hAnsi="Times New Roman"/>
            <w:lang w:val="fr-BE"/>
          </w:rPr>
          <w:t>http://europa.eu/rapid/press-release_IP-16-3539_fr.htm</w:t>
        </w:r>
      </w:hyperlink>
      <w:r>
        <w:rPr>
          <w:rStyle w:val="Hyperlink"/>
          <w:rFonts w:ascii="Times New Roman" w:hAnsi="Times New Roman"/>
          <w:lang w:val="fr-BE"/>
        </w:rPr>
        <w:t>.</w:t>
      </w:r>
    </w:p>
  </w:footnote>
  <w:footnote w:id="21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M.7000 - </w:t>
      </w:r>
      <w:r>
        <w:rPr>
          <w:rFonts w:ascii="Times New Roman" w:hAnsi="Times New Roman"/>
          <w:i/>
          <w:lang w:val="fr-BE"/>
        </w:rPr>
        <w:t>Liberty Global/Ziggo</w:t>
      </w:r>
      <w:r>
        <w:rPr>
          <w:rFonts w:ascii="Times New Roman" w:hAnsi="Times New Roman"/>
          <w:lang w:val="fr-BE"/>
        </w:rPr>
        <w:t>, décision de la Commission du 30 mai 2018.</w:t>
      </w:r>
      <w:r>
        <w:rPr>
          <w:rFonts w:ascii="Times New Roman" w:hAnsi="Times New Roman"/>
          <w:lang w:val="fr-BE"/>
        </w:rPr>
        <w:t xml:space="preserve"> Voir: </w:t>
      </w:r>
      <w:hyperlink r:id="rId131">
        <w:r>
          <w:rPr>
            <w:rStyle w:val="Hyperlink"/>
            <w:rFonts w:ascii="Times New Roman" w:hAnsi="Times New Roman"/>
            <w:lang w:val="fr-BE"/>
          </w:rPr>
          <w:t>http://ec.europa.eu/competition/elojade/isef/case_details.cfm?proc_code=2_M_7000</w:t>
        </w:r>
      </w:hyperlink>
      <w:r>
        <w:rPr>
          <w:rStyle w:val="Hyperlink"/>
          <w:rFonts w:ascii="Times New Roman" w:hAnsi="Times New Roman"/>
          <w:lang w:val="fr-BE"/>
        </w:rPr>
        <w:t>.</w:t>
      </w:r>
    </w:p>
  </w:footnote>
  <w:footnote w:id="218">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8808 - </w:t>
      </w:r>
      <w:r>
        <w:rPr>
          <w:rFonts w:ascii="Times New Roman" w:hAnsi="Times New Roman"/>
          <w:i/>
          <w:lang w:val="fr-BE"/>
        </w:rPr>
        <w:t>T-Mobile Austria / UPC Austria</w:t>
      </w:r>
      <w:r>
        <w:rPr>
          <w:rFonts w:ascii="Times New Roman" w:hAnsi="Times New Roman"/>
          <w:lang w:val="fr-BE"/>
        </w:rPr>
        <w:t>, décision de la</w:t>
      </w:r>
      <w:r>
        <w:rPr>
          <w:rFonts w:ascii="Times New Roman" w:hAnsi="Times New Roman"/>
          <w:lang w:val="fr-BE"/>
        </w:rPr>
        <w:t xml:space="preserve"> Commission du 9 juillet 2018. Voir: </w:t>
      </w:r>
      <w:hyperlink r:id="rId132">
        <w:r>
          <w:rPr>
            <w:rStyle w:val="Hyperlink"/>
            <w:rFonts w:ascii="Times New Roman" w:hAnsi="Times New Roman"/>
            <w:lang w:val="fr-BE"/>
          </w:rPr>
          <w:t>http://ec.europa.eu/competition/elojade/isef/case_details.cfm?proc_code=2_M_8808</w:t>
        </w:r>
      </w:hyperlink>
      <w:r>
        <w:rPr>
          <w:rStyle w:val="Hyperlink"/>
          <w:rFonts w:ascii="Times New Roman" w:hAnsi="Times New Roman"/>
          <w:lang w:val="fr-BE"/>
        </w:rPr>
        <w:t>.</w:t>
      </w:r>
    </w:p>
  </w:footnote>
  <w:footnote w:id="21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8842 - </w:t>
      </w:r>
      <w:r>
        <w:rPr>
          <w:rFonts w:ascii="Times New Roman" w:hAnsi="Times New Roman"/>
          <w:i/>
          <w:lang w:val="fr-BE"/>
        </w:rPr>
        <w:t>Tele2 / Com Hem</w:t>
      </w:r>
      <w:r>
        <w:rPr>
          <w:rFonts w:ascii="Times New Roman" w:hAnsi="Times New Roman"/>
          <w:lang w:val="fr-BE"/>
        </w:rPr>
        <w:t>,</w:t>
      </w:r>
      <w:r>
        <w:rPr>
          <w:rFonts w:ascii="Times New Roman" w:hAnsi="Times New Roman"/>
          <w:lang w:val="fr-BE"/>
        </w:rPr>
        <w:t xml:space="preserve"> décision de la Commission du 8 octobre 2018. Voir: </w:t>
      </w:r>
      <w:hyperlink r:id="rId133">
        <w:r>
          <w:rPr>
            <w:rStyle w:val="Hyperlink"/>
            <w:rFonts w:ascii="Times New Roman" w:hAnsi="Times New Roman"/>
            <w:lang w:val="fr-BE"/>
          </w:rPr>
          <w:t>http://ec.europa.eu/competition/elojade/isef/case_details.cfm?proc_code=2_M_8842</w:t>
        </w:r>
      </w:hyperlink>
      <w:r>
        <w:rPr>
          <w:rStyle w:val="Hyperlink"/>
          <w:rFonts w:ascii="Times New Roman" w:hAnsi="Times New Roman"/>
          <w:lang w:val="fr-BE"/>
        </w:rPr>
        <w:t>.</w:t>
      </w:r>
    </w:p>
  </w:footnote>
  <w:footnote w:id="22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w:t>
      </w:r>
      <w:r>
        <w:rPr>
          <w:lang w:val="fr-BE"/>
        </w:rPr>
        <w:tab/>
      </w:r>
      <w:hyperlink r:id="rId134">
        <w:r>
          <w:rPr>
            <w:rStyle w:val="Hyperlink"/>
            <w:rFonts w:ascii="Times New Roman" w:hAnsi="Times New Roman"/>
            <w:lang w:val="fr-BE"/>
          </w:rPr>
          <w:t>http://europa.eu/rapid/press-release_IP-18-4141_fr.htm</w:t>
        </w:r>
      </w:hyperlink>
      <w:r>
        <w:rPr>
          <w:rStyle w:val="Hyperlink"/>
          <w:rFonts w:ascii="Times New Roman" w:hAnsi="Times New Roman"/>
          <w:lang w:val="fr-BE"/>
        </w:rPr>
        <w:t>.</w:t>
      </w:r>
    </w:p>
  </w:footnote>
  <w:footnote w:id="22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Voir:</w:t>
      </w:r>
      <w:r>
        <w:rPr>
          <w:lang w:val="fr-BE"/>
        </w:rPr>
        <w:tab/>
      </w:r>
      <w:hyperlink r:id="rId135">
        <w:r>
          <w:rPr>
            <w:rStyle w:val="Hyperlink"/>
            <w:rFonts w:ascii="Times New Roman" w:hAnsi="Times New Roman"/>
            <w:lang w:val="fr-BE"/>
          </w:rPr>
          <w:t>http://europa.eu/rapid/press-release_IP-18-6588_fr.htm</w:t>
        </w:r>
      </w:hyperlink>
      <w:r>
        <w:rPr>
          <w:rFonts w:ascii="Times New Roman" w:hAnsi="Times New Roman"/>
          <w:lang w:val="fr-BE"/>
        </w:rPr>
        <w:t>.</w:t>
      </w:r>
    </w:p>
  </w:footnote>
  <w:footnote w:id="22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w:t>
      </w:r>
      <w:r>
        <w:rPr>
          <w:lang w:val="fr-BE"/>
        </w:rPr>
        <w:tab/>
      </w:r>
      <w:hyperlink r:id="rId136">
        <w:r>
          <w:rPr>
            <w:rStyle w:val="Hyperlink"/>
            <w:rFonts w:ascii="Times New Roman" w:hAnsi="Times New Roman"/>
            <w:lang w:val="fr-BE"/>
          </w:rPr>
          <w:t>http://europa.eu/rapid/press-release_IP-18-6772_fr.htm</w:t>
        </w:r>
      </w:hyperlink>
      <w:r>
        <w:rPr>
          <w:rStyle w:val="Hyperlink"/>
          <w:rFonts w:ascii="Times New Roman" w:hAnsi="Times New Roman"/>
          <w:lang w:val="fr-BE"/>
        </w:rPr>
        <w:t>.</w:t>
      </w:r>
    </w:p>
  </w:footnote>
  <w:footnote w:id="22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8788 - </w:t>
      </w:r>
      <w:r>
        <w:rPr>
          <w:rFonts w:ascii="Times New Roman" w:hAnsi="Times New Roman"/>
          <w:i/>
          <w:lang w:val="fr-BE"/>
        </w:rPr>
        <w:t>Apple / Shazam</w:t>
      </w:r>
      <w:r>
        <w:rPr>
          <w:rFonts w:ascii="Times New Roman" w:hAnsi="Times New Roman"/>
          <w:lang w:val="fr-BE"/>
        </w:rPr>
        <w:t>, décision de la Commissio</w:t>
      </w:r>
      <w:r>
        <w:rPr>
          <w:rFonts w:ascii="Times New Roman" w:hAnsi="Times New Roman"/>
          <w:lang w:val="fr-BE"/>
        </w:rPr>
        <w:t xml:space="preserve">n du 6 septembre 2018. Voir: </w:t>
      </w:r>
      <w:hyperlink r:id="rId137">
        <w:r>
          <w:rPr>
            <w:rStyle w:val="Hyperlink"/>
            <w:rFonts w:ascii="Times New Roman" w:hAnsi="Times New Roman"/>
            <w:lang w:val="fr-BE"/>
          </w:rPr>
          <w:t>http://ec.europa.eu/competition/elojade/isef/case_details.cfm?proc_code=2_M_8788</w:t>
        </w:r>
      </w:hyperlink>
      <w:r>
        <w:rPr>
          <w:rStyle w:val="Hyperlink"/>
          <w:rFonts w:ascii="Times New Roman" w:hAnsi="Times New Roman"/>
          <w:lang w:val="fr-BE"/>
        </w:rPr>
        <w:t>.</w:t>
      </w:r>
    </w:p>
  </w:footnote>
  <w:footnote w:id="224">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8797 - </w:t>
      </w:r>
      <w:r>
        <w:rPr>
          <w:rFonts w:ascii="Times New Roman" w:hAnsi="Times New Roman"/>
          <w:i/>
          <w:lang w:val="fr-BE"/>
        </w:rPr>
        <w:t>Thales / Gemalto</w:t>
      </w:r>
      <w:r>
        <w:rPr>
          <w:rFonts w:ascii="Times New Roman" w:hAnsi="Times New Roman"/>
          <w:lang w:val="fr-BE"/>
        </w:rPr>
        <w:t>, décisi</w:t>
      </w:r>
      <w:r>
        <w:rPr>
          <w:rFonts w:ascii="Times New Roman" w:hAnsi="Times New Roman"/>
          <w:lang w:val="fr-BE"/>
        </w:rPr>
        <w:t xml:space="preserve">on de la Commission du 11 décembre 2018. Voir: </w:t>
      </w:r>
      <w:hyperlink r:id="rId138">
        <w:r>
          <w:rPr>
            <w:rStyle w:val="Hyperlink"/>
            <w:rFonts w:ascii="Times New Roman" w:hAnsi="Times New Roman"/>
            <w:lang w:val="fr-BE"/>
          </w:rPr>
          <w:t>http://ec.europa.eu/competition/elojade/isef/case_details.cfm?proc_code=2_M_8797</w:t>
        </w:r>
      </w:hyperlink>
      <w:r>
        <w:rPr>
          <w:rStyle w:val="Hyperlink"/>
          <w:rFonts w:ascii="Times New Roman" w:hAnsi="Times New Roman"/>
          <w:lang w:val="fr-BE"/>
        </w:rPr>
        <w:t>.</w:t>
      </w:r>
      <w:r>
        <w:rPr>
          <w:rFonts w:ascii="Times New Roman" w:hAnsi="Times New Roman"/>
          <w:lang w:val="fr-BE"/>
        </w:rPr>
        <w:t xml:space="preserve"> </w:t>
      </w:r>
    </w:p>
  </w:footnote>
  <w:footnote w:id="225">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M. 8994 - </w:t>
      </w:r>
      <w:r>
        <w:rPr>
          <w:rFonts w:ascii="Times New Roman" w:hAnsi="Times New Roman"/>
          <w:i/>
          <w:lang w:val="fr-BE"/>
        </w:rPr>
        <w:t>Micro</w:t>
      </w:r>
      <w:r>
        <w:rPr>
          <w:rFonts w:ascii="Times New Roman" w:hAnsi="Times New Roman"/>
          <w:i/>
          <w:lang w:val="fr-BE"/>
        </w:rPr>
        <w:t>soft / Github</w:t>
      </w:r>
      <w:r>
        <w:rPr>
          <w:rFonts w:ascii="Times New Roman" w:hAnsi="Times New Roman"/>
          <w:lang w:val="fr-BE"/>
        </w:rPr>
        <w:t xml:space="preserve">, décision de la Commission du 19 octobre 2018. Voir: </w:t>
      </w:r>
      <w:hyperlink r:id="rId139">
        <w:r>
          <w:rPr>
            <w:rStyle w:val="Hyperlink"/>
            <w:rFonts w:ascii="Times New Roman" w:hAnsi="Times New Roman"/>
            <w:lang w:val="fr-BE"/>
          </w:rPr>
          <w:t>http://ec.europa.eu/competition/elojade/isef/case_details.cfm?proc_code=2_M_8994</w:t>
        </w:r>
      </w:hyperlink>
      <w:r>
        <w:rPr>
          <w:rStyle w:val="Hyperlink"/>
          <w:rFonts w:ascii="Times New Roman" w:hAnsi="Times New Roman"/>
          <w:lang w:val="fr-BE"/>
        </w:rPr>
        <w:t>.</w:t>
      </w:r>
    </w:p>
  </w:footnote>
  <w:footnote w:id="22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w:t>
      </w:r>
      <w:r>
        <w:rPr>
          <w:rFonts w:ascii="Times New Roman" w:hAnsi="Times New Roman"/>
          <w:lang w:val="fr-BE"/>
        </w:rPr>
        <w:t xml:space="preserve">ire M. 8665 - </w:t>
      </w:r>
      <w:r>
        <w:rPr>
          <w:rFonts w:ascii="Times New Roman" w:hAnsi="Times New Roman"/>
          <w:i/>
          <w:lang w:val="fr-BE"/>
        </w:rPr>
        <w:t>Discovery / Scripps</w:t>
      </w:r>
      <w:r>
        <w:rPr>
          <w:rFonts w:ascii="Times New Roman" w:hAnsi="Times New Roman"/>
          <w:lang w:val="fr-BE"/>
        </w:rPr>
        <w:t xml:space="preserve">, décision de la Commission du 6 février 2018. Voir: </w:t>
      </w:r>
      <w:hyperlink r:id="rId140">
        <w:r>
          <w:rPr>
            <w:rStyle w:val="Hyperlink"/>
            <w:rFonts w:ascii="Times New Roman" w:hAnsi="Times New Roman"/>
            <w:lang w:val="fr-BE"/>
          </w:rPr>
          <w:t>http://ec.europa.eu/competition/elojade/isef/case_details.cfm?proc_cod</w:t>
        </w:r>
        <w:r>
          <w:rPr>
            <w:rStyle w:val="Hyperlink"/>
            <w:rFonts w:ascii="Times New Roman" w:hAnsi="Times New Roman"/>
            <w:lang w:val="fr-BE"/>
          </w:rPr>
          <w:t>e=2_M_8665</w:t>
        </w:r>
      </w:hyperlink>
      <w:r>
        <w:rPr>
          <w:rStyle w:val="Hyperlink"/>
          <w:rFonts w:ascii="Times New Roman" w:hAnsi="Times New Roman"/>
          <w:lang w:val="fr-BE"/>
        </w:rPr>
        <w:t>.</w:t>
      </w:r>
      <w:r>
        <w:rPr>
          <w:rFonts w:ascii="Times New Roman" w:hAnsi="Times New Roman"/>
          <w:lang w:val="fr-BE"/>
        </w:rPr>
        <w:t xml:space="preserve"> </w:t>
      </w:r>
    </w:p>
  </w:footnote>
  <w:footnote w:id="22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8989 - </w:t>
      </w:r>
      <w:r>
        <w:rPr>
          <w:rFonts w:ascii="Times New Roman" w:hAnsi="Times New Roman"/>
          <w:i/>
          <w:lang w:val="fr-BE"/>
        </w:rPr>
        <w:t>Sony / EMI Music Publishing</w:t>
      </w:r>
      <w:r>
        <w:rPr>
          <w:rFonts w:ascii="Times New Roman" w:hAnsi="Times New Roman"/>
          <w:lang w:val="fr-BE"/>
        </w:rPr>
        <w:t xml:space="preserve">, décision de la Commission du 26 octobre 2018. Voir: </w:t>
      </w:r>
      <w:hyperlink r:id="rId141">
        <w:r>
          <w:rPr>
            <w:rStyle w:val="Hyperlink"/>
            <w:rFonts w:ascii="Times New Roman" w:hAnsi="Times New Roman"/>
            <w:lang w:val="fr-BE"/>
          </w:rPr>
          <w:t>http://ec.europa.eu/competition/elojade/isef/case_details.cfm?proc_code=2_M_8989</w:t>
        </w:r>
      </w:hyperlink>
      <w:r>
        <w:rPr>
          <w:rStyle w:val="Hyperlink"/>
          <w:rFonts w:ascii="Times New Roman" w:hAnsi="Times New Roman"/>
          <w:lang w:val="fr-BE"/>
        </w:rPr>
        <w:t>.</w:t>
      </w:r>
      <w:r>
        <w:rPr>
          <w:rFonts w:ascii="Times New Roman" w:hAnsi="Times New Roman"/>
          <w:lang w:val="fr-BE"/>
        </w:rPr>
        <w:t xml:space="preserve"> </w:t>
      </w:r>
    </w:p>
  </w:footnote>
  <w:footnote w:id="228">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8785 - </w:t>
      </w:r>
      <w:r>
        <w:rPr>
          <w:rFonts w:ascii="Times New Roman" w:hAnsi="Times New Roman"/>
          <w:i/>
          <w:lang w:val="fr-BE"/>
        </w:rPr>
        <w:t>The Walt Disney Company / Twenty-First Century Fox</w:t>
      </w:r>
      <w:r>
        <w:rPr>
          <w:rFonts w:ascii="Times New Roman" w:hAnsi="Times New Roman"/>
          <w:lang w:val="fr-BE"/>
        </w:rPr>
        <w:t xml:space="preserve">, décision de la Commission du 6 novembre 2018. Voir: </w:t>
      </w:r>
      <w:hyperlink r:id="rId142">
        <w:r>
          <w:rPr>
            <w:rStyle w:val="Hyperlink"/>
            <w:rFonts w:ascii="Times New Roman" w:hAnsi="Times New Roman"/>
            <w:lang w:val="fr-BE"/>
          </w:rPr>
          <w:t>http://ec.europa.eu/competition/elojade/isef/case_details.cfm?proc_code=2_M_8785</w:t>
        </w:r>
      </w:hyperlink>
      <w:r>
        <w:rPr>
          <w:rStyle w:val="Hyperlink"/>
          <w:rFonts w:ascii="Times New Roman" w:hAnsi="Times New Roman"/>
          <w:lang w:val="fr-BE"/>
        </w:rPr>
        <w:t>.</w:t>
      </w:r>
      <w:r>
        <w:rPr>
          <w:rFonts w:ascii="Times New Roman" w:hAnsi="Times New Roman"/>
          <w:lang w:val="fr-BE"/>
        </w:rPr>
        <w:t xml:space="preserve"> </w:t>
      </w:r>
    </w:p>
  </w:footnote>
  <w:footnote w:id="22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 8861 - </w:t>
      </w:r>
      <w:r>
        <w:rPr>
          <w:rFonts w:ascii="Times New Roman" w:hAnsi="Times New Roman"/>
          <w:i/>
          <w:lang w:val="fr-BE"/>
        </w:rPr>
        <w:t>Comcast / Sky</w:t>
      </w:r>
      <w:r>
        <w:rPr>
          <w:rFonts w:ascii="Times New Roman" w:hAnsi="Times New Roman"/>
          <w:lang w:val="fr-BE"/>
        </w:rPr>
        <w:t xml:space="preserve">, décision de la Commission du 15 juin 2018. Voir: </w:t>
      </w:r>
      <w:hyperlink r:id="rId143">
        <w:r>
          <w:rPr>
            <w:rStyle w:val="Hyperlink"/>
            <w:rFonts w:ascii="Times New Roman" w:hAnsi="Times New Roman"/>
            <w:lang w:val="fr-BE"/>
          </w:rPr>
          <w:t>http://ec.europa.eu/competition/elojade/isef/case_details.cfm?proc_code=2_M_8861</w:t>
        </w:r>
      </w:hyperlink>
      <w:r>
        <w:rPr>
          <w:rStyle w:val="Hyperlink"/>
          <w:rFonts w:ascii="Times New Roman" w:hAnsi="Times New Roman"/>
          <w:lang w:val="fr-BE"/>
        </w:rPr>
        <w:t>.</w:t>
      </w:r>
      <w:r>
        <w:rPr>
          <w:rFonts w:ascii="Times New Roman" w:hAnsi="Times New Roman"/>
          <w:lang w:val="fr-BE"/>
        </w:rPr>
        <w:t xml:space="preserve"> </w:t>
      </w:r>
    </w:p>
  </w:footnote>
  <w:footnote w:id="230">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Dans sa communication intitulée «</w:t>
      </w:r>
      <w:r>
        <w:rPr>
          <w:rFonts w:ascii="Times New Roman" w:hAnsi="Times New Roman"/>
          <w:i/>
          <w:lang w:val="fr-BE"/>
        </w:rPr>
        <w:t>Connectivité pour un marché unique numérique compétitif – Vers une sociét</w:t>
      </w:r>
      <w:r>
        <w:rPr>
          <w:rFonts w:ascii="Times New Roman" w:hAnsi="Times New Roman"/>
          <w:i/>
          <w:lang w:val="fr-BE"/>
        </w:rPr>
        <w:t>é européenne du gigabit</w:t>
      </w:r>
      <w:r>
        <w:rPr>
          <w:rFonts w:ascii="Times New Roman" w:hAnsi="Times New Roman"/>
          <w:lang w:val="fr-BE"/>
        </w:rPr>
        <w:t xml:space="preserve">» du 14 septembre 2016 [COM(2016) 587, voir: </w:t>
      </w:r>
      <w:hyperlink r:id="rId144">
        <w:r>
          <w:rPr>
            <w:rStyle w:val="Hyperlink"/>
            <w:rFonts w:ascii="Times New Roman" w:hAnsi="Times New Roman"/>
            <w:lang w:val="fr-BE"/>
          </w:rPr>
          <w:t>https://ec.europa.eu/dig</w:t>
        </w:r>
        <w:r>
          <w:rPr>
            <w:rStyle w:val="Hyperlink"/>
            <w:rFonts w:ascii="Times New Roman" w:hAnsi="Times New Roman"/>
            <w:lang w:val="fr-BE"/>
          </w:rPr>
          <w:t>ital-single-market/en/news/communication-connectivity-competitive-digital-single-market-towards-european-gigabit-society</w:t>
        </w:r>
      </w:hyperlink>
      <w:r>
        <w:rPr>
          <w:rFonts w:ascii="Times New Roman" w:hAnsi="Times New Roman"/>
          <w:lang w:val="fr-BE"/>
        </w:rPr>
        <w:t>], la Commission a confirmé l’importance de la connectivité internet pour le marché unique numérique et, s’appuyant sur les objectifs de</w:t>
      </w:r>
      <w:r>
        <w:rPr>
          <w:rFonts w:ascii="Times New Roman" w:hAnsi="Times New Roman"/>
          <w:lang w:val="fr-BE"/>
        </w:rPr>
        <w:t xml:space="preserve"> la stratégie numérique pour l’Europe pour 2020, elle a défini une stratégie pour une société européenne du gigabit, concrétisée à travers trois objectifs stratégiques pour 2025:</w:t>
      </w:r>
    </w:p>
    <w:p w:rsidR="00D9323F" w:rsidRDefault="00F47CDD">
      <w:pPr>
        <w:pStyle w:val="FootnoteText"/>
        <w:tabs>
          <w:tab w:val="left" w:pos="360"/>
          <w:tab w:val="left" w:pos="720"/>
        </w:tabs>
        <w:spacing w:after="0" w:line="240" w:lineRule="auto"/>
        <w:ind w:left="284"/>
        <w:jc w:val="both"/>
        <w:rPr>
          <w:rFonts w:ascii="Times New Roman" w:hAnsi="Times New Roman"/>
          <w:lang w:val="fr-BE"/>
        </w:rPr>
      </w:pPr>
      <w:r>
        <w:rPr>
          <w:rFonts w:ascii="Times New Roman" w:hAnsi="Times New Roman"/>
          <w:noProof/>
          <w:color w:val="000000"/>
          <w:lang w:val="fr-BE"/>
        </w:rPr>
        <w:t>- une connectivité en gigabit pour l’ensemble des principaux pôles de l’activ</w:t>
      </w:r>
      <w:r>
        <w:rPr>
          <w:rFonts w:ascii="Times New Roman" w:hAnsi="Times New Roman"/>
          <w:noProof/>
          <w:color w:val="000000"/>
          <w:lang w:val="fr-BE"/>
        </w:rPr>
        <w:t xml:space="preserve">ité socioéconomique, tels que les établissements scolaires, les plateformes de transport et les grands prestataires de services publics, ainsi que les entreprises à forte intensité numérique; </w:t>
      </w:r>
    </w:p>
    <w:p w:rsidR="00D9323F" w:rsidRDefault="00F47CDD">
      <w:pPr>
        <w:pStyle w:val="FootnoteText"/>
        <w:tabs>
          <w:tab w:val="left" w:pos="360"/>
        </w:tabs>
        <w:spacing w:after="0" w:line="240" w:lineRule="auto"/>
        <w:ind w:left="284"/>
        <w:jc w:val="both"/>
        <w:rPr>
          <w:rFonts w:ascii="Times New Roman" w:hAnsi="Times New Roman"/>
          <w:lang w:val="fr-BE"/>
        </w:rPr>
      </w:pPr>
      <w:r>
        <w:rPr>
          <w:rFonts w:ascii="Times New Roman" w:hAnsi="Times New Roman"/>
          <w:noProof/>
          <w:color w:val="000000"/>
          <w:lang w:val="fr-BE"/>
        </w:rPr>
        <w:t>- une couverture 5G ininterrompue dans toutes les zones urbaine</w:t>
      </w:r>
      <w:r>
        <w:rPr>
          <w:rFonts w:ascii="Times New Roman" w:hAnsi="Times New Roman"/>
          <w:noProof/>
          <w:color w:val="000000"/>
          <w:lang w:val="fr-BE"/>
        </w:rPr>
        <w:t xml:space="preserve">s et sur l’ensemble des grands axes de transport terrestre; </w:t>
      </w:r>
    </w:p>
    <w:p w:rsidR="00D9323F" w:rsidRDefault="00F47CDD">
      <w:pPr>
        <w:pStyle w:val="FootnoteText"/>
        <w:tabs>
          <w:tab w:val="left" w:pos="360"/>
        </w:tabs>
        <w:spacing w:after="0" w:line="240" w:lineRule="auto"/>
        <w:ind w:left="284"/>
        <w:jc w:val="both"/>
        <w:rPr>
          <w:rFonts w:ascii="Times New Roman" w:hAnsi="Times New Roman"/>
          <w:lang w:val="fr-BE"/>
        </w:rPr>
      </w:pPr>
      <w:r>
        <w:rPr>
          <w:rFonts w:ascii="Times New Roman" w:hAnsi="Times New Roman"/>
          <w:noProof/>
          <w:color w:val="000000"/>
          <w:lang w:val="fr-BE"/>
        </w:rPr>
        <w:t xml:space="preserve">- l’accès de tous les foyers européens, en zones rurales et urbaines, à une connectivité internet offrant un débit descendant d’au moins 100 Mbps, pouvant évoluer vers un débit en gigabit.  </w:t>
      </w:r>
    </w:p>
    <w:p w:rsidR="00D9323F" w:rsidRDefault="00F47CDD">
      <w:pPr>
        <w:pStyle w:val="FootnoteText"/>
        <w:tabs>
          <w:tab w:val="left" w:pos="360"/>
        </w:tabs>
        <w:spacing w:after="0" w:line="240" w:lineRule="auto"/>
        <w:ind w:left="284"/>
        <w:jc w:val="both"/>
        <w:rPr>
          <w:rFonts w:ascii="Times New Roman" w:hAnsi="Times New Roman"/>
          <w:lang w:val="fr-BE"/>
        </w:rPr>
      </w:pPr>
      <w:r>
        <w:rPr>
          <w:rFonts w:ascii="Times New Roman" w:hAnsi="Times New Roman"/>
          <w:lang w:val="fr-BE"/>
        </w:rPr>
        <w:t>Comm</w:t>
      </w:r>
      <w:r>
        <w:rPr>
          <w:rFonts w:ascii="Times New Roman" w:hAnsi="Times New Roman"/>
          <w:lang w:val="fr-BE"/>
        </w:rPr>
        <w:t>e indiqué dans la communication, la Commission tiendra compte de l’évolution prévisible de la demande à long terme lorsqu’elle appliquera l’approche du «franchissement de palier» visée dans les lignes directrices sur les aides d’État relatives au haut débi</w:t>
      </w:r>
      <w:r>
        <w:rPr>
          <w:rFonts w:ascii="Times New Roman" w:hAnsi="Times New Roman"/>
          <w:lang w:val="fr-BE"/>
        </w:rPr>
        <w:t>t, en liaison avec les objectifs stratégiques définis dans cette communication, et examinera favorablement une combinaison efficace de financements permettant de diminuer l’intensité des aides et de réduire les risques de distorsion de concurrence, dans le</w:t>
      </w:r>
      <w:r>
        <w:rPr>
          <w:rFonts w:ascii="Times New Roman" w:hAnsi="Times New Roman"/>
          <w:lang w:val="fr-BE"/>
        </w:rPr>
        <w:t xml:space="preserve"> cadre de son évaluation des aides d’État.</w:t>
      </w:r>
    </w:p>
  </w:footnote>
  <w:footnote w:id="23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lang w:val="fr-BE"/>
        </w:rPr>
        <w:tab/>
      </w:r>
      <w:r>
        <w:rPr>
          <w:rFonts w:ascii="Times New Roman" w:hAnsi="Times New Roman"/>
          <w:lang w:val="fr-BE"/>
        </w:rPr>
        <w:t xml:space="preserve">D’après le rapport 2017 sur l’état d’avancement de l'Europe numérique (voir: </w:t>
      </w:r>
      <w:hyperlink r:id="rId145">
        <w:r>
          <w:rPr>
            <w:rStyle w:val="Hyperlink"/>
            <w:rFonts w:ascii="Times New Roman" w:hAnsi="Times New Roman"/>
            <w:lang w:val="fr-BE"/>
          </w:rPr>
          <w:t>https://ec.europa.eu/digi</w:t>
        </w:r>
        <w:r>
          <w:rPr>
            <w:rStyle w:val="Hyperlink"/>
            <w:rFonts w:ascii="Times New Roman" w:hAnsi="Times New Roman"/>
            <w:lang w:val="fr-BE"/>
          </w:rPr>
          <w:t>tal-single-market/en/news/europes-digital-progress-report-2017</w:t>
        </w:r>
      </w:hyperlink>
      <w:r>
        <w:rPr>
          <w:rFonts w:ascii="Times New Roman" w:hAnsi="Times New Roman"/>
          <w:lang w:val="fr-BE"/>
        </w:rPr>
        <w:t>), la couverture des réseaux d’accès de nouvelle génération (NGA) continue de s’améliorer. À la fin de 2016, des réseaux NGA étaient disponibles dans 76 % des foyers de l’Union européenne. Malgr</w:t>
      </w:r>
      <w:r>
        <w:rPr>
          <w:rFonts w:ascii="Times New Roman" w:hAnsi="Times New Roman"/>
          <w:lang w:val="fr-BE"/>
        </w:rPr>
        <w:t xml:space="preserve">é un écart persistant avec les zones urbaines, le déploiement des réseaux NGA est en train de rattraper son retard dans les zones rurales, couvrant 40 % des foyers en 2016 contre 30 % seulement un an auparavant. </w:t>
      </w:r>
    </w:p>
  </w:footnote>
  <w:footnote w:id="232">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lang w:val="fr-BE"/>
        </w:rPr>
        <w:tab/>
      </w:r>
      <w:r>
        <w:rPr>
          <w:rFonts w:ascii="Times New Roman" w:hAnsi="Times New Roman"/>
          <w:color w:val="000000"/>
          <w:lang w:val="fr-BE"/>
        </w:rPr>
        <w:t>Sur la base de l’étude d’Analysys Mason</w:t>
      </w:r>
      <w:r>
        <w:rPr>
          <w:rFonts w:ascii="Times New Roman" w:hAnsi="Times New Roman"/>
          <w:color w:val="000000"/>
          <w:lang w:val="fr-BE"/>
        </w:rPr>
        <w:t xml:space="preserve"> intitulée </w:t>
      </w:r>
      <w:r>
        <w:rPr>
          <w:rStyle w:val="corpsdutexte0"/>
          <w:rFonts w:ascii="Times New Roman" w:hAnsi="Times New Roman"/>
          <w:lang w:val="fr-BE"/>
        </w:rPr>
        <w:t>«Costing the new potential connectivity needs»</w:t>
      </w:r>
      <w:r>
        <w:rPr>
          <w:rFonts w:ascii="Times New Roman" w:hAnsi="Times New Roman"/>
          <w:color w:val="000000"/>
          <w:lang w:val="fr-BE"/>
        </w:rPr>
        <w:t xml:space="preserve"> (SMART 2015/0068) (voir: </w:t>
      </w:r>
      <w:hyperlink r:id="rId146">
        <w:r>
          <w:rPr>
            <w:rStyle w:val="Hyperlink"/>
            <w:rFonts w:ascii="Times New Roman" w:hAnsi="Times New Roman"/>
            <w:lang w:val="fr-BE"/>
          </w:rPr>
          <w:t>https://publications.europa.eu/en/publication-detail/-/publication/e81ae17f-9d27-4b68-8560-7cd45dbe21d8</w:t>
        </w:r>
      </w:hyperlink>
      <w:r>
        <w:rPr>
          <w:rFonts w:ascii="Times New Roman" w:hAnsi="Times New Roman"/>
          <w:color w:val="000000"/>
          <w:lang w:val="fr-BE"/>
        </w:rPr>
        <w:t>) et des estimations de la Commission.</w:t>
      </w:r>
      <w:r>
        <w:rPr>
          <w:rFonts w:ascii="Times New Roman" w:hAnsi="Times New Roman"/>
          <w:lang w:val="fr-BE"/>
        </w:rPr>
        <w:t xml:space="preserve"> </w:t>
      </w:r>
    </w:p>
  </w:footnote>
  <w:footnote w:id="233">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Le règlement général d’exemption par catégorie (RGEC) dispense de l’obligation de notification préalable à la </w:t>
      </w:r>
      <w:r>
        <w:rPr>
          <w:rFonts w:ascii="Times New Roman" w:hAnsi="Times New Roman"/>
          <w:lang w:val="fr-BE"/>
        </w:rPr>
        <w:t>Commission les catégories d’aides d’État qui sont considérées comme apportant à la société des avantages qui l’emportent sur les possibles distorsions de concurrence dans le marché unique provoquées par les financements publics. En conséquence, les États m</w:t>
      </w:r>
      <w:r>
        <w:rPr>
          <w:rFonts w:ascii="Times New Roman" w:hAnsi="Times New Roman"/>
          <w:lang w:val="fr-BE"/>
        </w:rPr>
        <w:t>embres peuvent mettre en œuvre des mesures qui remplissent les conditions du RGEC sans contrôle préalable de la Commission.</w:t>
      </w:r>
    </w:p>
  </w:footnote>
  <w:footnote w:id="234">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Communication de la Commission, Lignes directrices de l’UE pour l’application des règles relatives aux aides d’État dans le cadre</w:t>
      </w:r>
      <w:r>
        <w:rPr>
          <w:rFonts w:ascii="Times New Roman" w:hAnsi="Times New Roman"/>
          <w:lang w:val="fr-BE"/>
        </w:rPr>
        <w:t xml:space="preserve"> du déploiement rapide des réseaux de communication à haut débit, JO C 25 du 26.1.2013, p. 1. Voir: </w:t>
      </w:r>
      <w:hyperlink r:id="rId147">
        <w:r>
          <w:rPr>
            <w:rStyle w:val="Hyperlink"/>
            <w:rFonts w:ascii="Times New Roman" w:hAnsi="Times New Roman"/>
            <w:lang w:val="fr-BE"/>
          </w:rPr>
          <w:t>http://eur-lex.europa.eu/LexUriServ/LexUriServ.do?ur</w:t>
        </w:r>
        <w:r>
          <w:rPr>
            <w:rStyle w:val="Hyperlink"/>
            <w:rFonts w:ascii="Times New Roman" w:hAnsi="Times New Roman"/>
            <w:lang w:val="fr-BE"/>
          </w:rPr>
          <w:t>i=OJ:C:2013:025:0001:0026:FR:PDF</w:t>
        </w:r>
      </w:hyperlink>
      <w:r>
        <w:rPr>
          <w:lang w:val="fr-BE"/>
        </w:rPr>
        <w:t>.</w:t>
      </w:r>
    </w:p>
  </w:footnote>
  <w:footnote w:id="235">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Bien que quelques États membres ne disposent pas encore d’un document unique pouvant être considéré comme un programme national dans le domaine du haut débit, tous disposent au moins d’une approche stratégique globale p</w:t>
      </w:r>
      <w:r>
        <w:rPr>
          <w:rFonts w:ascii="Times New Roman" w:hAnsi="Times New Roman"/>
          <w:lang w:val="fr-BE"/>
        </w:rPr>
        <w:t>our le déploiement de réseaux d’accès de nouvelle génération qui est mise en œuvre dans la pratique.</w:t>
      </w:r>
      <w:r>
        <w:rPr>
          <w:rFonts w:ascii="Times New Roman" w:eastAsiaTheme="minorHAnsi" w:hAnsi="Times New Roman"/>
          <w:noProof/>
          <w:color w:val="000000"/>
          <w:lang w:val="fr-BE"/>
        </w:rPr>
        <w:t xml:space="preserve"> </w:t>
      </w:r>
    </w:p>
  </w:footnote>
  <w:footnote w:id="23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Communication COM(2016) 587 de la Commission, «Connectivité pour un marché unique numérique compétitif – Vers une société européenne du gigabit» du 14 </w:t>
      </w:r>
      <w:r>
        <w:rPr>
          <w:rFonts w:ascii="Times New Roman" w:hAnsi="Times New Roman"/>
          <w:lang w:val="fr-BE"/>
        </w:rPr>
        <w:t xml:space="preserve">septembre 2016. Voir: </w:t>
      </w:r>
      <w:hyperlink r:id="rId148">
        <w:r>
          <w:rPr>
            <w:rStyle w:val="Hyperlink"/>
            <w:rFonts w:ascii="Times New Roman" w:hAnsi="Times New Roman"/>
            <w:lang w:val="fr-BE"/>
          </w:rPr>
          <w:t>https://ec.europa.eu/digital-single-market/fr/news/communication-conne</w:t>
        </w:r>
        <w:r>
          <w:rPr>
            <w:rStyle w:val="Hyperlink"/>
            <w:rFonts w:ascii="Times New Roman" w:hAnsi="Times New Roman"/>
            <w:lang w:val="fr-BE"/>
          </w:rPr>
          <w:t>ctivity-competitive-digital-single-market-towards-european-gigabit-society</w:t>
        </w:r>
      </w:hyperlink>
      <w:r>
        <w:rPr>
          <w:lang w:val="fr-BE"/>
        </w:rPr>
        <w:t>.</w:t>
      </w:r>
    </w:p>
  </w:footnote>
  <w:footnote w:id="237">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d’aide d’État SA.49614 - Lituanie - </w:t>
      </w:r>
      <w:r>
        <w:rPr>
          <w:rFonts w:ascii="Times New Roman" w:hAnsi="Times New Roman"/>
          <w:i/>
          <w:sz w:val="20"/>
          <w:lang w:val="fr-BE"/>
        </w:rPr>
        <w:t>Développement d’une infrastructure d’accès de nouvelle génération – RAIN 3</w:t>
      </w:r>
      <w:r>
        <w:rPr>
          <w:rFonts w:ascii="Times New Roman" w:hAnsi="Times New Roman"/>
          <w:sz w:val="20"/>
          <w:lang w:val="fr-BE"/>
        </w:rPr>
        <w:t xml:space="preserve">, décision de la Commission du 12 octobre 2018. Voir: </w:t>
      </w:r>
      <w:hyperlink r:id="rId149">
        <w:r>
          <w:rPr>
            <w:rStyle w:val="Hyperlink"/>
            <w:rFonts w:ascii="Times New Roman" w:hAnsi="Times New Roman"/>
            <w:sz w:val="20"/>
            <w:lang w:val="fr-BE"/>
          </w:rPr>
          <w:t>http://ec.europa.eu/competition/elojade/isef/index.cfm?fuseaction=dsp_result&amp;policy_area_id=3</w:t>
        </w:r>
      </w:hyperlink>
      <w:r>
        <w:rPr>
          <w:lang w:val="fr-BE"/>
        </w:rPr>
        <w:t>.</w:t>
      </w:r>
    </w:p>
  </w:footnote>
  <w:footnote w:id="238">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d’aide d’État SA.46613 – Pays-Bas - </w:t>
      </w:r>
      <w:r>
        <w:rPr>
          <w:rFonts w:ascii="Times New Roman" w:hAnsi="Times New Roman"/>
          <w:i/>
          <w:sz w:val="20"/>
          <w:lang w:val="fr-BE"/>
        </w:rPr>
        <w:t>Hau</w:t>
      </w:r>
      <w:r>
        <w:rPr>
          <w:rFonts w:ascii="Times New Roman" w:hAnsi="Times New Roman"/>
          <w:i/>
          <w:sz w:val="20"/>
          <w:lang w:val="fr-BE"/>
        </w:rPr>
        <w:t>t débit dans la région du Rivierenland</w:t>
      </w:r>
      <w:r>
        <w:rPr>
          <w:rFonts w:ascii="Times New Roman" w:hAnsi="Times New Roman"/>
          <w:sz w:val="20"/>
          <w:lang w:val="fr-BE"/>
        </w:rPr>
        <w:t xml:space="preserve">, décision de la Commission du 10 avril 2018. Voir: </w:t>
      </w:r>
      <w:hyperlink r:id="rId150">
        <w:r>
          <w:rPr>
            <w:rStyle w:val="Hyperlink"/>
            <w:rFonts w:ascii="Times New Roman" w:hAnsi="Times New Roman"/>
            <w:sz w:val="20"/>
            <w:lang w:val="fr-BE"/>
          </w:rPr>
          <w:t>http://ec.europa.eu/competition/elojade/isef/index.cf</w:t>
        </w:r>
        <w:r>
          <w:rPr>
            <w:rStyle w:val="Hyperlink"/>
            <w:rFonts w:ascii="Times New Roman" w:hAnsi="Times New Roman"/>
            <w:sz w:val="20"/>
            <w:lang w:val="fr-BE"/>
          </w:rPr>
          <w:t>m?fuseaction=dsp_result&amp;policy_area_id=3</w:t>
        </w:r>
      </w:hyperlink>
      <w:r>
        <w:rPr>
          <w:lang w:val="fr-BE"/>
        </w:rPr>
        <w:t>.</w:t>
      </w:r>
    </w:p>
  </w:footnote>
  <w:footnote w:id="239">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d’aide d’État SA.50844 - Autriche - </w:t>
      </w:r>
      <w:r>
        <w:rPr>
          <w:rFonts w:ascii="Times New Roman" w:hAnsi="Times New Roman"/>
          <w:i/>
          <w:lang w:val="fr-BE"/>
        </w:rPr>
        <w:t>Haut débit en Styrie</w:t>
      </w:r>
      <w:r>
        <w:rPr>
          <w:rFonts w:ascii="Times New Roman" w:hAnsi="Times New Roman"/>
          <w:lang w:val="fr-BE"/>
        </w:rPr>
        <w:t xml:space="preserve">, décision de la Commission du 8 novembre 2018, non encore publiée, et affaire d’aide d’État SA.48325 – Autriche - </w:t>
      </w:r>
      <w:r>
        <w:rPr>
          <w:rFonts w:ascii="Times New Roman" w:hAnsi="Times New Roman"/>
          <w:i/>
          <w:lang w:val="fr-BE"/>
        </w:rPr>
        <w:t>Projet d’accès de nouvelle génér</w:t>
      </w:r>
      <w:r>
        <w:rPr>
          <w:rFonts w:ascii="Times New Roman" w:hAnsi="Times New Roman"/>
          <w:i/>
          <w:lang w:val="fr-BE"/>
        </w:rPr>
        <w:t>ation à haut débit en Haute-Autriche</w:t>
      </w:r>
      <w:r>
        <w:rPr>
          <w:rFonts w:ascii="Times New Roman" w:hAnsi="Times New Roman"/>
          <w:lang w:val="fr-BE"/>
        </w:rPr>
        <w:t xml:space="preserve">, décision de la Commission du 26 juillet 2018. Voir: </w:t>
      </w:r>
      <w:hyperlink r:id="rId151">
        <w:r>
          <w:rPr>
            <w:rStyle w:val="Hyperlink"/>
            <w:rFonts w:ascii="Times New Roman" w:hAnsi="Times New Roman"/>
            <w:lang w:val="fr-BE"/>
          </w:rPr>
          <w:t>http://ec.europa.eu/competition/elojade/isef/index.cf</w:t>
        </w:r>
        <w:r>
          <w:rPr>
            <w:rStyle w:val="Hyperlink"/>
            <w:rFonts w:ascii="Times New Roman" w:hAnsi="Times New Roman"/>
            <w:lang w:val="fr-BE"/>
          </w:rPr>
          <w:t>m?fuseaction=dsp_result&amp;policy_area_id=3</w:t>
        </w:r>
      </w:hyperlink>
      <w:r>
        <w:rPr>
          <w:lang w:val="fr-BE"/>
        </w:rPr>
        <w:t>.</w:t>
      </w:r>
    </w:p>
  </w:footnote>
  <w:footnote w:id="240">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d’aide d’État SA.50847 – Allemagne - </w:t>
      </w:r>
      <w:r>
        <w:rPr>
          <w:rFonts w:ascii="Times New Roman" w:hAnsi="Times New Roman"/>
          <w:i/>
          <w:sz w:val="20"/>
          <w:lang w:val="fr-BE"/>
        </w:rPr>
        <w:t>Prolongement de NGA Bayern Abänderung (SA.38690)</w:t>
      </w:r>
      <w:r>
        <w:rPr>
          <w:rFonts w:ascii="Times New Roman" w:hAnsi="Times New Roman"/>
          <w:sz w:val="20"/>
          <w:lang w:val="fr-BE"/>
        </w:rPr>
        <w:t xml:space="preserve">, décision de la Commission du 4 juin 2018. Voir: </w:t>
      </w:r>
      <w:hyperlink r:id="rId152">
        <w:r>
          <w:rPr>
            <w:rStyle w:val="Hyperlink"/>
            <w:rFonts w:ascii="Times New Roman" w:hAnsi="Times New Roman"/>
            <w:sz w:val="20"/>
            <w:lang w:val="fr-BE"/>
          </w:rPr>
          <w:t>http://ec.europa.eu/competition/elojade/isef/index.cfm?fuseaction=dsp_result&amp;policy_area_id=3</w:t>
        </w:r>
      </w:hyperlink>
      <w:r>
        <w:rPr>
          <w:lang w:val="fr-BE"/>
        </w:rPr>
        <w:t>.</w:t>
      </w:r>
    </w:p>
  </w:footnote>
  <w:footnote w:id="241">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d’aide d’État SA.49445 – Royaume-Uni - </w:t>
      </w:r>
      <w:r>
        <w:rPr>
          <w:rFonts w:ascii="Times New Roman" w:hAnsi="Times New Roman"/>
          <w:i/>
          <w:sz w:val="20"/>
          <w:lang w:val="fr-BE"/>
        </w:rPr>
        <w:t>Modification du régime national en faveur du haut débit pour le Ro</w:t>
      </w:r>
      <w:r>
        <w:rPr>
          <w:rFonts w:ascii="Times New Roman" w:hAnsi="Times New Roman"/>
          <w:i/>
          <w:sz w:val="20"/>
          <w:lang w:val="fr-BE"/>
        </w:rPr>
        <w:t>yaume-Uni pour 2016-2020 (BDUK - SA.40720)</w:t>
      </w:r>
      <w:r>
        <w:rPr>
          <w:rFonts w:ascii="Times New Roman" w:hAnsi="Times New Roman"/>
          <w:sz w:val="20"/>
          <w:lang w:val="fr-BE"/>
        </w:rPr>
        <w:t xml:space="preserve">, décision de la Commission du 15 janvier 2018. Voir: </w:t>
      </w:r>
      <w:hyperlink r:id="rId153">
        <w:r>
          <w:rPr>
            <w:rStyle w:val="Hyperlink"/>
            <w:rFonts w:ascii="Times New Roman" w:hAnsi="Times New Roman"/>
            <w:sz w:val="20"/>
            <w:lang w:val="fr-BE"/>
          </w:rPr>
          <w:t>http://ec.europa.eu/competition/elojade/isef/index.cfm?fuseaction=dsp_result&amp;policy_area_id=3</w:t>
        </w:r>
      </w:hyperlink>
      <w:r>
        <w:rPr>
          <w:lang w:val="fr-BE"/>
        </w:rPr>
        <w:t>.</w:t>
      </w:r>
    </w:p>
  </w:footnote>
  <w:footnote w:id="242">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 xml:space="preserve">Affaire d’aide d’État SA.48418 - Allemagne - </w:t>
      </w:r>
      <w:r>
        <w:rPr>
          <w:rFonts w:ascii="Times New Roman" w:hAnsi="Times New Roman"/>
          <w:i/>
          <w:sz w:val="20"/>
          <w:lang w:val="fr-BE"/>
        </w:rPr>
        <w:t>Bayerisches Gigabit Pilotprojekt (projet pilote bavarois sur les gigabits)</w:t>
      </w:r>
      <w:r>
        <w:rPr>
          <w:rFonts w:ascii="Times New Roman" w:hAnsi="Times New Roman"/>
          <w:sz w:val="20"/>
          <w:lang w:val="fr-BE"/>
        </w:rPr>
        <w:t>, décision de la Commission du 18 décem</w:t>
      </w:r>
      <w:r>
        <w:rPr>
          <w:rFonts w:ascii="Times New Roman" w:hAnsi="Times New Roman"/>
          <w:sz w:val="20"/>
          <w:lang w:val="fr-BE"/>
        </w:rPr>
        <w:t xml:space="preserve">bre 2018. Voir: </w:t>
      </w:r>
      <w:hyperlink r:id="rId154">
        <w:r>
          <w:rPr>
            <w:rStyle w:val="Hyperlink"/>
            <w:rFonts w:ascii="Times New Roman" w:hAnsi="Times New Roman"/>
            <w:sz w:val="20"/>
            <w:lang w:val="fr-BE"/>
          </w:rPr>
          <w:t>http://ec.europa.eu/competition/elojade/isef/case_details.cfm?proc_code=3_SA_48418</w:t>
        </w:r>
      </w:hyperlink>
    </w:p>
  </w:footnote>
  <w:footnote w:id="243">
    <w:p w:rsidR="00D9323F" w:rsidRDefault="00F47CDD">
      <w:pPr>
        <w:pStyle w:val="FootnoteText"/>
        <w:tabs>
          <w:tab w:val="left" w:pos="360"/>
        </w:tabs>
        <w:spacing w:after="0" w:line="240" w:lineRule="auto"/>
        <w:ind w:left="284" w:hanging="284"/>
        <w:rPr>
          <w:rFonts w:ascii="Times New Roman" w:hAnsi="Times New Roman"/>
          <w:bCs/>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d’aide d’État SA.46805 – Allemagne – </w:t>
      </w:r>
      <w:r>
        <w:rPr>
          <w:rFonts w:ascii="Times New Roman" w:hAnsi="Times New Roman"/>
          <w:i/>
          <w:lang w:val="fr-BE"/>
        </w:rPr>
        <w:t>Suivi d</w:t>
      </w:r>
      <w:r>
        <w:rPr>
          <w:rFonts w:ascii="Times New Roman" w:hAnsi="Times New Roman"/>
          <w:i/>
          <w:lang w:val="fr-BE"/>
        </w:rPr>
        <w:t>u produit allemand NGA/Vula</w:t>
      </w:r>
      <w:r>
        <w:rPr>
          <w:rFonts w:ascii="Times New Roman" w:hAnsi="Times New Roman"/>
          <w:lang w:val="fr-BE"/>
        </w:rPr>
        <w:t xml:space="preserve">. Voir: </w:t>
      </w:r>
      <w:hyperlink r:id="rId155">
        <w:r>
          <w:rPr>
            <w:rStyle w:val="Hyperlink"/>
            <w:rFonts w:ascii="Times New Roman" w:hAnsi="Times New Roman"/>
            <w:lang w:val="fr-BE"/>
          </w:rPr>
          <w:t>http://ec.europa.eu/competition/elojade/isef/case_details.cfm?proc_code=3_SA_46805</w:t>
        </w:r>
      </w:hyperlink>
    </w:p>
  </w:footnote>
  <w:footnote w:id="244">
    <w:p w:rsidR="00D9323F" w:rsidRDefault="00F47CDD">
      <w:pPr>
        <w:pStyle w:val="Default"/>
        <w:tabs>
          <w:tab w:val="left" w:pos="360"/>
        </w:tabs>
        <w:ind w:left="284" w:hanging="284"/>
        <w:jc w:val="both"/>
        <w:rPr>
          <w:rFonts w:ascii="Times New Roman" w:hAnsi="Times New Roman" w:cs="Times New Roman"/>
          <w:sz w:val="20"/>
          <w:szCs w:val="20"/>
          <w:lang w:val="fr-BE"/>
        </w:rPr>
      </w:pPr>
      <w:r>
        <w:rPr>
          <w:rFonts w:ascii="Times New Roman" w:hAnsi="Times New Roman"/>
          <w:color w:val="auto"/>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Communication de la Commission su</w:t>
      </w:r>
      <w:r>
        <w:rPr>
          <w:rFonts w:ascii="Times New Roman" w:hAnsi="Times New Roman"/>
          <w:sz w:val="20"/>
          <w:lang w:val="fr-BE"/>
        </w:rPr>
        <w:t xml:space="preserve">r les aides d’État en faveur des œuvres cinématographiques et autres œuvres audiovisuelles (2013/C 332/01). </w:t>
      </w:r>
      <w:r>
        <w:rPr>
          <w:rFonts w:ascii="Times New Roman" w:hAnsi="Times New Roman"/>
          <w:color w:val="auto"/>
          <w:sz w:val="20"/>
          <w:lang w:val="fr-BE"/>
        </w:rPr>
        <w:t>Voir:</w:t>
      </w:r>
      <w:r>
        <w:rPr>
          <w:rFonts w:ascii="Times New Roman" w:hAnsi="Times New Roman"/>
          <w:sz w:val="20"/>
          <w:lang w:val="fr-BE"/>
        </w:rPr>
        <w:t xml:space="preserve"> </w:t>
      </w:r>
      <w:hyperlink r:id="rId156">
        <w:r>
          <w:rPr>
            <w:rStyle w:val="Hyperlink"/>
            <w:rFonts w:ascii="Times New Roman" w:hAnsi="Times New Roman"/>
            <w:sz w:val="20"/>
            <w:lang w:val="fr-BE"/>
          </w:rPr>
          <w:t>http://eur-lex.europa.eu/LexUriServ/Le</w:t>
        </w:r>
        <w:r>
          <w:rPr>
            <w:rStyle w:val="Hyperlink"/>
            <w:rFonts w:ascii="Times New Roman" w:hAnsi="Times New Roman"/>
            <w:sz w:val="20"/>
            <w:lang w:val="fr-BE"/>
          </w:rPr>
          <w:t>xUriServ.do?uri=OJ:C:2013:332:0001:0011:FR:PDF</w:t>
        </w:r>
      </w:hyperlink>
    </w:p>
  </w:footnote>
  <w:footnote w:id="245">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eastAsiaTheme="minorHAnsi" w:hAnsi="Times New Roman"/>
          <w:color w:val="000000"/>
          <w:lang w:val="fr-BE"/>
        </w:rPr>
        <w:t>Communication de la Commission concernant l’application aux services publics de radiodiffusion des règles relatives aux aides d’État, JO C 257 du 27.10.2009, p. 1.</w:t>
      </w:r>
      <w:r>
        <w:rPr>
          <w:rFonts w:ascii="Times New Roman" w:eastAsiaTheme="minorHAnsi" w:hAnsi="Times New Roman"/>
          <w:lang w:val="fr-BE"/>
        </w:rPr>
        <w:t xml:space="preserve"> Voir: </w:t>
      </w:r>
      <w:hyperlink r:id="rId157">
        <w:r>
          <w:rPr>
            <w:rStyle w:val="Hyperlink"/>
            <w:rFonts w:ascii="Times New Roman" w:hAnsi="Times New Roman"/>
            <w:lang w:val="fr-BE"/>
          </w:rPr>
          <w:t>http://eur-lex.europa.eu/legal-content/FR/TXT/PDF/?uri=CELEX:52009XC1027(01)&amp;from=FR</w:t>
        </w:r>
      </w:hyperlink>
      <w:r>
        <w:rPr>
          <w:rFonts w:ascii="Times New Roman" w:hAnsi="Times New Roman"/>
          <w:lang w:val="fr-BE"/>
        </w:rPr>
        <w:t xml:space="preserve">. </w:t>
      </w:r>
    </w:p>
  </w:footnote>
  <w:footnote w:id="246">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Affaire d’aide d’État SA.49405 – Suède - </w:t>
      </w:r>
      <w:r>
        <w:rPr>
          <w:rFonts w:ascii="Times New Roman" w:hAnsi="Times New Roman"/>
          <w:i/>
          <w:sz w:val="20"/>
          <w:lang w:val="fr-BE"/>
        </w:rPr>
        <w:t>Aide pour les médias</w:t>
      </w:r>
      <w:r>
        <w:rPr>
          <w:rFonts w:ascii="Times New Roman" w:hAnsi="Times New Roman"/>
          <w:sz w:val="20"/>
          <w:lang w:val="fr-BE"/>
        </w:rPr>
        <w:t>, d</w:t>
      </w:r>
      <w:r>
        <w:rPr>
          <w:rFonts w:ascii="Times New Roman" w:hAnsi="Times New Roman"/>
          <w:sz w:val="20"/>
          <w:lang w:val="fr-BE"/>
        </w:rPr>
        <w:t xml:space="preserve">écision de la Commission du 22 octobre 2018. Voir: </w:t>
      </w:r>
      <w:hyperlink r:id="rId158">
        <w:r>
          <w:rPr>
            <w:rStyle w:val="Hyperlink"/>
            <w:rFonts w:ascii="Times New Roman" w:hAnsi="Times New Roman"/>
            <w:sz w:val="20"/>
            <w:lang w:val="fr-BE"/>
          </w:rPr>
          <w:t>http://ec.europa.eu/competition/elojade/isef/case_details.cfm?proc_code=3_SA_49405</w:t>
        </w:r>
      </w:hyperlink>
      <w:r>
        <w:rPr>
          <w:rFonts w:ascii="Times New Roman" w:hAnsi="Times New Roman"/>
          <w:sz w:val="20"/>
          <w:lang w:val="fr-BE"/>
        </w:rPr>
        <w:t xml:space="preserve"> </w:t>
      </w:r>
    </w:p>
  </w:footnote>
  <w:footnote w:id="247">
    <w:p w:rsidR="00D9323F" w:rsidRDefault="00F47CDD">
      <w:pPr>
        <w:spacing w:after="0" w:line="240" w:lineRule="auto"/>
        <w:ind w:left="284" w:hanging="284"/>
        <w:jc w:val="both"/>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Affaire d’aide d</w:t>
      </w:r>
      <w:r>
        <w:rPr>
          <w:rFonts w:ascii="Times New Roman" w:hAnsi="Times New Roman"/>
          <w:sz w:val="20"/>
          <w:lang w:val="fr-BE"/>
        </w:rPr>
        <w:t xml:space="preserve">’État SA.49947 – Belgique - </w:t>
      </w:r>
      <w:r>
        <w:rPr>
          <w:rFonts w:ascii="Times New Roman" w:hAnsi="Times New Roman"/>
          <w:i/>
          <w:sz w:val="20"/>
          <w:lang w:val="fr-BE"/>
        </w:rPr>
        <w:t>Fonds pour des jeux vidéo – Flandre</w:t>
      </w:r>
      <w:r>
        <w:rPr>
          <w:rFonts w:ascii="Times New Roman" w:hAnsi="Times New Roman"/>
          <w:sz w:val="20"/>
          <w:lang w:val="fr-BE"/>
        </w:rPr>
        <w:t xml:space="preserve">, décision de la Commission du 28 mai 2018. Voir: </w:t>
      </w:r>
      <w:hyperlink r:id="rId159">
        <w:r>
          <w:rPr>
            <w:rStyle w:val="Hyperlink"/>
            <w:rFonts w:ascii="Times New Roman" w:hAnsi="Times New Roman"/>
            <w:sz w:val="20"/>
            <w:lang w:val="fr-BE"/>
          </w:rPr>
          <w:t>http://ec.europa.eu/competitio</w:t>
        </w:r>
        <w:r>
          <w:rPr>
            <w:rStyle w:val="Hyperlink"/>
            <w:rFonts w:ascii="Times New Roman" w:hAnsi="Times New Roman"/>
            <w:sz w:val="20"/>
            <w:lang w:val="fr-BE"/>
          </w:rPr>
          <w:t>n/elojade/isef/index.cfm?fuseaction=dsp_result&amp;policy_area_id=3</w:t>
        </w:r>
      </w:hyperlink>
      <w:r>
        <w:rPr>
          <w:lang w:val="fr-BE"/>
        </w:rPr>
        <w:t>.</w:t>
      </w:r>
    </w:p>
  </w:footnote>
  <w:footnote w:id="24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d’aide d’État SA.50512 – France - </w:t>
      </w:r>
      <w:r>
        <w:rPr>
          <w:rFonts w:ascii="Times New Roman" w:hAnsi="Times New Roman"/>
          <w:i/>
          <w:lang w:val="fr-BE"/>
        </w:rPr>
        <w:t>Fonds d’aide aux jeux vidéo</w:t>
      </w:r>
      <w:r>
        <w:rPr>
          <w:rFonts w:ascii="Times New Roman" w:hAnsi="Times New Roman"/>
          <w:lang w:val="fr-BE"/>
        </w:rPr>
        <w:t xml:space="preserve">, décision de la Commission du 21 août 2018. Voir: </w:t>
      </w:r>
      <w:hyperlink r:id="rId160">
        <w:r>
          <w:rPr>
            <w:rStyle w:val="Hyperlink"/>
            <w:rFonts w:ascii="Times New Roman" w:hAnsi="Times New Roman"/>
            <w:lang w:val="fr-BE"/>
          </w:rPr>
          <w:t>http://ec.europa.eu/competition/elojade/isef/index.cfm?fuseaction=dsp_result&amp;policy_area_id=3</w:t>
        </w:r>
      </w:hyperlink>
      <w:r>
        <w:rPr>
          <w:lang w:val="fr-BE"/>
        </w:rPr>
        <w:t>.</w:t>
      </w:r>
    </w:p>
  </w:footnote>
  <w:footnote w:id="249">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d’aide d’État A.51820 – Allemagne - </w:t>
      </w:r>
      <w:r>
        <w:rPr>
          <w:rFonts w:ascii="Times New Roman" w:hAnsi="Times New Roman"/>
          <w:i/>
          <w:lang w:val="fr-BE"/>
        </w:rPr>
        <w:t>Sou</w:t>
      </w:r>
      <w:r>
        <w:rPr>
          <w:rFonts w:ascii="Times New Roman" w:hAnsi="Times New Roman"/>
          <w:i/>
          <w:lang w:val="fr-BE"/>
        </w:rPr>
        <w:t>tien aux jeux vidéo – Rhénanie-du-Nord - Westphalie</w:t>
      </w:r>
      <w:r>
        <w:rPr>
          <w:rFonts w:ascii="Times New Roman" w:hAnsi="Times New Roman"/>
          <w:lang w:val="fr-BE"/>
        </w:rPr>
        <w:t xml:space="preserve">, décision de la Commission du 10 décembre 2018. Voir: </w:t>
      </w:r>
      <w:hyperlink r:id="rId161">
        <w:r>
          <w:rPr>
            <w:rStyle w:val="Hyperlink"/>
            <w:rFonts w:ascii="Times New Roman" w:hAnsi="Times New Roman"/>
            <w:lang w:val="fr-BE"/>
          </w:rPr>
          <w:t>http://ec.europa.eu/competition/elojade/isef/cas</w:t>
        </w:r>
        <w:r>
          <w:rPr>
            <w:rStyle w:val="Hyperlink"/>
            <w:rFonts w:ascii="Times New Roman" w:hAnsi="Times New Roman"/>
            <w:lang w:val="fr-BE"/>
          </w:rPr>
          <w:t>e_details.cfm?proc_code=3_SA_51820</w:t>
        </w:r>
      </w:hyperlink>
      <w:r>
        <w:rPr>
          <w:lang w:val="fr-BE"/>
        </w:rPr>
        <w:t>.</w:t>
      </w:r>
    </w:p>
  </w:footnote>
  <w:footnote w:id="25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Il se peut que ces chiffres se chevauchent quelque peu, étant donné que des régimes pourraient relever tant de l’article 53 que de l’article 54 (ainsi qu’éventuellement d’autres articles du RGEC). </w:t>
      </w:r>
    </w:p>
  </w:footnote>
  <w:footnote w:id="251">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color w:val="444444"/>
          <w:vertAlign w:val="superscript"/>
          <w:lang w:val="fr-BE"/>
        </w:rPr>
        <w:t xml:space="preserve"> </w:t>
      </w:r>
      <w:r>
        <w:rPr>
          <w:lang w:val="fr-BE"/>
        </w:rPr>
        <w:tab/>
      </w:r>
      <w:r>
        <w:rPr>
          <w:rFonts w:ascii="Times New Roman" w:hAnsi="Times New Roman"/>
          <w:color w:val="000000"/>
          <w:lang w:val="fr-BE"/>
        </w:rPr>
        <w:t>Décision (UE) 20</w:t>
      </w:r>
      <w:r>
        <w:rPr>
          <w:rFonts w:ascii="Times New Roman" w:hAnsi="Times New Roman"/>
          <w:color w:val="000000"/>
          <w:lang w:val="fr-BE"/>
        </w:rPr>
        <w:t xml:space="preserve">17/899 du Parlement européen et du Conseil du 17 mai 2017 sur l’utilisation de la bande de fréquences 470-790 MHz dans l’Union. Voir: </w:t>
      </w:r>
      <w:hyperlink r:id="rId162">
        <w:r>
          <w:rPr>
            <w:rStyle w:val="Hyperlink"/>
            <w:rFonts w:ascii="Times New Roman" w:hAnsi="Times New Roman"/>
            <w:lang w:val="fr-BE"/>
          </w:rPr>
          <w:t>https://eur-lex.europa.eu/legal-co</w:t>
        </w:r>
        <w:r>
          <w:rPr>
            <w:rStyle w:val="Hyperlink"/>
            <w:rFonts w:ascii="Times New Roman" w:hAnsi="Times New Roman"/>
            <w:lang w:val="fr-BE"/>
          </w:rPr>
          <w:t>ntent/fr/TXT/?uri=CELEX%3A32017D0899</w:t>
        </w:r>
      </w:hyperlink>
      <w:r>
        <w:rPr>
          <w:lang w:val="fr-BE"/>
        </w:rPr>
        <w:t>.</w:t>
      </w:r>
    </w:p>
  </w:footnote>
  <w:footnote w:id="25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color w:val="000000"/>
          <w:lang w:val="fr-BE"/>
        </w:rPr>
        <w:t>Directive 2014/59/UE du Parlement européen et du Conseil du 15 mai 2014 établissant un cadre pour le redressement et la résolution des établissements de crédit et des entreprises d’investissement et modifiant la dir</w:t>
      </w:r>
      <w:r>
        <w:rPr>
          <w:rFonts w:ascii="Times New Roman" w:hAnsi="Times New Roman"/>
          <w:color w:val="000000"/>
          <w:lang w:val="fr-BE"/>
        </w:rPr>
        <w:t>ective 82/891/CEE du Conseil ainsi que les directives du Parlement européen et du Conseil 2001/24/CE, 2002/47/CE, 2004/25/CE, 2005/56/CE, 2007/36/CE, 2011/35/UE, 2012/30/UE et 2013/36/UE et les règlements du Parlement européen et du Conseil (UE) nº 1093/20</w:t>
      </w:r>
      <w:r>
        <w:rPr>
          <w:rFonts w:ascii="Times New Roman" w:hAnsi="Times New Roman"/>
          <w:color w:val="000000"/>
          <w:lang w:val="fr-BE"/>
        </w:rPr>
        <w:t>10 et (UE) nº 648/2012, texte présentant de l’intérêt pour l’EEE, JO L 173 du 12.6.2014, p. 190.</w:t>
      </w:r>
    </w:p>
  </w:footnote>
  <w:footnote w:id="253">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Règlement (UE) 2015/751 du Parlement européen et du Conseil du 29 avril 2015 relatif aux commissions d’interchange pour les opérations de paiement liées à u</w:t>
      </w:r>
      <w:r>
        <w:rPr>
          <w:rFonts w:ascii="Times New Roman" w:hAnsi="Times New Roman"/>
          <w:lang w:val="fr-BE"/>
        </w:rPr>
        <w:t xml:space="preserve">ne carte, JO L 123 du 19.5.2015, p. 1. Voir: </w:t>
      </w:r>
      <w:hyperlink r:id="rId163">
        <w:r>
          <w:rPr>
            <w:rStyle w:val="Hyperlink"/>
            <w:rFonts w:ascii="Times New Roman" w:hAnsi="Times New Roman"/>
            <w:lang w:val="fr-BE"/>
          </w:rPr>
          <w:t>http://eur-lex.europa.eu/legal-content/FR/TXT/?uri=celex:32015R0751</w:t>
        </w:r>
      </w:hyperlink>
      <w:r>
        <w:rPr>
          <w:lang w:val="fr-BE"/>
        </w:rPr>
        <w:t>.</w:t>
      </w:r>
      <w:r>
        <w:rPr>
          <w:rStyle w:val="Hyperlink"/>
          <w:rFonts w:ascii="Times New Roman" w:hAnsi="Times New Roman"/>
          <w:color w:val="auto"/>
          <w:u w:val="none"/>
          <w:lang w:val="fr-BE"/>
        </w:rPr>
        <w:t xml:space="preserve"> </w:t>
      </w:r>
    </w:p>
  </w:footnote>
  <w:footnote w:id="25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Règlement délégué (UE) 2018/72 de la Commission du </w:t>
      </w:r>
      <w:r>
        <w:rPr>
          <w:rFonts w:ascii="Times New Roman" w:hAnsi="Times New Roman"/>
          <w:lang w:val="fr-BE"/>
        </w:rPr>
        <w:t>4 octobre 2017 complétant le règlement (UE) 2015/751 du Parlement européen et du Conseil relatif aux commissions d’interchange pour les opérations de paiement liées à une carte par des normes techniques de réglementation fixant les exigences que doivent re</w:t>
      </w:r>
      <w:r>
        <w:rPr>
          <w:rFonts w:ascii="Times New Roman" w:hAnsi="Times New Roman"/>
          <w:lang w:val="fr-BE"/>
        </w:rPr>
        <w:t>specter les schémas de cartes de paiement et les entités de traitement afin de garantir leur indépendance sur le plan comptable, organisationnel et décisionnel, JO L 13 du 18.1.2018, p. 1.</w:t>
      </w:r>
    </w:p>
  </w:footnote>
  <w:footnote w:id="25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64">
        <w:r>
          <w:rPr>
            <w:rStyle w:val="Hyperlink"/>
            <w:rFonts w:ascii="Times New Roman" w:hAnsi="Times New Roman"/>
            <w:lang w:val="fr-BE"/>
          </w:rPr>
          <w:t>http://curia.europa.eu/juris/liste.jsf?language=fr&amp;td=ALL&amp;num=C-304/16</w:t>
        </w:r>
      </w:hyperlink>
      <w:r>
        <w:rPr>
          <w:lang w:val="fr-BE"/>
        </w:rPr>
        <w:t>.</w:t>
      </w:r>
      <w:r>
        <w:rPr>
          <w:rFonts w:ascii="Times New Roman" w:hAnsi="Times New Roman"/>
          <w:lang w:val="fr-BE"/>
        </w:rPr>
        <w:t xml:space="preserve"> </w:t>
      </w:r>
    </w:p>
  </w:footnote>
  <w:footnote w:id="256">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lang w:val="fr-BE"/>
        </w:rPr>
        <w:tab/>
      </w:r>
      <w:r>
        <w:rPr>
          <w:rFonts w:ascii="Times New Roman" w:hAnsi="Times New Roman"/>
          <w:lang w:val="fr-BE"/>
        </w:rPr>
        <w:t xml:space="preserve">La Banque centrale européenne (BCE) estime que ce type de fraude représente environ les deux tiers des fraudes à la carte réalisées dans l’Union </w:t>
      </w:r>
      <w:r>
        <w:rPr>
          <w:rFonts w:ascii="Times New Roman" w:hAnsi="Times New Roman"/>
          <w:lang w:val="fr-BE"/>
        </w:rPr>
        <w:t>européenne, soit 800 millions d’euros en 2014.</w:t>
      </w:r>
    </w:p>
  </w:footnote>
  <w:footnote w:id="257">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Directive (UE) 2015/2366 du Parlement européen et du Conseil du 25 novembre 2015 concernant les services de paiement dans le marché intérieur, modifiant les directives 2002/65/CE, 2009/110/CE et 2013/36/UE </w:t>
      </w:r>
      <w:r>
        <w:rPr>
          <w:rFonts w:ascii="Times New Roman" w:hAnsi="Times New Roman"/>
          <w:lang w:val="fr-BE"/>
        </w:rPr>
        <w:t xml:space="preserve">et le règlement (UE) nº 1093/2010, et abrogeant la directive 2007/64/CE, JO L 337 du 23.12.2015, p. 35. Voir: </w:t>
      </w:r>
      <w:hyperlink r:id="rId165" w:anchor="151008">
        <w:r>
          <w:rPr>
            <w:rStyle w:val="Hyperlink"/>
            <w:rFonts w:ascii="Times New Roman" w:hAnsi="Times New Roman"/>
            <w:lang w:val="fr-BE"/>
          </w:rPr>
          <w:t>http://ec.europa.eu/finance/payments/framework/index_en</w:t>
        </w:r>
        <w:r>
          <w:rPr>
            <w:rStyle w:val="Hyperlink"/>
            <w:rFonts w:ascii="Times New Roman" w:hAnsi="Times New Roman"/>
            <w:lang w:val="fr-BE"/>
          </w:rPr>
          <w:t>.htm#151008</w:t>
        </w:r>
      </w:hyperlink>
      <w:r>
        <w:rPr>
          <w:lang w:val="fr-BE"/>
        </w:rPr>
        <w:t>.</w:t>
      </w:r>
    </w:p>
  </w:footnote>
  <w:footnote w:id="258">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Cette procédure a été close en ce qui concerne Visa Europe à la suite des engagements qu’elle a pris (affaire AT.39398 - </w:t>
      </w:r>
      <w:r>
        <w:rPr>
          <w:rFonts w:ascii="Times New Roman" w:hAnsi="Times New Roman"/>
          <w:i/>
          <w:lang w:val="fr-BE"/>
        </w:rPr>
        <w:t>CMI de VISA</w:t>
      </w:r>
      <w:r>
        <w:rPr>
          <w:rFonts w:ascii="Times New Roman" w:hAnsi="Times New Roman"/>
          <w:lang w:val="fr-BE"/>
        </w:rPr>
        <w:t xml:space="preserve">, décision de la Commission du 26 février 2014). Voir: </w:t>
      </w:r>
      <w:hyperlink r:id="rId166">
        <w:r>
          <w:rPr>
            <w:rStyle w:val="Hyperlink"/>
            <w:rFonts w:ascii="Times New Roman" w:hAnsi="Times New Roman"/>
            <w:lang w:val="fr-BE"/>
          </w:rPr>
          <w:t>http://ec.europa.eu/competition/antitrust/cases/dec_docs/39398/39398_9728_3.pdf</w:t>
        </w:r>
      </w:hyperlink>
      <w:r>
        <w:rPr>
          <w:lang w:val="fr-BE"/>
        </w:rPr>
        <w:t>.</w:t>
      </w:r>
    </w:p>
  </w:footnote>
  <w:footnote w:id="259">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AT.39398 - </w:t>
      </w:r>
      <w:r>
        <w:rPr>
          <w:rFonts w:ascii="Times New Roman" w:hAnsi="Times New Roman"/>
          <w:i/>
          <w:lang w:val="fr-BE"/>
        </w:rPr>
        <w:t>CMI de Visa</w:t>
      </w:r>
      <w:r>
        <w:rPr>
          <w:rFonts w:ascii="Times New Roman" w:hAnsi="Times New Roman"/>
          <w:lang w:val="fr-BE"/>
        </w:rPr>
        <w:t xml:space="preserve">. Voir: </w:t>
      </w:r>
      <w:hyperlink r:id="rId167">
        <w:r>
          <w:rPr>
            <w:rStyle w:val="Hyperlink"/>
            <w:rFonts w:ascii="Times New Roman" w:hAnsi="Times New Roman"/>
            <w:lang w:val="fr-BE"/>
          </w:rPr>
          <w:t>http://europa</w:t>
        </w:r>
        <w:r>
          <w:rPr>
            <w:rStyle w:val="Hyperlink"/>
            <w:rFonts w:ascii="Times New Roman" w:hAnsi="Times New Roman"/>
            <w:lang w:val="fr-BE"/>
          </w:rPr>
          <w:t>.eu/rapid/press-release_MEX-17-2341_en.htm</w:t>
        </w:r>
      </w:hyperlink>
      <w:r>
        <w:rPr>
          <w:lang w:val="fr-BE"/>
        </w:rPr>
        <w:t>.</w:t>
      </w:r>
    </w:p>
  </w:footnote>
  <w:footnote w:id="260">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168">
        <w:r>
          <w:rPr>
            <w:rStyle w:val="Hyperlink"/>
            <w:rFonts w:ascii="Times New Roman" w:hAnsi="Times New Roman"/>
            <w:lang w:val="fr-BE"/>
          </w:rPr>
          <w:t>http://europa.eu/rapid/press-release_IP-18-6655_fr.htm</w:t>
        </w:r>
      </w:hyperlink>
      <w:r>
        <w:rPr>
          <w:lang w:val="fr-BE"/>
        </w:rPr>
        <w:t>.</w:t>
      </w:r>
    </w:p>
  </w:footnote>
  <w:footnote w:id="26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MEMO/17/3761 </w:t>
      </w:r>
      <w:hyperlink r:id="rId169">
        <w:r>
          <w:rPr>
            <w:rStyle w:val="Hyperlink"/>
            <w:rFonts w:ascii="Times New Roman" w:hAnsi="Times New Roman"/>
            <w:lang w:val="fr-BE"/>
          </w:rPr>
          <w:t>http://europa.eu/rapid/press-release_MEMO-17-3761_en.htm</w:t>
        </w:r>
      </w:hyperlink>
      <w:r>
        <w:rPr>
          <w:lang w:val="fr-BE"/>
        </w:rPr>
        <w:t>.</w:t>
      </w:r>
      <w:r>
        <w:rPr>
          <w:rFonts w:ascii="Times New Roman" w:hAnsi="Times New Roman"/>
          <w:lang w:val="fr-BE"/>
        </w:rPr>
        <w:t xml:space="preserve"> </w:t>
      </w:r>
    </w:p>
  </w:footnote>
  <w:footnote w:id="26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par exemple, M.8764 - </w:t>
      </w:r>
      <w:r>
        <w:rPr>
          <w:rFonts w:ascii="Times New Roman" w:hAnsi="Times New Roman"/>
          <w:i/>
          <w:lang w:val="fr-BE"/>
        </w:rPr>
        <w:t>Sedgwick/Cunningham Lindsey</w:t>
      </w:r>
      <w:r>
        <w:rPr>
          <w:rFonts w:ascii="Times New Roman" w:hAnsi="Times New Roman"/>
          <w:lang w:val="fr-BE"/>
        </w:rPr>
        <w:t xml:space="preserve"> et M.9056 - </w:t>
      </w:r>
      <w:r>
        <w:rPr>
          <w:rFonts w:ascii="Times New Roman" w:hAnsi="Times New Roman"/>
          <w:i/>
          <w:lang w:val="fr-BE"/>
        </w:rPr>
        <w:t>Generali CEE/AS</w:t>
      </w:r>
      <w:r>
        <w:rPr>
          <w:rFonts w:ascii="Times New Roman" w:hAnsi="Times New Roman"/>
          <w:lang w:val="fr-BE"/>
        </w:rPr>
        <w:t>.</w:t>
      </w:r>
    </w:p>
  </w:footnote>
  <w:footnote w:id="263">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lang w:val="fr-BE"/>
        </w:rPr>
        <w:tab/>
      </w:r>
      <w:r>
        <w:rPr>
          <w:rFonts w:ascii="Times New Roman" w:hAnsi="Times New Roman"/>
          <w:lang w:val="fr-BE"/>
        </w:rPr>
        <w:t>Communication de la Commission concernant</w:t>
      </w:r>
      <w:r>
        <w:rPr>
          <w:rFonts w:ascii="Times New Roman" w:hAnsi="Times New Roman"/>
          <w:i/>
          <w:lang w:val="fr-BE"/>
        </w:rPr>
        <w:t xml:space="preserve"> l’application, à partir du 1</w:t>
      </w:r>
      <w:r>
        <w:rPr>
          <w:rFonts w:ascii="Times New Roman" w:hAnsi="Times New Roman"/>
          <w:i/>
          <w:vertAlign w:val="superscript"/>
          <w:lang w:val="fr-BE"/>
        </w:rPr>
        <w:t>er</w:t>
      </w:r>
      <w:r>
        <w:rPr>
          <w:rFonts w:ascii="Times New Roman" w:hAnsi="Times New Roman"/>
          <w:i/>
          <w:lang w:val="fr-BE"/>
        </w:rPr>
        <w:t> août 2013, des règles en matière d’aides d’État aux aides accordées aux banques dans le contexte de la crise financière («Communication concernant le secteur bancaire»)</w:t>
      </w:r>
      <w:r>
        <w:rPr>
          <w:rFonts w:ascii="Times New Roman" w:hAnsi="Times New Roman"/>
          <w:lang w:val="fr-BE"/>
        </w:rPr>
        <w:t xml:space="preserve">, JO C 216 du 30.7.2013, p. 1. Voir: </w:t>
      </w:r>
      <w:hyperlink r:id="rId170">
        <w:r>
          <w:rPr>
            <w:rStyle w:val="Hyperlink"/>
            <w:rFonts w:ascii="Times New Roman" w:hAnsi="Times New Roman"/>
            <w:lang w:val="fr-BE"/>
          </w:rPr>
          <w:t>http://eur-lex.europa.eu/legal-content/FR/TXT/PDF/?uri=CELEX:52013XC0730%2801%29&amp;from=FR</w:t>
        </w:r>
      </w:hyperlink>
      <w:r>
        <w:rPr>
          <w:lang w:val="fr-BE"/>
        </w:rPr>
        <w:t>.</w:t>
      </w:r>
      <w:r>
        <w:rPr>
          <w:rFonts w:ascii="Times New Roman" w:hAnsi="Times New Roman"/>
          <w:lang w:val="fr-BE"/>
        </w:rPr>
        <w:t xml:space="preserve"> </w:t>
      </w:r>
    </w:p>
  </w:footnote>
  <w:footnote w:id="26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En particulier, le Conseil de résolution unique (CRU) dans le cadre du mécanisme de résolution unique (MRU) </w:t>
      </w:r>
      <w:r>
        <w:rPr>
          <w:rFonts w:ascii="Times New Roman" w:hAnsi="Times New Roman"/>
          <w:lang w:val="fr-BE"/>
        </w:rPr>
        <w:t>et la Banque centrale européenne (BCE) dans le cadre du mécanisme de surveillance unique (MSU).</w:t>
      </w:r>
    </w:p>
  </w:footnote>
  <w:footnote w:id="26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SA.35334 –</w:t>
      </w:r>
      <w:r>
        <w:rPr>
          <w:rFonts w:ascii="Times New Roman" w:hAnsi="Times New Roman"/>
          <w:i/>
          <w:lang w:val="fr-BE"/>
        </w:rPr>
        <w:t xml:space="preserve"> Chypre</w:t>
      </w:r>
      <w:r>
        <w:rPr>
          <w:rFonts w:ascii="Times New Roman" w:hAnsi="Times New Roman"/>
          <w:lang w:val="fr-BE"/>
        </w:rPr>
        <w:t xml:space="preserve">, décisions de la Commission du 19 juin 2018 et du 28 août 2018. Voir: </w:t>
      </w:r>
      <w:hyperlink r:id="rId171">
        <w:r>
          <w:rPr>
            <w:rStyle w:val="Hyperlink"/>
            <w:rFonts w:ascii="Times New Roman" w:hAnsi="Times New Roman"/>
            <w:lang w:val="fr-BE"/>
          </w:rPr>
          <w:t>http://ec.europa.eu/competition/elojade/isef/case_details.cfm?proc_code=3_SA_35334</w:t>
        </w:r>
      </w:hyperlink>
      <w:r>
        <w:rPr>
          <w:lang w:val="fr-BE"/>
        </w:rPr>
        <w:t>.</w:t>
      </w:r>
    </w:p>
  </w:footnote>
  <w:footnote w:id="26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SA.51026(2018/N) – </w:t>
      </w:r>
      <w:r>
        <w:rPr>
          <w:rFonts w:ascii="Times New Roman" w:hAnsi="Times New Roman"/>
          <w:i/>
          <w:lang w:val="fr-BE"/>
        </w:rPr>
        <w:t>Italie</w:t>
      </w:r>
      <w:r>
        <w:rPr>
          <w:rFonts w:ascii="Times New Roman" w:hAnsi="Times New Roman"/>
          <w:lang w:val="fr-BE"/>
        </w:rPr>
        <w:t xml:space="preserve">, décision de la Commission du 31 août 2018. Voir: </w:t>
      </w:r>
      <w:hyperlink r:id="rId172">
        <w:r>
          <w:rPr>
            <w:rStyle w:val="Hyperlink"/>
            <w:rFonts w:ascii="Times New Roman" w:hAnsi="Times New Roman"/>
            <w:lang w:val="fr-BE"/>
          </w:rPr>
          <w:t>http://ec.europa.eu/competition/elojade/isef/case_details.cfm?proc_code=3_SA_51026</w:t>
        </w:r>
      </w:hyperlink>
      <w:r>
        <w:rPr>
          <w:lang w:val="fr-BE"/>
        </w:rPr>
        <w:t>.</w:t>
      </w:r>
      <w:r>
        <w:rPr>
          <w:rFonts w:ascii="Times New Roman" w:hAnsi="Times New Roman"/>
          <w:lang w:val="fr-BE"/>
        </w:rPr>
        <w:t xml:space="preserve"> </w:t>
      </w:r>
    </w:p>
  </w:footnote>
  <w:footnote w:id="26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SA.52288 – Allemagne, décision de la Commission du 23 novembre 2018. Voir: </w:t>
      </w:r>
      <w:hyperlink r:id="rId173">
        <w:r>
          <w:rPr>
            <w:rStyle w:val="Hyperlink"/>
            <w:rFonts w:ascii="Times New Roman" w:hAnsi="Times New Roman"/>
            <w:lang w:val="fr-BE"/>
          </w:rPr>
          <w:t>http://ec.europa.eu/competition/elojade/isef/case_details.cfm?proc_code=3_SA_52288</w:t>
        </w:r>
      </w:hyperlink>
      <w:r>
        <w:rPr>
          <w:lang w:val="fr-BE"/>
        </w:rPr>
        <w:t>.</w:t>
      </w:r>
      <w:r>
        <w:rPr>
          <w:rFonts w:ascii="Times New Roman" w:hAnsi="Times New Roman"/>
          <w:lang w:val="fr-BE"/>
        </w:rPr>
        <w:t xml:space="preserve">  </w:t>
      </w:r>
    </w:p>
  </w:footnote>
  <w:footnote w:id="268">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OCDE (2013), </w:t>
      </w:r>
      <w:r>
        <w:rPr>
          <w:rFonts w:ascii="Times New Roman" w:hAnsi="Times New Roman"/>
          <w:i/>
          <w:lang w:val="fr-BE"/>
        </w:rPr>
        <w:t>Plan d’action concernant l’érosion de la base d’imposition et le transfert de b</w:t>
      </w:r>
      <w:r>
        <w:rPr>
          <w:rFonts w:ascii="Times New Roman" w:hAnsi="Times New Roman"/>
          <w:i/>
          <w:lang w:val="fr-BE"/>
        </w:rPr>
        <w:t>énéfices</w:t>
      </w:r>
      <w:r>
        <w:rPr>
          <w:rFonts w:ascii="Times New Roman" w:hAnsi="Times New Roman"/>
          <w:lang w:val="fr-BE"/>
        </w:rPr>
        <w:t>, Éditions OCDE, Paris.</w:t>
      </w:r>
    </w:p>
  </w:footnote>
  <w:footnote w:id="269">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Les travaux de la Commission dans le domaine des décisions fiscales anticipées ont été suivis de près par la commission spéciale du Parlement européen sur les rescrits fiscaux et autres mesures similaires par leur nature ou par leur effet (commission TAXE)</w:t>
      </w:r>
      <w:r>
        <w:rPr>
          <w:rFonts w:ascii="Times New Roman" w:hAnsi="Times New Roman"/>
          <w:lang w:val="fr-BE"/>
        </w:rPr>
        <w:t>. Le 25 novembre 2016, le Parlement européen a adopté une résolution sur les rescrits fiscaux et autres mesures similaires par leur nature ou par leur effet, élaborée par la commission TAXE, dans laquelle il saluait la contribution du contrôle des aides d’</w:t>
      </w:r>
      <w:r>
        <w:rPr>
          <w:rFonts w:ascii="Times New Roman" w:hAnsi="Times New Roman"/>
          <w:lang w:val="fr-BE"/>
        </w:rPr>
        <w:t xml:space="preserve">État à l’équité fiscale en Europe: «[Le Parlement européen] </w:t>
      </w:r>
      <w:r>
        <w:rPr>
          <w:rFonts w:ascii="Times New Roman" w:hAnsi="Times New Roman"/>
          <w:i/>
          <w:lang w:val="fr-BE"/>
        </w:rPr>
        <w:t>salue avec une vive satisfaction et soutient résolument le rôle central de la Commission en tant qu’autorité de la concurrence compétente dans les enquêtes en cours en matière d’aide d’État portan</w:t>
      </w:r>
      <w:r>
        <w:rPr>
          <w:rFonts w:ascii="Times New Roman" w:hAnsi="Times New Roman"/>
          <w:i/>
          <w:lang w:val="fr-BE"/>
        </w:rPr>
        <w:t>t sur les rescrits fiscaux</w:t>
      </w:r>
      <w:r>
        <w:rPr>
          <w:rFonts w:ascii="Times New Roman" w:hAnsi="Times New Roman"/>
          <w:lang w:val="fr-BE"/>
        </w:rPr>
        <w:t xml:space="preserve">» (point 130). Le 25 novembre 2016, la commission TAXE a publié un rapport dans lequel elle approuvait dans l’ensemble l’approche de la Commission européenne en matière d’aides d’État. Voir: </w:t>
      </w:r>
      <w:hyperlink r:id="rId174">
        <w:r>
          <w:rPr>
            <w:rStyle w:val="Hyperlink"/>
            <w:rFonts w:ascii="Times New Roman" w:hAnsi="Times New Roman"/>
            <w:lang w:val="fr-BE"/>
          </w:rPr>
          <w:t>http://www.europarl.europa.eu/sides/getDoc.do?pubRef=-//EP//TEXT+TA+P8-TA-2015-0408+0+DOC+XML+V0//FR</w:t>
        </w:r>
      </w:hyperlink>
      <w:r>
        <w:rPr>
          <w:lang w:val="fr-BE"/>
        </w:rPr>
        <w:t>.</w:t>
      </w:r>
      <w:r>
        <w:rPr>
          <w:rFonts w:ascii="Times New Roman" w:hAnsi="Times New Roman"/>
          <w:i/>
          <w:lang w:val="fr-BE"/>
        </w:rPr>
        <w:t xml:space="preserve"> </w:t>
      </w:r>
      <w:r>
        <w:rPr>
          <w:rFonts w:ascii="Times New Roman" w:hAnsi="Times New Roman"/>
          <w:lang w:val="fr-BE"/>
        </w:rPr>
        <w:t xml:space="preserve"> </w:t>
      </w:r>
    </w:p>
  </w:footnote>
  <w:footnote w:id="270">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Document de travail de la direction générale de la concurrence sur les aides d’État et les décisions fiscales anticipées, document de travail interne – Document de référence pour le forum de haut niveau sur les aides d’État du 3 juin 2016. Voir:  </w:t>
      </w:r>
      <w:hyperlink r:id="rId175">
        <w:r>
          <w:rPr>
            <w:rStyle w:val="Hyperlink"/>
            <w:rFonts w:ascii="Times New Roman" w:hAnsi="Times New Roman"/>
            <w:lang w:val="fr-BE"/>
          </w:rPr>
          <w:t>http://ec.europa.eu/competition/state_aid/legislation/working_paper_tax_rulings.pdf</w:t>
        </w:r>
      </w:hyperlink>
      <w:r>
        <w:rPr>
          <w:lang w:val="fr-BE"/>
        </w:rPr>
        <w:t>.</w:t>
      </w:r>
      <w:r>
        <w:rPr>
          <w:rFonts w:ascii="Times New Roman" w:hAnsi="Times New Roman"/>
          <w:lang w:val="fr-BE"/>
        </w:rPr>
        <w:t xml:space="preserve"> </w:t>
      </w:r>
    </w:p>
  </w:footnote>
  <w:footnote w:id="271">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Circulaire du directeur des contributions, L.I.R. nº 56/1 – 56</w:t>
      </w:r>
      <w:r>
        <w:rPr>
          <w:rFonts w:ascii="Times New Roman" w:hAnsi="Times New Roman"/>
          <w:i/>
          <w:lang w:val="fr-BE"/>
        </w:rPr>
        <w:t>bis</w:t>
      </w:r>
      <w:r>
        <w:rPr>
          <w:rFonts w:ascii="Times New Roman" w:hAnsi="Times New Roman"/>
          <w:lang w:val="fr-BE"/>
        </w:rPr>
        <w:t>/1 du 27</w:t>
      </w:r>
      <w:r>
        <w:rPr>
          <w:rFonts w:ascii="Times New Roman" w:hAnsi="Times New Roman"/>
          <w:lang w:val="fr-BE"/>
        </w:rPr>
        <w:t xml:space="preserve"> décembre 2016. Voir:  </w:t>
      </w:r>
      <w:hyperlink r:id="rId176">
        <w:r>
          <w:rPr>
            <w:rStyle w:val="Hyperlink"/>
            <w:rFonts w:ascii="Times New Roman" w:hAnsi="Times New Roman"/>
            <w:lang w:val="fr-BE"/>
          </w:rPr>
          <w:t>http://www.impotsdirects.public.lu/content/dam/acd/fr/legislation/legi16/circulairelir561-56bis1-2712201</w:t>
        </w:r>
        <w:r>
          <w:rPr>
            <w:rStyle w:val="Hyperlink"/>
            <w:rFonts w:ascii="Times New Roman" w:hAnsi="Times New Roman"/>
            <w:lang w:val="fr-BE"/>
          </w:rPr>
          <w:t>6.pdf</w:t>
        </w:r>
        <w:r>
          <w:rPr>
            <w:rStyle w:val="Hyperlink"/>
            <w:rFonts w:ascii="Times New Roman" w:hAnsi="Times New Roman"/>
            <w:u w:val="none"/>
            <w:lang w:val="fr-BE"/>
          </w:rPr>
          <w:t>.</w:t>
        </w:r>
      </w:hyperlink>
      <w:r>
        <w:rPr>
          <w:rFonts w:ascii="Times New Roman" w:hAnsi="Times New Roman"/>
          <w:lang w:val="fr-BE"/>
        </w:rPr>
        <w:t xml:space="preserve"> </w:t>
      </w:r>
    </w:p>
  </w:footnote>
  <w:footnote w:id="272">
    <w:p w:rsidR="00D9323F" w:rsidRDefault="00F47CDD">
      <w:pPr>
        <w:pStyle w:val="FootnoteText"/>
        <w:spacing w:after="0" w:line="240" w:lineRule="auto"/>
        <w:ind w:left="284" w:hanging="284"/>
        <w:jc w:val="both"/>
        <w:rPr>
          <w:rStyle w:val="Hyperlink"/>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Le Luxembourg </w:t>
      </w:r>
      <w:r>
        <w:rPr>
          <w:rStyle w:val="Hyperlink"/>
          <w:rFonts w:ascii="Times New Roman" w:hAnsi="Times New Roman"/>
          <w:lang w:val="fr-BE"/>
        </w:rPr>
        <w:t xml:space="preserve">interdit à présent l’échange ou la conversion exonérés d’impôts d’un emprunt convertible en faveur de participations ou d’actions. Une question similaire a fait l’objet de l’enquête de la Commission dans l’affaire SA.44888 – </w:t>
      </w:r>
      <w:r>
        <w:rPr>
          <w:rStyle w:val="Hyperlink"/>
          <w:rFonts w:ascii="Times New Roman" w:hAnsi="Times New Roman"/>
          <w:i/>
          <w:lang w:val="fr-BE"/>
        </w:rPr>
        <w:t>Engie</w:t>
      </w:r>
      <w:r>
        <w:rPr>
          <w:rStyle w:val="Hyperlink"/>
          <w:rFonts w:ascii="Times New Roman" w:hAnsi="Times New Roman"/>
          <w:lang w:val="fr-BE"/>
        </w:rPr>
        <w:t>.</w:t>
      </w:r>
    </w:p>
  </w:footnote>
  <w:footnote w:id="27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Luxembourg exige à présent d’un contribuable qu’il prouve que l’autre État reconnaît également un établissement stable avant d’accorder une exonération sur la base de la convention applicable en matière de double imposition. Une question similaire a</w:t>
      </w:r>
      <w:r>
        <w:rPr>
          <w:rFonts w:ascii="Times New Roman" w:hAnsi="Times New Roman"/>
          <w:lang w:val="fr-BE"/>
        </w:rPr>
        <w:t xml:space="preserve"> fait l’objet de l’enquête de la Commission dans l’affaire SA.38945 – </w:t>
      </w:r>
      <w:r>
        <w:rPr>
          <w:rFonts w:ascii="Times New Roman" w:hAnsi="Times New Roman"/>
          <w:i/>
          <w:lang w:val="fr-BE"/>
        </w:rPr>
        <w:t>McDonald’s</w:t>
      </w:r>
      <w:r>
        <w:rPr>
          <w:rFonts w:ascii="Times New Roman" w:hAnsi="Times New Roman"/>
          <w:lang w:val="fr-BE"/>
        </w:rPr>
        <w:t>.</w:t>
      </w:r>
    </w:p>
  </w:footnote>
  <w:footnote w:id="274">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SA.44888 – Luxembourg – </w:t>
      </w:r>
      <w:r>
        <w:rPr>
          <w:rFonts w:ascii="Times New Roman" w:hAnsi="Times New Roman"/>
          <w:i/>
          <w:spacing w:val="-4"/>
          <w:lang w:val="fr-BE"/>
        </w:rPr>
        <w:t>Aide mise en œuvre par le Luxembourg en faveur d’ENGIE</w:t>
      </w:r>
      <w:r>
        <w:rPr>
          <w:rFonts w:ascii="Times New Roman" w:hAnsi="Times New Roman"/>
          <w:lang w:val="fr-BE"/>
        </w:rPr>
        <w:t xml:space="preserve">, décision de la Commission du 20 juin 2018. Voir: </w:t>
      </w:r>
      <w:hyperlink r:id="rId177">
        <w:r>
          <w:rPr>
            <w:rStyle w:val="Hyperlink"/>
            <w:rFonts w:ascii="Times New Roman" w:hAnsi="Times New Roman"/>
            <w:lang w:val="fr-BE"/>
          </w:rPr>
          <w:t>http://ec.europa.eu/competition/elojade/isef/case_details.cfm?proc_code=3_SA_44888</w:t>
        </w:r>
      </w:hyperlink>
      <w:r>
        <w:rPr>
          <w:lang w:val="fr-BE"/>
        </w:rPr>
        <w:t>.</w:t>
      </w:r>
    </w:p>
  </w:footnote>
  <w:footnote w:id="27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SA.38945 - </w:t>
      </w:r>
      <w:r>
        <w:rPr>
          <w:rFonts w:ascii="Times New Roman" w:hAnsi="Times New Roman"/>
          <w:i/>
          <w:lang w:val="fr-BE"/>
        </w:rPr>
        <w:t>Aide présumée à McDonald’s</w:t>
      </w:r>
      <w:r>
        <w:rPr>
          <w:rFonts w:ascii="Times New Roman" w:hAnsi="Times New Roman"/>
          <w:lang w:val="fr-BE"/>
        </w:rPr>
        <w:t xml:space="preserve">, décision de la Commission du 19 septembre 2018. Voir: </w:t>
      </w:r>
      <w:hyperlink r:id="rId178">
        <w:r>
          <w:rPr>
            <w:rStyle w:val="Hyperlink"/>
            <w:rFonts w:ascii="Times New Roman" w:hAnsi="Times New Roman"/>
            <w:lang w:val="fr-BE"/>
          </w:rPr>
          <w:t>http://europa.eu/rapid/press-release_IP-18-5831_fr.htm</w:t>
        </w:r>
      </w:hyperlink>
      <w:r>
        <w:rPr>
          <w:lang w:val="fr-BE"/>
        </w:rPr>
        <w:t>.</w:t>
      </w:r>
      <w:r>
        <w:rPr>
          <w:rFonts w:ascii="Times New Roman" w:hAnsi="Times New Roman"/>
          <w:lang w:val="fr-BE"/>
        </w:rPr>
        <w:t xml:space="preserve">  </w:t>
      </w:r>
    </w:p>
  </w:footnote>
  <w:footnote w:id="27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SA.34914 - </w:t>
      </w:r>
      <w:r>
        <w:rPr>
          <w:rFonts w:ascii="Times New Roman" w:hAnsi="Times New Roman"/>
          <w:i/>
          <w:lang w:val="fr-BE"/>
        </w:rPr>
        <w:t>Régime d’imposition des sociétés de Gibraltar (ITA 2010)</w:t>
      </w:r>
      <w:r>
        <w:rPr>
          <w:rFonts w:ascii="Times New Roman" w:hAnsi="Times New Roman"/>
          <w:lang w:val="fr-BE"/>
        </w:rPr>
        <w:t xml:space="preserve">, décision de la Commission du 19 décembre 2018. Voir: </w:t>
      </w:r>
      <w:hyperlink r:id="rId179">
        <w:r>
          <w:rPr>
            <w:rStyle w:val="Hyperlink"/>
            <w:rFonts w:ascii="Times New Roman" w:hAnsi="Times New Roman"/>
            <w:lang w:val="fr-BE"/>
          </w:rPr>
          <w:t>http://europa.eu/rapid/press-release_IP-18-6889_fr.htm</w:t>
        </w:r>
      </w:hyperlink>
      <w:r>
        <w:rPr>
          <w:lang w:val="fr-BE"/>
        </w:rPr>
        <w:t>.</w:t>
      </w:r>
      <w:r>
        <w:rPr>
          <w:rFonts w:ascii="Times New Roman" w:hAnsi="Times New Roman"/>
          <w:lang w:val="fr-BE"/>
        </w:rPr>
        <w:t xml:space="preserve"> </w:t>
      </w:r>
    </w:p>
  </w:footnote>
  <w:footnote w:id="27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Les règles relatives à l’impôt sur le revenu (décisions fiscales an</w:t>
      </w:r>
      <w:r>
        <w:rPr>
          <w:rFonts w:ascii="Times New Roman" w:hAnsi="Times New Roman"/>
          <w:lang w:val="fr-BE"/>
        </w:rPr>
        <w:t xml:space="preserve">ticipées) de 2018 [Income Tax (Tax Rulings) Rules 2018], du 25 octobre 2018, voir: </w:t>
      </w:r>
      <w:hyperlink r:id="rId180">
        <w:r>
          <w:rPr>
            <w:rStyle w:val="Hyperlink"/>
            <w:rFonts w:ascii="Times New Roman" w:hAnsi="Times New Roman"/>
            <w:lang w:val="fr-BE"/>
          </w:rPr>
          <w:t>http://www.gibraltarlaws.gov.gi/articles/2018s227.pdf</w:t>
        </w:r>
      </w:hyperlink>
      <w:r>
        <w:rPr>
          <w:rFonts w:ascii="Times New Roman" w:hAnsi="Times New Roman"/>
          <w:lang w:val="fr-BE"/>
        </w:rPr>
        <w:t xml:space="preserve">; et la réglementation (modificative) relative </w:t>
      </w:r>
      <w:r>
        <w:rPr>
          <w:rFonts w:ascii="Times New Roman" w:hAnsi="Times New Roman"/>
          <w:lang w:val="fr-BE"/>
        </w:rPr>
        <w:t xml:space="preserve">à l’impôt sur le revenu de 2018 [Income Tax (Amendment) Regulations 2018], du 25 octobre 2018, voir: </w:t>
      </w:r>
      <w:hyperlink r:id="rId181">
        <w:r>
          <w:rPr>
            <w:rStyle w:val="Hyperlink"/>
            <w:rFonts w:ascii="Times New Roman" w:hAnsi="Times New Roman"/>
            <w:lang w:val="fr-BE"/>
          </w:rPr>
          <w:t>http://www.gibraltarlaws.gov.gi/articles/2018=228.pdf</w:t>
        </w:r>
      </w:hyperlink>
      <w:r>
        <w:rPr>
          <w:lang w:val="fr-BE"/>
        </w:rPr>
        <w:t>.</w:t>
      </w:r>
    </w:p>
  </w:footnote>
  <w:footnote w:id="278">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 xml:space="preserve">Les notes d’orientation </w:t>
      </w:r>
      <w:r>
        <w:rPr>
          <w:rFonts w:ascii="Times New Roman" w:hAnsi="Times New Roman"/>
          <w:sz w:val="20"/>
          <w:lang w:val="fr-BE"/>
        </w:rPr>
        <w:t xml:space="preserve">sur les revenus gagnés et dérivés (Guidance Notes on Accrued and Derived), du 25 octobre 2018. Voir: </w:t>
      </w:r>
      <w:hyperlink r:id="rId182">
        <w:r>
          <w:rPr>
            <w:rStyle w:val="Hyperlink"/>
            <w:rFonts w:ascii="Times New Roman" w:hAnsi="Times New Roman"/>
            <w:sz w:val="20"/>
            <w:lang w:val="fr-BE"/>
          </w:rPr>
          <w:t>https://www.gibraltar.gov.gi/new/downloads-ito</w:t>
        </w:r>
      </w:hyperlink>
      <w:r>
        <w:rPr>
          <w:lang w:val="fr-BE"/>
        </w:rPr>
        <w:t>.</w:t>
      </w:r>
    </w:p>
  </w:footnote>
  <w:footnote w:id="279">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Les notes d’orientation sur la procédu</w:t>
      </w:r>
      <w:r>
        <w:rPr>
          <w:rFonts w:ascii="Times New Roman" w:hAnsi="Times New Roman"/>
          <w:sz w:val="20"/>
          <w:lang w:val="fr-BE"/>
        </w:rPr>
        <w:t xml:space="preserve">re concernant les décisions fiscales anticipées (Guidance Notes on the Tax Rulings Procedure), du 25 octobre 2018. Voir: </w:t>
      </w:r>
      <w:hyperlink r:id="rId183">
        <w:r>
          <w:rPr>
            <w:rStyle w:val="Hyperlink"/>
            <w:rFonts w:ascii="Times New Roman" w:hAnsi="Times New Roman"/>
            <w:sz w:val="20"/>
            <w:lang w:val="fr-BE"/>
          </w:rPr>
          <w:t>https://www.gibraltar.gov.gi/new/downloads-ito</w:t>
        </w:r>
      </w:hyperlink>
      <w:r>
        <w:rPr>
          <w:lang w:val="fr-BE"/>
        </w:rPr>
        <w:t>.</w:t>
      </w:r>
      <w:r>
        <w:rPr>
          <w:rFonts w:ascii="Times New Roman" w:hAnsi="Times New Roman"/>
          <w:sz w:val="20"/>
          <w:lang w:val="fr-BE"/>
        </w:rPr>
        <w:t xml:space="preserve"> </w:t>
      </w:r>
    </w:p>
  </w:footnote>
  <w:footnote w:id="280">
    <w:p w:rsidR="00D9323F" w:rsidRDefault="00F47CDD">
      <w:pPr>
        <w:pStyle w:val="FootnoteText"/>
        <w:widowControl w:val="0"/>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SA.25398 </w:t>
      </w:r>
      <w:r>
        <w:rPr>
          <w:rFonts w:ascii="Times New Roman" w:hAnsi="Times New Roman"/>
          <w:lang w:val="fr-BE"/>
        </w:rPr>
        <w:t xml:space="preserve">- </w:t>
      </w:r>
      <w:r>
        <w:rPr>
          <w:rFonts w:ascii="Times New Roman" w:hAnsi="Times New Roman"/>
          <w:i/>
          <w:lang w:val="fr-BE"/>
        </w:rPr>
        <w:t>Exonération de l’impôt sur les sociétés en faveur des entreprises publiques néerlandaises</w:t>
      </w:r>
      <w:r>
        <w:rPr>
          <w:rFonts w:ascii="Times New Roman" w:hAnsi="Times New Roman"/>
          <w:lang w:val="fr-BE"/>
        </w:rPr>
        <w:t xml:space="preserve">, décision de la Commission du 21 janvier 2016. Voir: </w:t>
      </w:r>
      <w:hyperlink r:id="rId184">
        <w:r>
          <w:rPr>
            <w:rStyle w:val="Hyperlink"/>
            <w:rFonts w:ascii="Times New Roman" w:hAnsi="Times New Roman"/>
            <w:lang w:val="fr-BE"/>
          </w:rPr>
          <w:t>http://ec.europa.eu/competition/elojade/isef/case_details.cfm?proc_code=3_SA_25338</w:t>
        </w:r>
      </w:hyperlink>
      <w:r>
        <w:rPr>
          <w:lang w:val="fr-BE"/>
        </w:rPr>
        <w:t>.</w:t>
      </w:r>
      <w:r>
        <w:rPr>
          <w:rFonts w:ascii="Times New Roman" w:hAnsi="Times New Roman"/>
          <w:lang w:val="fr-BE"/>
        </w:rPr>
        <w:t xml:space="preserve">  </w:t>
      </w:r>
    </w:p>
  </w:footnote>
  <w:footnote w:id="281">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SA.38393 - </w:t>
      </w:r>
      <w:r>
        <w:rPr>
          <w:rFonts w:ascii="Times New Roman" w:hAnsi="Times New Roman"/>
          <w:i/>
          <w:lang w:val="fr-BE"/>
        </w:rPr>
        <w:t>Fiscalité des ports en Belgique</w:t>
      </w:r>
      <w:r>
        <w:rPr>
          <w:rFonts w:ascii="Times New Roman" w:hAnsi="Times New Roman"/>
          <w:lang w:val="fr-BE"/>
        </w:rPr>
        <w:t xml:space="preserve">, décision de la Commission du 27 juillet 2017. Voir: </w:t>
      </w:r>
      <w:hyperlink r:id="rId185">
        <w:r>
          <w:rPr>
            <w:rStyle w:val="Hyperlink"/>
            <w:rFonts w:ascii="Times New Roman" w:hAnsi="Times New Roman"/>
            <w:lang w:val="fr-BE"/>
          </w:rPr>
          <w:t>http://ec.europa.eu/competition/elojade/isef/case_details.cfm?proc_code=3_SA_38393</w:t>
        </w:r>
      </w:hyperlink>
      <w:r>
        <w:rPr>
          <w:lang w:val="fr-BE"/>
        </w:rPr>
        <w:t>.</w:t>
      </w:r>
      <w:r>
        <w:rPr>
          <w:rFonts w:ascii="Times New Roman" w:hAnsi="Times New Roman"/>
          <w:lang w:val="fr-BE"/>
        </w:rPr>
        <w:t xml:space="preserve"> </w:t>
      </w:r>
    </w:p>
  </w:footnote>
  <w:footnote w:id="282">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SA.38398 - </w:t>
      </w:r>
      <w:r>
        <w:rPr>
          <w:rFonts w:ascii="Times New Roman" w:hAnsi="Times New Roman"/>
          <w:i/>
          <w:lang w:val="fr-BE"/>
        </w:rPr>
        <w:t>Fiscalité des ports en France</w:t>
      </w:r>
      <w:r>
        <w:rPr>
          <w:rFonts w:ascii="Times New Roman" w:hAnsi="Times New Roman"/>
          <w:lang w:val="fr-BE"/>
        </w:rPr>
        <w:t xml:space="preserve">, décision de la Commission du 27 juillet 2017. Voir: </w:t>
      </w:r>
      <w:hyperlink r:id="rId186">
        <w:r>
          <w:rPr>
            <w:rStyle w:val="Hyperlink"/>
            <w:rFonts w:ascii="Times New Roman" w:hAnsi="Times New Roman"/>
            <w:lang w:val="fr-BE"/>
          </w:rPr>
          <w:t>http://ec.europa.eu/competition/elojade/isef/case_details.cfm?proc_code=3_SA_38398</w:t>
        </w:r>
      </w:hyperlink>
      <w:r>
        <w:rPr>
          <w:lang w:val="fr-BE"/>
        </w:rPr>
        <w:t>.</w:t>
      </w:r>
      <w:r>
        <w:rPr>
          <w:rFonts w:ascii="Times New Roman" w:hAnsi="Times New Roman"/>
          <w:lang w:val="fr-BE"/>
        </w:rPr>
        <w:t xml:space="preserve"> </w:t>
      </w:r>
    </w:p>
  </w:footnote>
  <w:footnote w:id="283">
    <w:p w:rsidR="00D9323F" w:rsidRDefault="00F47CDD">
      <w:pPr>
        <w:pStyle w:val="FootnoteText"/>
        <w:spacing w:after="0" w:line="240" w:lineRule="auto"/>
        <w:ind w:left="284" w:hanging="284"/>
        <w:rPr>
          <w:rFonts w:ascii="Times New Roman" w:hAnsi="Times New Roman"/>
          <w:i/>
          <w:iCs/>
          <w:color w:val="1F497D"/>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w:t>
      </w:r>
      <w:r>
        <w:rPr>
          <w:rFonts w:ascii="Times New Roman" w:hAnsi="Times New Roman"/>
          <w:color w:val="000000"/>
          <w:lang w:val="fr-BE"/>
        </w:rPr>
        <w:t xml:space="preserve">SA.45862 - </w:t>
      </w:r>
      <w:r>
        <w:rPr>
          <w:rFonts w:ascii="Times New Roman" w:hAnsi="Times New Roman"/>
          <w:i/>
          <w:color w:val="000000"/>
          <w:lang w:val="fr-BE"/>
        </w:rPr>
        <w:t>NL_BZK_CSDO_LB</w:t>
      </w:r>
      <w:r>
        <w:rPr>
          <w:rFonts w:ascii="Times New Roman" w:hAnsi="Times New Roman"/>
          <w:color w:val="000000"/>
          <w:lang w:val="fr-BE"/>
        </w:rPr>
        <w:t xml:space="preserve"> – Pays-Bas. Voir:</w:t>
      </w:r>
      <w:r>
        <w:rPr>
          <w:rFonts w:ascii="Times New Roman" w:hAnsi="Times New Roman"/>
          <w:i/>
          <w:color w:val="000000"/>
          <w:lang w:val="fr-BE"/>
        </w:rPr>
        <w:t xml:space="preserve"> </w:t>
      </w:r>
      <w:hyperlink r:id="rId187">
        <w:r>
          <w:rPr>
            <w:rStyle w:val="Hyperlink"/>
            <w:rFonts w:ascii="Times New Roman" w:hAnsi="Times New Roman"/>
            <w:lang w:val="fr-BE"/>
          </w:rPr>
          <w:t>http://europa.eu/rapid/press-release_IP-18-3521_fr.htm</w:t>
        </w:r>
      </w:hyperlink>
      <w:r>
        <w:rPr>
          <w:lang w:val="fr-BE"/>
        </w:rPr>
        <w:t>.</w:t>
      </w:r>
    </w:p>
  </w:footnote>
  <w:footnote w:id="284">
    <w:p w:rsidR="00D9323F" w:rsidRDefault="00F47CDD">
      <w:pPr>
        <w:spacing w:after="0" w:line="240" w:lineRule="auto"/>
        <w:ind w:left="284" w:hanging="284"/>
        <w:jc w:val="both"/>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Voir:</w:t>
      </w:r>
      <w:r>
        <w:rPr>
          <w:lang w:val="fr-BE"/>
        </w:rPr>
        <w:tab/>
      </w:r>
      <w:hyperlink r:id="rId188">
        <w:r>
          <w:rPr>
            <w:rStyle w:val="Hyperlink"/>
            <w:rFonts w:ascii="Times New Roman" w:hAnsi="Times New Roman"/>
            <w:sz w:val="20"/>
            <w:lang w:val="fr-BE"/>
          </w:rPr>
          <w:t>https://www.mf.gov.pl/en/news/-/asset_publisher/X7ac/content/arrangements-with-the-eu-comm</w:t>
        </w:r>
        <w:r>
          <w:rPr>
            <w:rStyle w:val="Hyperlink"/>
            <w:rFonts w:ascii="Times New Roman" w:hAnsi="Times New Roman"/>
            <w:sz w:val="20"/>
            <w:lang w:val="fr-BE"/>
          </w:rPr>
          <w:t>ission-on-the-minimum-income-tax-from-commercial-buildings</w:t>
        </w:r>
      </w:hyperlink>
      <w:r>
        <w:rPr>
          <w:lang w:val="fr-BE"/>
        </w:rPr>
        <w:t>.</w:t>
      </w:r>
    </w:p>
  </w:footnote>
  <w:footnote w:id="285">
    <w:p w:rsidR="00D9323F" w:rsidRDefault="00F47CDD">
      <w:pPr>
        <w:spacing w:after="0" w:line="240" w:lineRule="auto"/>
        <w:ind w:left="284" w:hanging="284"/>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 xml:space="preserve">Communication de la Commission au Parlement européen, au Conseil européen, au Conseil, au Comité économique et social européen, au Comité des régions et à la Banque européenne d’investissement </w:t>
      </w:r>
      <w:r>
        <w:rPr>
          <w:rFonts w:ascii="Times New Roman" w:hAnsi="Times New Roman"/>
          <w:sz w:val="20"/>
          <w:lang w:val="fr-BE"/>
        </w:rPr>
        <w:t xml:space="preserve">du 13 septembre 2017, «Investir dans une industrie intelligente, innovante et durable». Voir: </w:t>
      </w:r>
      <w:hyperlink r:id="rId189">
        <w:r>
          <w:rPr>
            <w:rStyle w:val="Hyperlink"/>
            <w:rFonts w:ascii="Times New Roman" w:hAnsi="Times New Roman"/>
            <w:sz w:val="20"/>
            <w:lang w:val="fr-BE"/>
          </w:rPr>
          <w:t>https://eur-lex.europa.eu/reso</w:t>
        </w:r>
        <w:r>
          <w:rPr>
            <w:rStyle w:val="Hyperlink"/>
            <w:rFonts w:ascii="Times New Roman" w:hAnsi="Times New Roman"/>
            <w:sz w:val="20"/>
            <w:lang w:val="fr-BE"/>
          </w:rPr>
          <w:t>urce.html?uri=cellar:c8b9aac5-9861-11e7-b92d-01aa75ed71a1.0003.02/DOC_1&amp;format=PDF</w:t>
        </w:r>
      </w:hyperlink>
      <w:r>
        <w:rPr>
          <w:lang w:val="fr-BE"/>
        </w:rPr>
        <w:t>.</w:t>
      </w:r>
    </w:p>
  </w:footnote>
  <w:footnote w:id="28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90">
        <w:r>
          <w:rPr>
            <w:rStyle w:val="Hyperlink"/>
            <w:rFonts w:ascii="Times New Roman" w:hAnsi="Times New Roman"/>
            <w:lang w:val="fr-BE"/>
          </w:rPr>
          <w:t>http://europa.eu/rapid/press-release_IP-18-3721_fr.htm</w:t>
        </w:r>
      </w:hyperlink>
      <w:r>
        <w:rPr>
          <w:lang w:val="fr-BE"/>
        </w:rPr>
        <w:t>.</w:t>
      </w:r>
    </w:p>
  </w:footnote>
  <w:footnote w:id="28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M.8677 – </w:t>
      </w:r>
      <w:r>
        <w:rPr>
          <w:rFonts w:ascii="Times New Roman" w:hAnsi="Times New Roman"/>
          <w:i/>
          <w:lang w:val="fr-BE"/>
        </w:rPr>
        <w:t>Siemens/Alsto</w:t>
      </w:r>
      <w:r>
        <w:rPr>
          <w:rFonts w:ascii="Times New Roman" w:hAnsi="Times New Roman"/>
          <w:i/>
          <w:lang w:val="fr-BE"/>
        </w:rPr>
        <w:t>m</w:t>
      </w:r>
      <w:r>
        <w:rPr>
          <w:rFonts w:ascii="Times New Roman" w:hAnsi="Times New Roman"/>
          <w:lang w:val="fr-BE"/>
        </w:rPr>
        <w:t xml:space="preserve">. Voir: </w:t>
      </w:r>
      <w:hyperlink r:id="rId191">
        <w:r>
          <w:rPr>
            <w:rStyle w:val="Hyperlink"/>
            <w:rFonts w:ascii="Times New Roman" w:hAnsi="Times New Roman"/>
            <w:lang w:val="fr-BE"/>
          </w:rPr>
          <w:t>http://europa.eu/rapid/press-release_IP-18-4527_fr.htm</w:t>
        </w:r>
      </w:hyperlink>
      <w:r>
        <w:rPr>
          <w:lang w:val="fr-BE"/>
        </w:rPr>
        <w:t>.</w:t>
      </w:r>
    </w:p>
  </w:footnote>
  <w:footnote w:id="288">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lang w:val="fr-BE"/>
        </w:rPr>
        <w:tab/>
      </w:r>
      <w:r>
        <w:rPr>
          <w:rFonts w:ascii="Times New Roman" w:hAnsi="Times New Roman"/>
          <w:lang w:val="fr-BE"/>
        </w:rPr>
        <w:t xml:space="preserve">Affaire M.8677 – </w:t>
      </w:r>
      <w:r>
        <w:rPr>
          <w:rFonts w:ascii="Times New Roman" w:hAnsi="Times New Roman"/>
          <w:i/>
          <w:lang w:val="fr-BE"/>
        </w:rPr>
        <w:t>Siemens/Alstom</w:t>
      </w:r>
      <w:r>
        <w:rPr>
          <w:rFonts w:ascii="Times New Roman" w:hAnsi="Times New Roman"/>
          <w:lang w:val="fr-BE"/>
        </w:rPr>
        <w:t>.</w:t>
      </w:r>
      <w:r>
        <w:rPr>
          <w:rFonts w:ascii="Times New Roman" w:hAnsi="Times New Roman"/>
          <w:i/>
          <w:lang w:val="fr-BE"/>
        </w:rPr>
        <w:t xml:space="preserve"> </w:t>
      </w:r>
      <w:r>
        <w:rPr>
          <w:rFonts w:ascii="Times New Roman" w:hAnsi="Times New Roman"/>
          <w:lang w:val="fr-BE"/>
        </w:rPr>
        <w:t>Décision du 6 février 2019. Non encore publiée.</w:t>
      </w:r>
      <w:r>
        <w:rPr>
          <w:rFonts w:ascii="Times New Roman" w:hAnsi="Times New Roman"/>
          <w:i/>
          <w:lang w:val="fr-BE"/>
        </w:rPr>
        <w:t xml:space="preserve"> </w:t>
      </w:r>
      <w:r>
        <w:rPr>
          <w:rFonts w:ascii="Times New Roman" w:hAnsi="Times New Roman"/>
          <w:lang w:val="fr-BE"/>
        </w:rPr>
        <w:t xml:space="preserve">Voir: </w:t>
      </w:r>
      <w:hyperlink r:id="rId192">
        <w:r>
          <w:rPr>
            <w:rStyle w:val="Hyperlink"/>
            <w:rFonts w:ascii="Times New Roman" w:hAnsi="Times New Roman"/>
            <w:lang w:val="fr-BE"/>
          </w:rPr>
          <w:t>http://europa.eu/rapid/press-release_IP-19-881_fr.htm</w:t>
        </w:r>
        <w:r>
          <w:rPr>
            <w:rStyle w:val="Hyperlink"/>
            <w:rFonts w:ascii="Times New Roman" w:hAnsi="Times New Roman"/>
            <w:u w:val="none"/>
            <w:lang w:val="fr-BE"/>
          </w:rPr>
          <w:t>.</w:t>
        </w:r>
      </w:hyperlink>
    </w:p>
  </w:footnote>
  <w:footnote w:id="289">
    <w:p w:rsidR="00D9323F" w:rsidRDefault="00F47CDD">
      <w:pPr>
        <w:spacing w:after="0" w:line="240" w:lineRule="auto"/>
        <w:ind w:left="284" w:hanging="284"/>
        <w:jc w:val="both"/>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 xml:space="preserve">Affaire SA.36086 - </w:t>
      </w:r>
      <w:r>
        <w:rPr>
          <w:rFonts w:ascii="Times New Roman" w:hAnsi="Times New Roman"/>
          <w:i/>
          <w:sz w:val="20"/>
          <w:lang w:val="fr-BE"/>
        </w:rPr>
        <w:t>Aide potentielle en faveur d’Oltchim</w:t>
      </w:r>
      <w:r>
        <w:rPr>
          <w:rFonts w:ascii="Times New Roman" w:hAnsi="Times New Roman"/>
          <w:sz w:val="20"/>
          <w:lang w:val="fr-BE"/>
        </w:rPr>
        <w:t xml:space="preserve">, décision de la Commission du 17 décembre 2018, voir: </w:t>
      </w:r>
      <w:hyperlink r:id="rId193">
        <w:r>
          <w:rPr>
            <w:rStyle w:val="Hyperlink"/>
            <w:rFonts w:ascii="Times New Roman" w:hAnsi="Times New Roman"/>
            <w:sz w:val="20"/>
            <w:lang w:val="fr-BE"/>
          </w:rPr>
          <w:t>http://ec.europa.eu/competition/elojade/isef/case_details.cfm?proc_code=3_SA_36086</w:t>
        </w:r>
      </w:hyperlink>
      <w:r>
        <w:rPr>
          <w:rStyle w:val="Hyperlink"/>
          <w:rFonts w:ascii="Times New Roman" w:hAnsi="Times New Roman"/>
          <w:sz w:val="20"/>
          <w:lang w:val="fr-BE"/>
        </w:rPr>
        <w:t xml:space="preserve">; </w:t>
      </w:r>
      <w:r>
        <w:rPr>
          <w:rFonts w:ascii="Times New Roman" w:hAnsi="Times New Roman"/>
          <w:sz w:val="20"/>
          <w:lang w:val="fr-BE"/>
        </w:rPr>
        <w:t xml:space="preserve">et IP/18/6845, voir: </w:t>
      </w:r>
      <w:hyperlink r:id="rId194">
        <w:r>
          <w:rPr>
            <w:rStyle w:val="Hyperlink"/>
            <w:rFonts w:ascii="Times New Roman" w:hAnsi="Times New Roman"/>
            <w:noProof/>
            <w:sz w:val="20"/>
            <w:lang w:val="fr-BE"/>
          </w:rPr>
          <w:t>http://europa.eu/rapid/press-release_IP-18-6845_fr.htm</w:t>
        </w:r>
      </w:hyperlink>
      <w:r>
        <w:rPr>
          <w:lang w:val="fr-BE"/>
        </w:rPr>
        <w:t>.</w:t>
      </w:r>
    </w:p>
  </w:footnote>
  <w:footnote w:id="290">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SA.48394 - </w:t>
      </w:r>
      <w:r>
        <w:rPr>
          <w:rFonts w:ascii="Times New Roman" w:hAnsi="Times New Roman"/>
          <w:i/>
          <w:lang w:val="fr-BE"/>
        </w:rPr>
        <w:t>Restructuration de la compagnie nationale de l’uranium</w:t>
      </w:r>
      <w:r>
        <w:rPr>
          <w:rFonts w:ascii="Times New Roman" w:hAnsi="Times New Roman"/>
          <w:lang w:val="fr-BE"/>
        </w:rPr>
        <w:t xml:space="preserve"> (Companiei Nationale a Uraniului CNU), voir: </w:t>
      </w:r>
      <w:hyperlink r:id="rId195">
        <w:r>
          <w:rPr>
            <w:rStyle w:val="Hyperlink"/>
            <w:rFonts w:ascii="Times New Roman" w:hAnsi="Times New Roman"/>
            <w:lang w:val="fr-BE"/>
          </w:rPr>
          <w:t>http://ec.europa.eu/competition/elojade/isef/case_details.cfm?proc_code=3_SA_48394</w:t>
        </w:r>
      </w:hyperlink>
      <w:r>
        <w:rPr>
          <w:rStyle w:val="Hyperlink"/>
          <w:rFonts w:ascii="Times New Roman" w:hAnsi="Times New Roman"/>
          <w:lang w:val="fr-BE"/>
        </w:rPr>
        <w:t xml:space="preserve">; </w:t>
      </w:r>
      <w:r>
        <w:rPr>
          <w:rFonts w:ascii="Times New Roman" w:hAnsi="Times New Roman"/>
          <w:lang w:val="fr-BE"/>
        </w:rPr>
        <w:t xml:space="preserve">et IP/18/3733, voir: </w:t>
      </w:r>
      <w:hyperlink r:id="rId196">
        <w:r>
          <w:rPr>
            <w:rStyle w:val="Hyperlink"/>
            <w:rFonts w:ascii="Times New Roman" w:hAnsi="Times New Roman"/>
            <w:lang w:val="fr-BE"/>
          </w:rPr>
          <w:t>http://europa.eu/rapid/press-r</w:t>
        </w:r>
        <w:r>
          <w:rPr>
            <w:rStyle w:val="Hyperlink"/>
            <w:rFonts w:ascii="Times New Roman" w:hAnsi="Times New Roman"/>
            <w:lang w:val="fr-BE"/>
          </w:rPr>
          <w:t>elease_IP-18-3733_fr.htm</w:t>
        </w:r>
      </w:hyperlink>
      <w:r>
        <w:rPr>
          <w:lang w:val="fr-BE"/>
        </w:rPr>
        <w:t>.</w:t>
      </w:r>
    </w:p>
  </w:footnote>
  <w:footnote w:id="291">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97">
        <w:r>
          <w:rPr>
            <w:rStyle w:val="Hyperlink"/>
            <w:rFonts w:ascii="Times New Roman" w:hAnsi="Times New Roman"/>
            <w:lang w:val="fr-BE"/>
          </w:rPr>
          <w:t>http://europa.eu/rapid/press-release_IP-18-6341_fr.htm</w:t>
        </w:r>
      </w:hyperlink>
      <w:r>
        <w:rPr>
          <w:lang w:val="fr-BE"/>
        </w:rPr>
        <w:t>.</w:t>
      </w:r>
    </w:p>
    <w:p w:rsidR="00D9323F" w:rsidRDefault="00D9323F">
      <w:pPr>
        <w:pStyle w:val="FootnoteText"/>
        <w:spacing w:after="0" w:line="240" w:lineRule="auto"/>
        <w:jc w:val="both"/>
        <w:rPr>
          <w:rFonts w:ascii="Times New Roman" w:hAnsi="Times New Roman"/>
          <w:lang w:val="fr-BE"/>
        </w:rPr>
      </w:pPr>
    </w:p>
  </w:footnote>
  <w:footnote w:id="292">
    <w:p w:rsidR="00D9323F" w:rsidRDefault="00F47CDD">
      <w:pPr>
        <w:pStyle w:val="FootnoteText"/>
        <w:spacing w:after="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L’Union européenne compte environ 11 millions d’exploitations agricoles, qui produisent</w:t>
      </w:r>
      <w:r>
        <w:rPr>
          <w:rFonts w:ascii="Times New Roman" w:hAnsi="Times New Roman"/>
          <w:lang w:val="fr-BE"/>
        </w:rPr>
        <w:t xml:space="preserve"> des produits agricoles destinés à être transformés par quelque 300 000 entreprises du secteur de l'alimentation et des boissons. Les transformateurs de denrées alimentaires écoulent leurs produits par l’intermédiaire de quelque 2,8 millions d’entreprises </w:t>
      </w:r>
      <w:r>
        <w:rPr>
          <w:rFonts w:ascii="Times New Roman" w:hAnsi="Times New Roman"/>
          <w:lang w:val="fr-BE"/>
        </w:rPr>
        <w:t>des secteurs de la distribution alimentaire et de la restauration, qui fournissent des denrées alimentaires aux 500 millions de consommateurs de l’Union européenne. Voir</w:t>
      </w:r>
      <w:hyperlink r:id="rId198">
        <w:r>
          <w:rPr>
            <w:rStyle w:val="Hyperlink"/>
            <w:rFonts w:ascii="Times New Roman" w:hAnsi="Times New Roman"/>
            <w:lang w:val="fr-BE"/>
          </w:rPr>
          <w:t>: https://ec.europa.e</w:t>
        </w:r>
        <w:r>
          <w:rPr>
            <w:rStyle w:val="Hyperlink"/>
            <w:rFonts w:ascii="Times New Roman" w:hAnsi="Times New Roman"/>
            <w:lang w:val="fr-BE"/>
          </w:rPr>
          <w:t>u/info/sites/info/files/food-farming-fisheries/farming/documents/factsheet-food-supply-chain_march2017_en.pdf</w:t>
        </w:r>
        <w:r>
          <w:rPr>
            <w:rStyle w:val="Hyperlink"/>
            <w:rFonts w:ascii="Times New Roman" w:hAnsi="Times New Roman"/>
            <w:u w:val="none"/>
            <w:lang w:val="fr-BE"/>
          </w:rPr>
          <w:t>.</w:t>
        </w:r>
      </w:hyperlink>
    </w:p>
  </w:footnote>
  <w:footnote w:id="293">
    <w:p w:rsidR="00D9323F" w:rsidRDefault="00F47CDD">
      <w:pPr>
        <w:tabs>
          <w:tab w:val="left" w:pos="307"/>
        </w:tabs>
        <w:spacing w:after="0" w:line="240" w:lineRule="auto"/>
        <w:ind w:left="284" w:hanging="284"/>
        <w:jc w:val="both"/>
        <w:rPr>
          <w:rFonts w:ascii="Times New Roman" w:hAnsi="Times New Roman"/>
          <w:sz w:val="20"/>
          <w:szCs w:val="20"/>
          <w:lang w:val="fr-BE"/>
        </w:rPr>
      </w:pPr>
      <w:r>
        <w:rPr>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Le règlement OCM est le règlement (UE) nº 1308/2013 du Parlement européen et du Conseil du 17 décembre 2013 portant organisation commune des m</w:t>
      </w:r>
      <w:r>
        <w:rPr>
          <w:rFonts w:ascii="Times New Roman" w:hAnsi="Times New Roman"/>
          <w:sz w:val="20"/>
          <w:lang w:val="fr-BE"/>
        </w:rPr>
        <w:t>archés des produits agricoles et abrogeant les règlements (CEE) nº 922/72, (CEE) nº 234/79, (CE) nº 1037/2001 et (CE) nº 1234/2007 du Conseil. Voir:</w:t>
      </w:r>
      <w:hyperlink r:id="rId199">
        <w:r>
          <w:rPr>
            <w:rStyle w:val="Hyperlink"/>
            <w:rFonts w:ascii="Times New Roman" w:hAnsi="Times New Roman"/>
            <w:sz w:val="20"/>
            <w:u w:val="none"/>
            <w:lang w:val="fr-BE"/>
          </w:rPr>
          <w:t xml:space="preserve"> </w:t>
        </w:r>
        <w:r>
          <w:rPr>
            <w:rStyle w:val="Hyperlink"/>
            <w:rFonts w:ascii="Times New Roman" w:hAnsi="Times New Roman"/>
            <w:sz w:val="20"/>
            <w:lang w:val="fr-BE"/>
          </w:rPr>
          <w:t>http://eur-lex.europ</w:t>
        </w:r>
        <w:r>
          <w:rPr>
            <w:rStyle w:val="Hyperlink"/>
            <w:rFonts w:ascii="Times New Roman" w:hAnsi="Times New Roman"/>
            <w:sz w:val="20"/>
            <w:lang w:val="fr-BE"/>
          </w:rPr>
          <w:t>a.eu/legal-content/fr/ALL/?uri=CELEX:32013R1308</w:t>
        </w:r>
        <w:r>
          <w:rPr>
            <w:rStyle w:val="Hyperlink"/>
            <w:rFonts w:ascii="Times New Roman" w:hAnsi="Times New Roman"/>
            <w:sz w:val="20"/>
            <w:u w:val="none"/>
            <w:lang w:val="fr-BE"/>
          </w:rPr>
          <w:t>.</w:t>
        </w:r>
      </w:hyperlink>
    </w:p>
  </w:footnote>
  <w:footnote w:id="294">
    <w:p w:rsidR="00D9323F" w:rsidRDefault="00F47CDD">
      <w:pPr>
        <w:pStyle w:val="FootnoteText"/>
        <w:tabs>
          <w:tab w:val="left" w:pos="284"/>
          <w:tab w:val="left" w:pos="567"/>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Règlement (UE) 2017/2393 du 13 décembre 2017. Voir: </w:t>
      </w:r>
      <w:hyperlink r:id="rId200">
        <w:r>
          <w:rPr>
            <w:rStyle w:val="Hyperlink"/>
            <w:rFonts w:ascii="Times New Roman" w:hAnsi="Times New Roman"/>
            <w:lang w:val="fr-BE"/>
          </w:rPr>
          <w:t>https://eur-</w:t>
        </w:r>
      </w:hyperlink>
      <w:r>
        <w:rPr>
          <w:rStyle w:val="Hyperlink"/>
          <w:rFonts w:ascii="Times New Roman" w:hAnsi="Times New Roman"/>
          <w:lang w:val="fr-BE"/>
        </w:rPr>
        <w:t>lex.europa.eu/legal-content/FR/TXT/?uri=uriserv:OJ.L_.2017.350.01.0015.01.FRA</w:t>
      </w:r>
      <w:r>
        <w:rPr>
          <w:lang w:val="fr-BE"/>
        </w:rPr>
        <w:t>.</w:t>
      </w:r>
      <w:r>
        <w:rPr>
          <w:rFonts w:ascii="Times New Roman" w:hAnsi="Times New Roman"/>
          <w:lang w:val="fr-BE"/>
        </w:rPr>
        <w:t xml:space="preserve"> </w:t>
      </w:r>
    </w:p>
  </w:footnote>
  <w:footnote w:id="295">
    <w:p w:rsidR="00D9323F" w:rsidRDefault="00F47CDD">
      <w:pPr>
        <w:pStyle w:val="FootnoteText"/>
        <w:tabs>
          <w:tab w:val="left" w:pos="284"/>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01">
        <w:r>
          <w:rPr>
            <w:rStyle w:val="Hyperlink"/>
            <w:rFonts w:ascii="Times New Roman" w:hAnsi="Times New Roman"/>
            <w:lang w:val="fr-BE"/>
          </w:rPr>
          <w:t>http://europa.eu/rapid/press-release_MEMO-18-3974_fr.htm</w:t>
        </w:r>
      </w:hyperlink>
      <w:r>
        <w:rPr>
          <w:lang w:val="fr-BE"/>
        </w:rPr>
        <w:t>.</w:t>
      </w:r>
    </w:p>
  </w:footnote>
  <w:footnote w:id="296">
    <w:p w:rsidR="00D9323F" w:rsidRDefault="00F47CDD">
      <w:pPr>
        <w:pStyle w:val="FootnoteText"/>
        <w:ind w:left="284" w:hanging="284"/>
        <w:rPr>
          <w:lang w:val="fr-BE"/>
        </w:rPr>
      </w:pPr>
      <w:r>
        <w:rPr>
          <w:rFonts w:ascii="Times New Roman" w:hAnsi="Times New Roman"/>
          <w:vertAlign w:val="superscript"/>
        </w:rPr>
        <w:footnoteRef/>
      </w:r>
      <w:r>
        <w:rPr>
          <w:lang w:val="fr-BE"/>
        </w:rPr>
        <w:t xml:space="preserve"> </w:t>
      </w:r>
      <w:r>
        <w:rPr>
          <w:lang w:val="fr-BE"/>
        </w:rPr>
        <w:tab/>
      </w:r>
      <w:r>
        <w:rPr>
          <w:rFonts w:ascii="Times New Roman" w:hAnsi="Times New Roman"/>
          <w:lang w:val="fr-BE"/>
        </w:rPr>
        <w:t xml:space="preserve">Voir: </w:t>
      </w:r>
      <w:hyperlink r:id="rId202">
        <w:r>
          <w:rPr>
            <w:rStyle w:val="Hyperlink"/>
            <w:rFonts w:ascii="Times New Roman" w:hAnsi="Times New Roman"/>
            <w:lang w:val="fr-BE"/>
          </w:rPr>
          <w:t>http://ec.europa.eu/compet</w:t>
        </w:r>
        <w:r>
          <w:rPr>
            <w:rStyle w:val="Hyperlink"/>
            <w:rFonts w:ascii="Times New Roman" w:hAnsi="Times New Roman"/>
            <w:lang w:val="fr-BE"/>
          </w:rPr>
          <w:t>ition/publications/reports/kd0218732enn.pdf</w:t>
        </w:r>
      </w:hyperlink>
      <w:r>
        <w:rPr>
          <w:lang w:val="fr-BE"/>
        </w:rPr>
        <w:t>.</w:t>
      </w:r>
    </w:p>
  </w:footnote>
  <w:footnote w:id="297">
    <w:p w:rsidR="00D9323F" w:rsidRDefault="00F47CDD">
      <w:pPr>
        <w:pStyle w:val="FootnoteText"/>
        <w:tabs>
          <w:tab w:val="left" w:pos="284"/>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03">
        <w:r>
          <w:rPr>
            <w:rStyle w:val="Hyperlink"/>
            <w:rFonts w:ascii="Times New Roman" w:hAnsi="Times New Roman"/>
            <w:lang w:val="fr-BE"/>
          </w:rPr>
          <w:t>https://eur-lex.europa.eu/legal-content/FR/TXT/PDF/?uri=CELEX:52018DC0706&amp;qid=1564574673057&amp;from=FR</w:t>
        </w:r>
      </w:hyperlink>
      <w:r>
        <w:rPr>
          <w:lang w:val="fr-BE"/>
        </w:rPr>
        <w:t>.</w:t>
      </w:r>
    </w:p>
  </w:footnote>
  <w:footnote w:id="298">
    <w:p w:rsidR="00D9323F" w:rsidRDefault="00F47CDD">
      <w:pPr>
        <w:pStyle w:val="FootnoteText"/>
        <w:tabs>
          <w:tab w:val="left" w:pos="284"/>
        </w:tabs>
        <w:spacing w:after="0" w:line="240" w:lineRule="auto"/>
        <w:ind w:left="284" w:hanging="284"/>
        <w:rPr>
          <w:rFonts w:ascii="Times New Roman" w:hAnsi="Times New Roman"/>
          <w:lang w:val="cs-CZ"/>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w:t>
      </w:r>
      <w:r>
        <w:rPr>
          <w:lang w:val="fr-BE"/>
        </w:rPr>
        <w:tab/>
      </w:r>
      <w:hyperlink r:id="rId204">
        <w:r>
          <w:rPr>
            <w:rStyle w:val="Hyperlink"/>
            <w:rFonts w:ascii="Times New Roman" w:hAnsi="Times New Roman"/>
            <w:lang w:val="fr-BE"/>
          </w:rPr>
          <w:t>http://europa.eu/rapid/press-release_IP-18-2702_fr.htm</w:t>
        </w:r>
      </w:hyperlink>
      <w:r>
        <w:rPr>
          <w:lang w:val="fr-BE"/>
        </w:rPr>
        <w:t>, et</w:t>
      </w:r>
      <w:r>
        <w:rPr>
          <w:rStyle w:val="Hyperlink"/>
          <w:rFonts w:ascii="Times New Roman" w:hAnsi="Times New Roman"/>
          <w:lang w:val="fr-BE"/>
        </w:rPr>
        <w:t xml:space="preserve"> https://eur-l</w:t>
      </w:r>
      <w:r>
        <w:rPr>
          <w:rStyle w:val="Hyperlink"/>
          <w:rFonts w:ascii="Times New Roman" w:hAnsi="Times New Roman"/>
          <w:lang w:val="fr-BE"/>
        </w:rPr>
        <w:t>ex.europa.eu/legal-content/FR/TXT/?uri=CELEX%3A52018PC0173</w:t>
      </w:r>
      <w:r>
        <w:rPr>
          <w:lang w:val="fr-BE"/>
        </w:rPr>
        <w:t>.</w:t>
      </w:r>
    </w:p>
  </w:footnote>
  <w:footnote w:id="299">
    <w:p w:rsidR="00D9323F" w:rsidRDefault="00F47CDD">
      <w:pPr>
        <w:pStyle w:val="FootnoteText"/>
        <w:spacing w:after="0" w:line="240" w:lineRule="auto"/>
        <w:ind w:left="284" w:hanging="284"/>
        <w:rPr>
          <w:rFonts w:ascii="Times New Roman" w:hAnsi="Times New Roman"/>
          <w:lang w:val="cs-CZ"/>
        </w:rPr>
      </w:pPr>
      <w:r>
        <w:rPr>
          <w:rFonts w:ascii="Times New Roman" w:hAnsi="Times New Roman"/>
          <w:vertAlign w:val="superscript"/>
        </w:rPr>
        <w:footnoteRef/>
      </w:r>
      <w:r>
        <w:rPr>
          <w:rFonts w:ascii="Times New Roman" w:hAnsi="Times New Roman"/>
          <w:vertAlign w:val="superscript"/>
          <w:lang w:val="cs-CZ"/>
        </w:rPr>
        <w:t xml:space="preserve"> </w:t>
      </w:r>
      <w:r>
        <w:rPr>
          <w:lang w:val="cs-CZ"/>
        </w:rPr>
        <w:tab/>
      </w:r>
      <w:r>
        <w:rPr>
          <w:rFonts w:ascii="Times New Roman" w:hAnsi="Times New Roman"/>
          <w:lang w:val="cs-CZ"/>
        </w:rPr>
        <w:t xml:space="preserve">Voir: annexe H de l’analyse d’impact de la Commission: Economic impact of unfair trading practices regulations in the food supply chain, p. 260, voir: </w:t>
      </w:r>
      <w:hyperlink r:id="rId205">
        <w:r>
          <w:rPr>
            <w:rStyle w:val="Hyperlink"/>
            <w:rFonts w:ascii="Times New Roman" w:hAnsi="Times New Roman"/>
            <w:lang w:val="cs-CZ"/>
          </w:rPr>
          <w:t>https://eur-lex.europa.eu/legal-content/EN/TXT/PDF/?uri=CELEX:52018SC0092&amp;from=EN</w:t>
        </w:r>
      </w:hyperlink>
      <w:r>
        <w:rPr>
          <w:lang w:val="cs-CZ"/>
        </w:rPr>
        <w:t>.</w:t>
      </w:r>
    </w:p>
  </w:footnote>
  <w:footnote w:id="300">
    <w:p w:rsidR="00D9323F" w:rsidRDefault="00F47CDD">
      <w:pPr>
        <w:pStyle w:val="FootnoteText"/>
        <w:tabs>
          <w:tab w:val="left" w:pos="284"/>
        </w:tabs>
        <w:spacing w:after="0" w:line="240" w:lineRule="auto"/>
        <w:ind w:left="284" w:hanging="284"/>
        <w:jc w:val="both"/>
        <w:rPr>
          <w:rFonts w:ascii="Times New Roman" w:hAnsi="Times New Roman"/>
          <w:lang w:val="cs-CZ"/>
        </w:rPr>
      </w:pPr>
      <w:r>
        <w:rPr>
          <w:rFonts w:ascii="Times New Roman" w:hAnsi="Times New Roman"/>
          <w:vertAlign w:val="superscript"/>
        </w:rPr>
        <w:footnoteRef/>
      </w:r>
      <w:r>
        <w:rPr>
          <w:rFonts w:ascii="Times New Roman" w:hAnsi="Times New Roman"/>
          <w:lang w:val="fr-BE"/>
        </w:rPr>
        <w:t xml:space="preserve"> Affaire AT.40134 - </w:t>
      </w:r>
      <w:r>
        <w:rPr>
          <w:rFonts w:ascii="Times New Roman" w:hAnsi="Times New Roman"/>
          <w:i/>
          <w:lang w:val="fr-BE"/>
        </w:rPr>
        <w:t>Restrictions du commerce de bières par AB InBev (anciennement Limes)</w:t>
      </w:r>
      <w:r>
        <w:rPr>
          <w:rFonts w:ascii="Times New Roman" w:hAnsi="Times New Roman"/>
          <w:lang w:val="fr-BE"/>
        </w:rPr>
        <w:t xml:space="preserve">. Voir: </w:t>
      </w:r>
      <w:hyperlink r:id="rId206">
        <w:r>
          <w:rPr>
            <w:rStyle w:val="Hyperlink"/>
            <w:rFonts w:ascii="Times New Roman" w:hAnsi="Times New Roman"/>
            <w:lang w:val="fr-BE"/>
          </w:rPr>
          <w:t>https://europa.eu/rapid/press-release_IP-17-5041_fr.htm</w:t>
        </w:r>
      </w:hyperlink>
      <w:r>
        <w:rPr>
          <w:lang w:val="fr-BE"/>
        </w:rPr>
        <w:t>.</w:t>
      </w:r>
    </w:p>
  </w:footnote>
  <w:footnote w:id="301">
    <w:p w:rsidR="00D9323F" w:rsidRDefault="00F47CDD">
      <w:pPr>
        <w:pStyle w:val="FootnoteText"/>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207">
        <w:r>
          <w:rPr>
            <w:rStyle w:val="Hyperlink"/>
            <w:rFonts w:ascii="Times New Roman" w:hAnsi="Times New Roman"/>
            <w:lang w:val="fr-BE"/>
          </w:rPr>
          <w:t>http://ec.europa.eu/competition/</w:t>
        </w:r>
        <w:r>
          <w:rPr>
            <w:rStyle w:val="Hyperlink"/>
            <w:rFonts w:ascii="Times New Roman" w:hAnsi="Times New Roman"/>
            <w:lang w:val="fr-BE"/>
          </w:rPr>
          <w:t>elojade/isef/case_details.cfm?proc_code=2_M_8084</w:t>
        </w:r>
      </w:hyperlink>
    </w:p>
  </w:footnote>
  <w:footnote w:id="302">
    <w:p w:rsidR="00D9323F" w:rsidRDefault="00F47CDD">
      <w:pPr>
        <w:pStyle w:val="FootnoteText"/>
        <w:spacing w:after="0" w:line="240" w:lineRule="auto"/>
        <w:ind w:left="284" w:hanging="284"/>
        <w:rPr>
          <w:rFonts w:ascii="Times New Roman" w:hAnsi="Times New Roman"/>
          <w:color w:val="263238"/>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Elles s’élevaient à 5,7 % en Lettonie et à 11,3 % en Allemagne en 2016. </w:t>
      </w:r>
      <w:r>
        <w:rPr>
          <w:rFonts w:ascii="Times New Roman" w:hAnsi="Times New Roman"/>
          <w:i/>
          <w:lang w:val="fr-BE"/>
        </w:rPr>
        <w:t>Source:</w:t>
      </w:r>
      <w:r>
        <w:rPr>
          <w:rFonts w:ascii="Times New Roman" w:hAnsi="Times New Roman"/>
          <w:lang w:val="fr-BE"/>
        </w:rPr>
        <w:t xml:space="preserve"> OCDE (2017), </w:t>
      </w:r>
      <w:r>
        <w:rPr>
          <w:rFonts w:ascii="Times New Roman" w:hAnsi="Times New Roman"/>
          <w:i/>
          <w:lang w:val="fr-BE"/>
        </w:rPr>
        <w:t>Panorama de la santé 2017: Les indicateurs de l’OCDE</w:t>
      </w:r>
      <w:r>
        <w:rPr>
          <w:rFonts w:ascii="Times New Roman" w:hAnsi="Times New Roman"/>
          <w:lang w:val="fr-BE"/>
        </w:rPr>
        <w:t xml:space="preserve">, Éditions OCDE, Paris, p. 142 et 143. Voir: </w:t>
      </w:r>
      <w:hyperlink r:id="rId208">
        <w:r>
          <w:rPr>
            <w:rStyle w:val="Hyperlink"/>
            <w:rFonts w:ascii="Times New Roman" w:hAnsi="Times New Roman"/>
            <w:lang w:val="fr-BE"/>
          </w:rPr>
          <w:t>http://dx.doi.org/10.1787/health_glance-2017-fr</w:t>
        </w:r>
      </w:hyperlink>
      <w:r>
        <w:rPr>
          <w:lang w:val="fr-BE"/>
        </w:rPr>
        <w:t>.</w:t>
      </w:r>
    </w:p>
  </w:footnote>
  <w:footnote w:id="303">
    <w:p w:rsidR="00D9323F" w:rsidRDefault="00F47CDD">
      <w:pPr>
        <w:pStyle w:val="FootnoteText"/>
        <w:spacing w:after="0" w:line="240" w:lineRule="auto"/>
        <w:ind w:left="284" w:hanging="284"/>
        <w:jc w:val="both"/>
        <w:rPr>
          <w:rFonts w:ascii="Times New Roman" w:hAnsi="Times New Roman"/>
          <w:color w:val="263238"/>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Les produits pharmaceutiques vendus au détail ont représenté 16 % des dépenses de santé en moyenne dans les pays de l’OCDE en 2015 (ou l’an</w:t>
      </w:r>
      <w:r>
        <w:rPr>
          <w:rFonts w:ascii="Times New Roman" w:hAnsi="Times New Roman"/>
          <w:lang w:val="fr-BE"/>
        </w:rPr>
        <w:t xml:space="preserve">née la plus proche); ce chiffre n’inclut pas encore les dépenses en produits pharmaceutiques dans les hôpitaux. Voir: </w:t>
      </w:r>
      <w:hyperlink r:id="rId209">
        <w:r>
          <w:rPr>
            <w:rStyle w:val="Hyperlink"/>
            <w:rFonts w:ascii="Times New Roman" w:hAnsi="Times New Roman"/>
            <w:lang w:val="fr-BE"/>
          </w:rPr>
          <w:t>https://www.oecd-ilibrary.org/docserver/health_glance-2017-68-fr.pdf?expires=1551708629&amp;id=id&amp;accname=oid031827&amp;checksum=EC3C51C8A5CC457130B602AD5CA1F827</w:t>
        </w:r>
      </w:hyperlink>
      <w:r>
        <w:rPr>
          <w:lang w:val="fr-BE"/>
        </w:rPr>
        <w:t>.</w:t>
      </w:r>
    </w:p>
  </w:footnote>
  <w:footnote w:id="30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10">
        <w:r>
          <w:rPr>
            <w:rStyle w:val="Hyperlink"/>
            <w:rFonts w:ascii="Times New Roman" w:hAnsi="Times New Roman"/>
            <w:lang w:val="fr-BE"/>
          </w:rPr>
          <w:t>http://ec.europa.eu/competition/sectors/pharmaceuticals/report2019/index.html</w:t>
        </w:r>
      </w:hyperlink>
      <w:r>
        <w:rPr>
          <w:lang w:val="fr-BE"/>
        </w:rPr>
        <w:t>.</w:t>
      </w:r>
    </w:p>
    <w:p w:rsidR="00D9323F" w:rsidRDefault="00F47CDD">
      <w:pPr>
        <w:pStyle w:val="FootnoteText"/>
        <w:spacing w:after="0" w:line="240" w:lineRule="auto"/>
        <w:jc w:val="both"/>
        <w:rPr>
          <w:rFonts w:ascii="Times New Roman" w:hAnsi="Times New Roman"/>
          <w:sz w:val="2"/>
          <w:szCs w:val="2"/>
          <w:lang w:val="fr-BE"/>
        </w:rPr>
      </w:pPr>
      <w:r>
        <w:rPr>
          <w:rFonts w:ascii="Times New Roman" w:hAnsi="Times New Roman"/>
          <w:sz w:val="2"/>
          <w:lang w:val="fr-BE"/>
        </w:rPr>
        <w:t xml:space="preserve"> </w:t>
      </w:r>
    </w:p>
  </w:footnote>
  <w:footnote w:id="305">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AT.40394 - </w:t>
      </w:r>
      <w:r>
        <w:rPr>
          <w:rFonts w:ascii="Times New Roman" w:hAnsi="Times New Roman"/>
          <w:i/>
          <w:lang w:val="fr-BE"/>
        </w:rPr>
        <w:t>Aspen</w:t>
      </w:r>
      <w:r>
        <w:rPr>
          <w:rFonts w:ascii="Times New Roman" w:hAnsi="Times New Roman"/>
          <w:lang w:val="fr-BE"/>
        </w:rPr>
        <w:t xml:space="preserve">. Voir: IP/17/1323 du 15 mai 2017: </w:t>
      </w:r>
      <w:hyperlink r:id="rId211">
        <w:r>
          <w:rPr>
            <w:rStyle w:val="Hyperlink"/>
            <w:rFonts w:ascii="Times New Roman" w:hAnsi="Times New Roman"/>
            <w:lang w:val="fr-BE"/>
          </w:rPr>
          <w:t>http://europa.eu/rapid/press-release_IP-17-1323_fr.htm</w:t>
        </w:r>
      </w:hyperlink>
      <w:r>
        <w:rPr>
          <w:rFonts w:ascii="Times New Roman" w:hAnsi="Times New Roman"/>
          <w:lang w:val="fr-BE"/>
        </w:rPr>
        <w:t xml:space="preserve"> et </w:t>
      </w:r>
      <w:hyperlink r:id="rId212">
        <w:r>
          <w:rPr>
            <w:rStyle w:val="Hyperlink"/>
            <w:rFonts w:ascii="Times New Roman" w:hAnsi="Times New Roman"/>
            <w:lang w:val="fr-BE"/>
          </w:rPr>
          <w:t>http://ec.europa.eu/competition/antitrust/cases/dec_docs/40394/40394_235_3.pdf</w:t>
        </w:r>
      </w:hyperlink>
      <w:r>
        <w:rPr>
          <w:lang w:val="fr-BE"/>
        </w:rPr>
        <w:t>.</w:t>
      </w:r>
    </w:p>
  </w:footnote>
  <w:footnote w:id="30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L’autorité de la</w:t>
      </w:r>
      <w:r>
        <w:rPr>
          <w:rFonts w:ascii="Times New Roman" w:hAnsi="Times New Roman"/>
          <w:lang w:val="fr-BE"/>
        </w:rPr>
        <w:t xml:space="preserve"> concurrence italienne a déjà adopté une décision constatant une infraction à l’encontre d’Aspen le 29 septembre 2016.</w:t>
      </w:r>
    </w:p>
  </w:footnote>
  <w:footnote w:id="30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AT.39686 - </w:t>
      </w:r>
      <w:r>
        <w:rPr>
          <w:rFonts w:ascii="Times New Roman" w:hAnsi="Times New Roman"/>
          <w:i/>
          <w:lang w:val="fr-BE"/>
        </w:rPr>
        <w:t>Cephalon</w:t>
      </w:r>
      <w:r>
        <w:rPr>
          <w:rFonts w:ascii="Times New Roman" w:hAnsi="Times New Roman"/>
          <w:lang w:val="fr-BE"/>
        </w:rPr>
        <w:t xml:space="preserve">. Voir: IP/17/2063 du 17 juillet 2017: </w:t>
      </w:r>
      <w:hyperlink r:id="rId213">
        <w:r>
          <w:rPr>
            <w:rStyle w:val="Hyperlink"/>
            <w:rFonts w:ascii="Times New Roman" w:hAnsi="Times New Roman"/>
            <w:lang w:val="fr-BE"/>
          </w:rPr>
          <w:t>http://europa.eu/rapid/press-release_IP-17-2063_fr.htm</w:t>
        </w:r>
      </w:hyperlink>
      <w:r>
        <w:rPr>
          <w:lang w:val="fr-BE"/>
        </w:rPr>
        <w:t>.</w:t>
      </w:r>
    </w:p>
  </w:footnote>
  <w:footnote w:id="308">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M.8955 - Takeda/Shire. Voir: </w:t>
      </w:r>
      <w:hyperlink r:id="rId214">
        <w:r>
          <w:rPr>
            <w:rStyle w:val="Hyperlink"/>
            <w:rFonts w:ascii="Times New Roman" w:hAnsi="Times New Roman"/>
            <w:lang w:val="fr-BE"/>
          </w:rPr>
          <w:t>http://europa.eu/rapid</w:t>
        </w:r>
        <w:r>
          <w:rPr>
            <w:rStyle w:val="Hyperlink"/>
            <w:rFonts w:ascii="Times New Roman" w:hAnsi="Times New Roman"/>
            <w:lang w:val="fr-BE"/>
          </w:rPr>
          <w:t>/press-release_IP-18-6497_fr.htm</w:t>
        </w:r>
      </w:hyperlink>
      <w:r>
        <w:rPr>
          <w:rFonts w:ascii="Times New Roman" w:hAnsi="Times New Roman"/>
          <w:lang w:val="fr-BE"/>
        </w:rPr>
        <w:t>.</w:t>
      </w:r>
    </w:p>
  </w:footnote>
  <w:footnote w:id="309">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T-216/15, Dôvera zdravotná poist’ovňa/Commission, arrêt du Tribunal du 5 février 2018. Voir: </w:t>
      </w:r>
      <w:hyperlink r:id="rId215">
        <w:r>
          <w:rPr>
            <w:rStyle w:val="Hyperlink"/>
            <w:rFonts w:ascii="Times New Roman" w:hAnsi="Times New Roman"/>
            <w:lang w:val="fr-BE"/>
          </w:rPr>
          <w:t>http://curia.europa.eu/juris/liste.</w:t>
        </w:r>
        <w:r>
          <w:rPr>
            <w:rStyle w:val="Hyperlink"/>
            <w:rFonts w:ascii="Times New Roman" w:hAnsi="Times New Roman"/>
            <w:lang w:val="fr-BE"/>
          </w:rPr>
          <w:t>jsf?language=fr&amp;num=T-216/15</w:t>
        </w:r>
      </w:hyperlink>
      <w:r>
        <w:rPr>
          <w:lang w:val="fr-BE"/>
        </w:rPr>
        <w:t>.</w:t>
      </w:r>
      <w:r>
        <w:rPr>
          <w:rFonts w:ascii="Times New Roman" w:hAnsi="Times New Roman"/>
          <w:lang w:val="fr-BE"/>
        </w:rPr>
        <w:t xml:space="preserve"> </w:t>
      </w:r>
    </w:p>
  </w:footnote>
  <w:footnote w:id="310">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r>
        <w:rPr>
          <w:rFonts w:ascii="Times New Roman" w:hAnsi="Times New Roman"/>
          <w:i/>
          <w:lang w:val="fr-BE"/>
        </w:rPr>
        <w:t xml:space="preserve">EU transport in figures - Statistical pocketbook </w:t>
      </w:r>
      <w:r>
        <w:rPr>
          <w:rFonts w:ascii="Times New Roman" w:hAnsi="Times New Roman"/>
          <w:lang w:val="fr-BE"/>
        </w:rPr>
        <w:t xml:space="preserve">(2017). Voir: </w:t>
      </w:r>
      <w:hyperlink r:id="rId216">
        <w:r>
          <w:rPr>
            <w:rStyle w:val="Hyperlink"/>
            <w:rFonts w:ascii="Times New Roman" w:hAnsi="Times New Roman"/>
            <w:lang w:val="fr-BE"/>
          </w:rPr>
          <w:t>http://ec.europa.eu/transport/facts-fundings/statistics/doc/2017/pocketbook2017.pdf</w:t>
        </w:r>
      </w:hyperlink>
      <w:r>
        <w:rPr>
          <w:rFonts w:ascii="Times New Roman" w:hAnsi="Times New Roman"/>
          <w:lang w:val="fr-BE"/>
        </w:rPr>
        <w:t>, p. 19, élaboré par la Commission. Avec quelque 664 milliards d’euros de valeur ajoutée brute (VAB) aux prix de base, le secteur des transports et des services d’entreposag</w:t>
      </w:r>
      <w:r>
        <w:rPr>
          <w:rFonts w:ascii="Times New Roman" w:hAnsi="Times New Roman"/>
          <w:lang w:val="fr-BE"/>
        </w:rPr>
        <w:t>e (services postaux et services de messagerie compris) a représenté environ 5 % de la VAB totale produite dans l’EU-28 en 2016 (ou 4,5 % si l’on exclut les services postaux et les services de courrier express ).</w:t>
      </w:r>
    </w:p>
  </w:footnote>
  <w:footnote w:id="31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Il convient toutefois de noter que la tro</w:t>
      </w:r>
      <w:r>
        <w:rPr>
          <w:rFonts w:ascii="Times New Roman" w:hAnsi="Times New Roman"/>
          <w:lang w:val="fr-BE"/>
        </w:rPr>
        <w:t>isième directive postale (2008/6/CE) a entièrement ouvert à la concurrence les marchés postaux des États membres, ce qui a permis l’apparition de nouveaux opérateurs et de nouveaux services.</w:t>
      </w:r>
    </w:p>
  </w:footnote>
  <w:footnote w:id="312">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M.8869 - </w:t>
      </w:r>
      <w:r>
        <w:rPr>
          <w:rFonts w:ascii="Times New Roman" w:hAnsi="Times New Roman"/>
          <w:i/>
          <w:lang w:val="fr-BE"/>
        </w:rPr>
        <w:t>Ryanair/LaudaMotion</w:t>
      </w:r>
      <w:r>
        <w:rPr>
          <w:rFonts w:ascii="Times New Roman" w:hAnsi="Times New Roman"/>
          <w:lang w:val="fr-BE"/>
        </w:rPr>
        <w:t xml:space="preserve">. Voir: </w:t>
      </w:r>
      <w:hyperlink r:id="rId217">
        <w:r>
          <w:rPr>
            <w:rStyle w:val="Hyperlink"/>
            <w:rFonts w:ascii="Times New Roman" w:hAnsi="Times New Roman"/>
            <w:lang w:val="fr-BE"/>
          </w:rPr>
          <w:t>http://ec.europa.eu/competition/elojade/isef/case_details.cfm?proc_code=2_M_8869</w:t>
        </w:r>
      </w:hyperlink>
      <w:r>
        <w:rPr>
          <w:lang w:val="fr-BE"/>
        </w:rPr>
        <w:t>.</w:t>
      </w:r>
      <w:r>
        <w:rPr>
          <w:rFonts w:ascii="Times New Roman" w:hAnsi="Times New Roman"/>
          <w:lang w:val="fr-BE"/>
        </w:rPr>
        <w:t xml:space="preserve"> </w:t>
      </w:r>
    </w:p>
  </w:footnote>
  <w:footnote w:id="31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Affaires M.8633 - </w:t>
      </w:r>
      <w:r>
        <w:rPr>
          <w:rFonts w:ascii="Times New Roman" w:hAnsi="Times New Roman"/>
          <w:i/>
          <w:lang w:val="fr-BE"/>
        </w:rPr>
        <w:t>Lufthansa/Certains actifs d’Air Berlin</w:t>
      </w:r>
      <w:r>
        <w:rPr>
          <w:rFonts w:ascii="Times New Roman" w:hAnsi="Times New Roman"/>
          <w:lang w:val="fr-BE"/>
        </w:rPr>
        <w:t xml:space="preserve"> et M.8672 - </w:t>
      </w:r>
      <w:r>
        <w:rPr>
          <w:rFonts w:ascii="Times New Roman" w:hAnsi="Times New Roman"/>
          <w:i/>
          <w:lang w:val="fr-BE"/>
        </w:rPr>
        <w:t>easyJet/Certains ac</w:t>
      </w:r>
      <w:r>
        <w:rPr>
          <w:rFonts w:ascii="Times New Roman" w:hAnsi="Times New Roman"/>
          <w:i/>
          <w:lang w:val="fr-BE"/>
        </w:rPr>
        <w:t>tifs d’Air Berlin</w:t>
      </w:r>
      <w:r>
        <w:rPr>
          <w:rFonts w:ascii="Times New Roman" w:hAnsi="Times New Roman"/>
          <w:lang w:val="fr-BE"/>
        </w:rPr>
        <w:t>.</w:t>
      </w:r>
    </w:p>
  </w:footnote>
  <w:footnote w:id="314">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M.6447 - </w:t>
      </w:r>
      <w:r>
        <w:rPr>
          <w:rFonts w:ascii="Times New Roman" w:hAnsi="Times New Roman"/>
          <w:i/>
          <w:lang w:val="fr-BE"/>
        </w:rPr>
        <w:t>IAG/bmi</w:t>
      </w:r>
      <w:r>
        <w:rPr>
          <w:rFonts w:ascii="Times New Roman" w:hAnsi="Times New Roman"/>
          <w:lang w:val="fr-BE"/>
        </w:rPr>
        <w:t>, décision de la Commission du 12 novembre 2018 relative à l’appréciation de la viabilité du demandeur et à l’évaluation de son offre formelle au titre du point 1.4.9 des engagements annexés à la décision de la</w:t>
      </w:r>
      <w:r>
        <w:rPr>
          <w:rFonts w:ascii="Times New Roman" w:hAnsi="Times New Roman"/>
          <w:lang w:val="fr-BE"/>
        </w:rPr>
        <w:t xml:space="preserve"> Commission du 30 mars 12 dans l’affaire M.6447 – </w:t>
      </w:r>
      <w:r>
        <w:rPr>
          <w:rFonts w:ascii="Times New Roman" w:hAnsi="Times New Roman"/>
          <w:i/>
          <w:lang w:val="fr-BE"/>
        </w:rPr>
        <w:t>IAG/bmi</w:t>
      </w:r>
      <w:r>
        <w:rPr>
          <w:rFonts w:ascii="Times New Roman" w:hAnsi="Times New Roman"/>
          <w:lang w:val="fr-BE"/>
        </w:rPr>
        <w:t xml:space="preserve">. </w:t>
      </w:r>
    </w:p>
  </w:footnote>
  <w:footnote w:id="315">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M.7541 - </w:t>
      </w:r>
      <w:r>
        <w:rPr>
          <w:rFonts w:ascii="Times New Roman" w:hAnsi="Times New Roman"/>
          <w:i/>
          <w:lang w:val="fr-BE"/>
        </w:rPr>
        <w:t>IAG/Aer Lingus</w:t>
      </w:r>
      <w:r>
        <w:rPr>
          <w:rFonts w:ascii="Times New Roman" w:hAnsi="Times New Roman"/>
          <w:lang w:val="fr-BE"/>
        </w:rPr>
        <w:t>, décision de la Commission du 12 novembre 2018 relative à l’appréciation de la viabilité du demandeur et à l’évaluation de son offre formelle au titre du point 2.26 des engagements annexés à la décision de la Commission du 14 juillet 2015 dans l’affaire M</w:t>
      </w:r>
      <w:r>
        <w:rPr>
          <w:rFonts w:ascii="Times New Roman" w:hAnsi="Times New Roman"/>
          <w:lang w:val="fr-BE"/>
        </w:rPr>
        <w:t xml:space="preserve">.7541 – </w:t>
      </w:r>
      <w:r>
        <w:rPr>
          <w:rFonts w:ascii="Times New Roman" w:hAnsi="Times New Roman"/>
          <w:i/>
          <w:lang w:val="fr-BE"/>
        </w:rPr>
        <w:t>IAG/Aer Lingus</w:t>
      </w:r>
      <w:r>
        <w:rPr>
          <w:rFonts w:ascii="Times New Roman" w:hAnsi="Times New Roman"/>
          <w:lang w:val="fr-BE"/>
        </w:rPr>
        <w:t xml:space="preserve">. </w:t>
      </w:r>
    </w:p>
  </w:footnote>
  <w:footnote w:id="316">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lang w:val="fr-BE"/>
        </w:rPr>
        <w:tab/>
      </w:r>
      <w:r>
        <w:rPr>
          <w:rFonts w:ascii="Times New Roman" w:hAnsi="Times New Roman"/>
          <w:lang w:val="fr-BE"/>
        </w:rPr>
        <w:t xml:space="preserve">Affaire M.5364 - </w:t>
      </w:r>
      <w:r>
        <w:rPr>
          <w:rFonts w:ascii="Times New Roman" w:hAnsi="Times New Roman"/>
          <w:i/>
          <w:lang w:val="fr-BE"/>
        </w:rPr>
        <w:t>Iberia/Clickair/Vueling</w:t>
      </w:r>
      <w:r>
        <w:rPr>
          <w:rFonts w:ascii="Times New Roman" w:hAnsi="Times New Roman"/>
          <w:lang w:val="fr-BE"/>
        </w:rPr>
        <w:t xml:space="preserve">, décision de la Commission du 12 novembre 2018 relative à l’appréciation de la viabilité des demandeurs et à l’évaluation de leurs offres formelles respectives au titre du point 1.4.9 des </w:t>
      </w:r>
      <w:r>
        <w:rPr>
          <w:rFonts w:ascii="Times New Roman" w:hAnsi="Times New Roman"/>
          <w:lang w:val="fr-BE"/>
        </w:rPr>
        <w:t xml:space="preserve">engagements annexés à la décision de la Commission du 9 janvier 2009 dans l’affaire M.5364 - </w:t>
      </w:r>
      <w:r>
        <w:rPr>
          <w:rFonts w:ascii="Times New Roman" w:hAnsi="Times New Roman"/>
          <w:i/>
          <w:lang w:val="fr-BE"/>
        </w:rPr>
        <w:t>Iberia/Clickair/Vueling</w:t>
      </w:r>
      <w:r>
        <w:rPr>
          <w:rFonts w:ascii="Times New Roman" w:hAnsi="Times New Roman"/>
          <w:lang w:val="fr-BE"/>
        </w:rPr>
        <w:t xml:space="preserve">.  </w:t>
      </w:r>
    </w:p>
  </w:footnote>
  <w:footnote w:id="31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Les systèmes informatisés de réservation (SIR), également appelés systèmes mondiaux de distribution (SMD), fournissent une interface </w:t>
      </w:r>
      <w:r>
        <w:rPr>
          <w:rFonts w:ascii="Times New Roman" w:hAnsi="Times New Roman"/>
          <w:lang w:val="fr-BE"/>
        </w:rPr>
        <w:t>technique entre, d’une part, les compagnies aériennes et autres fournisseurs de services de voyage, comme les exploitants ferroviaires, et, d’autre part, les agents de voyage (tant en ligne que traditionnels). Les SIR regroupent les informations sur les ta</w:t>
      </w:r>
      <w:r>
        <w:rPr>
          <w:rFonts w:ascii="Times New Roman" w:hAnsi="Times New Roman"/>
          <w:lang w:val="fr-BE"/>
        </w:rPr>
        <w:t>rifs, les horaires et les disponibilités fournies par les compagnies aériennes et les fournissent aux agents de voyage pour leur permettre de chercher, comparer et réserver des vols. Les SIR donnent aux agents de voyage accès aux services de centaines de c</w:t>
      </w:r>
      <w:r>
        <w:rPr>
          <w:rFonts w:ascii="Times New Roman" w:hAnsi="Times New Roman"/>
          <w:lang w:val="fr-BE"/>
        </w:rPr>
        <w:t>ompagnies aériennes dans le monde et offrent aux compagnies aériennes un canal de distribution à des milliers d’agents de voyage dans le monde.</w:t>
      </w:r>
    </w:p>
  </w:footnote>
  <w:footnote w:id="318">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218">
        <w:r>
          <w:rPr>
            <w:rStyle w:val="Hyperlink"/>
            <w:rFonts w:ascii="Times New Roman" w:hAnsi="Times New Roman"/>
            <w:lang w:val="fr-BE"/>
          </w:rPr>
          <w:t>http://ec.europa.eu/transparency/regdoc/index.cfm?fuseaction=list&amp;coteId=3&amp;documentType =COMMUNICATION_FROM_COMMISSION&amp;version=ALL</w:t>
        </w:r>
      </w:hyperlink>
      <w:r>
        <w:rPr>
          <w:lang w:val="fr-BE"/>
        </w:rPr>
        <w:t>.</w:t>
      </w:r>
    </w:p>
  </w:footnote>
  <w:footnote w:id="319">
    <w:p w:rsidR="00D9323F" w:rsidRDefault="00F47CDD">
      <w:pPr>
        <w:pStyle w:val="FootnoteText"/>
        <w:tabs>
          <w:tab w:val="left" w:pos="360"/>
        </w:tabs>
        <w:spacing w:after="0" w:line="240" w:lineRule="auto"/>
        <w:ind w:left="284" w:hanging="284"/>
        <w:rPr>
          <w:rFonts w:ascii="Times New Roman" w:hAnsi="Times New Roman"/>
          <w:bCs/>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w:t>
      </w:r>
      <w:r>
        <w:rPr>
          <w:rStyle w:val="Strong"/>
          <w:rFonts w:ascii="Times New Roman" w:hAnsi="Times New Roman"/>
          <w:b w:val="0"/>
          <w:lang w:val="fr-BE"/>
        </w:rPr>
        <w:t>SA.46945</w:t>
      </w:r>
      <w:r>
        <w:rPr>
          <w:rFonts w:ascii="Times New Roman" w:hAnsi="Times New Roman"/>
          <w:lang w:val="fr-BE"/>
        </w:rPr>
        <w:t xml:space="preserve"> -</w:t>
      </w:r>
      <w:r>
        <w:rPr>
          <w:rStyle w:val="Strong"/>
          <w:rFonts w:ascii="Times New Roman" w:hAnsi="Times New Roman"/>
          <w:lang w:val="fr-BE"/>
        </w:rPr>
        <w:t xml:space="preserve"> </w:t>
      </w:r>
      <w:r>
        <w:rPr>
          <w:rStyle w:val="Strong"/>
          <w:rFonts w:ascii="Times New Roman" w:hAnsi="Times New Roman"/>
          <w:b w:val="0"/>
          <w:i/>
          <w:lang w:val="fr-BE"/>
        </w:rPr>
        <w:t>Aéroport Erfurt-Weimar</w:t>
      </w:r>
      <w:r>
        <w:rPr>
          <w:rStyle w:val="Strong"/>
          <w:rFonts w:ascii="Times New Roman" w:hAnsi="Times New Roman"/>
          <w:b w:val="0"/>
          <w:lang w:val="fr-BE"/>
        </w:rPr>
        <w:t xml:space="preserve">, </w:t>
      </w:r>
      <w:r>
        <w:rPr>
          <w:rFonts w:ascii="Times New Roman" w:hAnsi="Times New Roman"/>
          <w:lang w:val="fr-BE"/>
        </w:rPr>
        <w:t xml:space="preserve">décision de la Commission du </w:t>
      </w:r>
      <w:r>
        <w:rPr>
          <w:rFonts w:ascii="Times New Roman" w:hAnsi="Times New Roman"/>
          <w:lang w:val="fr-BE"/>
        </w:rPr>
        <w:t>15 novembre 2018, voir:</w:t>
      </w:r>
      <w:r>
        <w:rPr>
          <w:rFonts w:ascii="Times New Roman" w:hAnsi="Times New Roman"/>
          <w:b/>
          <w:lang w:val="fr-BE"/>
        </w:rPr>
        <w:t xml:space="preserve"> </w:t>
      </w:r>
      <w:r>
        <w:rPr>
          <w:rFonts w:ascii="Times New Roman" w:hAnsi="Times New Roman"/>
          <w:lang w:val="fr-BE"/>
        </w:rPr>
        <w:t xml:space="preserve"> </w:t>
      </w:r>
      <w:hyperlink r:id="rId219">
        <w:r>
          <w:rPr>
            <w:rStyle w:val="Hyperlink"/>
            <w:rFonts w:ascii="Times New Roman" w:hAnsi="Times New Roman"/>
            <w:lang w:val="fr-BE"/>
          </w:rPr>
          <w:t>http://ec.europa.eu/competition/elojade/isef/case_details.cfm?proc_code=3_SA_46945</w:t>
        </w:r>
      </w:hyperlink>
      <w:r>
        <w:rPr>
          <w:rStyle w:val="Strong"/>
          <w:rFonts w:ascii="Times New Roman" w:hAnsi="Times New Roman"/>
          <w:b w:val="0"/>
          <w:lang w:val="fr-BE"/>
        </w:rPr>
        <w:t>;</w:t>
      </w:r>
      <w:r>
        <w:rPr>
          <w:lang w:val="fr-BE"/>
        </w:rPr>
        <w:t>.</w:t>
      </w:r>
      <w:r>
        <w:rPr>
          <w:rStyle w:val="Strong"/>
          <w:rFonts w:ascii="Times New Roman" w:hAnsi="Times New Roman"/>
          <w:b w:val="0"/>
          <w:lang w:val="fr-BE"/>
        </w:rPr>
        <w:t xml:space="preserve"> affaire SA.49709 - </w:t>
      </w:r>
      <w:r>
        <w:rPr>
          <w:rStyle w:val="Strong"/>
          <w:rFonts w:ascii="Times New Roman" w:hAnsi="Times New Roman"/>
          <w:b w:val="0"/>
          <w:i/>
          <w:lang w:val="fr-BE"/>
        </w:rPr>
        <w:t>Aéroport de Rostock Airpo</w:t>
      </w:r>
      <w:r>
        <w:rPr>
          <w:rStyle w:val="Strong"/>
          <w:rFonts w:ascii="Times New Roman" w:hAnsi="Times New Roman"/>
          <w:b w:val="0"/>
          <w:i/>
          <w:lang w:val="fr-BE"/>
        </w:rPr>
        <w:t>rt</w:t>
      </w:r>
      <w:r>
        <w:rPr>
          <w:rStyle w:val="Strong"/>
          <w:rFonts w:ascii="Times New Roman" w:hAnsi="Times New Roman"/>
          <w:b w:val="0"/>
          <w:lang w:val="fr-BE"/>
        </w:rPr>
        <w:t>,</w:t>
      </w:r>
      <w:r>
        <w:rPr>
          <w:rStyle w:val="Strong"/>
          <w:rFonts w:ascii="Times New Roman" w:hAnsi="Times New Roman"/>
          <w:lang w:val="fr-BE"/>
        </w:rPr>
        <w:t xml:space="preserve"> </w:t>
      </w:r>
      <w:r>
        <w:rPr>
          <w:rFonts w:ascii="Times New Roman" w:hAnsi="Times New Roman"/>
          <w:lang w:val="fr-BE"/>
        </w:rPr>
        <w:t>décision de la Commission</w:t>
      </w:r>
      <w:r>
        <w:rPr>
          <w:rStyle w:val="Strong"/>
          <w:rFonts w:ascii="Times New Roman" w:hAnsi="Times New Roman"/>
          <w:b w:val="0"/>
          <w:lang w:val="fr-BE"/>
        </w:rPr>
        <w:t xml:space="preserve"> du 13 septembre 2018, voir: </w:t>
      </w:r>
      <w:r>
        <w:rPr>
          <w:rStyle w:val="Hyperlink"/>
          <w:rFonts w:ascii="Times New Roman" w:hAnsi="Times New Roman"/>
          <w:lang w:val="fr-BE"/>
        </w:rPr>
        <w:t>http://ec.europa.eu/competition/elojade/isef/case_details.cfm?proc_code=3_SA_49709</w:t>
      </w:r>
      <w:r>
        <w:rPr>
          <w:rFonts w:ascii="Times New Roman" w:hAnsi="Times New Roman"/>
          <w:lang w:val="fr-BE"/>
        </w:rPr>
        <w:t>.</w:t>
      </w:r>
    </w:p>
  </w:footnote>
  <w:footnote w:id="320">
    <w:p w:rsidR="00D9323F" w:rsidRDefault="00F47CDD">
      <w:pPr>
        <w:pStyle w:val="FootnoteText"/>
        <w:tabs>
          <w:tab w:val="left" w:pos="360"/>
        </w:tabs>
        <w:spacing w:after="0" w:line="240" w:lineRule="auto"/>
        <w:ind w:left="284" w:hanging="284"/>
        <w:rPr>
          <w:rFonts w:ascii="Times New Roman" w:hAnsi="Times New Roman"/>
          <w:bCs/>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SA.49482 - </w:t>
      </w:r>
      <w:r>
        <w:rPr>
          <w:rFonts w:ascii="Times New Roman" w:hAnsi="Times New Roman"/>
          <w:i/>
          <w:lang w:val="fr-BE"/>
        </w:rPr>
        <w:t>Highlands and Island Airports Limited - aéroport de Sumburgh</w:t>
      </w:r>
      <w:r>
        <w:rPr>
          <w:rFonts w:ascii="Times New Roman" w:hAnsi="Times New Roman"/>
          <w:lang w:val="fr-BE"/>
        </w:rPr>
        <w:t xml:space="preserve">, décision de la Commission du 25 mai 2018. Voir: </w:t>
      </w:r>
      <w:hyperlink r:id="rId220">
        <w:r>
          <w:rPr>
            <w:rStyle w:val="Hyperlink"/>
            <w:rFonts w:ascii="Times New Roman" w:hAnsi="Times New Roman"/>
            <w:lang w:val="fr-BE"/>
          </w:rPr>
          <w:t>http://ec.europa.eu/competition/elojade/isef/case_details.cfm?proc_code=3_SA_49482</w:t>
        </w:r>
      </w:hyperlink>
      <w:r>
        <w:rPr>
          <w:lang w:val="fr-BE"/>
        </w:rPr>
        <w:t>.</w:t>
      </w:r>
      <w:r>
        <w:rPr>
          <w:rStyle w:val="Strong"/>
          <w:rFonts w:ascii="Times New Roman" w:hAnsi="Times New Roman"/>
          <w:b w:val="0"/>
          <w:lang w:val="fr-BE"/>
        </w:rPr>
        <w:t xml:space="preserve"> Affaire SA</w:t>
      </w:r>
      <w:r>
        <w:rPr>
          <w:rStyle w:val="Hyperlink"/>
          <w:rFonts w:ascii="Times New Roman" w:hAnsi="Times New Roman"/>
          <w:u w:val="none"/>
          <w:lang w:val="fr-BE"/>
        </w:rPr>
        <w:t>.</w:t>
      </w:r>
      <w:r>
        <w:rPr>
          <w:rStyle w:val="Strong"/>
          <w:rFonts w:ascii="Times New Roman" w:hAnsi="Times New Roman"/>
          <w:b w:val="0"/>
          <w:lang w:val="fr-BE"/>
        </w:rPr>
        <w:t xml:space="preserve">49331 - </w:t>
      </w:r>
      <w:r>
        <w:rPr>
          <w:rStyle w:val="Strong"/>
          <w:rFonts w:ascii="Times New Roman" w:hAnsi="Times New Roman"/>
          <w:b w:val="0"/>
          <w:i/>
          <w:lang w:val="fr-BE"/>
        </w:rPr>
        <w:t>C</w:t>
      </w:r>
      <w:r>
        <w:rPr>
          <w:rStyle w:val="Strong"/>
          <w:rFonts w:ascii="Times New Roman" w:hAnsi="Times New Roman"/>
          <w:b w:val="0"/>
          <w:i/>
          <w:lang w:val="fr-BE"/>
        </w:rPr>
        <w:t>ompensation SIEG pour l’aéroport de Bornholm</w:t>
      </w:r>
      <w:r>
        <w:rPr>
          <w:rStyle w:val="Strong"/>
          <w:rFonts w:ascii="Times New Roman" w:hAnsi="Times New Roman"/>
          <w:b w:val="0"/>
          <w:lang w:val="fr-BE"/>
        </w:rPr>
        <w:t>,</w:t>
      </w:r>
      <w:r>
        <w:rPr>
          <w:rStyle w:val="Strong"/>
          <w:rFonts w:ascii="Times New Roman" w:hAnsi="Times New Roman"/>
          <w:lang w:val="fr-BE"/>
        </w:rPr>
        <w:t xml:space="preserve"> </w:t>
      </w:r>
      <w:r>
        <w:rPr>
          <w:rFonts w:ascii="Times New Roman" w:hAnsi="Times New Roman"/>
          <w:lang w:val="fr-BE"/>
        </w:rPr>
        <w:t xml:space="preserve">décision de la Commission du 16 avril 2018, voir: </w:t>
      </w:r>
      <w:hyperlink r:id="rId221">
        <w:r>
          <w:rPr>
            <w:rStyle w:val="Hyperlink"/>
            <w:rFonts w:ascii="Times New Roman" w:hAnsi="Times New Roman"/>
            <w:lang w:val="fr-BE"/>
          </w:rPr>
          <w:t>http://ec.europa.eu/competition/elojade/isef/case_details.</w:t>
        </w:r>
        <w:r>
          <w:rPr>
            <w:rStyle w:val="Hyperlink"/>
            <w:rFonts w:ascii="Times New Roman" w:hAnsi="Times New Roman"/>
            <w:lang w:val="fr-BE"/>
          </w:rPr>
          <w:t>cfm?proc_code=3_SA_49331</w:t>
        </w:r>
      </w:hyperlink>
      <w:r>
        <w:rPr>
          <w:rStyle w:val="Strong"/>
          <w:rFonts w:ascii="Times New Roman" w:hAnsi="Times New Roman"/>
          <w:b w:val="0"/>
          <w:lang w:val="fr-BE"/>
        </w:rPr>
        <w:t>; affaire</w:t>
      </w:r>
      <w:r>
        <w:rPr>
          <w:rStyle w:val="Strong"/>
          <w:rFonts w:ascii="Times New Roman" w:hAnsi="Times New Roman"/>
          <w:lang w:val="fr-BE"/>
        </w:rPr>
        <w:t> </w:t>
      </w:r>
      <w:r>
        <w:rPr>
          <w:rStyle w:val="Strong"/>
          <w:rFonts w:ascii="Times New Roman" w:hAnsi="Times New Roman"/>
          <w:b w:val="0"/>
          <w:lang w:val="fr-BE"/>
        </w:rPr>
        <w:t xml:space="preserve">SA.49203 - </w:t>
      </w:r>
      <w:r>
        <w:rPr>
          <w:rStyle w:val="Strong"/>
          <w:rFonts w:ascii="Times New Roman" w:hAnsi="Times New Roman"/>
          <w:b w:val="0"/>
          <w:i/>
          <w:lang w:val="fr-BE"/>
        </w:rPr>
        <w:t>Compensation SIEG pour l’aéroport de Bacau</w:t>
      </w:r>
      <w:r>
        <w:rPr>
          <w:rStyle w:val="Strong"/>
          <w:rFonts w:ascii="Times New Roman" w:hAnsi="Times New Roman"/>
          <w:b w:val="0"/>
          <w:lang w:val="fr-BE"/>
        </w:rPr>
        <w:t>,</w:t>
      </w:r>
      <w:r>
        <w:rPr>
          <w:rStyle w:val="Strong"/>
          <w:rFonts w:ascii="Times New Roman" w:hAnsi="Times New Roman"/>
          <w:lang w:val="fr-BE"/>
        </w:rPr>
        <w:t xml:space="preserve"> </w:t>
      </w:r>
      <w:r>
        <w:rPr>
          <w:rFonts w:ascii="Times New Roman" w:hAnsi="Times New Roman"/>
          <w:lang w:val="fr-BE"/>
        </w:rPr>
        <w:t xml:space="preserve">décision de la Commission du 6 septembre 2018, voir: </w:t>
      </w:r>
      <w:hyperlink r:id="rId222">
        <w:r>
          <w:rPr>
            <w:rStyle w:val="Hyperlink"/>
            <w:rFonts w:ascii="Times New Roman" w:hAnsi="Times New Roman"/>
            <w:lang w:val="fr-BE"/>
          </w:rPr>
          <w:t>http://ec.eu</w:t>
        </w:r>
        <w:r>
          <w:rPr>
            <w:rStyle w:val="Hyperlink"/>
            <w:rFonts w:ascii="Times New Roman" w:hAnsi="Times New Roman"/>
            <w:lang w:val="fr-BE"/>
          </w:rPr>
          <w:t>ropa.eu/competition/elojade/isef/case_details.cfm?proc_code=3_SA_49203</w:t>
        </w:r>
      </w:hyperlink>
      <w:r>
        <w:rPr>
          <w:lang w:val="fr-BE"/>
        </w:rPr>
        <w:t>.</w:t>
      </w:r>
    </w:p>
  </w:footnote>
  <w:footnote w:id="32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Aide SA.47867 - </w:t>
      </w:r>
      <w:r>
        <w:rPr>
          <w:rFonts w:ascii="Times New Roman" w:hAnsi="Times New Roman"/>
          <w:i/>
          <w:lang w:val="fr-BE"/>
        </w:rPr>
        <w:t>Aide présumée en faveur de Ryanair à l’aéroport de Montpellier</w:t>
      </w:r>
      <w:r>
        <w:rPr>
          <w:rFonts w:ascii="Times New Roman" w:hAnsi="Times New Roman"/>
          <w:lang w:val="fr-BE"/>
        </w:rPr>
        <w:t xml:space="preserve">, décision de la Commission du 5 juillet 2018. Voir: </w:t>
      </w:r>
      <w:hyperlink r:id="rId223">
        <w:r>
          <w:rPr>
            <w:rStyle w:val="Hyperlink"/>
            <w:rFonts w:ascii="Times New Roman" w:hAnsi="Times New Roman"/>
            <w:lang w:val="fr-BE"/>
          </w:rPr>
          <w:t>http://ec.europa.eu/competition/elojade/isef/case_details.cfm?proc_code=3_SA_47867</w:t>
        </w:r>
      </w:hyperlink>
    </w:p>
  </w:footnote>
  <w:footnote w:id="322">
    <w:p w:rsidR="00D9323F" w:rsidRDefault="00F47CDD">
      <w:pPr>
        <w:pStyle w:val="FootnoteText"/>
        <w:tabs>
          <w:tab w:val="left" w:pos="360"/>
        </w:tabs>
        <w:spacing w:after="0" w:line="240" w:lineRule="auto"/>
        <w:ind w:left="284" w:hanging="284"/>
        <w:jc w:val="both"/>
        <w:rPr>
          <w:rFonts w:ascii="Times New Roman" w:hAnsi="Times New Roman"/>
          <w:bCs/>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SA</w:t>
      </w:r>
      <w:r>
        <w:rPr>
          <w:rStyle w:val="Strong"/>
          <w:rFonts w:ascii="Times New Roman" w:hAnsi="Times New Roman"/>
          <w:b w:val="0"/>
          <w:lang w:val="fr-BE"/>
        </w:rPr>
        <w:t>.</w:t>
      </w:r>
      <w:r>
        <w:rPr>
          <w:rFonts w:ascii="Times New Roman" w:hAnsi="Times New Roman"/>
          <w:lang w:val="fr-BE"/>
        </w:rPr>
        <w:t xml:space="preserve">43260 - </w:t>
      </w:r>
      <w:r>
        <w:rPr>
          <w:rFonts w:ascii="Times New Roman" w:hAnsi="Times New Roman"/>
          <w:i/>
          <w:lang w:val="fr-BE"/>
        </w:rPr>
        <w:t>Aide présumée en faveur de l’aéroport de Francfort-Hahn et de Ryanair</w:t>
      </w:r>
      <w:r>
        <w:rPr>
          <w:rFonts w:ascii="Times New Roman" w:hAnsi="Times New Roman"/>
          <w:lang w:val="fr-BE"/>
        </w:rPr>
        <w:t xml:space="preserve">, décision de la Commission du 26 octobre 2018. Voir: </w:t>
      </w:r>
      <w:hyperlink r:id="rId224">
        <w:r>
          <w:rPr>
            <w:rStyle w:val="Hyperlink"/>
            <w:rFonts w:ascii="Times New Roman" w:hAnsi="Times New Roman"/>
            <w:lang w:val="fr-BE"/>
          </w:rPr>
          <w:t>http://europa.eu/rapid/press-release_IP-18-6222_fr.htm</w:t>
        </w:r>
      </w:hyperlink>
      <w:r>
        <w:rPr>
          <w:lang w:val="fr-BE"/>
        </w:rPr>
        <w:t>.</w:t>
      </w:r>
    </w:p>
  </w:footnote>
  <w:footnote w:id="323">
    <w:p w:rsidR="00D9323F" w:rsidRDefault="00F47CDD">
      <w:pPr>
        <w:pStyle w:val="FootnoteText"/>
        <w:tabs>
          <w:tab w:val="left" w:pos="360"/>
        </w:tabs>
        <w:spacing w:after="0" w:line="240" w:lineRule="auto"/>
        <w:ind w:left="284" w:hanging="284"/>
        <w:jc w:val="both"/>
        <w:rPr>
          <w:rFonts w:ascii="Times New Roman" w:hAnsi="Times New Roman"/>
          <w:bCs/>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w:t>
      </w:r>
      <w:r>
        <w:rPr>
          <w:lang w:val="fr-BE"/>
        </w:rPr>
        <w:tab/>
      </w:r>
      <w:hyperlink r:id="rId225">
        <w:r>
          <w:rPr>
            <w:rStyle w:val="Hyperlink"/>
            <w:rFonts w:ascii="Times New Roman" w:hAnsi="Times New Roman"/>
            <w:lang w:val="fr-BE"/>
          </w:rPr>
          <w:t>http://europa.eu/rapid/press-release_IP-18-6785_fr.htm</w:t>
        </w:r>
      </w:hyperlink>
      <w:r>
        <w:rPr>
          <w:lang w:val="fr-BE"/>
        </w:rPr>
        <w:t>.</w:t>
      </w:r>
      <w:r>
        <w:rPr>
          <w:rFonts w:ascii="Times New Roman" w:hAnsi="Times New Roman"/>
          <w:lang w:val="fr-BE"/>
        </w:rPr>
        <w:t xml:space="preserve"> </w:t>
      </w:r>
    </w:p>
  </w:footnote>
  <w:footnote w:id="324">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SA.48171 - </w:t>
      </w:r>
      <w:r>
        <w:rPr>
          <w:rFonts w:ascii="Times New Roman" w:hAnsi="Times New Roman"/>
          <w:i/>
          <w:lang w:val="fr-BE"/>
        </w:rPr>
        <w:t>Plaintes contre des aides d’État présumées en faveur d’Alitalia</w:t>
      </w:r>
      <w:r>
        <w:rPr>
          <w:rFonts w:ascii="Times New Roman" w:hAnsi="Times New Roman"/>
          <w:lang w:val="fr-BE"/>
        </w:rPr>
        <w:t xml:space="preserve">, décision de la Commission du 23 avril 2018, voir: </w:t>
      </w:r>
      <w:hyperlink r:id="rId226">
        <w:r>
          <w:rPr>
            <w:rStyle w:val="Hyperlink"/>
            <w:rFonts w:ascii="Times New Roman" w:hAnsi="Times New Roman"/>
            <w:lang w:val="fr-BE"/>
          </w:rPr>
          <w:t>http://ec.europa.eu/competition/state_aid/cases/274312/274312_1991247_21_2.pdf</w:t>
        </w:r>
      </w:hyperlink>
      <w:r>
        <w:rPr>
          <w:rStyle w:val="Hyperlink"/>
          <w:rFonts w:ascii="Times New Roman" w:hAnsi="Times New Roman"/>
          <w:lang w:val="fr-BE"/>
        </w:rPr>
        <w:t>;</w:t>
      </w:r>
      <w:r>
        <w:rPr>
          <w:rFonts w:ascii="Times New Roman" w:hAnsi="Times New Roman"/>
          <w:lang w:val="fr-BE"/>
        </w:rPr>
        <w:t xml:space="preserve"> et IP/18/3501, voir: </w:t>
      </w:r>
      <w:hyperlink r:id="rId227">
        <w:r>
          <w:rPr>
            <w:rStyle w:val="Hyperlink"/>
            <w:rFonts w:ascii="Times New Roman" w:hAnsi="Times New Roman"/>
            <w:lang w:val="fr-BE"/>
          </w:rPr>
          <w:t>http://europa.eu/rapid/press-relea</w:t>
        </w:r>
        <w:r>
          <w:rPr>
            <w:rStyle w:val="Hyperlink"/>
            <w:rFonts w:ascii="Times New Roman" w:hAnsi="Times New Roman"/>
            <w:lang w:val="fr-BE"/>
          </w:rPr>
          <w:t>se_IP-18-3501_fr.htm</w:t>
        </w:r>
      </w:hyperlink>
      <w:r>
        <w:rPr>
          <w:lang w:val="fr-BE"/>
        </w:rPr>
        <w:t>.</w:t>
      </w:r>
      <w:r>
        <w:rPr>
          <w:rFonts w:ascii="Times New Roman" w:hAnsi="Times New Roman"/>
          <w:lang w:val="fr-BE"/>
        </w:rPr>
        <w:t xml:space="preserve">  </w:t>
      </w:r>
    </w:p>
  </w:footnote>
  <w:footnote w:id="32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règlement (CE) nº 246/2009 du Conseil dispose que, conformément aux dispositions de l’article 101, paragraphe 3, du TFUE, la Commission peut, par voie de règlement, exempter les accords de consortium de l’application de l’arti</w:t>
      </w:r>
      <w:r>
        <w:rPr>
          <w:rFonts w:ascii="Times New Roman" w:hAnsi="Times New Roman"/>
          <w:lang w:val="fr-BE"/>
        </w:rPr>
        <w:t>cle 101, paragraphe 1, du TFUE pendant une période limitée à cinq ans mais susceptible d’être prolongée. En conséquence, en 2009, la Commission a adopté le règlement d’exemption par catégorie en faveur des consortiums, qui prévoit les conditions spécifique</w:t>
      </w:r>
      <w:r>
        <w:rPr>
          <w:rFonts w:ascii="Times New Roman" w:hAnsi="Times New Roman"/>
          <w:lang w:val="fr-BE"/>
        </w:rPr>
        <w:t>s pour l’exemption des accords de consortium. Ces conditions visent notamment à garantir que les clients puissent jouir d’une partie équitable des avantages tirés.</w:t>
      </w:r>
    </w:p>
  </w:footnote>
  <w:footnote w:id="32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Les services de transport maritime de ligne consistent à assurer le transport maritime ré</w:t>
      </w:r>
      <w:r>
        <w:rPr>
          <w:rFonts w:ascii="Times New Roman" w:hAnsi="Times New Roman"/>
          <w:lang w:val="fr-BE"/>
        </w:rPr>
        <w:t>gulier de marchandises sur une route particulière. Ils nécessitent des investissements considérables et sont donc régulièrement fournis par plusieurs compagnies maritimes dans le cadre d’accords de «consortium». Les consortiums permettent d’obtenir des éco</w:t>
      </w:r>
      <w:r>
        <w:rPr>
          <w:rFonts w:ascii="Times New Roman" w:hAnsi="Times New Roman"/>
          <w:lang w:val="fr-BE"/>
        </w:rPr>
        <w:t>nomies d’échelle et de mieux utiliser l’espace des navires.</w:t>
      </w:r>
    </w:p>
  </w:footnote>
  <w:footnote w:id="32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Pour la feuille de route, les documents relatifs à la consultation et des informations complémentaires sur l’évaluation, voir: </w:t>
      </w:r>
      <w:hyperlink r:id="rId228">
        <w:r>
          <w:rPr>
            <w:rStyle w:val="Hyperlink"/>
            <w:rFonts w:ascii="Times New Roman" w:hAnsi="Times New Roman"/>
            <w:lang w:val="fr-BE"/>
          </w:rPr>
          <w:t>http://ec.europa.eu/competition/consultations/2018_consortia/index_fr.html</w:t>
        </w:r>
      </w:hyperlink>
      <w:r>
        <w:rPr>
          <w:lang w:val="fr-BE"/>
        </w:rPr>
        <w:t>.</w:t>
      </w:r>
      <w:r>
        <w:rPr>
          <w:rFonts w:ascii="Times New Roman" w:hAnsi="Times New Roman"/>
          <w:lang w:val="fr-BE"/>
        </w:rPr>
        <w:t xml:space="preserve"> </w:t>
      </w:r>
    </w:p>
  </w:footnote>
  <w:footnote w:id="328">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M.7268 -</w:t>
      </w:r>
      <w:r>
        <w:rPr>
          <w:rFonts w:ascii="Times New Roman" w:hAnsi="Times New Roman"/>
          <w:i/>
          <w:lang w:val="fr-BE"/>
        </w:rPr>
        <w:t xml:space="preserve"> CSAV/HGV/Kühne Maritime/Hapag-LLoyd</w:t>
      </w:r>
      <w:r>
        <w:rPr>
          <w:rFonts w:ascii="Times New Roman" w:hAnsi="Times New Roman"/>
          <w:lang w:val="fr-BE"/>
        </w:rPr>
        <w:t>, décision de la Commission du 11 septembre 2014. Voir:</w:t>
      </w:r>
      <w:hyperlink r:id="rId229">
        <w:r>
          <w:rPr>
            <w:rStyle w:val="Hyperlink"/>
            <w:rFonts w:ascii="Times New Roman" w:hAnsi="Times New Roman"/>
            <w:lang w:val="fr-BE"/>
          </w:rPr>
          <w:t>http://ec.europa.eu/competition/mergers/cases/decisions/m7268_1503_2.pdf</w:t>
        </w:r>
      </w:hyperlink>
      <w:r>
        <w:rPr>
          <w:lang w:val="fr-BE"/>
        </w:rPr>
        <w:t>.</w:t>
      </w:r>
      <w:r>
        <w:rPr>
          <w:rFonts w:ascii="Times New Roman" w:hAnsi="Times New Roman"/>
          <w:lang w:val="fr-BE"/>
        </w:rPr>
        <w:t xml:space="preserve"> </w:t>
      </w:r>
    </w:p>
  </w:footnote>
  <w:footnote w:id="329">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M.9016 - </w:t>
      </w:r>
      <w:r>
        <w:rPr>
          <w:rFonts w:ascii="Times New Roman" w:hAnsi="Times New Roman"/>
          <w:i/>
          <w:lang w:val="fr-BE"/>
        </w:rPr>
        <w:t>CMA CGM/Container Finance</w:t>
      </w:r>
      <w:r>
        <w:rPr>
          <w:rFonts w:ascii="Times New Roman" w:hAnsi="Times New Roman"/>
          <w:lang w:val="fr-BE"/>
        </w:rPr>
        <w:t xml:space="preserve">, décision de la Commission du 22 octobre 2018, disponible à l’avenir à l’adresse: </w:t>
      </w:r>
      <w:hyperlink r:id="rId230">
        <w:r>
          <w:rPr>
            <w:rStyle w:val="Hyperlink"/>
            <w:rFonts w:ascii="Times New Roman" w:hAnsi="Times New Roman"/>
            <w:lang w:val="fr-BE"/>
          </w:rPr>
          <w:t>http://ec.europa.eu/competition/elojade/isef/index.cfm?fuseaction=dsp_merger_by_date</w:t>
        </w:r>
      </w:hyperlink>
      <w:r>
        <w:rPr>
          <w:lang w:val="fr-BE"/>
        </w:rPr>
        <w:t>.</w:t>
      </w:r>
    </w:p>
  </w:footnote>
  <w:footnote w:id="330">
    <w:p w:rsidR="00D9323F" w:rsidRDefault="00F47CDD">
      <w:pPr>
        <w:pStyle w:val="Default"/>
        <w:ind w:left="284" w:hanging="284"/>
        <w:rPr>
          <w:rFonts w:ascii="Times New Roman" w:hAnsi="Times New Roman" w:cs="Times New Roman"/>
          <w:sz w:val="20"/>
          <w:szCs w:val="20"/>
          <w:lang w:val="fr-BE"/>
        </w:rPr>
      </w:pPr>
      <w:r>
        <w:rPr>
          <w:rFonts w:ascii="Times New Roman" w:hAnsi="Times New Roman"/>
          <w:color w:val="auto"/>
          <w:sz w:val="20"/>
          <w:vertAlign w:val="superscript"/>
        </w:rPr>
        <w:footnoteRef/>
      </w:r>
      <w:r>
        <w:rPr>
          <w:rFonts w:ascii="Times New Roman" w:hAnsi="Times New Roman"/>
          <w:color w:val="auto"/>
          <w:sz w:val="20"/>
          <w:vertAlign w:val="superscript"/>
          <w:lang w:val="fr-BE"/>
        </w:rPr>
        <w:t xml:space="preserve"> </w:t>
      </w:r>
      <w:r>
        <w:rPr>
          <w:lang w:val="fr-BE"/>
        </w:rPr>
        <w:tab/>
      </w:r>
      <w:r>
        <w:rPr>
          <w:rFonts w:ascii="Times New Roman" w:hAnsi="Times New Roman"/>
          <w:sz w:val="20"/>
          <w:lang w:val="fr-BE"/>
        </w:rPr>
        <w:t xml:space="preserve">Affaire M.9093 - </w:t>
      </w:r>
      <w:r>
        <w:rPr>
          <w:rFonts w:ascii="Times New Roman" w:hAnsi="Times New Roman"/>
          <w:i/>
          <w:sz w:val="20"/>
          <w:lang w:val="fr-BE"/>
        </w:rPr>
        <w:t>DP WORLD INVESTMENTS/UNIFEEDER</w:t>
      </w:r>
      <w:r>
        <w:rPr>
          <w:rFonts w:ascii="Times New Roman" w:hAnsi="Times New Roman"/>
          <w:sz w:val="20"/>
          <w:lang w:val="fr-BE"/>
        </w:rPr>
        <w:t xml:space="preserve">, décision de la Commission du 4 décembre 2018, disponible à l’avenir à l’adresse: </w:t>
      </w:r>
      <w:hyperlink r:id="rId231">
        <w:r>
          <w:rPr>
            <w:rStyle w:val="Hyperlink"/>
            <w:rFonts w:ascii="Times New Roman" w:hAnsi="Times New Roman"/>
            <w:sz w:val="20"/>
            <w:lang w:val="fr-BE"/>
          </w:rPr>
          <w:t>http://ec.europa.eu/competition/elojade/isef/index.cfm?fuseaction=dsp</w:t>
        </w:r>
        <w:r>
          <w:rPr>
            <w:rStyle w:val="Hyperlink"/>
            <w:rFonts w:ascii="Times New Roman" w:hAnsi="Times New Roman"/>
            <w:sz w:val="20"/>
            <w:lang w:val="fr-BE"/>
          </w:rPr>
          <w:t>_merger_by_date</w:t>
        </w:r>
      </w:hyperlink>
      <w:r>
        <w:rPr>
          <w:lang w:val="fr-BE"/>
        </w:rPr>
        <w:t>.</w:t>
      </w:r>
      <w:r>
        <w:rPr>
          <w:rFonts w:ascii="Times New Roman" w:hAnsi="Times New Roman"/>
          <w:sz w:val="20"/>
          <w:lang w:val="fr-BE"/>
        </w:rPr>
        <w:t xml:space="preserve"> </w:t>
      </w:r>
    </w:p>
  </w:footnote>
  <w:footnote w:id="331">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Communication de la Commission, </w:t>
      </w:r>
      <w:r>
        <w:rPr>
          <w:rFonts w:ascii="Times New Roman" w:hAnsi="Times New Roman"/>
          <w:i/>
          <w:lang w:val="fr-BE"/>
        </w:rPr>
        <w:t>Orientations communautaires sur les aides d’État au transport maritime</w:t>
      </w:r>
      <w:r>
        <w:rPr>
          <w:rFonts w:ascii="Times New Roman" w:hAnsi="Times New Roman"/>
          <w:lang w:val="fr-BE"/>
        </w:rPr>
        <w:t xml:space="preserve"> (JO C 13 du 17.1.2004, p. 3). Voir: </w:t>
      </w:r>
      <w:hyperlink r:id="rId232">
        <w:r>
          <w:rPr>
            <w:rStyle w:val="Hyperlink"/>
            <w:rFonts w:ascii="Times New Roman" w:hAnsi="Times New Roman"/>
            <w:lang w:val="fr-BE"/>
          </w:rPr>
          <w:t>http</w:t>
        </w:r>
        <w:r>
          <w:rPr>
            <w:rStyle w:val="Hyperlink"/>
            <w:rFonts w:ascii="Times New Roman" w:hAnsi="Times New Roman"/>
            <w:lang w:val="fr-BE"/>
          </w:rPr>
          <w:t>://eur-lex.europa.eu/legal-content/FR/ALL/?uri=CELEX:52004XC0117(01)</w:t>
        </w:r>
      </w:hyperlink>
      <w:r>
        <w:rPr>
          <w:lang w:val="fr-BE"/>
        </w:rPr>
        <w:t>.</w:t>
      </w:r>
    </w:p>
  </w:footnote>
  <w:footnote w:id="332">
    <w:p w:rsidR="00D9323F" w:rsidRDefault="00F47CDD">
      <w:pPr>
        <w:pStyle w:val="Default"/>
        <w:tabs>
          <w:tab w:val="left" w:pos="360"/>
        </w:tabs>
        <w:ind w:left="284" w:hanging="284"/>
        <w:rPr>
          <w:rFonts w:ascii="Times New Roman" w:hAnsi="Times New Roman" w:cs="Times New Roman"/>
          <w:sz w:val="20"/>
          <w:szCs w:val="20"/>
          <w:lang w:val="fr-BE"/>
        </w:rPr>
      </w:pPr>
      <w:r>
        <w:rPr>
          <w:rFonts w:ascii="Times New Roman" w:hAnsi="Times New Roman"/>
          <w:color w:val="auto"/>
          <w:sz w:val="20"/>
          <w:vertAlign w:val="superscript"/>
        </w:rPr>
        <w:footnoteRef/>
      </w:r>
      <w:r>
        <w:rPr>
          <w:rFonts w:ascii="Times New Roman" w:hAnsi="Times New Roman"/>
          <w:sz w:val="20"/>
          <w:lang w:val="fr-BE"/>
        </w:rPr>
        <w:t xml:space="preserve"> </w:t>
      </w:r>
      <w:r>
        <w:rPr>
          <w:lang w:val="fr-BE"/>
        </w:rPr>
        <w:tab/>
      </w:r>
      <w:r>
        <w:rPr>
          <w:rFonts w:ascii="Times New Roman" w:hAnsi="Times New Roman"/>
          <w:color w:val="auto"/>
          <w:sz w:val="20"/>
          <w:lang w:val="fr-BE"/>
        </w:rPr>
        <w:t xml:space="preserve">Affaire SA.48929 (2018/N) - </w:t>
      </w:r>
      <w:r>
        <w:rPr>
          <w:rFonts w:ascii="Times New Roman" w:hAnsi="Times New Roman"/>
          <w:i/>
          <w:color w:val="auto"/>
          <w:sz w:val="20"/>
          <w:lang w:val="fr-BE"/>
        </w:rPr>
        <w:t>Portugal - régime de taxe au tonnage et de soutien des gens de mer</w:t>
      </w:r>
      <w:r>
        <w:rPr>
          <w:rFonts w:ascii="Times New Roman" w:hAnsi="Times New Roman"/>
          <w:color w:val="auto"/>
          <w:sz w:val="20"/>
          <w:lang w:val="fr-BE"/>
        </w:rPr>
        <w:t xml:space="preserve">. Voir: </w:t>
      </w:r>
      <w:hyperlink r:id="rId233">
        <w:r>
          <w:rPr>
            <w:rStyle w:val="Hyperlink"/>
            <w:rFonts w:ascii="Times New Roman" w:hAnsi="Times New Roman"/>
            <w:sz w:val="20"/>
            <w:lang w:val="fr-BE"/>
          </w:rPr>
          <w:t>http://europa.eu/rapid/press-release_IP-18-2842_fr.htm</w:t>
        </w:r>
      </w:hyperlink>
      <w:r>
        <w:rPr>
          <w:lang w:val="fr-BE"/>
        </w:rPr>
        <w:t>.</w:t>
      </w:r>
    </w:p>
  </w:footnote>
  <w:footnote w:id="333">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 xml:space="preserve">Affaires SA.48119 (2017/N) et SA.49523 (2017/N) – </w:t>
      </w:r>
      <w:r>
        <w:rPr>
          <w:rFonts w:ascii="Times New Roman" w:hAnsi="Times New Roman"/>
          <w:i/>
          <w:lang w:val="fr-BE"/>
        </w:rPr>
        <w:t>Croatie – SIEG</w:t>
      </w:r>
      <w:r>
        <w:rPr>
          <w:rFonts w:ascii="Times New Roman" w:hAnsi="Times New Roman"/>
          <w:lang w:val="fr-BE"/>
        </w:rPr>
        <w:t xml:space="preserve"> – transport public maritime côtier de ligne sur les liaisons par transbordeur nº 431, nº 432, nº 632 et nº 635. Voir:  </w:t>
      </w:r>
      <w:hyperlink r:id="rId234">
        <w:r>
          <w:rPr>
            <w:rStyle w:val="Hyperlink"/>
            <w:rFonts w:ascii="Times New Roman" w:hAnsi="Times New Roman"/>
            <w:lang w:val="fr-BE"/>
          </w:rPr>
          <w:t>http://ec.europa.eu/competition/elojade/isef/case_details.cfm?proc_code=3_SA_48119</w:t>
        </w:r>
      </w:hyperlink>
      <w:r>
        <w:rPr>
          <w:rStyle w:val="Hyperlink"/>
          <w:rFonts w:ascii="Times New Roman" w:hAnsi="Times New Roman"/>
          <w:lang w:val="fr-BE"/>
        </w:rPr>
        <w:t>,</w:t>
      </w:r>
    </w:p>
    <w:p w:rsidR="00D9323F" w:rsidRDefault="00F47CDD">
      <w:pPr>
        <w:pStyle w:val="FootnoteText"/>
        <w:spacing w:after="0" w:line="240" w:lineRule="auto"/>
        <w:ind w:left="284"/>
        <w:jc w:val="both"/>
        <w:rPr>
          <w:rFonts w:ascii="Times New Roman" w:hAnsi="Times New Roman"/>
          <w:lang w:val="fr-BE"/>
        </w:rPr>
      </w:pPr>
      <w:r>
        <w:rPr>
          <w:rFonts w:ascii="Times New Roman" w:hAnsi="Times New Roman"/>
          <w:lang w:val="fr-BE"/>
        </w:rPr>
        <w:t xml:space="preserve">et </w:t>
      </w:r>
      <w:r>
        <w:rPr>
          <w:rStyle w:val="Hyperlink"/>
          <w:rFonts w:ascii="Times New Roman" w:hAnsi="Times New Roman"/>
          <w:lang w:val="fr-BE"/>
        </w:rPr>
        <w:t>http://ec.europa.eu/competition/elojade/isef/case_details.cfm?proc_code=3_SA_4952</w:t>
      </w:r>
      <w:r>
        <w:rPr>
          <w:rStyle w:val="Hyperlink"/>
          <w:rFonts w:ascii="Times New Roman" w:hAnsi="Times New Roman"/>
          <w:lang w:val="fr-BE"/>
        </w:rPr>
        <w:t>3</w:t>
      </w:r>
      <w:r>
        <w:rPr>
          <w:rFonts w:ascii="Times New Roman" w:hAnsi="Times New Roman"/>
          <w:lang w:val="fr-BE"/>
        </w:rPr>
        <w:t>.</w:t>
      </w:r>
      <w:r>
        <w:rPr>
          <w:rStyle w:val="Hyperlink"/>
          <w:rFonts w:ascii="Times New Roman" w:hAnsi="Times New Roman"/>
          <w:lang w:val="fr-BE"/>
        </w:rPr>
        <w:t xml:space="preserve"> </w:t>
      </w:r>
    </w:p>
  </w:footnote>
  <w:footnote w:id="33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Affaire SA.45300 - Danemark</w:t>
      </w:r>
      <w:r>
        <w:rPr>
          <w:rFonts w:ascii="Times New Roman" w:hAnsi="Times New Roman"/>
          <w:i/>
          <w:lang w:val="fr-BE"/>
        </w:rPr>
        <w:t xml:space="preserve"> - Modification du régime danois de taxation au tonnage</w:t>
      </w:r>
      <w:r>
        <w:rPr>
          <w:rFonts w:ascii="Times New Roman" w:hAnsi="Times New Roman"/>
          <w:lang w:val="fr-BE"/>
        </w:rPr>
        <w:t xml:space="preserve"> (extension du régime de taxation au tonnage afin de couvrir plusieurs navires spécialisés). Voir: </w:t>
      </w:r>
      <w:r>
        <w:rPr>
          <w:rFonts w:ascii="Times New Roman" w:hAnsi="Times New Roman"/>
          <w:u w:val="single"/>
          <w:lang w:val="fr-BE"/>
        </w:rPr>
        <w:t>http://</w:t>
      </w:r>
      <w:hyperlink r:id="rId235">
        <w:r>
          <w:rPr>
            <w:rFonts w:ascii="Times New Roman" w:hAnsi="Times New Roman"/>
            <w:u w:val="single"/>
            <w:lang w:val="fr-BE"/>
          </w:rPr>
          <w:t>europa.eu/rapid/press-release_IP-18-6107_fr.pdf</w:t>
        </w:r>
      </w:hyperlink>
      <w:r>
        <w:rPr>
          <w:lang w:val="fr-BE"/>
        </w:rPr>
        <w:t>.</w:t>
      </w:r>
      <w:hyperlink r:id="rId236">
        <w:r>
          <w:rPr>
            <w:rFonts w:ascii="Times New Roman" w:hAnsi="Times New Roman"/>
            <w:u w:val="single"/>
            <w:lang w:val="fr-BE"/>
          </w:rPr>
          <w:t xml:space="preserve">   </w:t>
        </w:r>
      </w:hyperlink>
    </w:p>
  </w:footnote>
  <w:footnote w:id="335">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SA.46727 – Pays-Bas - </w:t>
      </w:r>
      <w:r>
        <w:rPr>
          <w:rFonts w:ascii="Times New Roman" w:hAnsi="Times New Roman"/>
          <w:i/>
          <w:lang w:val="fr-BE"/>
        </w:rPr>
        <w:t>Prolongation de l’extension de la réduction de la taxation pour la navigation mariti</w:t>
      </w:r>
      <w:r>
        <w:rPr>
          <w:rFonts w:ascii="Times New Roman" w:hAnsi="Times New Roman"/>
          <w:i/>
          <w:lang w:val="fr-BE"/>
        </w:rPr>
        <w:t>me aux navires de croisière commerciaux</w:t>
      </w:r>
      <w:r>
        <w:rPr>
          <w:rFonts w:ascii="Times New Roman" w:hAnsi="Times New Roman"/>
          <w:lang w:val="fr-BE"/>
        </w:rPr>
        <w:t xml:space="preserve">, décision de la Commission du 7 novembre 2018, JO C 462 du 21.12.2018, p. 1. </w:t>
      </w:r>
    </w:p>
  </w:footnote>
  <w:footnote w:id="336">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 46309 – France – </w:t>
      </w:r>
      <w:r>
        <w:rPr>
          <w:rFonts w:ascii="Times New Roman" w:hAnsi="Times New Roman"/>
          <w:i/>
          <w:lang w:val="fr-BE"/>
        </w:rPr>
        <w:t>Modification du régime d’allègement des charges sociales patronales des entreprises d’armement maritime</w:t>
      </w:r>
      <w:r>
        <w:rPr>
          <w:rFonts w:ascii="Times New Roman" w:hAnsi="Times New Roman"/>
          <w:lang w:val="fr-BE"/>
        </w:rPr>
        <w:t>, d</w:t>
      </w:r>
      <w:r>
        <w:rPr>
          <w:rFonts w:ascii="Times New Roman" w:hAnsi="Times New Roman"/>
          <w:lang w:val="fr-BE"/>
        </w:rPr>
        <w:t xml:space="preserve">écision de la Commission du 20 décembre 2018. Voir: </w:t>
      </w:r>
      <w:hyperlink r:id="rId237">
        <w:r>
          <w:rPr>
            <w:rStyle w:val="Hyperlink"/>
            <w:rFonts w:ascii="Times New Roman" w:hAnsi="Times New Roman"/>
            <w:lang w:val="fr-BE"/>
          </w:rPr>
          <w:t>http://europa.eu/rapid/midday-express-20-12-2018.htm</w:t>
        </w:r>
      </w:hyperlink>
      <w:r>
        <w:rPr>
          <w:lang w:val="fr-BE"/>
        </w:rPr>
        <w:t>.</w:t>
      </w:r>
      <w:r>
        <w:rPr>
          <w:rFonts w:ascii="Times New Roman" w:hAnsi="Times New Roman"/>
          <w:lang w:val="fr-BE"/>
        </w:rPr>
        <w:t xml:space="preserve">  </w:t>
      </w:r>
    </w:p>
  </w:footnote>
  <w:footnote w:id="337">
    <w:p w:rsidR="00D9323F" w:rsidRDefault="00F47CDD">
      <w:pPr>
        <w:pStyle w:val="FootnoteText"/>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AT.40565 - </w:t>
      </w:r>
      <w:r>
        <w:rPr>
          <w:rFonts w:ascii="Times New Roman" w:hAnsi="Times New Roman"/>
          <w:i/>
          <w:lang w:val="fr-BE"/>
        </w:rPr>
        <w:t>Affaire procédurale ZSSK</w:t>
      </w:r>
      <w:r>
        <w:rPr>
          <w:rFonts w:ascii="Times New Roman" w:hAnsi="Times New Roman"/>
          <w:lang w:val="fr-BE"/>
        </w:rPr>
        <w:t xml:space="preserve">. Voir: IP/18/5905 du 25 septembre 2018. Voir: </w:t>
      </w:r>
      <w:hyperlink r:id="rId238">
        <w:r>
          <w:rPr>
            <w:rStyle w:val="Hyperlink"/>
            <w:rFonts w:ascii="Times New Roman" w:hAnsi="Times New Roman"/>
            <w:lang w:val="fr-BE"/>
          </w:rPr>
          <w:t>http://europa.eu/rapid/press-release_IP-18-5905_fr.htm</w:t>
        </w:r>
      </w:hyperlink>
      <w:r>
        <w:rPr>
          <w:lang w:val="fr-BE"/>
        </w:rPr>
        <w:t>.</w:t>
      </w:r>
      <w:r>
        <w:rPr>
          <w:rFonts w:ascii="Times New Roman" w:hAnsi="Times New Roman"/>
          <w:lang w:val="fr-BE"/>
        </w:rPr>
        <w:t xml:space="preserve"> </w:t>
      </w:r>
    </w:p>
  </w:footnote>
  <w:footnote w:id="338">
    <w:p w:rsidR="00D9323F" w:rsidRDefault="00F47CDD">
      <w:pPr>
        <w:pStyle w:val="FootnoteText"/>
        <w:tabs>
          <w:tab w:val="left" w:pos="360"/>
        </w:tabs>
        <w:spacing w:after="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SA.49153 - Tchéquie - </w:t>
      </w:r>
      <w:r>
        <w:rPr>
          <w:rFonts w:ascii="Times New Roman" w:hAnsi="Times New Roman"/>
          <w:i/>
          <w:lang w:val="fr-BE"/>
        </w:rPr>
        <w:t>Aides en faveur d’unités de transport intermo</w:t>
      </w:r>
      <w:r>
        <w:rPr>
          <w:rFonts w:ascii="Times New Roman" w:hAnsi="Times New Roman"/>
          <w:i/>
          <w:lang w:val="fr-BE"/>
        </w:rPr>
        <w:t>dal</w:t>
      </w:r>
      <w:r>
        <w:rPr>
          <w:rFonts w:ascii="Times New Roman" w:hAnsi="Times New Roman"/>
          <w:lang w:val="fr-BE"/>
        </w:rPr>
        <w:t xml:space="preserve">, décision de la Commission du 15 mai 2018, voir: </w:t>
      </w:r>
      <w:hyperlink r:id="rId239">
        <w:r>
          <w:rPr>
            <w:rStyle w:val="Hyperlink"/>
            <w:rFonts w:ascii="Times New Roman" w:hAnsi="Times New Roman"/>
            <w:lang w:val="fr-BE"/>
          </w:rPr>
          <w:t>http://ec.europa.eu/competition/elojade/isef/case_details.cfm?proc_code=3_SA_49153</w:t>
        </w:r>
      </w:hyperlink>
      <w:r>
        <w:rPr>
          <w:rFonts w:ascii="Times New Roman" w:hAnsi="Times New Roman"/>
          <w:lang w:val="fr-BE"/>
        </w:rPr>
        <w:t xml:space="preserve">; affaire SA.49518 </w:t>
      </w:r>
      <w:r>
        <w:rPr>
          <w:rFonts w:ascii="Times New Roman" w:hAnsi="Times New Roman"/>
          <w:lang w:val="fr-BE"/>
        </w:rPr>
        <w:t xml:space="preserve">- Royaume-Uni - </w:t>
      </w:r>
      <w:r>
        <w:rPr>
          <w:rFonts w:ascii="Times New Roman" w:hAnsi="Times New Roman"/>
          <w:i/>
          <w:lang w:val="fr-BE"/>
        </w:rPr>
        <w:t>Subvention en faveur d’installations de fret</w:t>
      </w:r>
      <w:r>
        <w:rPr>
          <w:rFonts w:ascii="Times New Roman" w:hAnsi="Times New Roman"/>
          <w:lang w:val="fr-BE"/>
        </w:rPr>
        <w:t>, décision de la Commission du 15 octobre 2018, voir:</w:t>
      </w:r>
      <w:r>
        <w:rPr>
          <w:lang w:val="fr-BE"/>
        </w:rPr>
        <w:t xml:space="preserve"> </w:t>
      </w:r>
      <w:hyperlink r:id="rId240">
        <w:r>
          <w:rPr>
            <w:rStyle w:val="Hyperlink"/>
            <w:rFonts w:ascii="Times New Roman" w:hAnsi="Times New Roman"/>
            <w:lang w:val="fr-BE"/>
          </w:rPr>
          <w:t>http://ec.europa.eu/competition/elojade/</w:t>
        </w:r>
        <w:r>
          <w:rPr>
            <w:rStyle w:val="Hyperlink"/>
            <w:rFonts w:ascii="Times New Roman" w:hAnsi="Times New Roman"/>
            <w:lang w:val="fr-BE"/>
          </w:rPr>
          <w:t>isef/case_details.cfm?proc_code=3_SA_49518</w:t>
        </w:r>
      </w:hyperlink>
      <w:r>
        <w:rPr>
          <w:rFonts w:ascii="Times New Roman" w:hAnsi="Times New Roman"/>
          <w:lang w:val="fr-BE"/>
        </w:rPr>
        <w:t xml:space="preserve">; affaire SA.49749 - Suède - </w:t>
      </w:r>
      <w:r>
        <w:rPr>
          <w:rFonts w:ascii="Times New Roman" w:hAnsi="Times New Roman"/>
          <w:i/>
          <w:lang w:val="fr-BE"/>
        </w:rPr>
        <w:t>Aide environnementale en faveur du transport ferroviaire de marchandises</w:t>
      </w:r>
      <w:r>
        <w:rPr>
          <w:rFonts w:ascii="Times New Roman" w:hAnsi="Times New Roman"/>
          <w:lang w:val="fr-BE"/>
        </w:rPr>
        <w:t xml:space="preserve">, décision de la Commission du 20 avril 2018, voir: </w:t>
      </w:r>
      <w:hyperlink r:id="rId241">
        <w:r>
          <w:rPr>
            <w:rStyle w:val="Hyperlink"/>
            <w:rFonts w:ascii="Times New Roman" w:hAnsi="Times New Roman"/>
            <w:lang w:val="fr-BE"/>
          </w:rPr>
          <w:t>http://ec.europa.eu/competition/elojade/isef/case_details.cfm?proc_code=3_SA_49749</w:t>
        </w:r>
      </w:hyperlink>
      <w:r>
        <w:rPr>
          <w:rFonts w:ascii="Times New Roman" w:hAnsi="Times New Roman"/>
          <w:lang w:val="fr-BE"/>
        </w:rPr>
        <w:t xml:space="preserve">; affaire SA.50165 - Allemagne - </w:t>
      </w:r>
      <w:r>
        <w:rPr>
          <w:rFonts w:ascii="Times New Roman" w:hAnsi="Times New Roman"/>
          <w:i/>
          <w:lang w:val="fr-BE"/>
        </w:rPr>
        <w:t>Soutien à la promotion de l’efficacité énergétique dans le transport ferroviaire</w:t>
      </w:r>
      <w:r>
        <w:rPr>
          <w:rFonts w:ascii="Times New Roman" w:hAnsi="Times New Roman"/>
          <w:lang w:val="fr-BE"/>
        </w:rPr>
        <w:t>, décision de la Com</w:t>
      </w:r>
      <w:r>
        <w:rPr>
          <w:rFonts w:ascii="Times New Roman" w:hAnsi="Times New Roman"/>
          <w:lang w:val="fr-BE"/>
        </w:rPr>
        <w:t xml:space="preserve">mission du 26 juillet 2018, voir: </w:t>
      </w:r>
      <w:hyperlink r:id="rId242">
        <w:r>
          <w:rPr>
            <w:rStyle w:val="Hyperlink"/>
            <w:rFonts w:ascii="Times New Roman" w:hAnsi="Times New Roman"/>
            <w:lang w:val="fr-BE"/>
          </w:rPr>
          <w:t>http://ec.europa.eu/competition/elojade/isef/case_details.cfm?proc_code=3_SA_50165</w:t>
        </w:r>
      </w:hyperlink>
      <w:r>
        <w:rPr>
          <w:rFonts w:ascii="Times New Roman" w:hAnsi="Times New Roman"/>
          <w:lang w:val="fr-BE"/>
        </w:rPr>
        <w:t xml:space="preserve">; affaire SA.50217 - Suède - </w:t>
      </w:r>
      <w:r>
        <w:rPr>
          <w:rFonts w:ascii="Times New Roman" w:hAnsi="Times New Roman"/>
          <w:i/>
          <w:lang w:val="fr-BE"/>
        </w:rPr>
        <w:t>Régime su</w:t>
      </w:r>
      <w:r>
        <w:rPr>
          <w:rFonts w:ascii="Times New Roman" w:hAnsi="Times New Roman"/>
          <w:i/>
          <w:lang w:val="fr-BE"/>
        </w:rPr>
        <w:t>édois d’écobonus pour le transport maritime à courte distance et le transport par voies navigables intérieures</w:t>
      </w:r>
      <w:r>
        <w:rPr>
          <w:rFonts w:ascii="Times New Roman" w:hAnsi="Times New Roman"/>
          <w:lang w:val="fr-BE"/>
        </w:rPr>
        <w:t xml:space="preserve">, décision de la Commission du 9 novembre 2018, voir: </w:t>
      </w:r>
      <w:hyperlink r:id="rId243">
        <w:r>
          <w:rPr>
            <w:rFonts w:ascii="Times New Roman" w:hAnsi="Times New Roman"/>
            <w:u w:val="single"/>
            <w:lang w:val="fr-BE"/>
          </w:rPr>
          <w:t>http://ec.europa.eu/competition/elojade/isef/case_details.cfm?proc_code=3_SA_50217</w:t>
        </w:r>
      </w:hyperlink>
      <w:r>
        <w:rPr>
          <w:rFonts w:ascii="Times New Roman" w:hAnsi="Times New Roman"/>
          <w:lang w:val="fr-BE"/>
        </w:rPr>
        <w:t xml:space="preserve">; affaire SA.50395 - Allemagne - </w:t>
      </w:r>
      <w:r>
        <w:rPr>
          <w:rFonts w:ascii="Times New Roman" w:hAnsi="Times New Roman"/>
          <w:i/>
          <w:lang w:val="fr-BE"/>
        </w:rPr>
        <w:t>Réduction du prélèvement «offshore» en faveur des entreprises ferroviaires en Allemagne</w:t>
      </w:r>
      <w:r>
        <w:rPr>
          <w:rFonts w:ascii="Times New Roman" w:hAnsi="Times New Roman"/>
          <w:lang w:val="fr-BE"/>
        </w:rPr>
        <w:t>, décision de la Commission du 27 mars 2018,</w:t>
      </w:r>
      <w:r>
        <w:rPr>
          <w:rFonts w:ascii="Times New Roman" w:hAnsi="Times New Roman"/>
          <w:lang w:val="fr-BE"/>
        </w:rPr>
        <w:t xml:space="preserve"> voir: </w:t>
      </w:r>
      <w:hyperlink r:id="rId244">
        <w:r>
          <w:rPr>
            <w:rFonts w:ascii="Times New Roman" w:hAnsi="Times New Roman"/>
            <w:u w:val="single"/>
            <w:lang w:val="fr-BE"/>
          </w:rPr>
          <w:t>http://ec.europa.eu/competition/elojade/isef/case_details.cfm?proc_code=3_SA_50395</w:t>
        </w:r>
      </w:hyperlink>
      <w:r>
        <w:rPr>
          <w:rFonts w:ascii="Times New Roman" w:hAnsi="Times New Roman"/>
          <w:lang w:val="fr-BE"/>
        </w:rPr>
        <w:t xml:space="preserve">; affaire SA.50584 - Belgique - </w:t>
      </w:r>
      <w:r>
        <w:rPr>
          <w:rFonts w:ascii="Times New Roman" w:hAnsi="Times New Roman"/>
          <w:i/>
          <w:lang w:val="fr-BE"/>
        </w:rPr>
        <w:t>Mesure structurelle d’aide réduis</w:t>
      </w:r>
      <w:r>
        <w:rPr>
          <w:rFonts w:ascii="Times New Roman" w:hAnsi="Times New Roman"/>
          <w:i/>
          <w:lang w:val="fr-BE"/>
        </w:rPr>
        <w:t>ant le désavantage, en termes de coûts, résultant du regroupement des volumes transportés par chemin de fer/voies navigables intérieures en provenance et à destination des ports maritimes flamands afin de promouvoir le transfert modal</w:t>
      </w:r>
      <w:r>
        <w:rPr>
          <w:rFonts w:ascii="Times New Roman" w:hAnsi="Times New Roman"/>
          <w:lang w:val="fr-BE"/>
        </w:rPr>
        <w:t>, décision de la Commi</w:t>
      </w:r>
      <w:r>
        <w:rPr>
          <w:rFonts w:ascii="Times New Roman" w:hAnsi="Times New Roman"/>
          <w:lang w:val="fr-BE"/>
        </w:rPr>
        <w:t xml:space="preserve">ssion du 24 octobre 2018, voir: </w:t>
      </w:r>
      <w:hyperlink r:id="rId245">
        <w:r>
          <w:rPr>
            <w:rFonts w:ascii="Times New Roman" w:hAnsi="Times New Roman"/>
            <w:u w:val="single"/>
            <w:lang w:val="fr-BE"/>
          </w:rPr>
          <w:t>http://ec.europa.eu/competition/elojade/isef/case_details.cfm?proc_code=3_SA_50584</w:t>
        </w:r>
      </w:hyperlink>
      <w:r>
        <w:rPr>
          <w:rFonts w:ascii="Times New Roman" w:hAnsi="Times New Roman"/>
          <w:lang w:val="fr-BE"/>
        </w:rPr>
        <w:t xml:space="preserve"> </w:t>
      </w:r>
    </w:p>
  </w:footnote>
  <w:footnote w:id="339">
    <w:p w:rsidR="00D9323F" w:rsidRDefault="00F47CDD">
      <w:pPr>
        <w:pStyle w:val="FootnoteText"/>
        <w:tabs>
          <w:tab w:val="left" w:pos="284"/>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SA.43549 - Aide présumée en</w:t>
      </w:r>
      <w:r>
        <w:rPr>
          <w:rFonts w:ascii="Times New Roman" w:hAnsi="Times New Roman"/>
          <w:lang w:val="fr-BE"/>
        </w:rPr>
        <w:t xml:space="preserve"> faveur de CFR Marfa, décision de la Commission du 18 décembre 2017, voir: </w:t>
      </w:r>
      <w:hyperlink r:id="rId246">
        <w:r>
          <w:rPr>
            <w:rStyle w:val="Hyperlink"/>
            <w:rFonts w:ascii="Times New Roman" w:hAnsi="Times New Roman"/>
            <w:lang w:val="fr-BE"/>
          </w:rPr>
          <w:t>http://ec.europa.eu/competition/elojade/isef/case_details.cfm?proc_code=3_SA_43549</w:t>
        </w:r>
      </w:hyperlink>
      <w:r>
        <w:rPr>
          <w:rStyle w:val="Hyperlink"/>
          <w:rFonts w:ascii="Times New Roman" w:hAnsi="Times New Roman"/>
          <w:lang w:val="fr-BE"/>
        </w:rPr>
        <w:t>;</w:t>
      </w:r>
      <w:r>
        <w:rPr>
          <w:rFonts w:ascii="Times New Roman" w:hAnsi="Times New Roman"/>
          <w:lang w:val="fr-BE"/>
        </w:rPr>
        <w:t xml:space="preserve"> et IP/17/5345, voir: </w:t>
      </w:r>
      <w:hyperlink r:id="rId247">
        <w:r>
          <w:rPr>
            <w:rStyle w:val="Hyperlink"/>
            <w:rFonts w:ascii="Times New Roman" w:hAnsi="Times New Roman"/>
            <w:lang w:val="fr-BE"/>
          </w:rPr>
          <w:t>http://europa.eu/rapid/press-release_IP-17-5345_fr.htm</w:t>
        </w:r>
      </w:hyperlink>
      <w:r>
        <w:rPr>
          <w:lang w:val="fr-BE"/>
        </w:rPr>
        <w:t>.</w:t>
      </w:r>
    </w:p>
  </w:footnote>
  <w:footnote w:id="340">
    <w:p w:rsidR="00D9323F" w:rsidRDefault="00F47CDD">
      <w:pPr>
        <w:pStyle w:val="FootnoteText"/>
        <w:tabs>
          <w:tab w:val="left" w:pos="284"/>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SA.43127 -</w:t>
      </w:r>
      <w:r>
        <w:rPr>
          <w:rFonts w:ascii="Times New Roman" w:hAnsi="Times New Roman"/>
          <w:lang w:val="fr-BE"/>
        </w:rPr>
        <w:t xml:space="preserve"> </w:t>
      </w:r>
      <w:r>
        <w:rPr>
          <w:rFonts w:ascii="Times New Roman" w:hAnsi="Times New Roman"/>
          <w:i/>
          <w:lang w:val="fr-BE"/>
        </w:rPr>
        <w:t>Restructuration des Chemins de fer régionaux polonais</w:t>
      </w:r>
      <w:r>
        <w:rPr>
          <w:rFonts w:ascii="Times New Roman" w:hAnsi="Times New Roman"/>
          <w:lang w:val="fr-BE"/>
        </w:rPr>
        <w:t xml:space="preserve">, décision de la Commission du 23 janvier 2018, voir: </w:t>
      </w:r>
      <w:hyperlink r:id="rId248">
        <w:r>
          <w:rPr>
            <w:rStyle w:val="Hyperlink"/>
            <w:rFonts w:ascii="Times New Roman" w:hAnsi="Times New Roman"/>
            <w:lang w:val="fr-BE"/>
          </w:rPr>
          <w:t>http://ec.europa.eu/competition/elojade/isef/c</w:t>
        </w:r>
        <w:r>
          <w:rPr>
            <w:rStyle w:val="Hyperlink"/>
            <w:rFonts w:ascii="Times New Roman" w:hAnsi="Times New Roman"/>
            <w:lang w:val="fr-BE"/>
          </w:rPr>
          <w:t>ase_details.cfm?proc_code=3_SA_43127</w:t>
        </w:r>
      </w:hyperlink>
      <w:r>
        <w:rPr>
          <w:rStyle w:val="Hyperlink"/>
          <w:rFonts w:ascii="Times New Roman" w:hAnsi="Times New Roman"/>
          <w:lang w:val="fr-BE"/>
        </w:rPr>
        <w:t>;</w:t>
      </w:r>
      <w:r>
        <w:rPr>
          <w:rFonts w:ascii="Times New Roman" w:hAnsi="Times New Roman"/>
          <w:lang w:val="fr-BE"/>
        </w:rPr>
        <w:t xml:space="preserve"> et IP/18/394, voir: </w:t>
      </w:r>
      <w:hyperlink r:id="rId249">
        <w:r>
          <w:rPr>
            <w:rStyle w:val="Hyperlink"/>
            <w:rFonts w:ascii="Times New Roman" w:hAnsi="Times New Roman"/>
            <w:lang w:val="fr-BE"/>
          </w:rPr>
          <w:t>http://europa.eu/rapid/press-release_IP-18-394_fr.htm</w:t>
        </w:r>
      </w:hyperlink>
      <w:r>
        <w:rPr>
          <w:lang w:val="fr-BE"/>
        </w:rPr>
        <w:t>.</w:t>
      </w:r>
    </w:p>
  </w:footnote>
  <w:footnote w:id="341">
    <w:p w:rsidR="00D9323F" w:rsidRDefault="00F47CDD">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Règlement (CE) nº 1370/2007 du Parlement européen et du Conseil du </w:t>
      </w:r>
      <w:r>
        <w:rPr>
          <w:rFonts w:ascii="Times New Roman" w:hAnsi="Times New Roman"/>
          <w:lang w:val="fr-BE"/>
        </w:rPr>
        <w:t>23 octobre 2007 relatif aux services publics de transport de voyageurs par chemin de fer et par route, et abrogeant les règlements (CEE) nº 1191/69 et (CEE) nº 1107/70 du Conseil, JO L 315 du 3.12.2007, p. 1.</w:t>
      </w:r>
    </w:p>
  </w:footnote>
  <w:footnote w:id="342">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Arrêts T-720/16, Arfea/Commission, T-185/15,</w:t>
      </w:r>
      <w:r>
        <w:rPr>
          <w:rFonts w:ascii="Times New Roman" w:hAnsi="Times New Roman"/>
          <w:lang w:val="fr-BE"/>
        </w:rPr>
        <w:t xml:space="preserve"> Buonotourist/Commission, et T-186/15, CSTP/Commission.</w:t>
      </w:r>
    </w:p>
  </w:footnote>
  <w:footnote w:id="343">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SA.45281 (2017/N) et aide d’État SA.44859 (2016/FC) – République tchèque – </w:t>
      </w:r>
      <w:r>
        <w:rPr>
          <w:rFonts w:ascii="Times New Roman" w:hAnsi="Times New Roman"/>
          <w:i/>
          <w:lang w:val="fr-BE"/>
        </w:rPr>
        <w:t xml:space="preserve">Compensations octroyées par l’État à la poste tchèque pour la fourniture du service postal universel au cours de </w:t>
      </w:r>
      <w:r>
        <w:rPr>
          <w:rFonts w:ascii="Times New Roman" w:hAnsi="Times New Roman"/>
          <w:i/>
          <w:lang w:val="fr-BE"/>
        </w:rPr>
        <w:t>la période 2013-2017</w:t>
      </w:r>
      <w:r>
        <w:rPr>
          <w:rFonts w:ascii="Times New Roman" w:hAnsi="Times New Roman"/>
          <w:lang w:val="fr-BE"/>
        </w:rPr>
        <w:t>.</w:t>
      </w:r>
    </w:p>
  </w:footnote>
  <w:footnote w:id="344">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Affaire SA.47293 (2017/N) – République tchèque – </w:t>
      </w:r>
      <w:r>
        <w:rPr>
          <w:rFonts w:ascii="Times New Roman" w:hAnsi="Times New Roman"/>
          <w:i/>
          <w:lang w:val="fr-BE"/>
        </w:rPr>
        <w:t>Compensations octroyées par l’État à la poste tchèque pour la fourniture du système d’information reposant sur des boîtes de données au cours de la période 2018-2022</w:t>
      </w:r>
      <w:r>
        <w:rPr>
          <w:rFonts w:ascii="Times New Roman" w:hAnsi="Times New Roman"/>
          <w:lang w:val="fr-BE"/>
        </w:rPr>
        <w:t>.</w:t>
      </w:r>
    </w:p>
  </w:footnote>
  <w:footnote w:id="345">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Affaire SA.4</w:t>
      </w:r>
      <w:r>
        <w:rPr>
          <w:rFonts w:ascii="Times New Roman" w:hAnsi="Times New Roman"/>
          <w:lang w:val="fr-BE"/>
        </w:rPr>
        <w:t xml:space="preserve">7707 (2018/N) – Danemark – </w:t>
      </w:r>
      <w:r>
        <w:rPr>
          <w:rFonts w:ascii="Times New Roman" w:hAnsi="Times New Roman"/>
          <w:i/>
          <w:lang w:val="fr-BE"/>
        </w:rPr>
        <w:t>Compensations octroyées par l’État à PostNord pour la fourniture du service postal universel</w:t>
      </w:r>
      <w:r>
        <w:rPr>
          <w:rFonts w:ascii="Times New Roman" w:hAnsi="Times New Roman"/>
          <w:lang w:val="fr-BE"/>
        </w:rPr>
        <w:t xml:space="preserve">. Voir: </w:t>
      </w:r>
      <w:hyperlink r:id="rId250">
        <w:r>
          <w:rPr>
            <w:rStyle w:val="Hyperlink"/>
            <w:rFonts w:ascii="Times New Roman" w:hAnsi="Times New Roman"/>
            <w:lang w:val="fr-BE"/>
          </w:rPr>
          <w:t>http://europa.eu/rapid/press-release_IP-18-3965_fr.htm</w:t>
        </w:r>
      </w:hyperlink>
      <w:r>
        <w:rPr>
          <w:lang w:val="fr-BE"/>
        </w:rPr>
        <w:t>.</w:t>
      </w:r>
      <w:r>
        <w:rPr>
          <w:rFonts w:ascii="Times New Roman" w:hAnsi="Times New Roman"/>
          <w:lang w:val="fr-BE"/>
        </w:rPr>
        <w:t xml:space="preserve"> </w:t>
      </w:r>
    </w:p>
  </w:footnote>
  <w:footnote w:id="346">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Affaire SA.37977 - </w:t>
      </w:r>
      <w:r>
        <w:rPr>
          <w:rFonts w:ascii="Times New Roman" w:hAnsi="Times New Roman"/>
          <w:i/>
          <w:lang w:val="fr-BE"/>
        </w:rPr>
        <w:t>Plainte concernant une aide d’État illégale en faveur de Sociedad Estatal Correos y Telégrafos, S.A</w:t>
      </w:r>
      <w:r>
        <w:rPr>
          <w:rFonts w:ascii="Times New Roman" w:hAnsi="Times New Roman"/>
          <w:lang w:val="fr-BE"/>
        </w:rPr>
        <w:t xml:space="preserve">. Voir: </w:t>
      </w:r>
      <w:hyperlink r:id="rId251">
        <w:r>
          <w:rPr>
            <w:rStyle w:val="Hyperlink"/>
            <w:rFonts w:ascii="Times New Roman" w:hAnsi="Times New Roman"/>
            <w:lang w:val="fr-BE"/>
          </w:rPr>
          <w:t>http://europa.eu/rapid/press-release_IP-18-4444_fr.</w:t>
        </w:r>
        <w:r>
          <w:rPr>
            <w:rStyle w:val="Hyperlink"/>
            <w:rFonts w:ascii="Times New Roman" w:hAnsi="Times New Roman"/>
            <w:lang w:val="fr-BE"/>
          </w:rPr>
          <w:t>htm</w:t>
        </w:r>
      </w:hyperlink>
      <w:r>
        <w:rPr>
          <w:lang w:val="fr-BE"/>
        </w:rPr>
        <w:t>.</w:t>
      </w:r>
      <w:r>
        <w:rPr>
          <w:rFonts w:ascii="Times New Roman" w:hAnsi="Times New Roman"/>
          <w:lang w:val="fr-BE"/>
        </w:rPr>
        <w:t xml:space="preserve">  </w:t>
      </w:r>
    </w:p>
  </w:footnote>
  <w:footnote w:id="347">
    <w:p w:rsidR="00D9323F" w:rsidRDefault="00F47CDD">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Voir: </w:t>
      </w:r>
      <w:hyperlink r:id="rId252">
        <w:r>
          <w:rPr>
            <w:rStyle w:val="Hyperlink"/>
            <w:rFonts w:ascii="Times New Roman" w:hAnsi="Times New Roman"/>
            <w:lang w:val="fr-BE"/>
          </w:rPr>
          <w:t>http://europa.eu/rapid/press-release_MEMO-18-6247_fr.htm</w:t>
        </w:r>
      </w:hyperlink>
      <w:r>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DD" w:rsidRPr="00F47CDD" w:rsidRDefault="00F47CDD" w:rsidP="00F47CD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rPr>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3F" w:rsidRDefault="00D9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74"/>
    <w:multiLevelType w:val="hybridMultilevel"/>
    <w:tmpl w:val="AC42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20CF1"/>
    <w:multiLevelType w:val="hybridMultilevel"/>
    <w:tmpl w:val="28A2328A"/>
    <w:lvl w:ilvl="0" w:tplc="DD662B4A">
      <w:start w:val="1"/>
      <w:numFmt w:val="lowerLetter"/>
      <w:lvlText w:val="%1)"/>
      <w:lvlJc w:val="left"/>
      <w:pPr>
        <w:ind w:left="1444" w:hanging="7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8484436"/>
    <w:multiLevelType w:val="multilevel"/>
    <w:tmpl w:val="FFE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F1FC6"/>
    <w:multiLevelType w:val="hybridMultilevel"/>
    <w:tmpl w:val="7348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577F"/>
    <w:multiLevelType w:val="hybridMultilevel"/>
    <w:tmpl w:val="E9E0BE5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327157C6"/>
    <w:multiLevelType w:val="multilevel"/>
    <w:tmpl w:val="28582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EBF77AB"/>
    <w:multiLevelType w:val="hybridMultilevel"/>
    <w:tmpl w:val="832E0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455EA"/>
    <w:multiLevelType w:val="multilevel"/>
    <w:tmpl w:val="82BC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64ED4"/>
    <w:multiLevelType w:val="multilevel"/>
    <w:tmpl w:val="577A4A90"/>
    <w:lvl w:ilvl="0">
      <w:start w:val="1"/>
      <w:numFmt w:val="decimal"/>
      <w:pStyle w:val="ListNumber"/>
      <w:lvlText w:val="(%1)"/>
      <w:lvlJc w:val="left"/>
      <w:pPr>
        <w:tabs>
          <w:tab w:val="num" w:pos="993"/>
        </w:tabs>
        <w:ind w:left="993" w:hanging="709"/>
      </w:pPr>
      <w:rPr>
        <w:rFonts w:ascii="Times New Roman" w:hAnsi="Times New Roman" w:cs="Times New Roman" w:hint="default"/>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7E515C0"/>
    <w:multiLevelType w:val="multilevel"/>
    <w:tmpl w:val="5E122C2C"/>
    <w:lvl w:ilvl="0">
      <w:start w:val="1"/>
      <w:numFmt w:val="decimal"/>
      <w:lvlText w:val="%1."/>
      <w:lvlJc w:val="left"/>
      <w:pPr>
        <w:ind w:left="720"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70CA52CE"/>
    <w:multiLevelType w:val="hybridMultilevel"/>
    <w:tmpl w:val="E7869B40"/>
    <w:lvl w:ilvl="0" w:tplc="12326016">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1232C"/>
    <w:multiLevelType w:val="hybridMultilevel"/>
    <w:tmpl w:val="2EA276C0"/>
    <w:lvl w:ilvl="0" w:tplc="8648D84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65050"/>
    <w:multiLevelType w:val="hybridMultilevel"/>
    <w:tmpl w:val="6494F56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0"/>
  </w:num>
  <w:num w:numId="5">
    <w:abstractNumId w:val="4"/>
  </w:num>
  <w:num w:numId="6">
    <w:abstractNumId w:val="11"/>
  </w:num>
  <w:num w:numId="7">
    <w:abstractNumId w:val="2"/>
  </w:num>
  <w:num w:numId="8">
    <w:abstractNumId w:val="3"/>
  </w:num>
  <w:num w:numId="9">
    <w:abstractNumId w:val="7"/>
  </w:num>
  <w:num w:numId="10">
    <w:abstractNumId w:val="1"/>
  </w:num>
  <w:num w:numId="11">
    <w:abstractNumId w:val="9"/>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da-DK"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This French version corresponds to the English version of SWD(2019)297 final/2 of 14.10.2019"/>
    <w:docVar w:name="LW_COVERPAGE_EXISTS" w:val="True"/>
    <w:docVar w:name="LW_COVERPAGE_GUID" w:val="3609155B-A08F-428A-BAC0-6C3E588E4E51"/>
    <w:docVar w:name="LW_COVERPAGE_TYPE" w:val="1"/>
    <w:docVar w:name="LW_CROSSREFERENCE" w:val="{COM(2019) 339 final}"/>
    <w:docVar w:name="LW_DocType" w:val="NORMAL"/>
    <w:docVar w:name="LW_EMISSION" w:val="14.10.2019"/>
    <w:docVar w:name="LW_EMISSION_ISODATE" w:val="2019-10-14"/>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sur la politique de concurrence 2018"/>
    <w:docVar w:name="LW_PART_NBR" w:val="1"/>
    <w:docVar w:name="LW_PART_NBR_TOTAL" w:val="1"/>
    <w:docVar w:name="LW_REF.INST.NEW" w:val="SWD"/>
    <w:docVar w:name="LW_REF.INST.NEW_ADOPTED" w:val="final"/>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
    <w:docVar w:name="LW_TYPEACTEPRINCIPAL.CP" w:val="RAPPORT DE LA COMMISSION AU PARLEMENT EUROPÉEN, AU CONSEIL, AU COMITÉ ÉCONOMIQUE ET SOCIAL EUROPÉEN ET AU COMITÉ DES RÉGIONS"/>
  </w:docVars>
  <w:rsids>
    <w:rsidRoot w:val="00D9323F"/>
    <w:rsid w:val="00D9323F"/>
    <w:rsid w:val="00F47C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BD8E5AA-C9E0-4C48-B50C-C3DB0AE4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uiPriority w:val="99"/>
    <w:locked/>
    <w:rPr>
      <w:sz w:val="23"/>
      <w:szCs w:val="23"/>
      <w:shd w:val="clear" w:color="auto" w:fill="FFFFFF"/>
    </w:rPr>
  </w:style>
  <w:style w:type="paragraph" w:customStyle="1" w:styleId="Corpsdutexte1">
    <w:name w:val="Corps du texte1"/>
    <w:basedOn w:val="Normal"/>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rPr>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styleId="HTMLCite">
    <w:name w:val="HTML Cite"/>
    <w:basedOn w:val="DefaultParagraphFont"/>
    <w:uiPriority w:val="99"/>
    <w:semiHidden/>
    <w:unhideWhenUsed/>
    <w:rPr>
      <w:i/>
      <w:iC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w:basedOn w:val="DefaultParagraphFont"/>
    <w:uiPriority w:val="99"/>
    <w:semiHidden/>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51199255">
      <w:bodyDiv w:val="1"/>
      <w:marLeft w:val="0"/>
      <w:marRight w:val="0"/>
      <w:marTop w:val="0"/>
      <w:marBottom w:val="0"/>
      <w:divBdr>
        <w:top w:val="none" w:sz="0" w:space="0" w:color="auto"/>
        <w:left w:val="none" w:sz="0" w:space="0" w:color="auto"/>
        <w:bottom w:val="none" w:sz="0" w:space="0" w:color="auto"/>
        <w:right w:val="none" w:sz="0" w:space="0" w:color="auto"/>
      </w:divBdr>
    </w:div>
    <w:div w:id="70349736">
      <w:bodyDiv w:val="1"/>
      <w:marLeft w:val="0"/>
      <w:marRight w:val="0"/>
      <w:marTop w:val="0"/>
      <w:marBottom w:val="0"/>
      <w:divBdr>
        <w:top w:val="none" w:sz="0" w:space="0" w:color="auto"/>
        <w:left w:val="none" w:sz="0" w:space="0" w:color="auto"/>
        <w:bottom w:val="none" w:sz="0" w:space="0" w:color="auto"/>
        <w:right w:val="none" w:sz="0" w:space="0" w:color="auto"/>
      </w:divBdr>
    </w:div>
    <w:div w:id="73020009">
      <w:bodyDiv w:val="1"/>
      <w:marLeft w:val="0"/>
      <w:marRight w:val="0"/>
      <w:marTop w:val="0"/>
      <w:marBottom w:val="0"/>
      <w:divBdr>
        <w:top w:val="none" w:sz="0" w:space="0" w:color="auto"/>
        <w:left w:val="none" w:sz="0" w:space="0" w:color="auto"/>
        <w:bottom w:val="none" w:sz="0" w:space="0" w:color="auto"/>
        <w:right w:val="none" w:sz="0" w:space="0" w:color="auto"/>
      </w:divBdr>
    </w:div>
    <w:div w:id="93210872">
      <w:bodyDiv w:val="1"/>
      <w:marLeft w:val="0"/>
      <w:marRight w:val="0"/>
      <w:marTop w:val="0"/>
      <w:marBottom w:val="0"/>
      <w:divBdr>
        <w:top w:val="none" w:sz="0" w:space="0" w:color="auto"/>
        <w:left w:val="none" w:sz="0" w:space="0" w:color="auto"/>
        <w:bottom w:val="none" w:sz="0" w:space="0" w:color="auto"/>
        <w:right w:val="none" w:sz="0" w:space="0" w:color="auto"/>
      </w:divBdr>
    </w:div>
    <w:div w:id="97529303">
      <w:bodyDiv w:val="1"/>
      <w:marLeft w:val="0"/>
      <w:marRight w:val="0"/>
      <w:marTop w:val="0"/>
      <w:marBottom w:val="0"/>
      <w:divBdr>
        <w:top w:val="none" w:sz="0" w:space="0" w:color="auto"/>
        <w:left w:val="none" w:sz="0" w:space="0" w:color="auto"/>
        <w:bottom w:val="none" w:sz="0" w:space="0" w:color="auto"/>
        <w:right w:val="none" w:sz="0" w:space="0" w:color="auto"/>
      </w:divBdr>
    </w:div>
    <w:div w:id="205530703">
      <w:bodyDiv w:val="1"/>
      <w:marLeft w:val="0"/>
      <w:marRight w:val="0"/>
      <w:marTop w:val="0"/>
      <w:marBottom w:val="0"/>
      <w:divBdr>
        <w:top w:val="none" w:sz="0" w:space="0" w:color="auto"/>
        <w:left w:val="none" w:sz="0" w:space="0" w:color="auto"/>
        <w:bottom w:val="none" w:sz="0" w:space="0" w:color="auto"/>
        <w:right w:val="none" w:sz="0" w:space="0" w:color="auto"/>
      </w:divBdr>
    </w:div>
    <w:div w:id="230694935">
      <w:bodyDiv w:val="1"/>
      <w:marLeft w:val="0"/>
      <w:marRight w:val="0"/>
      <w:marTop w:val="0"/>
      <w:marBottom w:val="0"/>
      <w:divBdr>
        <w:top w:val="none" w:sz="0" w:space="0" w:color="auto"/>
        <w:left w:val="none" w:sz="0" w:space="0" w:color="auto"/>
        <w:bottom w:val="none" w:sz="0" w:space="0" w:color="auto"/>
        <w:right w:val="none" w:sz="0" w:space="0" w:color="auto"/>
      </w:divBdr>
    </w:div>
    <w:div w:id="323242826">
      <w:bodyDiv w:val="1"/>
      <w:marLeft w:val="0"/>
      <w:marRight w:val="0"/>
      <w:marTop w:val="0"/>
      <w:marBottom w:val="0"/>
      <w:divBdr>
        <w:top w:val="none" w:sz="0" w:space="0" w:color="auto"/>
        <w:left w:val="none" w:sz="0" w:space="0" w:color="auto"/>
        <w:bottom w:val="none" w:sz="0" w:space="0" w:color="auto"/>
        <w:right w:val="none" w:sz="0" w:space="0" w:color="auto"/>
      </w:divBdr>
    </w:div>
    <w:div w:id="367335346">
      <w:bodyDiv w:val="1"/>
      <w:marLeft w:val="0"/>
      <w:marRight w:val="0"/>
      <w:marTop w:val="0"/>
      <w:marBottom w:val="0"/>
      <w:divBdr>
        <w:top w:val="none" w:sz="0" w:space="0" w:color="auto"/>
        <w:left w:val="none" w:sz="0" w:space="0" w:color="auto"/>
        <w:bottom w:val="none" w:sz="0" w:space="0" w:color="auto"/>
        <w:right w:val="none" w:sz="0" w:space="0" w:color="auto"/>
      </w:divBdr>
    </w:div>
    <w:div w:id="368726742">
      <w:bodyDiv w:val="1"/>
      <w:marLeft w:val="0"/>
      <w:marRight w:val="0"/>
      <w:marTop w:val="0"/>
      <w:marBottom w:val="0"/>
      <w:divBdr>
        <w:top w:val="none" w:sz="0" w:space="0" w:color="auto"/>
        <w:left w:val="none" w:sz="0" w:space="0" w:color="auto"/>
        <w:bottom w:val="none" w:sz="0" w:space="0" w:color="auto"/>
        <w:right w:val="none" w:sz="0" w:space="0" w:color="auto"/>
      </w:divBdr>
    </w:div>
    <w:div w:id="426508926">
      <w:bodyDiv w:val="1"/>
      <w:marLeft w:val="0"/>
      <w:marRight w:val="0"/>
      <w:marTop w:val="0"/>
      <w:marBottom w:val="0"/>
      <w:divBdr>
        <w:top w:val="none" w:sz="0" w:space="0" w:color="auto"/>
        <w:left w:val="none" w:sz="0" w:space="0" w:color="auto"/>
        <w:bottom w:val="none" w:sz="0" w:space="0" w:color="auto"/>
        <w:right w:val="none" w:sz="0" w:space="0" w:color="auto"/>
      </w:divBdr>
    </w:div>
    <w:div w:id="539438156">
      <w:bodyDiv w:val="1"/>
      <w:marLeft w:val="0"/>
      <w:marRight w:val="0"/>
      <w:marTop w:val="0"/>
      <w:marBottom w:val="0"/>
      <w:divBdr>
        <w:top w:val="none" w:sz="0" w:space="0" w:color="auto"/>
        <w:left w:val="none" w:sz="0" w:space="0" w:color="auto"/>
        <w:bottom w:val="none" w:sz="0" w:space="0" w:color="auto"/>
        <w:right w:val="none" w:sz="0" w:space="0" w:color="auto"/>
      </w:divBdr>
    </w:div>
    <w:div w:id="558172086">
      <w:bodyDiv w:val="1"/>
      <w:marLeft w:val="0"/>
      <w:marRight w:val="0"/>
      <w:marTop w:val="0"/>
      <w:marBottom w:val="0"/>
      <w:divBdr>
        <w:top w:val="none" w:sz="0" w:space="0" w:color="auto"/>
        <w:left w:val="none" w:sz="0" w:space="0" w:color="auto"/>
        <w:bottom w:val="none" w:sz="0" w:space="0" w:color="auto"/>
        <w:right w:val="none" w:sz="0" w:space="0" w:color="auto"/>
      </w:divBdr>
      <w:divsChild>
        <w:div w:id="1891989339">
          <w:marLeft w:val="0"/>
          <w:marRight w:val="0"/>
          <w:marTop w:val="0"/>
          <w:marBottom w:val="0"/>
          <w:divBdr>
            <w:top w:val="none" w:sz="0" w:space="0" w:color="auto"/>
            <w:left w:val="none" w:sz="0" w:space="0" w:color="auto"/>
            <w:bottom w:val="none" w:sz="0" w:space="0" w:color="auto"/>
            <w:right w:val="none" w:sz="0" w:space="0" w:color="auto"/>
          </w:divBdr>
        </w:div>
        <w:div w:id="852259759">
          <w:marLeft w:val="45"/>
          <w:marRight w:val="45"/>
          <w:marTop w:val="15"/>
          <w:marBottom w:val="0"/>
          <w:divBdr>
            <w:top w:val="none" w:sz="0" w:space="0" w:color="auto"/>
            <w:left w:val="none" w:sz="0" w:space="0" w:color="auto"/>
            <w:bottom w:val="none" w:sz="0" w:space="0" w:color="auto"/>
            <w:right w:val="none" w:sz="0" w:space="0" w:color="auto"/>
          </w:divBdr>
          <w:divsChild>
            <w:div w:id="58596556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8757772">
      <w:bodyDiv w:val="1"/>
      <w:marLeft w:val="0"/>
      <w:marRight w:val="0"/>
      <w:marTop w:val="0"/>
      <w:marBottom w:val="0"/>
      <w:divBdr>
        <w:top w:val="none" w:sz="0" w:space="0" w:color="auto"/>
        <w:left w:val="none" w:sz="0" w:space="0" w:color="auto"/>
        <w:bottom w:val="none" w:sz="0" w:space="0" w:color="auto"/>
        <w:right w:val="none" w:sz="0" w:space="0" w:color="auto"/>
      </w:divBdr>
    </w:div>
    <w:div w:id="641235374">
      <w:bodyDiv w:val="1"/>
      <w:marLeft w:val="0"/>
      <w:marRight w:val="0"/>
      <w:marTop w:val="0"/>
      <w:marBottom w:val="0"/>
      <w:divBdr>
        <w:top w:val="none" w:sz="0" w:space="0" w:color="auto"/>
        <w:left w:val="none" w:sz="0" w:space="0" w:color="auto"/>
        <w:bottom w:val="none" w:sz="0" w:space="0" w:color="auto"/>
        <w:right w:val="none" w:sz="0" w:space="0" w:color="auto"/>
      </w:divBdr>
    </w:div>
    <w:div w:id="715785894">
      <w:bodyDiv w:val="1"/>
      <w:marLeft w:val="0"/>
      <w:marRight w:val="0"/>
      <w:marTop w:val="0"/>
      <w:marBottom w:val="0"/>
      <w:divBdr>
        <w:top w:val="none" w:sz="0" w:space="0" w:color="auto"/>
        <w:left w:val="none" w:sz="0" w:space="0" w:color="auto"/>
        <w:bottom w:val="none" w:sz="0" w:space="0" w:color="auto"/>
        <w:right w:val="none" w:sz="0" w:space="0" w:color="auto"/>
      </w:divBdr>
    </w:div>
    <w:div w:id="827288467">
      <w:bodyDiv w:val="1"/>
      <w:marLeft w:val="0"/>
      <w:marRight w:val="0"/>
      <w:marTop w:val="0"/>
      <w:marBottom w:val="0"/>
      <w:divBdr>
        <w:top w:val="none" w:sz="0" w:space="0" w:color="auto"/>
        <w:left w:val="none" w:sz="0" w:space="0" w:color="auto"/>
        <w:bottom w:val="none" w:sz="0" w:space="0" w:color="auto"/>
        <w:right w:val="none" w:sz="0" w:space="0" w:color="auto"/>
      </w:divBdr>
    </w:div>
    <w:div w:id="835194086">
      <w:bodyDiv w:val="1"/>
      <w:marLeft w:val="0"/>
      <w:marRight w:val="0"/>
      <w:marTop w:val="0"/>
      <w:marBottom w:val="0"/>
      <w:divBdr>
        <w:top w:val="none" w:sz="0" w:space="0" w:color="auto"/>
        <w:left w:val="none" w:sz="0" w:space="0" w:color="auto"/>
        <w:bottom w:val="none" w:sz="0" w:space="0" w:color="auto"/>
        <w:right w:val="none" w:sz="0" w:space="0" w:color="auto"/>
      </w:divBdr>
    </w:div>
    <w:div w:id="890919313">
      <w:bodyDiv w:val="1"/>
      <w:marLeft w:val="0"/>
      <w:marRight w:val="0"/>
      <w:marTop w:val="0"/>
      <w:marBottom w:val="0"/>
      <w:divBdr>
        <w:top w:val="none" w:sz="0" w:space="0" w:color="auto"/>
        <w:left w:val="none" w:sz="0" w:space="0" w:color="auto"/>
        <w:bottom w:val="none" w:sz="0" w:space="0" w:color="auto"/>
        <w:right w:val="none" w:sz="0" w:space="0" w:color="auto"/>
      </w:divBdr>
      <w:divsChild>
        <w:div w:id="633752613">
          <w:marLeft w:val="0"/>
          <w:marRight w:val="0"/>
          <w:marTop w:val="0"/>
          <w:marBottom w:val="0"/>
          <w:divBdr>
            <w:top w:val="none" w:sz="0" w:space="0" w:color="auto"/>
            <w:left w:val="none" w:sz="0" w:space="0" w:color="auto"/>
            <w:bottom w:val="none" w:sz="0" w:space="0" w:color="auto"/>
            <w:right w:val="none" w:sz="0" w:space="0" w:color="auto"/>
          </w:divBdr>
        </w:div>
      </w:divsChild>
    </w:div>
    <w:div w:id="952445780">
      <w:bodyDiv w:val="1"/>
      <w:marLeft w:val="0"/>
      <w:marRight w:val="0"/>
      <w:marTop w:val="0"/>
      <w:marBottom w:val="0"/>
      <w:divBdr>
        <w:top w:val="none" w:sz="0" w:space="0" w:color="auto"/>
        <w:left w:val="none" w:sz="0" w:space="0" w:color="auto"/>
        <w:bottom w:val="none" w:sz="0" w:space="0" w:color="auto"/>
        <w:right w:val="none" w:sz="0" w:space="0" w:color="auto"/>
      </w:divBdr>
    </w:div>
    <w:div w:id="988948236">
      <w:bodyDiv w:val="1"/>
      <w:marLeft w:val="0"/>
      <w:marRight w:val="0"/>
      <w:marTop w:val="0"/>
      <w:marBottom w:val="0"/>
      <w:divBdr>
        <w:top w:val="none" w:sz="0" w:space="0" w:color="auto"/>
        <w:left w:val="none" w:sz="0" w:space="0" w:color="auto"/>
        <w:bottom w:val="none" w:sz="0" w:space="0" w:color="auto"/>
        <w:right w:val="none" w:sz="0" w:space="0" w:color="auto"/>
      </w:divBdr>
    </w:div>
    <w:div w:id="991182727">
      <w:bodyDiv w:val="1"/>
      <w:marLeft w:val="0"/>
      <w:marRight w:val="0"/>
      <w:marTop w:val="0"/>
      <w:marBottom w:val="0"/>
      <w:divBdr>
        <w:top w:val="none" w:sz="0" w:space="0" w:color="auto"/>
        <w:left w:val="none" w:sz="0" w:space="0" w:color="auto"/>
        <w:bottom w:val="none" w:sz="0" w:space="0" w:color="auto"/>
        <w:right w:val="none" w:sz="0" w:space="0" w:color="auto"/>
      </w:divBdr>
    </w:div>
    <w:div w:id="1015109281">
      <w:bodyDiv w:val="1"/>
      <w:marLeft w:val="0"/>
      <w:marRight w:val="0"/>
      <w:marTop w:val="0"/>
      <w:marBottom w:val="0"/>
      <w:divBdr>
        <w:top w:val="none" w:sz="0" w:space="0" w:color="auto"/>
        <w:left w:val="none" w:sz="0" w:space="0" w:color="auto"/>
        <w:bottom w:val="none" w:sz="0" w:space="0" w:color="auto"/>
        <w:right w:val="none" w:sz="0" w:space="0" w:color="auto"/>
      </w:divBdr>
    </w:div>
    <w:div w:id="1063481522">
      <w:bodyDiv w:val="1"/>
      <w:marLeft w:val="0"/>
      <w:marRight w:val="0"/>
      <w:marTop w:val="0"/>
      <w:marBottom w:val="0"/>
      <w:divBdr>
        <w:top w:val="none" w:sz="0" w:space="0" w:color="auto"/>
        <w:left w:val="none" w:sz="0" w:space="0" w:color="auto"/>
        <w:bottom w:val="none" w:sz="0" w:space="0" w:color="auto"/>
        <w:right w:val="none" w:sz="0" w:space="0" w:color="auto"/>
      </w:divBdr>
    </w:div>
    <w:div w:id="1075737982">
      <w:bodyDiv w:val="1"/>
      <w:marLeft w:val="0"/>
      <w:marRight w:val="0"/>
      <w:marTop w:val="0"/>
      <w:marBottom w:val="0"/>
      <w:divBdr>
        <w:top w:val="none" w:sz="0" w:space="0" w:color="auto"/>
        <w:left w:val="none" w:sz="0" w:space="0" w:color="auto"/>
        <w:bottom w:val="none" w:sz="0" w:space="0" w:color="auto"/>
        <w:right w:val="none" w:sz="0" w:space="0" w:color="auto"/>
      </w:divBdr>
    </w:div>
    <w:div w:id="1291322439">
      <w:bodyDiv w:val="1"/>
      <w:marLeft w:val="0"/>
      <w:marRight w:val="0"/>
      <w:marTop w:val="0"/>
      <w:marBottom w:val="0"/>
      <w:divBdr>
        <w:top w:val="none" w:sz="0" w:space="0" w:color="auto"/>
        <w:left w:val="none" w:sz="0" w:space="0" w:color="auto"/>
        <w:bottom w:val="none" w:sz="0" w:space="0" w:color="auto"/>
        <w:right w:val="none" w:sz="0" w:space="0" w:color="auto"/>
      </w:divBdr>
    </w:div>
    <w:div w:id="1348361388">
      <w:bodyDiv w:val="1"/>
      <w:marLeft w:val="0"/>
      <w:marRight w:val="0"/>
      <w:marTop w:val="0"/>
      <w:marBottom w:val="0"/>
      <w:divBdr>
        <w:top w:val="none" w:sz="0" w:space="0" w:color="auto"/>
        <w:left w:val="none" w:sz="0" w:space="0" w:color="auto"/>
        <w:bottom w:val="none" w:sz="0" w:space="0" w:color="auto"/>
        <w:right w:val="none" w:sz="0" w:space="0" w:color="auto"/>
      </w:divBdr>
    </w:div>
    <w:div w:id="1373916670">
      <w:bodyDiv w:val="1"/>
      <w:marLeft w:val="0"/>
      <w:marRight w:val="0"/>
      <w:marTop w:val="0"/>
      <w:marBottom w:val="0"/>
      <w:divBdr>
        <w:top w:val="none" w:sz="0" w:space="0" w:color="auto"/>
        <w:left w:val="none" w:sz="0" w:space="0" w:color="auto"/>
        <w:bottom w:val="none" w:sz="0" w:space="0" w:color="auto"/>
        <w:right w:val="none" w:sz="0" w:space="0" w:color="auto"/>
      </w:divBdr>
    </w:div>
    <w:div w:id="1774788911">
      <w:bodyDiv w:val="1"/>
      <w:marLeft w:val="0"/>
      <w:marRight w:val="0"/>
      <w:marTop w:val="0"/>
      <w:marBottom w:val="0"/>
      <w:divBdr>
        <w:top w:val="none" w:sz="0" w:space="0" w:color="auto"/>
        <w:left w:val="none" w:sz="0" w:space="0" w:color="auto"/>
        <w:bottom w:val="none" w:sz="0" w:space="0" w:color="auto"/>
        <w:right w:val="none" w:sz="0" w:space="0" w:color="auto"/>
      </w:divBdr>
    </w:div>
    <w:div w:id="1784302435">
      <w:bodyDiv w:val="1"/>
      <w:marLeft w:val="0"/>
      <w:marRight w:val="0"/>
      <w:marTop w:val="0"/>
      <w:marBottom w:val="0"/>
      <w:divBdr>
        <w:top w:val="none" w:sz="0" w:space="0" w:color="auto"/>
        <w:left w:val="none" w:sz="0" w:space="0" w:color="auto"/>
        <w:bottom w:val="none" w:sz="0" w:space="0" w:color="auto"/>
        <w:right w:val="none" w:sz="0" w:space="0" w:color="auto"/>
      </w:divBdr>
    </w:div>
    <w:div w:id="1989044594">
      <w:bodyDiv w:val="1"/>
      <w:marLeft w:val="0"/>
      <w:marRight w:val="0"/>
      <w:marTop w:val="0"/>
      <w:marBottom w:val="0"/>
      <w:divBdr>
        <w:top w:val="none" w:sz="0" w:space="0" w:color="auto"/>
        <w:left w:val="none" w:sz="0" w:space="0" w:color="auto"/>
        <w:bottom w:val="none" w:sz="0" w:space="0" w:color="auto"/>
        <w:right w:val="none" w:sz="0" w:space="0" w:color="auto"/>
      </w:divBdr>
    </w:div>
    <w:div w:id="2063941358">
      <w:bodyDiv w:val="1"/>
      <w:marLeft w:val="0"/>
      <w:marRight w:val="0"/>
      <w:marTop w:val="0"/>
      <w:marBottom w:val="0"/>
      <w:divBdr>
        <w:top w:val="none" w:sz="0" w:space="0" w:color="auto"/>
        <w:left w:val="none" w:sz="0" w:space="0" w:color="auto"/>
        <w:bottom w:val="none" w:sz="0" w:space="0" w:color="auto"/>
        <w:right w:val="none" w:sz="0" w:space="0" w:color="auto"/>
      </w:divBdr>
    </w:div>
    <w:div w:id="2079670150">
      <w:bodyDiv w:val="1"/>
      <w:marLeft w:val="0"/>
      <w:marRight w:val="0"/>
      <w:marTop w:val="0"/>
      <w:marBottom w:val="0"/>
      <w:divBdr>
        <w:top w:val="none" w:sz="0" w:space="0" w:color="auto"/>
        <w:left w:val="none" w:sz="0" w:space="0" w:color="auto"/>
        <w:bottom w:val="none" w:sz="0" w:space="0" w:color="auto"/>
        <w:right w:val="none" w:sz="0" w:space="0" w:color="auto"/>
      </w:divBdr>
    </w:div>
    <w:div w:id="2133547249">
      <w:bodyDiv w:val="1"/>
      <w:marLeft w:val="0"/>
      <w:marRight w:val="0"/>
      <w:marTop w:val="0"/>
      <w:marBottom w:val="0"/>
      <w:divBdr>
        <w:top w:val="none" w:sz="0" w:space="0" w:color="auto"/>
        <w:left w:val="none" w:sz="0" w:space="0" w:color="auto"/>
        <w:bottom w:val="none" w:sz="0" w:space="0" w:color="auto"/>
        <w:right w:val="none" w:sz="0" w:space="0" w:color="auto"/>
      </w:divBdr>
    </w:div>
    <w:div w:id="2139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europa.eu/rapid/press-release_IP-11-1571_fr.htm?locale=fr"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uropa.eu/rapid/press-release_IP-16-3008_fr.htm"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curia.europa.eu/jcms/jcms/p1_1525302/en/"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europa.eu/rapid/press-release_IP-18-2281_fr.ht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117" Type="http://schemas.openxmlformats.org/officeDocument/2006/relationships/hyperlink" Target="http://europa.eu/rapid/press-release_IP-17-201_fr.htm" TargetMode="External"/><Relationship Id="rId21" Type="http://schemas.openxmlformats.org/officeDocument/2006/relationships/hyperlink" Target="https://eur-lex.europa.eu/legal-content/FR/TXT/?uri=CELEX:52018XC0906(01)" TargetMode="External"/><Relationship Id="rId42" Type="http://schemas.openxmlformats.org/officeDocument/2006/relationships/hyperlink" Target="http://ec.europa.eu/competition/state_aid/scoreboard/index_en.html" TargetMode="External"/><Relationship Id="rId63" Type="http://schemas.openxmlformats.org/officeDocument/2006/relationships/hyperlink" Target="http://ec.europa.eu/competition/elojade/isef/case_details.cfm?proc_code=3_SA_49336" TargetMode="External"/><Relationship Id="rId84" Type="http://schemas.openxmlformats.org/officeDocument/2006/relationships/hyperlink" Target="http://www.oecd.org/daf/competition/gun-jumping-and-suspensory-effects-of-merger-notifications.htm" TargetMode="External"/><Relationship Id="rId138" Type="http://schemas.openxmlformats.org/officeDocument/2006/relationships/hyperlink" Target="http://ec.europa.eu/competition/elojade/isef/case_details.cfm?proc_code=2_M_8797" TargetMode="External"/><Relationship Id="rId159" Type="http://schemas.openxmlformats.org/officeDocument/2006/relationships/hyperlink" Target="http://ec.europa.eu/competition/elojade/isef/index.cfm?fuseaction=dsp_result&amp;policy_area_id=3" TargetMode="External"/><Relationship Id="rId170" Type="http://schemas.openxmlformats.org/officeDocument/2006/relationships/hyperlink" Target="http://eur-lex.europa.eu/legal-content/FR/TXT/PDF/?uri=CELEX:52013XC0730(01)&amp;from=FR" TargetMode="External"/><Relationship Id="rId191" Type="http://schemas.openxmlformats.org/officeDocument/2006/relationships/hyperlink" Target="http://europa.eu/rapid/press-release_IP-18-4527_fr.htm" TargetMode="External"/><Relationship Id="rId205" Type="http://schemas.openxmlformats.org/officeDocument/2006/relationships/hyperlink" Target="https://eur-lex.europa.eu/legal-content/EN/TXT/PDF/?uri=CELEX:52018SC0092&amp;from=EN" TargetMode="External"/><Relationship Id="rId226" Type="http://schemas.openxmlformats.org/officeDocument/2006/relationships/hyperlink" Target="http://ec.europa.eu/competition/state_aid/cases/274312/274312_1991247_21_2.pdf" TargetMode="External"/><Relationship Id="rId247" Type="http://schemas.openxmlformats.org/officeDocument/2006/relationships/hyperlink" Target="http://europa.eu/rapid/press-release_IP-17-5345_fr.htm" TargetMode="External"/><Relationship Id="rId107" Type="http://schemas.openxmlformats.org/officeDocument/2006/relationships/hyperlink" Target="http://ec.europa.eu/competition/sectors/energy/state_aid_to_secure_electricity_supply_en.html" TargetMode="External"/><Relationship Id="rId11" Type="http://schemas.openxmlformats.org/officeDocument/2006/relationships/hyperlink" Target="http://ec.europa.eu/competition/speeches/text/sp2018_14_en.pdf" TargetMode="External"/><Relationship Id="rId32" Type="http://schemas.openxmlformats.org/officeDocument/2006/relationships/hyperlink" Target="https://ec.europa.eu/info/publications/annual-activity-reports_fr" TargetMode="External"/><Relationship Id="rId53" Type="http://schemas.openxmlformats.org/officeDocument/2006/relationships/hyperlink" Target="http://ec.europa.eu/competition/elojade/isef/case_details.cfm?proc_code=3_SA_46595" TargetMode="External"/><Relationship Id="rId74" Type="http://schemas.openxmlformats.org/officeDocument/2006/relationships/hyperlink" Target="https://curia.europa.eu/jcms/jcms/p1_1525302/en/" TargetMode="External"/><Relationship Id="rId128" Type="http://schemas.openxmlformats.org/officeDocument/2006/relationships/hyperlink" Target="https://ec.europa.eu/digital-single-market/en/news/communication-connectivity-competitive-digital-single-market-towards-european-gigabit-society" TargetMode="External"/><Relationship Id="rId149" Type="http://schemas.openxmlformats.org/officeDocument/2006/relationships/hyperlink" Target="http://ec.europa.eu/competition/elojade/isef/index.cfm?fuseaction=dsp_result&amp;policy_area_id=3" TargetMode="External"/><Relationship Id="rId5" Type="http://schemas.openxmlformats.org/officeDocument/2006/relationships/hyperlink" Target="http://europa.eu/rapid/press-release_IP-18-6844_fr.htm" TargetMode="External"/><Relationship Id="rId95" Type="http://schemas.openxmlformats.org/officeDocument/2006/relationships/hyperlink" Target="https://eur-lex.europa.eu/legal-content/FR/TXT/?qid=1540389031742&amp;uri=CELEX:52018PC0441" TargetMode="External"/><Relationship Id="rId160" Type="http://schemas.openxmlformats.org/officeDocument/2006/relationships/hyperlink" Target="http://ec.europa.eu/competition/elojade/isef/index.cfm?fuseaction=dsp_result&amp;policy_area_id=3" TargetMode="External"/><Relationship Id="rId181" Type="http://schemas.openxmlformats.org/officeDocument/2006/relationships/hyperlink" Target="http://www.gibraltarlaws.gov.gi/articles/2018=228.pdf" TargetMode="External"/><Relationship Id="rId216" Type="http://schemas.openxmlformats.org/officeDocument/2006/relationships/hyperlink" Target="http://ec.europa.eu/transport/facts-fundings/statistics/doc/2017/pocketbook2017.pdf" TargetMode="External"/><Relationship Id="rId237" Type="http://schemas.openxmlformats.org/officeDocument/2006/relationships/hyperlink" Target="http://europa.eu/rapid/midday-express-20-12-2018.htm" TargetMode="External"/><Relationship Id="rId22" Type="http://schemas.openxmlformats.org/officeDocument/2006/relationships/hyperlink" Target="http://eur-lex.europa.eu/legal-content/FR/TXT/PDF/?uri=CELEX:52014DC0453&amp;qid=1490107939759&amp;from=FR" TargetMode="External"/><Relationship Id="rId43" Type="http://schemas.openxmlformats.org/officeDocument/2006/relationships/hyperlink" Target="http://ec.europa.eu/competition/state_aid/scoreboard/index_en.html" TargetMode="External"/><Relationship Id="rId64" Type="http://schemas.openxmlformats.org/officeDocument/2006/relationships/hyperlink" Target="http://ec.europa.eu/competition/elojade/isef/case_details.cfm?proc_code=3_SA_48472" TargetMode="External"/><Relationship Id="rId118" Type="http://schemas.openxmlformats.org/officeDocument/2006/relationships/hyperlink" Target="http://europa.eu/rapid/press-release_IP-17-1646_fr.htm" TargetMode="External"/><Relationship Id="rId139" Type="http://schemas.openxmlformats.org/officeDocument/2006/relationships/hyperlink" Target="http://ec.europa.eu/competition/elojade/isef/case_details.cfm?proc_code=2_M_8994" TargetMode="External"/><Relationship Id="rId85" Type="http://schemas.openxmlformats.org/officeDocument/2006/relationships/hyperlink" Target="http://www.oecd.org/daf/competition/excessive-pricing-in-pharmaceuticals.htm" TargetMode="External"/><Relationship Id="rId150" Type="http://schemas.openxmlformats.org/officeDocument/2006/relationships/hyperlink" Target="http://ec.europa.eu/competition/elojade/isef/index.cfm?fuseaction=dsp_result&amp;policy_area_id=3" TargetMode="External"/><Relationship Id="rId171" Type="http://schemas.openxmlformats.org/officeDocument/2006/relationships/hyperlink" Target="http://ec.europa.eu/competition/elojade/isef/case_details.cfm?proc_code=3_SA_35334" TargetMode="External"/><Relationship Id="rId192" Type="http://schemas.openxmlformats.org/officeDocument/2006/relationships/hyperlink" Target="http://europa.eu/rapid/press-release_IP-19-881_fr.htm" TargetMode="External"/><Relationship Id="rId206" Type="http://schemas.openxmlformats.org/officeDocument/2006/relationships/hyperlink" Target="https://europa.eu/rapid/press-release_IP-17-5041_fr.htm" TargetMode="External"/><Relationship Id="rId227" Type="http://schemas.openxmlformats.org/officeDocument/2006/relationships/hyperlink" Target="http://europa.eu/rapid/press-release_IP-18-3501_fr.htm" TargetMode="External"/><Relationship Id="rId248" Type="http://schemas.openxmlformats.org/officeDocument/2006/relationships/hyperlink" Target="http://ec.europa.eu/competition/elojade/isef/case_details.cfm?proc_code=3_SA_43127" TargetMode="External"/><Relationship Id="rId12" Type="http://schemas.openxmlformats.org/officeDocument/2006/relationships/hyperlink" Target="https://ec.europa.eu/info/law/better-regulation/initiatives/ares-2018-5068981_fr" TargetMode="External"/><Relationship Id="rId17" Type="http://schemas.openxmlformats.org/officeDocument/2006/relationships/hyperlink" Target="https://eur-lex.europa.eu/legal-content/FR/TXT/PDF/?uri=CELEX:52006XC0901(01)&amp;from=FR" TargetMode="External"/><Relationship Id="rId33" Type="http://schemas.openxmlformats.org/officeDocument/2006/relationships/hyperlink" Target="http://europa.eu/rapid/press-release_IP-17-772_fr.htm" TargetMode="External"/><Relationship Id="rId38" Type="http://schemas.openxmlformats.org/officeDocument/2006/relationships/hyperlink" Target="http://ec.europa.eu/competition/consultations/2016_merger_control/index_en.html" TargetMode="External"/><Relationship Id="rId59" Type="http://schemas.openxmlformats.org/officeDocument/2006/relationships/hyperlink" Target="http://ec.europa.eu/competition/elojade/isef/case_details.cfm?proc_code=3_SA_48571" TargetMode="External"/><Relationship Id="rId103" Type="http://schemas.openxmlformats.org/officeDocument/2006/relationships/hyperlink" Target="http://europa.eu/rapid/press-release_IP-18-3401_fr.htm" TargetMode="External"/><Relationship Id="rId108" Type="http://schemas.openxmlformats.org/officeDocument/2006/relationships/hyperlink" Target="https://eur-lex.europa.eu/legal-content/FR/TXT/?uri=CELEX:52014XC0628(01)" TargetMode="External"/><Relationship Id="rId124" Type="http://schemas.openxmlformats.org/officeDocument/2006/relationships/hyperlink" Target="http://europa.eu/rapid/press-release_IP-18-4581_fr.htm" TargetMode="External"/><Relationship Id="rId129" Type="http://schemas.openxmlformats.org/officeDocument/2006/relationships/hyperlink" Target="https://ec.europa.eu/digital-single-market/en/news/communication-5g-europe-action-plan-and-accompanying-staff-working-document" TargetMode="External"/><Relationship Id="rId54" Type="http://schemas.openxmlformats.org/officeDocument/2006/relationships/hyperlink" Target="http://ec.europa.eu/competition/elojade/isef/case_details.cfm?proc_code=3_SA_46590" TargetMode="External"/><Relationship Id="rId70" Type="http://schemas.openxmlformats.org/officeDocument/2006/relationships/hyperlink" Target="http://ec.europa.eu/competition/state_aid/scoreboard/index_en.html" TargetMode="External"/><Relationship Id="rId75" Type="http://schemas.openxmlformats.org/officeDocument/2006/relationships/hyperlink" Target="https://curia.europa.eu/jcms/jcms/p1_1525302/en/" TargetMode="External"/><Relationship Id="rId91" Type="http://schemas.openxmlformats.org/officeDocument/2006/relationships/hyperlink" Target="https://unctad.org/en/Pages/MeetingDetails.aspx?meetingid=1675" TargetMode="External"/><Relationship Id="rId96" Type="http://schemas.openxmlformats.org/officeDocument/2006/relationships/hyperlink" Target="https://eur-lex.europa.eu/legal-content/EN/TXT/?qid=1540389285918&amp;uri=CELEX:52018SC0320" TargetMode="External"/><Relationship Id="rId140" Type="http://schemas.openxmlformats.org/officeDocument/2006/relationships/hyperlink" Target="http://ec.europa.eu/competition/elojade/isef/case_details.cfm?proc_code=2_M_8665" TargetMode="External"/><Relationship Id="rId145" Type="http://schemas.openxmlformats.org/officeDocument/2006/relationships/hyperlink" Target="https://ec.europa.eu/digital-single-market/en/news/europes-digital-progress-report-2017" TargetMode="External"/><Relationship Id="rId161" Type="http://schemas.openxmlformats.org/officeDocument/2006/relationships/hyperlink" Target="http://ec.europa.eu/competition/elojade/isef/case_details.cfm?proc_code=3_SA_51820" TargetMode="External"/><Relationship Id="rId166" Type="http://schemas.openxmlformats.org/officeDocument/2006/relationships/hyperlink" Target="http://ec.europa.eu/competition/antitrust/cases/dec_docs/39398/39398_9728_3.pdf" TargetMode="External"/><Relationship Id="rId182" Type="http://schemas.openxmlformats.org/officeDocument/2006/relationships/hyperlink" Target="https://www.gibraltar.gov.gi/new/downloads-ito" TargetMode="External"/><Relationship Id="rId187" Type="http://schemas.openxmlformats.org/officeDocument/2006/relationships/hyperlink" Target="http://europa.eu/rapid/press-release_IP-18-3521_fr.htm" TargetMode="External"/><Relationship Id="rId217" Type="http://schemas.openxmlformats.org/officeDocument/2006/relationships/hyperlink" Target="http://ec.europa.eu/competition/elojade/isef/case_details.cfm?proc_code=2_M_8869" TargetMode="External"/><Relationship Id="rId1" Type="http://schemas.openxmlformats.org/officeDocument/2006/relationships/hyperlink" Target="http://ec.europa.eu/competition/cartels/legislation/leniency_legislation.html" TargetMode="External"/><Relationship Id="rId6" Type="http://schemas.openxmlformats.org/officeDocument/2006/relationships/hyperlink" Target="http://ec.europa.eu/competition/publications/data/factsheet_guess.pdf" TargetMode="External"/><Relationship Id="rId212" Type="http://schemas.openxmlformats.org/officeDocument/2006/relationships/hyperlink" Target="http://ec.europa.eu/competition/antitrust/cases/dec_docs/40394/40394_235_3.pdf" TargetMode="External"/><Relationship Id="rId233" Type="http://schemas.openxmlformats.org/officeDocument/2006/relationships/hyperlink" Target="http://europa.eu/rapid/press-release_IP-18-2842_fr.htm" TargetMode="External"/><Relationship Id="rId238" Type="http://schemas.openxmlformats.org/officeDocument/2006/relationships/hyperlink" Target="http://europa.eu/rapid/press-release_IP-18-5905_fr.htm" TargetMode="External"/><Relationship Id="rId23" Type="http://schemas.openxmlformats.org/officeDocument/2006/relationships/hyperlink" Target="http://ec.europa.eu/competition/consultations/2015_effective_enforcers/index_fr.html" TargetMode="External"/><Relationship Id="rId28" Type="http://schemas.openxmlformats.org/officeDocument/2006/relationships/hyperlink" Target="http://europa.eu/rapid/press-release_IP-17-772_fr.htm.%20Voir%20%C3%A9galement%20l%E2%80%99affaire%C2%A0M.8851" TargetMode="External"/><Relationship Id="rId49" Type="http://schemas.openxmlformats.org/officeDocument/2006/relationships/hyperlink" Target="http://eur-lex.europa.eu/legal-content/FR/TXT/?qid=1427303331326&amp;uri=CELEX:52010DC2020" TargetMode="External"/><Relationship Id="rId114" Type="http://schemas.openxmlformats.org/officeDocument/2006/relationships/hyperlink" Target="http://ec.europa.eu/competition/antitrust/sector_inquiry_final_report_fr.pdf" TargetMode="External"/><Relationship Id="rId119" Type="http://schemas.openxmlformats.org/officeDocument/2006/relationships/hyperlink" Target="http://europa.eu/rapid/press-release_IP-18-6312_fr.htm" TargetMode="External"/><Relationship Id="rId44" Type="http://schemas.openxmlformats.org/officeDocument/2006/relationships/hyperlink" Target="http://europa.eu/rapid/press-release_SPEECH-14-585_fr.htm" TargetMode="External"/><Relationship Id="rId60" Type="http://schemas.openxmlformats.org/officeDocument/2006/relationships/hyperlink" Target="http://ec.europa.eu/growth/smes/cosme_fr" TargetMode="External"/><Relationship Id="rId65" Type="http://schemas.openxmlformats.org/officeDocument/2006/relationships/hyperlink" Target="http://ec.europa.eu/competition/elojade/isef/case_details.cfm?proc_code=3_SA_50233" TargetMode="External"/><Relationship Id="rId81" Type="http://schemas.openxmlformats.org/officeDocument/2006/relationships/hyperlink" Target="http://www.oecd.org/daf/competition/e-commerce-implications-for-competition-policy.htm" TargetMode="External"/><Relationship Id="rId86" Type="http://schemas.openxmlformats.org/officeDocument/2006/relationships/hyperlink" Target="http://www.oecd.org/daf/competition/personalised-pricing-in-the-digital-era.htm" TargetMode="External"/><Relationship Id="rId130" Type="http://schemas.openxmlformats.org/officeDocument/2006/relationships/hyperlink" Target="http://europa.eu/rapid/press-release_IP-16-3539_fr.htm" TargetMode="External"/><Relationship Id="rId135" Type="http://schemas.openxmlformats.org/officeDocument/2006/relationships/hyperlink" Target="http://europa.eu/rapid/press-release_IP-18-6588_fr.htm" TargetMode="External"/><Relationship Id="rId151" Type="http://schemas.openxmlformats.org/officeDocument/2006/relationships/hyperlink" Target="http://ec.europa.eu/competition/elojade/isef/index.cfm?fuseaction=dsp_result&amp;policy_area_id=3" TargetMode="External"/><Relationship Id="rId156" Type="http://schemas.openxmlformats.org/officeDocument/2006/relationships/hyperlink" Target="http://eur-lex.europa.eu/LexUriServ/LexUriServ.do?uri=OJ:C:2013:332:0001:0011:FR:PDF" TargetMode="External"/><Relationship Id="rId177" Type="http://schemas.openxmlformats.org/officeDocument/2006/relationships/hyperlink" Target="http://ec.europa.eu/competition/elojade/isef/case_details.cfm?proc_code=3_SA_44888" TargetMode="External"/><Relationship Id="rId198" Type="http://schemas.openxmlformats.org/officeDocument/2006/relationships/hyperlink" Target="file:///\\net1.cec.eu.int\COMP\ENC\04\_forum\HORIZONTAL%20MATTERS\Annual%20Competition%20Report\48%20Report\13%20-%20Translation%20request%2023.05.21019\:%20https:\ec.europa.eu\info\sites\info\files\food-farming-fisheries\farming\documents\factsheet-food-supply-chain_march2017_en.p" TargetMode="External"/><Relationship Id="rId172" Type="http://schemas.openxmlformats.org/officeDocument/2006/relationships/hyperlink" Target="http://ec.europa.eu/competition/elojade/isef/case_details.cfm?proc_code=3_SA_51026" TargetMode="External"/><Relationship Id="rId193" Type="http://schemas.openxmlformats.org/officeDocument/2006/relationships/hyperlink" Target="http://ec.europa.eu/competition/elojade/isef/case_details.cfm?proc_code=3_SA_36086" TargetMode="External"/><Relationship Id="rId202" Type="http://schemas.openxmlformats.org/officeDocument/2006/relationships/hyperlink" Target="http://ec.europa.eu/competition/publications/reports/kd0218732enn.pdf" TargetMode="External"/><Relationship Id="rId207" Type="http://schemas.openxmlformats.org/officeDocument/2006/relationships/hyperlink" Target="http://ec.europa.eu/competition/elojade/isef/case_details.cfm?proc_code=2_M_8084" TargetMode="External"/><Relationship Id="rId223" Type="http://schemas.openxmlformats.org/officeDocument/2006/relationships/hyperlink" Target="http://ec.europa.eu/competition/elojade/isef/case_details.cfm?proc_code=3_SA_47867" TargetMode="External"/><Relationship Id="rId228" Type="http://schemas.openxmlformats.org/officeDocument/2006/relationships/hyperlink" Target="http://ec.europa.eu/competition/consultations/2018_consortia/index_fr.html" TargetMode="External"/><Relationship Id="rId244" Type="http://schemas.openxmlformats.org/officeDocument/2006/relationships/hyperlink" Target="http://ec.europa.eu/competition/elojade/isef/case_details.cfm?proc_code=3_SA_50395" TargetMode="External"/><Relationship Id="rId249" Type="http://schemas.openxmlformats.org/officeDocument/2006/relationships/hyperlink" Target="http://europa.eu/rapid/press-release_IP-18-394_fr.htm" TargetMode="External"/><Relationship Id="rId13" Type="http://schemas.openxmlformats.org/officeDocument/2006/relationships/hyperlink" Target="http://europa.eu/rapid/press-release_IP-18-4601_fr.htm" TargetMode="External"/><Relationship Id="rId18" Type="http://schemas.openxmlformats.org/officeDocument/2006/relationships/hyperlink" Target="https://curia.europa.eu/jcms/upload/docs/application/pdf/2018-02/cp180009fr.pdf" TargetMode="External"/><Relationship Id="rId39" Type="http://schemas.openxmlformats.org/officeDocument/2006/relationships/hyperlink" Target="http://ec.europa.eu/competition/mergers/cases/decisions/m3770_373_3.pdf" TargetMode="External"/><Relationship Id="rId109" Type="http://schemas.openxmlformats.org/officeDocument/2006/relationships/hyperlink" Target="http://europa.eu/rapid/press-release_IP-18-3921_fr.htm" TargetMode="External"/><Relationship Id="rId34" Type="http://schemas.openxmlformats.org/officeDocument/2006/relationships/hyperlink" Target="http://europa.eu/rapid/press-release_IP-18-3622_fr.htm" TargetMode="External"/><Relationship Id="rId50" Type="http://schemas.openxmlformats.org/officeDocument/2006/relationships/hyperlink" Target="http://ec.europa.eu/competition/state_aid/legislation/block.html" TargetMode="External"/><Relationship Id="rId55" Type="http://schemas.openxmlformats.org/officeDocument/2006/relationships/hyperlink" Target="http://ec.europa.eu/competition/elojade/isef/case_details.cfm?proc_code=3_SA_49580" TargetMode="External"/><Relationship Id="rId76" Type="http://schemas.openxmlformats.org/officeDocument/2006/relationships/hyperlink" Target="http://curia.europa.eu/juris/document/document.jsf?text=&amp;docid=208961&amp;pageIndex=0&amp;doclang=FR&amp;mode=lst&amp;dir=&amp;occ=first&amp;part=1&amp;cid=12230735" TargetMode="External"/><Relationship Id="rId97" Type="http://schemas.openxmlformats.org/officeDocument/2006/relationships/hyperlink" Target="https://ec.europa.eu/transport" TargetMode="External"/><Relationship Id="rId104" Type="http://schemas.openxmlformats.org/officeDocument/2006/relationships/hyperlink" Target="http://ec.europa.eu/competition/mergers/cases/decisions/m8660_525_3.pdf" TargetMode="External"/><Relationship Id="rId120" Type="http://schemas.openxmlformats.org/officeDocument/2006/relationships/hyperlink" Target="http://europa.eu/rapid/press-release_IP-18-6894_fr.htm" TargetMode="External"/><Relationship Id="rId125" Type="http://schemas.openxmlformats.org/officeDocument/2006/relationships/hyperlink" Target="https://ec.europa.eu/transparency/regdoc/rep/1/2016/FR/1-2016-590-FR-F1-1.PDF" TargetMode="External"/><Relationship Id="rId141" Type="http://schemas.openxmlformats.org/officeDocument/2006/relationships/hyperlink" Target="http://ec.europa.eu/competition/elojade/isef/case_details.cfm?proc_code=2_M_8989" TargetMode="External"/><Relationship Id="rId146" Type="http://schemas.openxmlformats.org/officeDocument/2006/relationships/hyperlink" Target="https://publications.europa.eu/en/publication-detail/-/publication/e81ae17f-9d27-4b68-8560-7cd45dbe21d8" TargetMode="External"/><Relationship Id="rId167" Type="http://schemas.openxmlformats.org/officeDocument/2006/relationships/hyperlink" Target="http://europa.eu/rapid/press-release_MEX-17-2341_en.htm" TargetMode="External"/><Relationship Id="rId188" Type="http://schemas.openxmlformats.org/officeDocument/2006/relationships/hyperlink" Target="https://www.mf.gov.pl/en/news/-/asset_publisher/X7ac/content/arrangements-with-the-eu-commission-on-the-minimum-income-tax-from-commercial-buildings" TargetMode="External"/><Relationship Id="rId7" Type="http://schemas.openxmlformats.org/officeDocument/2006/relationships/hyperlink" Target="http://ec.europa.eu/competition/antitrust/conf_rings.pdf" TargetMode="External"/><Relationship Id="rId71" Type="http://schemas.openxmlformats.org/officeDocument/2006/relationships/hyperlink" Target="http://eca.europa.eu/portal/pls/portal/docs/1/10952771.PDF" TargetMode="External"/><Relationship Id="rId92" Type="http://schemas.openxmlformats.org/officeDocument/2006/relationships/hyperlink" Target="http://curia.europa.eu/juris/liste.jsf?pro=AVIS&amp;num=C-1/15" TargetMode="External"/><Relationship Id="rId162" Type="http://schemas.openxmlformats.org/officeDocument/2006/relationships/hyperlink" Target="https://eur-lex.europa.eu/legal-content/fr/TXT/?uri=CELEX:32017D0899" TargetMode="External"/><Relationship Id="rId183" Type="http://schemas.openxmlformats.org/officeDocument/2006/relationships/hyperlink" Target="https://www.gibraltar.gov.gi/new/downloads-ito" TargetMode="External"/><Relationship Id="rId213" Type="http://schemas.openxmlformats.org/officeDocument/2006/relationships/hyperlink" Target="http://europa.eu/rapid/press-release_IP-17-2063_fr.htm" TargetMode="External"/><Relationship Id="rId218" Type="http://schemas.openxmlformats.org/officeDocument/2006/relationships/hyperlink" Target="http://ec.europa.eu/transparency/regdoc/index.cfm?fuseaction=list&amp;coteId=3&amp;documentType%20=COMMUNICATION_FROM_COMMISSION&amp;version=ALL" TargetMode="External"/><Relationship Id="rId234" Type="http://schemas.openxmlformats.org/officeDocument/2006/relationships/hyperlink" Target="http://ec.europa.eu/competition/elojade/isef/case_details.cfm?proc_code=3_SA_48119" TargetMode="External"/><Relationship Id="rId239" Type="http://schemas.openxmlformats.org/officeDocument/2006/relationships/hyperlink" Target="http://ec.europa.eu/competition/elojade/isef/case_details.cfm?proc_code=3_SA_49153" TargetMode="External"/><Relationship Id="rId2" Type="http://schemas.openxmlformats.org/officeDocument/2006/relationships/hyperlink" Target="http://ec.europa.eu/competition/cartels/legislation/settlements.html" TargetMode="External"/><Relationship Id="rId29" Type="http://schemas.openxmlformats.org/officeDocument/2006/relationships/hyperlink" Target="http://europa.eu/rapid/press-release_IP-18-3622_fr.htm" TargetMode="External"/><Relationship Id="rId250" Type="http://schemas.openxmlformats.org/officeDocument/2006/relationships/hyperlink" Target="http://europa.eu/rapid/press-release_IP-18-3965_fr.htm" TargetMode="External"/><Relationship Id="rId24" Type="http://schemas.openxmlformats.org/officeDocument/2006/relationships/hyperlink" Target="http://europa.eu/rapid/press-release_IP-15-5998_fr.htm" TargetMode="External"/><Relationship Id="rId40" Type="http://schemas.openxmlformats.org/officeDocument/2006/relationships/hyperlink" Target="http://ec.europa.eu/competition/mergers/cases/decisions/m3770_373_3.pdf" TargetMode="External"/><Relationship Id="rId45" Type="http://schemas.openxmlformats.org/officeDocument/2006/relationships/hyperlink" Target="http://ec.europa.eu/competition/publications/cpb/2016/2016_004_en.pdf" TargetMode="External"/><Relationship Id="rId66" Type="http://schemas.openxmlformats.org/officeDocument/2006/relationships/hyperlink" Target="http://ec.europa.eu/competition/elojade/isef/case_details.cfm?proc_code=3_N565_2007" TargetMode="External"/><Relationship Id="rId87" Type="http://schemas.openxmlformats.org/officeDocument/2006/relationships/hyperlink" Target="http://www.oecd.org/daf/competition/quality-considerations-in-the-zero-price-economy.htm" TargetMode="External"/><Relationship Id="rId110" Type="http://schemas.openxmlformats.org/officeDocument/2006/relationships/hyperlink" Target="http://europa.eu/rapid/press-release_IP-18-6846_fr.htm" TargetMode="External"/><Relationship Id="rId115" Type="http://schemas.openxmlformats.org/officeDocument/2006/relationships/hyperlink" Target="http://europa.eu/rapid/press-release_IP-18-4601_fr.htm" TargetMode="External"/><Relationship Id="rId131" Type="http://schemas.openxmlformats.org/officeDocument/2006/relationships/hyperlink" Target="http://ec.europa.eu/competition/elojade/isef/case_details.cfm?proc_code=2_M_7000" TargetMode="External"/><Relationship Id="rId136" Type="http://schemas.openxmlformats.org/officeDocument/2006/relationships/hyperlink" Target="http://europa.eu/rapid/press-release_IP-18-6772_fr.htm" TargetMode="External"/><Relationship Id="rId157" Type="http://schemas.openxmlformats.org/officeDocument/2006/relationships/hyperlink" Target="http://eur-lex.europa.eu/legal-content/FR/TXT/PDF/?uri=CELEX:52009XC1027(01)&amp;from=FR" TargetMode="External"/><Relationship Id="rId178" Type="http://schemas.openxmlformats.org/officeDocument/2006/relationships/hyperlink" Target="http://europa.eu/rapid/press-release_IP-18-5831_fr.htm" TargetMode="External"/><Relationship Id="rId61" Type="http://schemas.openxmlformats.org/officeDocument/2006/relationships/hyperlink" Target="https://eur-lex.europa.eu/legal-content/FR/TXT/?uri=CELEX:52014XC0122(04)" TargetMode="External"/><Relationship Id="rId82" Type="http://schemas.openxmlformats.org/officeDocument/2006/relationships/hyperlink" Target="http://www.oecd.org/daf/competition/market-concentration.htm" TargetMode="External"/><Relationship Id="rId152" Type="http://schemas.openxmlformats.org/officeDocument/2006/relationships/hyperlink" Target="http://ec.europa.eu/competition/elojade/isef/index.cfm?fuseaction=dsp_result&amp;policy_area_id=3" TargetMode="External"/><Relationship Id="rId173" Type="http://schemas.openxmlformats.org/officeDocument/2006/relationships/hyperlink" Target="http://ec.europa.eu/competition/elojade/isef/case_details.cfm?proc_code=3_SA_52288" TargetMode="External"/><Relationship Id="rId194" Type="http://schemas.openxmlformats.org/officeDocument/2006/relationships/hyperlink" Target="http://europa.eu/rapid/press-release_IP-18-6845_fr.htm" TargetMode="External"/><Relationship Id="rId199" Type="http://schemas.openxmlformats.org/officeDocument/2006/relationships/hyperlink" Target="http://eur-lex.europa.eu/legal-content/fr/ALL/?uri=CELEX:32013R1308" TargetMode="External"/><Relationship Id="rId203" Type="http://schemas.openxmlformats.org/officeDocument/2006/relationships/hyperlink" Target="https://eur-lex.europa.eu/legal-content/FR/TXT/PDF/?uri=CELEX:52018DC0706&amp;qid=1564574673057&amp;from=FR" TargetMode="External"/><Relationship Id="rId208" Type="http://schemas.openxmlformats.org/officeDocument/2006/relationships/hyperlink" Target="http://dx.doi.org/10.1787/health_glance-2017-fr" TargetMode="External"/><Relationship Id="rId229" Type="http://schemas.openxmlformats.org/officeDocument/2006/relationships/hyperlink" Target="http://ec.europa.eu/competition/mergers/cases/decisions/m7268_1503_2.pdf" TargetMode="External"/><Relationship Id="rId19" Type="http://schemas.openxmlformats.org/officeDocument/2006/relationships/hyperlink" Target="http://europa.eu/rapid/press-release_IP-18-2281_fr.htm" TargetMode="External"/><Relationship Id="rId224" Type="http://schemas.openxmlformats.org/officeDocument/2006/relationships/hyperlink" Target="http://europa.eu/rapid/press-release_IP-18-6222_fr.htm" TargetMode="External"/><Relationship Id="rId240" Type="http://schemas.openxmlformats.org/officeDocument/2006/relationships/hyperlink" Target="http://ec.europa.eu/competition/elojade/isef/case_details.cfm?proc_code=3_SA_49518" TargetMode="External"/><Relationship Id="rId245" Type="http://schemas.openxmlformats.org/officeDocument/2006/relationships/hyperlink" Target="http://ec.europa.eu/competition/elojade/isef/case_details.cfm?proc_code=3_SA_50584" TargetMode="External"/><Relationship Id="rId14" Type="http://schemas.openxmlformats.org/officeDocument/2006/relationships/hyperlink" Target="https://curia.europa.eu/jcms/upload/docs/application/pdf/2018-07/cp180107fr.pdf" TargetMode="External"/><Relationship Id="rId30" Type="http://schemas.openxmlformats.org/officeDocument/2006/relationships/hyperlink" Target="http://europa.eu/rapid/press-release_IP-18-6497_fr.htm" TargetMode="External"/><Relationship Id="rId35" Type="http://schemas.openxmlformats.org/officeDocument/2006/relationships/hyperlink" Target="http://europa.eu/rapid/press-release_IP-17-1369_fr.htm" TargetMode="External"/><Relationship Id="rId56" Type="http://schemas.openxmlformats.org/officeDocument/2006/relationships/hyperlink" Target="http://ec.europa.eu/competition/elojade/isef/case_details.cfm?proc_code=3_SA_45359" TargetMode="External"/><Relationship Id="rId77" Type="http://schemas.openxmlformats.org/officeDocument/2006/relationships/hyperlink" Target="http://europa.eu/rapid/press-release_IP-18-5865_fr.htm" TargetMode="External"/><Relationship Id="rId100" Type="http://schemas.openxmlformats.org/officeDocument/2006/relationships/hyperlink" Target="http://europa.eu/rapid/press-release_IP-18-6414_fr.htm" TargetMode="External"/><Relationship Id="rId105" Type="http://schemas.openxmlformats.org/officeDocument/2006/relationships/hyperlink" Target="http://ec.europa.eu/competition/sectors/energy/capacity_mechanisms_final_report_fr.pdf" TargetMode="External"/><Relationship Id="rId126" Type="http://schemas.openxmlformats.org/officeDocument/2006/relationships/hyperlink" Target="http://eur-lex.europa.eu/legal-content/FR/TXT/PDF/?uri=CELEX:52016PC0591&amp;from=FR" TargetMode="External"/><Relationship Id="rId147" Type="http://schemas.openxmlformats.org/officeDocument/2006/relationships/hyperlink" Target="http://eur-lex.europa.eu/LexUriServ/LexUriServ.do?uri=OJ:C:2013:025:0001:0026:FR:PDF" TargetMode="External"/><Relationship Id="rId168" Type="http://schemas.openxmlformats.org/officeDocument/2006/relationships/hyperlink" Target="http://europa.eu/rapid/press-release_IP-18-6655_fr.htm" TargetMode="External"/><Relationship Id="rId8" Type="http://schemas.openxmlformats.org/officeDocument/2006/relationships/hyperlink" Target="https://ec.europa.eu/commission/commissioners/2014-2019/vestager/announcements/commission-appoints-professors-heike-schweitzer-jacques-cremer-and-assistant-professor-yves_en" TargetMode="External"/><Relationship Id="rId51" Type="http://schemas.openxmlformats.org/officeDocument/2006/relationships/hyperlink" Target="http://ec.europa.eu/competition/elojade/isef/case_details.cfm?proc_code=3_SA_46705" TargetMode="External"/><Relationship Id="rId72" Type="http://schemas.openxmlformats.org/officeDocument/2006/relationships/hyperlink" Target="https://webgate.ec.europa.eu/competition/transparency/public/search/home?lang=fr" TargetMode="External"/><Relationship Id="rId93" Type="http://schemas.openxmlformats.org/officeDocument/2006/relationships/hyperlink" Target="https://eur-lex.europa.eu/legal-content/FR/ALL/?uri=CELEX:22003A0722(01)" TargetMode="External"/><Relationship Id="rId98" Type="http://schemas.openxmlformats.org/officeDocument/2006/relationships/hyperlink" Target="http://ec.europa.eu/competition/state_aid/cases/269473/269473_1980325_81_2.pdf" TargetMode="External"/><Relationship Id="rId121" Type="http://schemas.openxmlformats.org/officeDocument/2006/relationships/hyperlink" Target="http://europa.eu/rapid/press-release_IP-19-1590_fr.htm" TargetMode="External"/><Relationship Id="rId142" Type="http://schemas.openxmlformats.org/officeDocument/2006/relationships/hyperlink" Target="http://ec.europa.eu/competition/elojade/isef/case_details.cfm?proc_code=2_M_8785" TargetMode="External"/><Relationship Id="rId163" Type="http://schemas.openxmlformats.org/officeDocument/2006/relationships/hyperlink" Target="http://eur-lex.europa.eu/legal-content/FR/TXT/?uri=celex:32015R0751" TargetMode="External"/><Relationship Id="rId184" Type="http://schemas.openxmlformats.org/officeDocument/2006/relationships/hyperlink" Target="http://ec.europa.eu/competition/elojade/isef/case_details.cfm?proc_code=3_SA_25338" TargetMode="External"/><Relationship Id="rId189" Type="http://schemas.openxmlformats.org/officeDocument/2006/relationships/hyperlink" Target="https://eur-lex.europa.eu/resource.html?uri=cellar:c8b9aac5-9861-11e7-b92d-01aa75ed71a1.0003.02/DOC_1&amp;format=PDF" TargetMode="External"/><Relationship Id="rId219" Type="http://schemas.openxmlformats.org/officeDocument/2006/relationships/hyperlink" Target="http://ec.europa.eu/competition/elojade/isef/case_details.cfm?proc_code=3_SA_46945" TargetMode="External"/><Relationship Id="rId3" Type="http://schemas.openxmlformats.org/officeDocument/2006/relationships/hyperlink" Target="http://europa.eu/rapid/press-release_IP-16-3116_fr.htm" TargetMode="External"/><Relationship Id="rId214" Type="http://schemas.openxmlformats.org/officeDocument/2006/relationships/hyperlink" Target="http://europa.eu/rapid/press-release_IP-18-6497_fr.htm" TargetMode="External"/><Relationship Id="rId230" Type="http://schemas.openxmlformats.org/officeDocument/2006/relationships/hyperlink" Target="http://ec.europa.eu/competition/elojade/isef/index.cfm?fuseaction=dsp_merger_by_date" TargetMode="External"/><Relationship Id="rId235" Type="http://schemas.openxmlformats.org/officeDocument/2006/relationships/hyperlink" Target="http://europa.eu/rapid/press-release_IP-18-6107_fr.pdf" TargetMode="External"/><Relationship Id="rId251" Type="http://schemas.openxmlformats.org/officeDocument/2006/relationships/hyperlink" Target="http://europa.eu/rapid/press-release_IP-18-4444_fr.htm" TargetMode="External"/><Relationship Id="rId25" Type="http://schemas.openxmlformats.org/officeDocument/2006/relationships/hyperlink" Target="http://ec.europa.eu/competition/consultations/2015_effective_enforcers/index_fr.html" TargetMode="External"/><Relationship Id="rId46" Type="http://schemas.openxmlformats.org/officeDocument/2006/relationships/hyperlink" Target="https://webgate.ec.europa.eu/competition/transparency/public?lang=fr" TargetMode="External"/><Relationship Id="rId67" Type="http://schemas.openxmlformats.org/officeDocument/2006/relationships/hyperlink" Target="https://ec.europa.eu/info/sites/info/files/better-regulation-guidelines-evaluation-fitness-checks.pdf" TargetMode="External"/><Relationship Id="rId116" Type="http://schemas.openxmlformats.org/officeDocument/2006/relationships/hyperlink" Target="http://europa.eu/rapid/press-release_IP-18-6844_fr.htm" TargetMode="External"/><Relationship Id="rId137" Type="http://schemas.openxmlformats.org/officeDocument/2006/relationships/hyperlink" Target="http://ec.europa.eu/competition/elojade/isef/case_details.cfm?proc_code=2_M_8788" TargetMode="External"/><Relationship Id="rId158" Type="http://schemas.openxmlformats.org/officeDocument/2006/relationships/hyperlink" Target="http://ec.europa.eu/competition/elojade/isef/case_details.cfm?proc_code=3_SA_49405" TargetMode="External"/><Relationship Id="rId20" Type="http://schemas.openxmlformats.org/officeDocument/2006/relationships/hyperlink" Target="http://europa.eu/rapid/press-release_IP-18-962_fr.htm" TargetMode="External"/><Relationship Id="rId41" Type="http://schemas.openxmlformats.org/officeDocument/2006/relationships/hyperlink" Target="http://ec.europa.eu/competition/mergers/cases/decisions/m7018_6053_3.pdf" TargetMode="External"/><Relationship Id="rId62" Type="http://schemas.openxmlformats.org/officeDocument/2006/relationships/hyperlink" Target="http://ec.europa.eu/competition/elojade/isef/case_details.cfm?proc_code=3_SA_49335" TargetMode="External"/><Relationship Id="rId83" Type="http://schemas.openxmlformats.org/officeDocument/2006/relationships/hyperlink" Target="http://www.oecd.org/daf/competition/treatment-of-legally-privileged-information-in-competition-proceedings.htm" TargetMode="External"/><Relationship Id="rId88" Type="http://schemas.openxmlformats.org/officeDocument/2006/relationships/hyperlink" Target="http://www.oecd.org/fr/concurrence/forum-mondial/accords-de-cooperation-regionale-en-matiere-de-concurrence.htm" TargetMode="External"/><Relationship Id="rId111" Type="http://schemas.openxmlformats.org/officeDocument/2006/relationships/hyperlink" Target="http://europa.eu/rapid/press-release_IP-18-5861_fr.htm" TargetMode="External"/><Relationship Id="rId132" Type="http://schemas.openxmlformats.org/officeDocument/2006/relationships/hyperlink" Target="http://ec.europa.eu/competition/elojade/isef/case_details.cfm?proc_code=2_M_8808" TargetMode="External"/><Relationship Id="rId153" Type="http://schemas.openxmlformats.org/officeDocument/2006/relationships/hyperlink" Target="http://ec.europa.eu/competition/elojade/isef/index.cfm?fuseaction=dsp_result&amp;policy_area_id=3" TargetMode="External"/><Relationship Id="rId174" Type="http://schemas.openxmlformats.org/officeDocument/2006/relationships/hyperlink" Target="http://www.europarl.europa.eu/sides/getDoc.do?pubRef=-//EP//TEXT+TA+P8-TA-2015-0408+0+DOC+XML+V0//FR" TargetMode="External"/><Relationship Id="rId179" Type="http://schemas.openxmlformats.org/officeDocument/2006/relationships/hyperlink" Target="http://europa.eu/rapid/press-release_IP-18-6889_fr.htm" TargetMode="External"/><Relationship Id="rId195" Type="http://schemas.openxmlformats.org/officeDocument/2006/relationships/hyperlink" Target="http://ec.europa.eu/competition/elojade/isef/case_details.cfm?proc_code=3_SA_48394" TargetMode="External"/><Relationship Id="rId209" Type="http://schemas.openxmlformats.org/officeDocument/2006/relationships/hyperlink" Target="https://www.oecd-ilibrary.org/docserver/health_glance-2017-68-fr.pdf?expires=1551708629&amp;id=id&amp;accname=oid031827&amp;checksum=EC3C51C8A5CC457130B602AD5CA1F827" TargetMode="External"/><Relationship Id="rId190" Type="http://schemas.openxmlformats.org/officeDocument/2006/relationships/hyperlink" Target="http://europa.eu/rapid/press-release_IP-18-3721_fr.htm" TargetMode="External"/><Relationship Id="rId204" Type="http://schemas.openxmlformats.org/officeDocument/2006/relationships/hyperlink" Target="http://europa.eu/rapid/press-release_IP-18-2702_fr.htm" TargetMode="External"/><Relationship Id="rId220" Type="http://schemas.openxmlformats.org/officeDocument/2006/relationships/hyperlink" Target="http://ec.europa.eu/competition/elojade/isef/case_details.cfm?proc_code=3_SA_49482" TargetMode="External"/><Relationship Id="rId225" Type="http://schemas.openxmlformats.org/officeDocument/2006/relationships/hyperlink" Target="http://europa.eu/rapid/press-release_IP-18-6785_fr.htm" TargetMode="External"/><Relationship Id="rId241" Type="http://schemas.openxmlformats.org/officeDocument/2006/relationships/hyperlink" Target="http://ec.europa.eu/competition/elojade/isef/case_details.cfm?proc_code=3_SA_49749" TargetMode="External"/><Relationship Id="rId246" Type="http://schemas.openxmlformats.org/officeDocument/2006/relationships/hyperlink" Target="http://ec.europa.eu/competition/elojade/isef/case_details.cfm?proc_code=3_SA_43549" TargetMode="External"/><Relationship Id="rId15" Type="http://schemas.openxmlformats.org/officeDocument/2006/relationships/hyperlink" Target="https://curia.europa.eu/jcms/upload/docs/application/pdf/2018-07/cp180107fr.pdf" TargetMode="External"/><Relationship Id="rId36" Type="http://schemas.openxmlformats.org/officeDocument/2006/relationships/hyperlink" Target="http://europa.eu/rapid/press-release_IP-18-3522_fr.htm" TargetMode="External"/><Relationship Id="rId57" Type="http://schemas.openxmlformats.org/officeDocument/2006/relationships/hyperlink" Target="http://ec.europa.eu/competition/elojade/isef/case_details.cfm?proc_code=3_SA_48680" TargetMode="External"/><Relationship Id="rId106" Type="http://schemas.openxmlformats.org/officeDocument/2006/relationships/hyperlink" Target="http://europa.eu/rapid/press-release_IP-18-682_fr.htm" TargetMode="External"/><Relationship Id="rId127" Type="http://schemas.openxmlformats.org/officeDocument/2006/relationships/hyperlink" Target="http://eur-lex.europa.eu/legal-content/FR/TXT/PDF/?uri=CELEX:52016PC0589&amp;from=FR" TargetMode="External"/><Relationship Id="rId10" Type="http://schemas.openxmlformats.org/officeDocument/2006/relationships/hyperlink" Target="http://ec.europa.eu/competition/publications/reports/kd0419345enn.pdf" TargetMode="External"/><Relationship Id="rId31" Type="http://schemas.openxmlformats.org/officeDocument/2006/relationships/hyperlink" Target="http://europa.eu/rapid/press-release_IP-18-3682_fr.htm" TargetMode="External"/><Relationship Id="rId52" Type="http://schemas.openxmlformats.org/officeDocument/2006/relationships/hyperlink" Target="http://ec.europa.eu/competition/elojade/isef/case_details.cfm?proc_code=3_SA_46578" TargetMode="External"/><Relationship Id="rId73" Type="http://schemas.openxmlformats.org/officeDocument/2006/relationships/hyperlink" Target="http://ec.europa.eu/competition/court/overview_en.html" TargetMode="External"/><Relationship Id="rId78" Type="http://schemas.openxmlformats.org/officeDocument/2006/relationships/hyperlink" Target="https://ec.europa.eu/commission/commissioners/2014-2019/vestager/announcements/state-aid-rules-fair-competition_en" TargetMode="External"/><Relationship Id="rId94" Type="http://schemas.openxmlformats.org/officeDocument/2006/relationships/hyperlink" Target="http://ec.europa.eu/competition/international/bilateral/mexico_mou_2018_en.pdf" TargetMode="External"/><Relationship Id="rId99" Type="http://schemas.openxmlformats.org/officeDocument/2006/relationships/hyperlink" Target="http://europa.eu/rapid/press-release_IP-16-3521_fr.htm" TargetMode="External"/><Relationship Id="rId101" Type="http://schemas.openxmlformats.org/officeDocument/2006/relationships/hyperlink" Target="http://europa.eu/rapid/press-release_IP-18-6722_fr.htm" TargetMode="External"/><Relationship Id="rId122" Type="http://schemas.openxmlformats.org/officeDocument/2006/relationships/hyperlink" Target="http://europa.eu/rapid/press-release_IP-18-421_fr.htm" TargetMode="External"/><Relationship Id="rId143" Type="http://schemas.openxmlformats.org/officeDocument/2006/relationships/hyperlink" Target="http://ec.europa.eu/competition/elojade/isef/case_details.cfm?proc_code=2_M_8861" TargetMode="External"/><Relationship Id="rId148" Type="http://schemas.openxmlformats.org/officeDocument/2006/relationships/hyperlink" Target="https://ec.europa.eu/digital-single-market/fr/news/communication-connectivity-competitive-digital-single-market-towards-european-gigabit-society" TargetMode="External"/><Relationship Id="rId164" Type="http://schemas.openxmlformats.org/officeDocument/2006/relationships/hyperlink" Target="http://curia.europa.eu/juris/liste.jsf?language=fr&amp;td=ALL&amp;num=C-304/16" TargetMode="External"/><Relationship Id="rId169" Type="http://schemas.openxmlformats.org/officeDocument/2006/relationships/hyperlink" Target="http://europa.eu/rapid/press-release_MEMO-17-3761_en.htm" TargetMode="External"/><Relationship Id="rId185" Type="http://schemas.openxmlformats.org/officeDocument/2006/relationships/hyperlink" Target="http://ec.europa.eu/competition/elojade/isef/case_details.cfm?proc_code=3_SA_38393" TargetMode="External"/><Relationship Id="rId4" Type="http://schemas.openxmlformats.org/officeDocument/2006/relationships/hyperlink" Target="http://europa.eu/rapid/press-release_IP-18-4601_fr.htm" TargetMode="External"/><Relationship Id="rId9" Type="http://schemas.openxmlformats.org/officeDocument/2006/relationships/hyperlink" Target="http://ec.europa.eu/competition/scp19/" TargetMode="External"/><Relationship Id="rId180" Type="http://schemas.openxmlformats.org/officeDocument/2006/relationships/hyperlink" Target="http://www.gibraltarlaws.gov.gi/articles/2018s227.pdf" TargetMode="External"/><Relationship Id="rId210" Type="http://schemas.openxmlformats.org/officeDocument/2006/relationships/hyperlink" Target="http://ec.europa.eu/competition/sectors/pharmaceuticals/report2019/index.html" TargetMode="External"/><Relationship Id="rId215" Type="http://schemas.openxmlformats.org/officeDocument/2006/relationships/hyperlink" Target="http://curia.europa.eu/juris/liste.jsf?language=fr&amp;num=T-216/15" TargetMode="External"/><Relationship Id="rId236" Type="http://schemas.openxmlformats.org/officeDocument/2006/relationships/hyperlink" Target="http://europa.eu/rapid/press-release_IP-18-6107_fr.pdf" TargetMode="External"/><Relationship Id="rId26" Type="http://schemas.openxmlformats.org/officeDocument/2006/relationships/hyperlink" Target="http://ec.europa.eu/competition/antitrust/nca.html" TargetMode="External"/><Relationship Id="rId231" Type="http://schemas.openxmlformats.org/officeDocument/2006/relationships/hyperlink" Target="http://ec.europa.eu/competition/elojade/isef/index.cfm?fuseaction=dsp_merger_by_date" TargetMode="External"/><Relationship Id="rId252" Type="http://schemas.openxmlformats.org/officeDocument/2006/relationships/hyperlink" Target="http://europa.eu/rapid/press-release_MEMO-18-6247_fr.htm" TargetMode="External"/><Relationship Id="rId47" Type="http://schemas.openxmlformats.org/officeDocument/2006/relationships/hyperlink" Target="http://ec.europa.eu/competition/publications/cpb/2014/007_en.pdf" TargetMode="External"/><Relationship Id="rId68" Type="http://schemas.openxmlformats.org/officeDocument/2006/relationships/hyperlink" Target="https://eur-lex.europa.eu/legal-content/FR/TXT/PDF/?uri=CELEX:52018XC1219(01)&amp;from=FR" TargetMode="External"/><Relationship Id="rId89" Type="http://schemas.openxmlformats.org/officeDocument/2006/relationships/hyperlink" Target="http://www.oecd.org/fr/concurrence/forum-mondial/pouvoirs-investigation-des-autorites-en-pratique.htm" TargetMode="External"/><Relationship Id="rId112" Type="http://schemas.openxmlformats.org/officeDocument/2006/relationships/hyperlink" Target="http://ec.europa.eu/competition/mergers/cases/decisions/m8953_141_3.pdf" TargetMode="External"/><Relationship Id="rId133" Type="http://schemas.openxmlformats.org/officeDocument/2006/relationships/hyperlink" Target="http://ec.europa.eu/competition/elojade/isef/case_details.cfm?proc_code=2_M_8842" TargetMode="External"/><Relationship Id="rId154" Type="http://schemas.openxmlformats.org/officeDocument/2006/relationships/hyperlink" Target="http://ec.europa.eu/competition/elojade/isef/case_details.cfm?proc_code=3_SA_48418" TargetMode="External"/><Relationship Id="rId175" Type="http://schemas.openxmlformats.org/officeDocument/2006/relationships/hyperlink" Target="http://ec.europa.eu/competition/state_aid/legislation/working_paper_tax_rulings.pdf" TargetMode="External"/><Relationship Id="rId196" Type="http://schemas.openxmlformats.org/officeDocument/2006/relationships/hyperlink" Target="http://europa.eu/rapid/press-release_IP-18-3733_fr.htm" TargetMode="External"/><Relationship Id="rId200" Type="http://schemas.openxmlformats.org/officeDocument/2006/relationships/hyperlink" Target="https://eur-/" TargetMode="External"/><Relationship Id="rId16" Type="http://schemas.openxmlformats.org/officeDocument/2006/relationships/hyperlink" Target="https://curia.europa.eu/jcms/upload/docs/application/pdf/2018-02/cp180009fr.pdf" TargetMode="External"/><Relationship Id="rId221" Type="http://schemas.openxmlformats.org/officeDocument/2006/relationships/hyperlink" Target="http://ec.europa.eu/competition/elojade/isef/case_details.cfm?proc_code=3_SA_49331" TargetMode="External"/><Relationship Id="rId242" Type="http://schemas.openxmlformats.org/officeDocument/2006/relationships/hyperlink" Target="http://ec.europa.eu/competition/elojade/isef/case_details.cfm?proc_code=3_SA_50165" TargetMode="External"/><Relationship Id="rId37" Type="http://schemas.openxmlformats.org/officeDocument/2006/relationships/hyperlink" Target="http://ec.europa.eu/competition/consultations/2014_merger_control/index_en.html" TargetMode="External"/><Relationship Id="rId58" Type="http://schemas.openxmlformats.org/officeDocument/2006/relationships/hyperlink" Target="http://ec.europa.eu/competition/elojade/isef/case_details.cfm?proc_code=3_SA_47412" TargetMode="External"/><Relationship Id="rId79" Type="http://schemas.openxmlformats.org/officeDocument/2006/relationships/hyperlink" Target="http://www.oecd.org/daf/competition/rethinking-antitrust-enforcement-tools-in-multi-sided-markets.htm" TargetMode="External"/><Relationship Id="rId102" Type="http://schemas.openxmlformats.org/officeDocument/2006/relationships/hyperlink" Target="http://europa.eu/rapid/press-release_IP-18-6722_fr.htm" TargetMode="External"/><Relationship Id="rId123" Type="http://schemas.openxmlformats.org/officeDocument/2006/relationships/hyperlink" Target="http://ec.europa.eu/competition/elojade/isef/case_details.cfm?proc_code=1_39711" TargetMode="External"/><Relationship Id="rId144" Type="http://schemas.openxmlformats.org/officeDocument/2006/relationships/hyperlink" Target="https://ec.europa.eu/digital-single-market/en/news/communication-connectivity-competitive-digital-single-market-towards-european-gigabit-society" TargetMode="External"/><Relationship Id="rId90" Type="http://schemas.openxmlformats.org/officeDocument/2006/relationships/hyperlink" Target="https://unctad.org/en/Pages/MeetingDetails.aspx?meetingid=1675" TargetMode="External"/><Relationship Id="rId165" Type="http://schemas.openxmlformats.org/officeDocument/2006/relationships/hyperlink" Target="http://ec.europa.eu/finance/payments/framework/index_en.htm" TargetMode="External"/><Relationship Id="rId186" Type="http://schemas.openxmlformats.org/officeDocument/2006/relationships/hyperlink" Target="http://ec.europa.eu/competition/elojade/isef/case_details.cfm?proc_code=3_SA_38398" TargetMode="External"/><Relationship Id="rId211" Type="http://schemas.openxmlformats.org/officeDocument/2006/relationships/hyperlink" Target="http://europa.eu/rapid/press-release_IP-17-1323_fr.htm" TargetMode="External"/><Relationship Id="rId232" Type="http://schemas.openxmlformats.org/officeDocument/2006/relationships/hyperlink" Target="http://eur-lex.europa.eu/legal-content/FR/ALL/?uri=CELEX:52004XC0117(01)" TargetMode="External"/><Relationship Id="rId27" Type="http://schemas.openxmlformats.org/officeDocument/2006/relationships/hyperlink" Target="http://www.ec.europa.eu/competition/publications/reports/KD0216916ENN.pdf" TargetMode="External"/><Relationship Id="rId48" Type="http://schemas.openxmlformats.org/officeDocument/2006/relationships/hyperlink" Target="http://ec.europa.eu/competition/publications/cpb/2016/2016_003_en.pdf" TargetMode="External"/><Relationship Id="rId69" Type="http://schemas.openxmlformats.org/officeDocument/2006/relationships/hyperlink" Target="https://eur-lex.europa.eu/legal-content/FR/TXT/PDF/?uri=CELEX:32018R1923&amp;from=FR" TargetMode="External"/><Relationship Id="rId113" Type="http://schemas.openxmlformats.org/officeDocument/2006/relationships/hyperlink" Target="http://eur-lex.europa.eu/legal-content/FR/TXT/?qid=1447773803386&amp;uri=CELEX:52015DC0192" TargetMode="External"/><Relationship Id="rId134" Type="http://schemas.openxmlformats.org/officeDocument/2006/relationships/hyperlink" Target="http://europa.eu/rapid/press-release_IP-18-4141_fr.htm" TargetMode="External"/><Relationship Id="rId80" Type="http://schemas.openxmlformats.org/officeDocument/2006/relationships/hyperlink" Target="http://www.oecd.org/daf/competition/non-price-effects-of-mergers.htm" TargetMode="External"/><Relationship Id="rId155" Type="http://schemas.openxmlformats.org/officeDocument/2006/relationships/hyperlink" Target="http://ec.europa.eu/competition/elojade/isef/case_details.cfm?proc_code=3_SA_46805" TargetMode="External"/><Relationship Id="rId176" Type="http://schemas.openxmlformats.org/officeDocument/2006/relationships/hyperlink" Target="http://www.impotsdirects.public.lu/content/dam/acd/fr/legislation/legi16/circulairelir561-56bis1-27122016.pdf" TargetMode="External"/><Relationship Id="rId197" Type="http://schemas.openxmlformats.org/officeDocument/2006/relationships/hyperlink" Target="http://europa.eu/rapid/press-release_IP-18-6341_fr.htm" TargetMode="External"/><Relationship Id="rId201" Type="http://schemas.openxmlformats.org/officeDocument/2006/relationships/hyperlink" Target="http://europa.eu/rapid/press-release_MEMO-18-3974_fr.htm" TargetMode="External"/><Relationship Id="rId222" Type="http://schemas.openxmlformats.org/officeDocument/2006/relationships/hyperlink" Target="http://ec.europa.eu/competition/elojade/isef/case_details.cfm?proc_code=3_SA_49203" TargetMode="External"/><Relationship Id="rId243" Type="http://schemas.openxmlformats.org/officeDocument/2006/relationships/hyperlink" Target="http://ec.europa.eu/competition/elojade/isef/case_details.cfm?proc_code=3_SA_50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8a607-6a81-4fea-b6be-13e8f432caea"/>
    <k91673f5e5044623a7eaaaa7b2e8050e xmlns="3ca8a607-6a81-4fea-b6be-13e8f432caea">
      <Terms xmlns="http://schemas.microsoft.com/office/infopath/2007/PartnerControls"/>
    </k91673f5e5044623a7eaaaa7b2e8050e>
    <documentSummary xmlns="3ca8a607-6a81-4fea-b6be-13e8f432caea" xsi:nil="true"/>
    <d03a6e92a9084a579dc1a1b170d3075f xmlns="3ca8a607-6a81-4fea-b6be-13e8f432caea">
      <Terms xmlns="http://schemas.microsoft.com/office/infopath/2007/PartnerControls"/>
    </d03a6e92a9084a579dc1a1b170d3075f>
    <documentFollowUp xmlns="3ca8a607-6a81-4fea-b6be-13e8f432caea" xsi:nil="true"/>
    <documentTitle xmlns="3ca8a607-6a81-4fea-b6be-13e8f432caea" xsi:nil="true"/>
    <_dlc_DocId xmlns="3ca8a607-6a81-4fea-b6be-13e8f432caea">S6YPT7QTW4PE-2-38</_dlc_DocId>
    <_dlc_DocIdUrl xmlns="3ca8a607-6a81-4fea-b6be-13e8f432caea">
      <Url>https://workspace.comp.cec.eu.int/cases/HT.4840/_layouts/15/DocIdRedir.aspx?ID=S6YPT7QTW4PE-2-38</Url>
      <Description>S6YPT7QTW4PE-2-38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k Word Document" ma:contentTypeID="0x01010000A15AF7FB934FB78CFAD3C956DF95DD0045EDA11B7F30F74BBC4565355932152B" ma:contentTypeVersion="5" ma:contentTypeDescription="A Microsoft Word Blank Document to start the work from." ma:contentTypeScope="" ma:versionID="b6027c44f2a0d6ec4c66703e8ea13bc5">
  <xsd:schema xmlns:xsd="http://www.w3.org/2001/XMLSchema" xmlns:xs="http://www.w3.org/2001/XMLSchema" xmlns:p="http://schemas.microsoft.com/office/2006/metadata/properties" xmlns:ns1="3ca8a607-6a81-4fea-b6be-13e8f432caea" targetNamespace="http://schemas.microsoft.com/office/2006/metadata/properties" ma:root="true" ma:fieldsID="219b4011350d007556533a133c00d229" ns1:_="">
    <xsd:import namespace="3ca8a607-6a81-4fea-b6be-13e8f432caea"/>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k91673f5e5044623a7eaaaa7b2e8050e" minOccurs="0"/>
                <xsd:element ref="ns1:TaxCatchAll" minOccurs="0"/>
                <xsd:element ref="ns1:TaxCatchAllLabel" minOccurs="0"/>
                <xsd:element ref="ns1:d03a6e92a9084a579dc1a1b170d307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a607-6a81-4fea-b6be-13e8f432caea"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k91673f5e5044623a7eaaaa7b2e8050e" ma:index="6" nillable="true" ma:taxonomy="true" ma:internalName="k91673f5e5044623a7eaaaa7b2e8050e" ma:taxonomyFieldName="documentGeneralTags" ma:displayName="General Tags" ma:fieldId="{491673f5-e504-4623-a7ea-aaa7b2e8050e}"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87dc96ef-34b9-4930-8627-1aeb0b2f2b6d}" ma:internalName="TaxCatchAll" ma:showField="CatchAllData"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7dc96ef-34b9-4930-8627-1aeb0b2f2b6d}" ma:internalName="TaxCatchAllLabel" ma:readOnly="true" ma:showField="CatchAllDataLabel"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d03a6e92a9084a579dc1a1b170d3075f" ma:index="10" nillable="true" ma:taxonomy="true" ma:internalName="d03a6e92a9084a579dc1a1b170d3075f" ma:taxonomyFieldName="documentCaseTags" ma:displayName="Case Tags" ma:fieldId="{d03a6e92-a908-4a57-9dc1-a1b170d3075f}" ma:taxonomyMulti="true" ma:sspId="0b3cc5dc-dc2a-4346-9392-57628a0b46cb" ma:termSetId="571de4ef-9d8a-4c28-9ff3-cbfbe553557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AF4D-C607-4CD0-ADC4-189744188D81}">
  <ds:schemaRefs>
    <ds:schemaRef ds:uri="http://purl.org/dc/terms/"/>
    <ds:schemaRef ds:uri="http://schemas.microsoft.com/office/2006/documentManagement/types"/>
    <ds:schemaRef ds:uri="http://schemas.openxmlformats.org/package/2006/metadata/core-properties"/>
    <ds:schemaRef ds:uri="http://purl.org/dc/elements/1.1/"/>
    <ds:schemaRef ds:uri="3ca8a607-6a81-4fea-b6be-13e8f432caea"/>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9F0D96-3165-411F-BE0A-A671BEAD7CD2}">
  <ds:schemaRefs>
    <ds:schemaRef ds:uri="http://schemas.microsoft.com/sharepoint/events"/>
  </ds:schemaRefs>
</ds:datastoreItem>
</file>

<file path=customXml/itemProps3.xml><?xml version="1.0" encoding="utf-8"?>
<ds:datastoreItem xmlns:ds="http://schemas.openxmlformats.org/officeDocument/2006/customXml" ds:itemID="{33415FC9-A7A7-4267-9914-6C6B89A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a607-6a81-4fea-b6be-13e8f432c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B8B2E-CD1D-4C1A-8BAE-85F12EC3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107</Pages>
  <Words>46538</Words>
  <Characters>261080</Characters>
  <Application>Microsoft Office Word</Application>
  <DocSecurity>0</DocSecurity>
  <Lines>4079</Lines>
  <Paragraphs>883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16</cp:revision>
  <cp:lastPrinted>2019-09-10T11:43:00Z</cp:lastPrinted>
  <dcterms:created xsi:type="dcterms:W3CDTF">2019-10-14T14:17:00Z</dcterms:created>
  <dcterms:modified xsi:type="dcterms:W3CDTF">2019-10-15T07:22:00Z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documentCaseTags">
    <vt:lpwstr/>
  </property>
  <property fmtid="{D5CDD505-2E9C-101B-9397-08002B2CF9AE}" pid="7" name="documentGeneralTags">
    <vt:lpwstr/>
  </property>
  <property fmtid="{D5CDD505-2E9C-101B-9397-08002B2CF9AE}" pid="8" name="_dlc_DocIdItemGuid">
    <vt:lpwstr>f101c9ec-b5a7-47f4-abf5-7e7c7dcd8595</vt:lpwstr>
  </property>
  <property fmtid="{D5CDD505-2E9C-101B-9397-08002B2CF9AE}" pid="9" name="Last edited using">
    <vt:lpwstr>LW 7.0, Build 20190717</vt:lpwstr>
  </property>
  <property fmtid="{D5CDD505-2E9C-101B-9397-08002B2CF9AE}" pid="10" name="_DocHome">
    <vt:i4>1611554031</vt:i4>
  </property>
  <property fmtid="{D5CDD505-2E9C-101B-9397-08002B2CF9AE}" pid="11" name="Created using">
    <vt:lpwstr>LW 6.0.1, Build 20180503</vt:lpwstr>
  </property>
  <property fmtid="{D5CDD505-2E9C-101B-9397-08002B2CF9AE}" pid="12" name="CPTemplateID">
    <vt:lpwstr>CP-025</vt:lpwstr>
  </property>
  <property fmtid="{D5CDD505-2E9C-101B-9397-08002B2CF9AE}" pid="13" name="_LW_INVALIDATED__LW_INVALIDATED__LW_INVALIDATED_ContentTypeId">
    <vt:lpwstr>0x01010000A15AF7FB934FB78CFAD3C956DF95DD0045EDA11B7F30F74BBC4565355932152B</vt:lpwstr>
  </property>
</Properties>
</file>