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15E8995-1301-4856-AC17-1B7E943C2103" style="width:450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48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ПРОЦЕДУРЕН ПРАВИЛНИК НА КОМИТЕТА ЗА УЛЕСНЯВАНЕ НА ТЪРГОВИЯТА</w:t>
      </w:r>
      <w:r>
        <w:rPr>
          <w:rStyle w:val="FootnoteReference"/>
          <w:b/>
          <w:noProof/>
        </w:rPr>
        <w:footnoteReference w:id="1"/>
      </w:r>
    </w:p>
    <w:p>
      <w:pPr>
        <w:rPr>
          <w:noProof/>
        </w:rPr>
      </w:pPr>
      <w:r>
        <w:rPr>
          <w:noProof/>
        </w:rPr>
        <w:t xml:space="preserve">Процедурният правилник за заседанията на Общия съвет (WT/L/161) се прилага </w:t>
      </w:r>
      <w:r>
        <w:rPr>
          <w:i/>
          <w:noProof/>
        </w:rPr>
        <w:t>mutatis mutandis</w:t>
      </w:r>
      <w:r>
        <w:rPr>
          <w:noProof/>
        </w:rPr>
        <w:t xml:space="preserve"> за заседанията на Комитета за улесняване на търговията, с изключение на следните случаи:</w:t>
      </w:r>
    </w:p>
    <w:p>
      <w:pPr>
        <w:jc w:val="center"/>
        <w:rPr>
          <w:b/>
          <w:noProof/>
        </w:rPr>
      </w:pPr>
      <w:r>
        <w:rPr>
          <w:b/>
          <w:noProof/>
        </w:rPr>
        <w:t>Глава I — Заседания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Член 1 (на Общия съвет) следва да бъде изменен в съответствие с член 23, параграф 1.2 от Споразумението за улесняване на търговията, за да се гарантира, че:</w:t>
      </w:r>
    </w:p>
    <w:p>
      <w:pPr>
        <w:pStyle w:val="Text1"/>
        <w:rPr>
          <w:noProof/>
        </w:rPr>
      </w:pPr>
      <w:r>
        <w:rPr>
          <w:noProof/>
        </w:rPr>
        <w:t>„Комитетът заседава според нуждите и съгласно предвиденото в разпоредбите на Споразумението за улесняване на търговията, но не по-рядко от веднъж годишно.“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Първото изречение на член 2 следва да се измени, както следва:</w:t>
      </w:r>
    </w:p>
    <w:p>
      <w:pPr>
        <w:pStyle w:val="Text1"/>
        <w:rPr>
          <w:noProof/>
        </w:rPr>
      </w:pPr>
      <w:r>
        <w:rPr>
          <w:noProof/>
        </w:rPr>
        <w:t>„Заседанията на Комитета се свикват от генералния директор чрез уведомление, изпратено за предпочитане три седмици по-рано, и във всички случаи не по-малко от десет календарни дни преди определената дата на заседанието.“</w:t>
      </w:r>
    </w:p>
    <w:p>
      <w:pPr>
        <w:keepNext/>
        <w:keepLines/>
        <w:jc w:val="center"/>
        <w:rPr>
          <w:b/>
          <w:noProof/>
        </w:rPr>
      </w:pPr>
      <w:r>
        <w:rPr>
          <w:b/>
          <w:noProof/>
        </w:rPr>
        <w:t>Глава II — Дневен ред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Не се прилагат разпоредбите на член 5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Член 11 следва да се измени, както следва: </w:t>
      </w:r>
    </w:p>
    <w:p>
      <w:pPr>
        <w:pStyle w:val="Text1"/>
        <w:rPr>
          <w:noProof/>
          <w:szCs w:val="18"/>
        </w:rPr>
      </w:pPr>
      <w:r>
        <w:rPr>
          <w:noProof/>
        </w:rPr>
        <w:t>„Представители на международни междуправителствени организации могат да присъстват на заседанията като наблюдатели по покана на Комитета за улесняване на търговията в съответствие с насоките в приложение 3 към Правилника на Общия съвет.</w:t>
      </w:r>
    </w:p>
    <w:p>
      <w:pPr>
        <w:pStyle w:val="Text1"/>
        <w:rPr>
          <w:noProof/>
          <w:szCs w:val="18"/>
        </w:rPr>
      </w:pPr>
      <w:r>
        <w:rPr>
          <w:noProof/>
        </w:rPr>
        <w:t>Освен това в съответствие с член 23.1.5 от Споразумението за улесняване на търговията, Комитетът може да кани представители на други международни организации с компетентност в областта на улесняването на търговията или техни спомагателни органи: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 присъстват на заседанията на Комитета; както и</w:t>
      </w:r>
    </w:p>
    <w:p>
      <w:pPr>
        <w:pStyle w:val="Point1"/>
        <w:rPr>
          <w:noProof/>
          <w:szCs w:val="18"/>
        </w:rPr>
      </w:pPr>
      <w:r>
        <w:rPr>
          <w:noProof/>
        </w:rPr>
        <w:t>б)</w:t>
      </w:r>
      <w:r>
        <w:rPr>
          <w:noProof/>
        </w:rPr>
        <w:tab/>
        <w:t>да обсъждат конкретни въпроси, свързани с изпълнението на настоящото споразумение.“</w:t>
      </w:r>
    </w:p>
    <w:p>
      <w:pPr>
        <w:jc w:val="center"/>
        <w:rPr>
          <w:b/>
          <w:noProof/>
        </w:rPr>
      </w:pPr>
      <w:r>
        <w:rPr>
          <w:b/>
          <w:noProof/>
        </w:rPr>
        <w:t>Глава V — Служители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Разпоредбите на членове 12, 13 и 14 следва да бъдат изменени, за да се разреши на Комитета да избира заместник-председател. Съответно членове 12, 13 и 14 да се четат, както следва:</w:t>
      </w:r>
    </w:p>
    <w:p>
      <w:pPr>
        <w:pStyle w:val="Text1"/>
        <w:rPr>
          <w:noProof/>
        </w:rPr>
      </w:pPr>
      <w:r>
        <w:rPr>
          <w:noProof/>
        </w:rPr>
        <w:lastRenderedPageBreak/>
        <w:t>„Член 12 Комитетът избира председател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може да избере и заместник-председател измежду представителите на членовете. Изборът се провежда на първото заседание за годината и влиза в сила в края на заседанието. Председателят и заместник-председателят заемат съответната длъжност до края на първото заседание за следващата година.</w:t>
      </w:r>
    </w:p>
    <w:p>
      <w:pPr>
        <w:pStyle w:val="Text1"/>
        <w:rPr>
          <w:noProof/>
        </w:rPr>
      </w:pPr>
      <w:r>
        <w:rPr>
          <w:noProof/>
        </w:rPr>
        <w:t>Член 13 Ако председателят отсъства от  заседание или от част от него, заместник-председателят изпълнява функциите на председател. Ако не е избран заместник-председател на Комитета или ако заместник-председателят не присъства, Комитетът избира временен председател за съответното заседание или част от него.</w:t>
      </w:r>
    </w:p>
    <w:p>
      <w:pPr>
        <w:pStyle w:val="Text1"/>
        <w:rPr>
          <w:noProof/>
        </w:rPr>
      </w:pPr>
      <w:r>
        <w:rPr>
          <w:noProof/>
        </w:rPr>
        <w:t>Член 14 Ако председателят повече не може да изпълнява функциите си, Комитетът назначава заместник-председателя, посочен в член 12, или, ако не е избран заместник-председател, избира временен председател, който да изпълнява председателската функция до избирането на нов председател.“</w:t>
      </w:r>
    </w:p>
    <w:p>
      <w:pPr>
        <w:jc w:val="center"/>
        <w:rPr>
          <w:b/>
          <w:noProof/>
        </w:rPr>
      </w:pPr>
      <w:r>
        <w:rPr>
          <w:b/>
          <w:noProof/>
        </w:rPr>
        <w:t>Глава VI — Правила за извършване на дейност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Първото изречение на член 24 следва да се измени, както следва:</w:t>
      </w:r>
    </w:p>
    <w:p>
      <w:pPr>
        <w:pStyle w:val="Text1"/>
        <w:rPr>
          <w:noProof/>
        </w:rPr>
      </w:pPr>
      <w:r>
        <w:rPr>
          <w:noProof/>
        </w:rPr>
        <w:t>„За да се ускори извършването на дейност, председателят може да покани представители, които желаят да изразят подкрепата си за дадено предложение с вдигане на ръка с оглед на надлежното вписване в протоколите в подкрепа на заявеното . ...“</w:t>
      </w:r>
    </w:p>
    <w:p>
      <w:pPr>
        <w:jc w:val="center"/>
        <w:rPr>
          <w:b/>
          <w:noProof/>
        </w:rPr>
      </w:pPr>
      <w:r>
        <w:rPr>
          <w:b/>
          <w:noProof/>
        </w:rPr>
        <w:t>Глава VII — Вземане на решения</w:t>
      </w:r>
    </w:p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>Член 33 следва да се измени, както следва:</w:t>
      </w:r>
    </w:p>
    <w:p>
      <w:pPr>
        <w:pStyle w:val="Text1"/>
        <w:rPr>
          <w:noProof/>
        </w:rPr>
      </w:pPr>
      <w:r>
        <w:rPr>
          <w:noProof/>
        </w:rPr>
        <w:t>„Когато не може да се стигне до вземане на решение с консенсус, спорният въпрос се отнася до Съвета по търговията със стоки.“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Не се прилагат разпоредбите на член 34.</w:t>
      </w:r>
    </w:p>
    <w:p>
      <w:pPr>
        <w:jc w:val="center"/>
        <w:rPr>
          <w:noProof/>
        </w:rPr>
      </w:pPr>
      <w:r>
        <w:rPr>
          <w:b/>
          <w:noProof/>
        </w:rPr>
        <w:t>__________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ab/>
        <w:t>Въз основа на Съобщението от Аржентина, Япония, Норвегия и Парагвай (G/TFA/W/14).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Достатъчната подготовка и разпространението на дневния ред се осигуряват от членове 2, 3 и 6 от процедурния правилник на Общия съвет.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Комитетът прилага съответните насоки, изложени в документа „Насоки за назначаване на служители за органите на СТО“ (WT/L/31 от 7 февруари 1995 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940E2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multilevel"/>
    <w:tmpl w:val="E39453AC"/>
    <w:name w:val="LegalHeadings"/>
    <w:lvl w:ilvl="0">
      <w:start w:val="1"/>
      <w:numFmt w:val="decimal"/>
      <w:lvlRestart w:val="0"/>
      <w:pStyle w:val="ListNumber3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2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2485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DA9F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4721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7B41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344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04 16:16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15E8995-1301-4856-AC17-1B7E943C2103"/>
    <w:docVar w:name="LW_COVERPAGE_TYPE" w:val="1"/>
    <w:docVar w:name="LW_CROSSREFERENCE" w:val="&lt;UNUSED&gt;"/>
    <w:docVar w:name="LW_DocType" w:val="ANNEX"/>
    <w:docVar w:name="LW_EMISSION" w:val="15.10.2019"/>
    <w:docVar w:name="LW_EMISSION_ISODATE" w:val="2019-10-15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87?\u1086? \u1090?\u1098?\u1088?\u1075?\u1086?\u1074?\u1080?\u1103?\u1090?\u1072? \u1089?\u1098?\u1089? \u1089?\u1090?\u1086?\u1082?\u1080? \u1085?\u1072? \u1057?\u1074?\u1077?\u1090?\u1086?\u1074?\u1085?\u1072?\u1090?\u1072? \u1090?\u1098?\u1088?\u1075?\u1086?\u1074?\u1089?\u1082?\u1072? \u1086?\u1088?\u1075?\u1072?\u1085?\u1080?\u1079?\u1072?\u1094?\u1080?\u1103?, \u1087?\u1086? \u1086?\u1090?\u1085?\u1086?\u1096?\u1077?\u1085?\u1080?\u1077? \u1085?\u1072? \u1055?\u1088?\u1086?\u1094?\u1077?\u1076?\u1091?\u1088?\u1085?\u1080?\u1103? \u1087?\u1088?\u1072?\u1074?\u1080?\u1083?\u1085?\u1080?\u1082? \u1085?\u1072? \u1050?\u1086?\u1084?\u1080?\u1090?\u1077?\u1090?\u1072? \u1079?\u1072? \u1091?\u1083?\u1077?\u1089?\u1085?\u1103?\u1074?\u1072?\u1085?\u1077? \u1085?\u1072? \u1090?\u1098?\u1088?\u1075?\u1086?\u1074?\u1080?\u1103?\u1090?\u1072?&lt;/FMT&gt;_x000d__x000d__x000b_"/>
    <w:docVar w:name="LW_OBJETACTEPRINCIPAL.CP" w:val="&lt;FMT:Bold&gt;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87?\u1086? \u1090?\u1098?\u1088?\u1075?\u1086?\u1074?\u1080?\u1103?\u1090?\u1072? \u1089?\u1098?\u1089? \u1089?\u1090?\u1086?\u1082?\u1080? \u1085?\u1072? \u1057?\u1074?\u1077?\u1090?\u1086?\u1074?\u1085?\u1072?\u1090?\u1072? \u1090?\u1098?\u1088?\u1075?\u1086?\u1074?\u1089?\u1082?\u1072? \u1086?\u1088?\u1075?\u1072?\u1085?\u1080?\u1079?\u1072?\u1094?\u1080?\u1103?, \u1087?\u1086? \u1086?\u1090?\u1085?\u1086?\u1096?\u1077?\u1085?\u1080?\u1077? \u1085?\u1072? \u1055?\u1088?\u1086?\u1094?\u1077?\u1076?\u1091?\u1088?\u1085?\u1080?\u1103? \u1087?\u1088?\u1072?\u1074?\u1080?\u1083?\u1085?\u1080?\u1082? \u1085?\u1072? \u1050?\u1086?\u1084?\u1080?\u1090?\u1077?\u1090?\u1072? \u1079?\u1072? \u1091?\u1083?\u1077?\u1089?\u1085?\u1103?\u1074?\u1072?\u1085?\u1077? \u1085?\u1072? \u1090?\u1098?\u1088?\u1075?\u1086?\u1074?\u1080?\u1103?\u1090?\u1072?&lt;/FMT&gt;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4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 \u1055?\u1088?\u1077?\u1076?\u1083?\u1086?\u1078?\u1077?\u1085?\u1080?\u1077? \u1079?\u1072? \u1056?\u1077?\u1096?\u1077?\u1085?\u1080?\u1077? \u1085?\u1072? \u1057?\u1098?\u1074?\u1077?\u1090?\u1072?"/>
    <w:docVar w:name="LW_TYPEACTEPRINCIPAL.CP" w:val=" 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caption" w:uiPriority="35" w:qFormat="1"/>
    <w:lsdException w:name="List Number 2" w:uiPriority="49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1" w:qFormat="1"/>
    <w:lsdException w:name="Body Text 3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Heading6"/>
    <w:link w:val="Heading5Char"/>
    <w:uiPriority w:val="2"/>
    <w:qFormat/>
    <w:pPr>
      <w:keepNext/>
      <w:keepLines/>
      <w:tabs>
        <w:tab w:val="num" w:pos="1134"/>
      </w:tabs>
      <w:spacing w:before="0" w:after="240"/>
      <w:outlineLvl w:val="4"/>
    </w:pPr>
    <w:rPr>
      <w:rFonts w:ascii="Verdana" w:eastAsia="Times New Roman" w:hAnsi="Verdana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pPr>
      <w:keepNext/>
      <w:keepLines/>
      <w:tabs>
        <w:tab w:val="num" w:pos="1134"/>
      </w:tabs>
      <w:spacing w:before="0" w:after="240"/>
      <w:outlineLvl w:val="5"/>
    </w:pPr>
    <w:rPr>
      <w:rFonts w:ascii="Verdana" w:eastAsia="Times New Roman" w:hAnsi="Verdana"/>
      <w:b/>
      <w:iCs/>
      <w:color w:val="006283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Verdana" w:eastAsia="Times New Roman" w:hAnsi="Verdana" w:cs="Times New Roman"/>
      <w:b/>
      <w:color w:val="006283"/>
      <w:sz w:val="18"/>
      <w:lang w:val="bg-BG"/>
    </w:rPr>
  </w:style>
  <w:style w:type="character" w:customStyle="1" w:styleId="Heading6Char">
    <w:name w:val="Heading 6 Char"/>
    <w:basedOn w:val="DefaultParagraphFont"/>
    <w:link w:val="Heading6"/>
    <w:uiPriority w:val="2"/>
    <w:rPr>
      <w:rFonts w:ascii="Verdana" w:eastAsia="Times New Roman" w:hAnsi="Verdana" w:cs="Times New Roman"/>
      <w:b/>
      <w:iCs/>
      <w:color w:val="006283"/>
      <w:sz w:val="18"/>
      <w:lang w:val="bg-BG"/>
    </w:rPr>
  </w:style>
  <w:style w:type="paragraph" w:styleId="BodyText">
    <w:name w:val="Body Text"/>
    <w:basedOn w:val="Normal"/>
    <w:link w:val="BodyTextChar"/>
    <w:uiPriority w:val="1"/>
    <w:qFormat/>
    <w:pPr>
      <w:tabs>
        <w:tab w:val="num" w:pos="567"/>
      </w:tabs>
      <w:spacing w:before="0" w:after="240"/>
    </w:pPr>
    <w:rPr>
      <w:rFonts w:ascii="Verdana" w:eastAsia="Calibri" w:hAnsi="Verdana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Verdana" w:eastAsia="Calibri" w:hAnsi="Verdana" w:cs="Times New Roman"/>
      <w:sz w:val="18"/>
      <w:lang w:val="bg-BG"/>
    </w:rPr>
  </w:style>
  <w:style w:type="paragraph" w:styleId="BodyText2">
    <w:name w:val="Body Text 2"/>
    <w:basedOn w:val="Normal"/>
    <w:link w:val="BodyText2Char"/>
    <w:uiPriority w:val="1"/>
    <w:qFormat/>
    <w:pPr>
      <w:tabs>
        <w:tab w:val="num" w:pos="907"/>
      </w:tabs>
      <w:spacing w:before="0" w:after="240"/>
      <w:ind w:left="907" w:hanging="340"/>
    </w:pPr>
    <w:rPr>
      <w:rFonts w:ascii="Verdana" w:eastAsia="Calibri" w:hAnsi="Verdana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Pr>
      <w:rFonts w:ascii="Verdana" w:eastAsia="Calibri" w:hAnsi="Verdana" w:cs="Times New Roman"/>
      <w:sz w:val="18"/>
      <w:lang w:val="bg-BG"/>
    </w:rPr>
  </w:style>
  <w:style w:type="paragraph" w:styleId="BodyText3">
    <w:name w:val="Body Text 3"/>
    <w:basedOn w:val="Normal"/>
    <w:link w:val="BodyText3Char"/>
    <w:uiPriority w:val="1"/>
    <w:qFormat/>
    <w:pPr>
      <w:tabs>
        <w:tab w:val="num" w:pos="1247"/>
      </w:tabs>
      <w:spacing w:before="0" w:after="240"/>
      <w:ind w:left="1247" w:hanging="340"/>
    </w:pPr>
    <w:rPr>
      <w:rFonts w:ascii="Verdana" w:eastAsia="Calibri" w:hAnsi="Verdana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Pr>
      <w:rFonts w:ascii="Verdana" w:eastAsia="Calibri" w:hAnsi="Verdana" w:cs="Times New Roman"/>
      <w:sz w:val="18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Verdana" w:eastAsia="Calibri" w:hAnsi="Verdana"/>
      <w:sz w:val="18"/>
    </w:rPr>
  </w:style>
  <w:style w:type="paragraph" w:styleId="Title">
    <w:name w:val="Title"/>
    <w:basedOn w:val="Normal"/>
    <w:next w:val="Normal"/>
    <w:link w:val="TitleChar"/>
    <w:uiPriority w:val="5"/>
    <w:qFormat/>
    <w:pPr>
      <w:spacing w:before="480" w:after="240"/>
      <w:contextualSpacing/>
      <w:jc w:val="center"/>
    </w:pPr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bg-BG"/>
    </w:rPr>
  </w:style>
  <w:style w:type="paragraph" w:customStyle="1" w:styleId="Title2">
    <w:name w:val="Title 2"/>
    <w:basedOn w:val="Normal"/>
    <w:next w:val="Normal"/>
    <w:uiPriority w:val="5"/>
    <w:qFormat/>
    <w:pPr>
      <w:spacing w:before="0" w:after="360"/>
      <w:jc w:val="center"/>
    </w:pPr>
    <w:rPr>
      <w:rFonts w:ascii="Verdana" w:eastAsia="Calibri" w:hAnsi="Verdana"/>
      <w:caps/>
      <w:color w:val="006283"/>
      <w:sz w:val="18"/>
      <w:szCs w:val="18"/>
    </w:rPr>
  </w:style>
  <w:style w:type="paragraph" w:styleId="ListNumber2">
    <w:name w:val="List Number 2"/>
    <w:basedOn w:val="Normal"/>
    <w:uiPriority w:val="49"/>
    <w:semiHidden/>
    <w:unhideWhenUsed/>
    <w:pPr>
      <w:numPr>
        <w:numId w:val="5"/>
      </w:numPr>
      <w:spacing w:before="0" w:after="0"/>
      <w:contextualSpacing/>
    </w:pPr>
    <w:rPr>
      <w:rFonts w:ascii="Verdana" w:eastAsia="Calibri" w:hAnsi="Verdana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caption" w:uiPriority="35" w:qFormat="1"/>
    <w:lsdException w:name="List Number 2" w:uiPriority="49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1" w:qFormat="1"/>
    <w:lsdException w:name="Body Text 3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Heading6"/>
    <w:link w:val="Heading5Char"/>
    <w:uiPriority w:val="2"/>
    <w:qFormat/>
    <w:pPr>
      <w:keepNext/>
      <w:keepLines/>
      <w:tabs>
        <w:tab w:val="num" w:pos="1134"/>
      </w:tabs>
      <w:spacing w:before="0" w:after="240"/>
      <w:outlineLvl w:val="4"/>
    </w:pPr>
    <w:rPr>
      <w:rFonts w:ascii="Verdana" w:eastAsia="Times New Roman" w:hAnsi="Verdana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pPr>
      <w:keepNext/>
      <w:keepLines/>
      <w:tabs>
        <w:tab w:val="num" w:pos="1134"/>
      </w:tabs>
      <w:spacing w:before="0" w:after="240"/>
      <w:outlineLvl w:val="5"/>
    </w:pPr>
    <w:rPr>
      <w:rFonts w:ascii="Verdana" w:eastAsia="Times New Roman" w:hAnsi="Verdana"/>
      <w:b/>
      <w:iCs/>
      <w:color w:val="006283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Verdana" w:eastAsia="Times New Roman" w:hAnsi="Verdana" w:cs="Times New Roman"/>
      <w:b/>
      <w:color w:val="006283"/>
      <w:sz w:val="18"/>
      <w:lang w:val="bg-BG"/>
    </w:rPr>
  </w:style>
  <w:style w:type="character" w:customStyle="1" w:styleId="Heading6Char">
    <w:name w:val="Heading 6 Char"/>
    <w:basedOn w:val="DefaultParagraphFont"/>
    <w:link w:val="Heading6"/>
    <w:uiPriority w:val="2"/>
    <w:rPr>
      <w:rFonts w:ascii="Verdana" w:eastAsia="Times New Roman" w:hAnsi="Verdana" w:cs="Times New Roman"/>
      <w:b/>
      <w:iCs/>
      <w:color w:val="006283"/>
      <w:sz w:val="18"/>
      <w:lang w:val="bg-BG"/>
    </w:rPr>
  </w:style>
  <w:style w:type="paragraph" w:styleId="BodyText">
    <w:name w:val="Body Text"/>
    <w:basedOn w:val="Normal"/>
    <w:link w:val="BodyTextChar"/>
    <w:uiPriority w:val="1"/>
    <w:qFormat/>
    <w:pPr>
      <w:tabs>
        <w:tab w:val="num" w:pos="567"/>
      </w:tabs>
      <w:spacing w:before="0" w:after="240"/>
    </w:pPr>
    <w:rPr>
      <w:rFonts w:ascii="Verdana" w:eastAsia="Calibri" w:hAnsi="Verdana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Verdana" w:eastAsia="Calibri" w:hAnsi="Verdana" w:cs="Times New Roman"/>
      <w:sz w:val="18"/>
      <w:lang w:val="bg-BG"/>
    </w:rPr>
  </w:style>
  <w:style w:type="paragraph" w:styleId="BodyText2">
    <w:name w:val="Body Text 2"/>
    <w:basedOn w:val="Normal"/>
    <w:link w:val="BodyText2Char"/>
    <w:uiPriority w:val="1"/>
    <w:qFormat/>
    <w:pPr>
      <w:tabs>
        <w:tab w:val="num" w:pos="907"/>
      </w:tabs>
      <w:spacing w:before="0" w:after="240"/>
      <w:ind w:left="907" w:hanging="340"/>
    </w:pPr>
    <w:rPr>
      <w:rFonts w:ascii="Verdana" w:eastAsia="Calibri" w:hAnsi="Verdana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Pr>
      <w:rFonts w:ascii="Verdana" w:eastAsia="Calibri" w:hAnsi="Verdana" w:cs="Times New Roman"/>
      <w:sz w:val="18"/>
      <w:lang w:val="bg-BG"/>
    </w:rPr>
  </w:style>
  <w:style w:type="paragraph" w:styleId="BodyText3">
    <w:name w:val="Body Text 3"/>
    <w:basedOn w:val="Normal"/>
    <w:link w:val="BodyText3Char"/>
    <w:uiPriority w:val="1"/>
    <w:qFormat/>
    <w:pPr>
      <w:tabs>
        <w:tab w:val="num" w:pos="1247"/>
      </w:tabs>
      <w:spacing w:before="0" w:after="240"/>
      <w:ind w:left="1247" w:hanging="340"/>
    </w:pPr>
    <w:rPr>
      <w:rFonts w:ascii="Verdana" w:eastAsia="Calibri" w:hAnsi="Verdana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Pr>
      <w:rFonts w:ascii="Verdana" w:eastAsia="Calibri" w:hAnsi="Verdana" w:cs="Times New Roman"/>
      <w:sz w:val="18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Verdana" w:eastAsia="Calibri" w:hAnsi="Verdana"/>
      <w:sz w:val="18"/>
    </w:rPr>
  </w:style>
  <w:style w:type="paragraph" w:styleId="Title">
    <w:name w:val="Title"/>
    <w:basedOn w:val="Normal"/>
    <w:next w:val="Normal"/>
    <w:link w:val="TitleChar"/>
    <w:uiPriority w:val="5"/>
    <w:qFormat/>
    <w:pPr>
      <w:spacing w:before="480" w:after="240"/>
      <w:contextualSpacing/>
      <w:jc w:val="center"/>
    </w:pPr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bg-BG"/>
    </w:rPr>
  </w:style>
  <w:style w:type="paragraph" w:customStyle="1" w:styleId="Title2">
    <w:name w:val="Title 2"/>
    <w:basedOn w:val="Normal"/>
    <w:next w:val="Normal"/>
    <w:uiPriority w:val="5"/>
    <w:qFormat/>
    <w:pPr>
      <w:spacing w:before="0" w:after="360"/>
      <w:jc w:val="center"/>
    </w:pPr>
    <w:rPr>
      <w:rFonts w:ascii="Verdana" w:eastAsia="Calibri" w:hAnsi="Verdana"/>
      <w:caps/>
      <w:color w:val="006283"/>
      <w:sz w:val="18"/>
      <w:szCs w:val="18"/>
    </w:rPr>
  </w:style>
  <w:style w:type="paragraph" w:styleId="ListNumber2">
    <w:name w:val="List Number 2"/>
    <w:basedOn w:val="Normal"/>
    <w:uiPriority w:val="49"/>
    <w:semiHidden/>
    <w:unhideWhenUsed/>
    <w:pPr>
      <w:numPr>
        <w:numId w:val="5"/>
      </w:numPr>
      <w:spacing w:before="0" w:after="0"/>
      <w:contextualSpacing/>
    </w:pPr>
    <w:rPr>
      <w:rFonts w:ascii="Verdana" w:eastAsia="Calibri" w:hAnsi="Verdana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497</Words>
  <Characters>2848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WES PDFC Administrator</cp:lastModifiedBy>
  <cp:revision>9</cp:revision>
  <dcterms:created xsi:type="dcterms:W3CDTF">2019-10-01T11:33:00Z</dcterms:created>
  <dcterms:modified xsi:type="dcterms:W3CDTF">2019-10-04T14:16:00Z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