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81FA19B-B6A6-4A50-B11C-9EC4A22EDC42" style="width:451.25pt;height:365.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Предмет на предложението</w:t>
      </w:r>
    </w:p>
    <w:p>
      <w:pPr>
        <w:rPr>
          <w:noProof/>
        </w:rPr>
      </w:pPr>
      <w:r>
        <w:rPr>
          <w:noProof/>
        </w:rPr>
        <w:t>Настоящото предложение определя позицията, която да се заеме от името на Съюза в рамките на Световната търговска организация (СТО) във връзка с планираното приемане на процедурния правилник на Комитета за улесняване на търговията („Комитета“), съгласно Споразумението на СТО за улесняване на търговията („Споразумението“).</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 за улесняване на търговията</w:t>
      </w:r>
    </w:p>
    <w:p>
      <w:pPr>
        <w:rPr>
          <w:noProof/>
        </w:rPr>
      </w:pPr>
      <w:r>
        <w:rPr>
          <w:noProof/>
        </w:rPr>
        <w:t>Споразумението, по което ЕС е страна</w:t>
      </w:r>
      <w:r>
        <w:rPr>
          <w:rStyle w:val="FootnoteReference"/>
          <w:noProof/>
        </w:rPr>
        <w:footnoteReference w:id="1"/>
      </w:r>
      <w:r>
        <w:rPr>
          <w:noProof/>
        </w:rPr>
        <w:t>, беше прието на 9</w:t>
      </w:r>
      <w:r>
        <w:rPr>
          <w:noProof/>
          <w:vertAlign w:val="superscript"/>
        </w:rPr>
        <w:t>-ата</w:t>
      </w:r>
      <w:r>
        <w:rPr>
          <w:noProof/>
        </w:rPr>
        <w:t xml:space="preserve"> Министерска конференция на СТО в Бали през 2013 г. с цел опростяване, модернизиране и улесняване на процедурите за внос и износ между членовете на СТО. То съдържа разпоредби относно установяването на по-бързи, по-опростени, по-прозрачни и по-ефективни процедури на границата, разпоредби относно ускоряване на движението, вдигането и митническото оформяне на стоки, включително на стоки в режим транзит. В него също така се предвиждат мерки за ефективно сътрудничество между митническите и други компетентни органи с оглед на улесняването на търговията и спазването на митническите изисквания. Споразумението влезе в сила на 22 февруари 2017 г.</w:t>
      </w:r>
    </w:p>
    <w:p>
      <w:pPr>
        <w:pStyle w:val="ManualHeading2"/>
        <w:rPr>
          <w:noProof/>
        </w:rPr>
      </w:pPr>
      <w:r>
        <w:t>2.2.</w:t>
      </w:r>
      <w:r>
        <w:tab/>
      </w:r>
      <w:r>
        <w:rPr>
          <w:noProof/>
        </w:rPr>
        <w:t xml:space="preserve">Предвиденият акт на Съвета по търговията със стоки </w:t>
      </w:r>
    </w:p>
    <w:p>
      <w:pPr>
        <w:rPr>
          <w:noProof/>
        </w:rPr>
      </w:pPr>
      <w:r>
        <w:rPr>
          <w:noProof/>
        </w:rPr>
        <w:t>С член 23.1 от Споразумението се създава Комитет за улесняване на търговията и се предвижда Комитетът да приеме свой процедурен правилник. Норвегия, Япония, Аржентина и Парагвай направиха предложение в тази връзка, което получи пълна подкрепа на последното заседание на Комитета на СТО за улесняване на търговията на 25 юни 2019 г. Предложеният правилник е от административен характер и осигурява ефикасна организация и процедури за заседанията на Комитета за улесняване на търговията.</w:t>
      </w:r>
    </w:p>
    <w:p>
      <w:pPr>
        <w:rPr>
          <w:noProof/>
        </w:rPr>
      </w:pPr>
      <w:r>
        <w:rPr>
          <w:noProof/>
        </w:rPr>
        <w:t>В съответствие с член IV.6 от Маракешкото споразумение за създаване на Световната търговска организация за влизането в сила на процедурен правилник на спомагателните органи, какъвто е и Комитетът за улесняване на търговията, е необходимо одобрението на Съвета на СТО по търговията със стоки.</w:t>
      </w:r>
    </w:p>
    <w:p>
      <w:pPr>
        <w:pStyle w:val="ManualHeading1"/>
        <w:rPr>
          <w:noProof/>
        </w:rPr>
      </w:pPr>
      <w:r>
        <w:t>3.</w:t>
      </w:r>
      <w:r>
        <w:tab/>
      </w:r>
      <w:r>
        <w:rPr>
          <w:noProof/>
        </w:rPr>
        <w:t>Позиция, която трябва да се заеме от името на Съюза</w:t>
      </w:r>
    </w:p>
    <w:p>
      <w:pPr>
        <w:rPr>
          <w:noProof/>
        </w:rPr>
      </w:pPr>
      <w:r>
        <w:rPr>
          <w:noProof/>
        </w:rPr>
        <w:t>Процедурният правилник е с административен характер. Той е насочен към осигуряването на правилното функциониране на Споразумението за улесняване на търговията. Приемането на правилника, който получи пълната подкрепа на заседанието на Комитета за улесняване на търговията, е в интерес на ЕС — важно е Комитетът да функционира добре и да наблюдава ефективно прилагането на Споразумението за улесняване на търговията. Правилникът се основава на Процедурния правилник на Общия съвет на СТО</w:t>
      </w:r>
      <w:r>
        <w:rPr>
          <w:rStyle w:val="FootnoteReference"/>
          <w:noProof/>
        </w:rPr>
        <w:footnoteReference w:id="2"/>
      </w:r>
      <w:r>
        <w:rPr>
          <w:noProof/>
        </w:rPr>
        <w:t xml:space="preserve"> и е адаптиран единствено с цел да се отговори на специфичните нужди на Комитета за улесняване на търговията. Например, член 1 от Процедурния правилник на Общия съвет е допълнено със задължението Комитетът да заседава най-</w:t>
      </w:r>
      <w:r>
        <w:rPr>
          <w:noProof/>
        </w:rPr>
        <w:lastRenderedPageBreak/>
        <w:t xml:space="preserve">малко веднъж годишно — такова задължение липсва за Общия съвет. Друг пример — поканата за заседанията е добре да бъде отправена най-късно три седмици преди съответното заседание, за да се улесни изготвянето на позиции, които понякога могат да бъдат сложни, особено когато става въпрос за помощи, свързани с изпълнението на определени ангажименти. В Общия съвет заседанията могат да бъдат свиквани в много кратък срок при спешна необходимост, обикновено в рамките на 10 работни дни (правило 2).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актовете с правно действие по силата на нормите на международното право, които уреждат съответния орган. То включва също така инструменти, които не са правно обвързващи според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3"/>
      </w:r>
      <w:r>
        <w:rPr>
          <w:noProof/>
        </w:rPr>
        <w:t>.</w:t>
      </w:r>
    </w:p>
    <w:p>
      <w:pPr>
        <w:pStyle w:val="ManualHeading3"/>
        <w:rPr>
          <w:noProof/>
        </w:rPr>
      </w:pPr>
      <w:r>
        <w:t>4.1.2.</w:t>
      </w:r>
      <w:r>
        <w:tab/>
      </w:r>
      <w:r>
        <w:rPr>
          <w:noProof/>
        </w:rPr>
        <w:t>Приложение в конкретния случай</w:t>
      </w:r>
    </w:p>
    <w:p>
      <w:pPr>
        <w:rPr>
          <w:noProof/>
        </w:rPr>
      </w:pPr>
      <w:r>
        <w:rPr>
          <w:noProof/>
        </w:rPr>
        <w:t>Световната търговска организация е международна организация, създадена със Споразумението от Маракеш за създаване на СТО. („Споразумение за СТО“). Комитетът за улесняване на търговията е създаден като спомагателен орган под ръководството на Съвета по търговията със стоки.</w:t>
      </w:r>
    </w:p>
    <w:p>
      <w:pPr>
        <w:rPr>
          <w:noProof/>
        </w:rPr>
      </w:pPr>
      <w:r>
        <w:rPr>
          <w:noProof/>
        </w:rPr>
        <w:t>Актът, който Съветът по търговията със стоки има за задача да приеме, представлява акт с правно действие. Предвиденият акт не допълва, нито изменя институционалната рамка на споразумението. С него само се одобрява правилникът за функционирането на Комитета за улесняване на търговията.</w:t>
      </w:r>
    </w:p>
    <w:p>
      <w:pPr>
        <w:rPr>
          <w:noProof/>
        </w:rPr>
      </w:pPr>
      <w:r>
        <w:rPr>
          <w:noProof/>
        </w:rPr>
        <w:t>По тази причина процесуалноправното основание за предложеното решение е член 207, параграфи 3 и 4 във връзка с член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ЕС.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lastRenderedPageBreak/>
        <w:t>4.2.2.</w:t>
      </w:r>
      <w:r>
        <w:tab/>
      </w:r>
      <w:r>
        <w:rPr>
          <w:noProof/>
        </w:rPr>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 Поради това материалноправното основание за предложеното решение е член 207, параграф 4, първата алинея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параграф 4, първата алинея от ДФЕС във връзка с член 218, параграф 9 от него.</w:t>
      </w:r>
    </w:p>
    <w:p>
      <w:pPr>
        <w:pStyle w:val="ManualHeading1"/>
        <w:rPr>
          <w:noProof/>
        </w:rPr>
      </w:pPr>
      <w:r>
        <w:t>5.</w:t>
      </w:r>
      <w:r>
        <w:tab/>
      </w:r>
      <w:r>
        <w:rPr>
          <w:noProof/>
        </w:rPr>
        <w:t>Публикуване на предвидения акт</w:t>
      </w:r>
    </w:p>
    <w:p>
      <w:pPr>
        <w:rPr>
          <w:noProof/>
        </w:rPr>
      </w:pPr>
      <w:r>
        <w:rPr>
          <w:noProof/>
        </w:rPr>
        <w:t xml:space="preserve">Не се прилага. </w:t>
      </w:r>
    </w:p>
    <w:p>
      <w:pPr>
        <w:pStyle w:val="Rfrenceinterinstitutionnelle"/>
        <w:rPr>
          <w:noProof/>
        </w:rPr>
      </w:pPr>
      <w:r>
        <w:rPr>
          <w:noProof/>
        </w:rPr>
        <w:t>2019/0222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 в рамките на Съвета по търговията със стоки на Световната търговска организация, по отношение на Процедурния правилник на Комитета за улесняване на търговията</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и по-специално член 207, параграф 4, първата алинея във връзка с член 218, параграф 9 от него, </w:t>
      </w:r>
    </w:p>
    <w:p>
      <w:pPr>
        <w:rPr>
          <w:noProof/>
        </w:rPr>
      </w:pPr>
      <w:r>
        <w:rPr>
          <w:noProof/>
        </w:rPr>
        <w:t xml:space="preserve">като взе предвид предложението на Европейската комисия, </w:t>
      </w:r>
    </w:p>
    <w:p>
      <w:pPr>
        <w:rPr>
          <w:noProof/>
        </w:rPr>
      </w:pPr>
      <w:r>
        <w:rPr>
          <w:noProof/>
        </w:rPr>
        <w:t>като има предвид, че:</w:t>
      </w:r>
    </w:p>
    <w:p>
      <w:pPr>
        <w:pStyle w:val="ManualConsidrant"/>
        <w:rPr>
          <w:noProof/>
        </w:rPr>
      </w:pPr>
      <w:r>
        <w:t>(1)</w:t>
      </w:r>
      <w:r>
        <w:tab/>
      </w:r>
      <w:r>
        <w:rPr>
          <w:noProof/>
        </w:rPr>
        <w:t>Споразумението за улесняване на търговията (наричано по-долу „Споразумението“) бе сключено от Съюза по силата на Решение (ЕС) 2015/1947 на Съвета</w:t>
      </w:r>
      <w:r>
        <w:rPr>
          <w:rStyle w:val="FootnoteReference"/>
          <w:noProof/>
        </w:rPr>
        <w:footnoteReference w:id="4"/>
      </w:r>
      <w:r>
        <w:rPr>
          <w:noProof/>
        </w:rPr>
        <w:t xml:space="preserve"> и влезе в сила на 22 февруари 2017 г. </w:t>
      </w:r>
    </w:p>
    <w:p>
      <w:pPr>
        <w:pStyle w:val="ManualConsidrant"/>
        <w:rPr>
          <w:noProof/>
        </w:rPr>
      </w:pPr>
      <w:r>
        <w:t>(2)</w:t>
      </w:r>
      <w:r>
        <w:tab/>
      </w:r>
      <w:r>
        <w:rPr>
          <w:noProof/>
        </w:rPr>
        <w:t xml:space="preserve">В съответствие с член 23.1 от Споразумението Комитетът за улесняване на търговията може да приеме свой собствен процедурен правилник. </w:t>
      </w:r>
    </w:p>
    <w:p>
      <w:pPr>
        <w:pStyle w:val="ManualConsidrant"/>
        <w:rPr>
          <w:noProof/>
        </w:rPr>
      </w:pPr>
      <w:r>
        <w:t>(3)</w:t>
      </w:r>
      <w:r>
        <w:tab/>
      </w:r>
      <w:r>
        <w:rPr>
          <w:noProof/>
        </w:rPr>
        <w:t>Съгласно член IV.6 от Маракешкото споразумение за създаване на Световната търговска организация процедурният правилник на Комитета за улесняване на търговията подлежи на одобрение от Съвета по търговията със стоки.</w:t>
      </w:r>
    </w:p>
    <w:p>
      <w:pPr>
        <w:pStyle w:val="ManualConsidrant"/>
        <w:rPr>
          <w:noProof/>
        </w:rPr>
      </w:pPr>
      <w:r>
        <w:t>(4)</w:t>
      </w:r>
      <w:r>
        <w:tab/>
      </w:r>
      <w:r>
        <w:rPr>
          <w:noProof/>
        </w:rPr>
        <w:t>Доколкото предвиденото решение ще е правнообвързващо за Съюза, е целесъобразно да се установи позицията, която трябва да се заеме от името на Съюза в рамките на Съвета по търговията със стоки.</w:t>
      </w:r>
    </w:p>
    <w:p>
      <w:pPr>
        <w:pStyle w:val="ManualConsidrant"/>
        <w:rPr>
          <w:noProof/>
        </w:rPr>
      </w:pPr>
      <w:r>
        <w:t>(5)</w:t>
      </w:r>
      <w:r>
        <w:tab/>
      </w:r>
      <w:r>
        <w:rPr>
          <w:noProof/>
        </w:rPr>
        <w:t xml:space="preserve">Целесъобразно е да се постигне съгласие по предложения процедурен правилник, който ще даде възможност на Комитета за улесняване на търговията да функционира ефикасно. Той се основава на процедурния правилник на </w:t>
      </w:r>
      <w:r>
        <w:rPr>
          <w:noProof/>
        </w:rPr>
        <w:lastRenderedPageBreak/>
        <w:t>Общия съвет на Световната търговска организация, който е адаптиран за посрещане на специфичните нужди на Комитета за улесняване на търговията,</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на заседанието на Съвета по търговията със стоки по отношение на приемането на процедурния правилник на Комитета по търговията, се изразява в подкрепа за приемането му, както е посочено в приложението.</w:t>
      </w:r>
    </w:p>
    <w:p>
      <w:pPr>
        <w:pStyle w:val="Titrearticle"/>
        <w:rPr>
          <w:noProof/>
        </w:rPr>
      </w:pPr>
      <w:r>
        <w:rPr>
          <w:noProof/>
        </w:rPr>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(ЕС) 2015/1947 на Съвета от 1 октомври 2015 г., ОВ L 284; 30.10.2015 г. стр. 1-2.</w:t>
      </w:r>
    </w:p>
  </w:footnote>
  <w:footnote w:id="2">
    <w:p>
      <w:pPr>
        <w:pStyle w:val="FootnoteText"/>
      </w:pPr>
      <w:r>
        <w:rPr>
          <w:rStyle w:val="FootnoteReference"/>
        </w:rPr>
        <w:footnoteRef/>
      </w:r>
      <w:r>
        <w:tab/>
        <w:t>Документ WT/L/161 от 25.7.1996 г. „Процедурен правилник за заседанията на Министерската конференция и за заседанията на Общия съвет.“</w:t>
      </w:r>
    </w:p>
  </w:footnote>
  <w:footnote w:id="3">
    <w:p>
      <w:pPr>
        <w:pStyle w:val="FootnoteText"/>
      </w:pPr>
      <w:r>
        <w:rPr>
          <w:rStyle w:val="FootnoteReference"/>
        </w:rPr>
        <w:footnoteRef/>
      </w:r>
      <w:r>
        <w:tab/>
        <w:t xml:space="preserve">Решение на Съда от 7 октомври 2014 г., Германия/Съвет, C-399/12, ECLI:EU:C:2014:2258, т. 61—64. </w:t>
      </w:r>
    </w:p>
  </w:footnote>
  <w:footnote w:id="4">
    <w:p>
      <w:pPr>
        <w:pStyle w:val="FootnoteText"/>
      </w:pPr>
      <w:r>
        <w:rPr>
          <w:rStyle w:val="FootnoteReference"/>
        </w:rPr>
        <w:footnoteRef/>
      </w:r>
      <w:r>
        <w:tab/>
        <w:t>Решение (EС) 2015/1947 на Съвета от 1 октомври 2015 г. за сключване, от името на Европейския съюз, на Протокола за изменение на Маракешкото споразумение за създаване на Световната търговска организация  (OВ L 284, 30.10.2015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A54E0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C605F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06401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0240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C89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82E5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6C8D4C"/>
    <w:lvl w:ilvl="0">
      <w:start w:val="1"/>
      <w:numFmt w:val="decimal"/>
      <w:pStyle w:val="ListNumber"/>
      <w:lvlText w:val="%1."/>
      <w:lvlJc w:val="left"/>
      <w:pPr>
        <w:tabs>
          <w:tab w:val="num" w:pos="360"/>
        </w:tabs>
        <w:ind w:left="360" w:hanging="360"/>
      </w:pPr>
    </w:lvl>
  </w:abstractNum>
  <w:abstractNum w:abstractNumId="7">
    <w:nsid w:val="FFFFFF89"/>
    <w:multiLevelType w:val="singleLevel"/>
    <w:tmpl w:val="093230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4 16:14:1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81FA19B-B6A6-4A50-B11C-9EC4A22EDC42"/>
    <w:docVar w:name="LW_COVERPAGE_TYPE" w:val="1"/>
    <w:docVar w:name="LW_CROSSREFERENCE" w:val="&lt;UNUSED&gt;"/>
    <w:docVar w:name="LW_DocType" w:val="COM"/>
    <w:docVar w:name="LW_EMISSION" w:val="15.10.2019"/>
    <w:docVar w:name="LW_EMISSION_ISODATE" w:val="2019-10-15"/>
    <w:docVar w:name="LW_EMISSION_LOCATION" w:val="BRX"/>
    <w:docVar w:name="LW_EMISSION_PREFIX" w:val="Брюксел,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2"/>
    <w:docVar w:name="LW_REF.II.NEW.CP_YEAR" w:val="2019"/>
    <w:docVar w:name="LW_REF.INST.NEW" w:val="COM"/>
    <w:docVar w:name="LW_REF.INST.NEW_ADOPTED" w:val="final"/>
    <w:docVar w:name="LW_REF.INST.NEW_TEXT" w:val="(2019) 4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7?\u1098?\u1074?\u1077?\u1090?\u1072? \u1087?\u1086? \u1090?\u1098?\u1088?\u1075?\u1086?\u1074?\u1080?\u1103?\u1090?\u1072? \u1089?\u1098?\u1089? \u1089?\u1090?\u1086?\u1082?\u1080? \u1085?\u1072? \u1057?\u1074?\u1077?\u1090?\u1086?\u1074?\u1085?\u1072?\u1090?\u1072? \u1090?\u1098?\u1088?\u1075?\u1086?\u1074?\u1089?\u1082?\u1072? \u1086?\u1088?\u1075?\u1072?\u1085?\u1080?\u1079?\u1072?\u1094?\u1080?\u1103?, \u1087?\u1086? \u1086?\u1090?\u1085?\u1086?\u1096?\u1077?\u1085?\u1080?\u1077? \u1085?\u1072? \u1055?\u1088?\u1086?\u1094?\u1077?\u1076?\u1091?\u1088?\u1085?\u1080?\u1103? \u1087?\u1088?\u1072?\u1074?\u1080?\u1083?\u1085?\u1080?\u1082? \u1085?\u1072? \u1050?\u1086?\u1084?\u1080?\u1090?\u1077?\u1090?\u1072? \u1079?\u1072? \u1091?\u1083?\u1077?\u1089?\u1085?\u1103?\u1074?\u1072?\u1085?\u1077? \u1085?\u1072? \u1090?\u1098?\u1088?\u1075?\u1086?\u1074?\u1080?\u1103?\u1090?\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38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A00D-24E3-4776-850E-3143C374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1173</Words>
  <Characters>6747</Characters>
  <Application>Microsoft Office Word</Application>
  <DocSecurity>0</DocSecurity>
  <Lines>129</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dcterms:created xsi:type="dcterms:W3CDTF">2019-09-20T09:15:00Z</dcterms:created>
  <dcterms:modified xsi:type="dcterms:W3CDTF">2019-10-04T14:14:00Z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