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5D202CB6-F1D6-44D6-AB1D-303FA4858064" style="width:450.75pt;height:361.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er"/>
        <w:numPr>
          <w:ilvl w:val="0"/>
          <w:numId w:val="2"/>
        </w:numPr>
        <w:spacing w:before="600" w:after="240"/>
        <w:jc w:val="both"/>
        <w:rPr>
          <w:rFonts w:ascii="Times New Roman" w:hAnsi="Times New Roman" w:cs="Times New Roman"/>
          <w:b/>
          <w:noProof/>
          <w:sz w:val="24"/>
          <w:szCs w:val="24"/>
        </w:rPr>
      </w:pPr>
      <w:bookmarkStart w:id="1" w:name="_GoBack"/>
      <w:bookmarkEnd w:id="1"/>
      <w:r>
        <w:rPr>
          <w:rFonts w:ascii="Times New Roman" w:hAnsi="Times New Roman"/>
          <w:b/>
          <w:noProof/>
        </w:rPr>
        <w:lastRenderedPageBreak/>
        <w:t>ВЪВЕДЕНИЕ</w:t>
      </w:r>
    </w:p>
    <w:p>
      <w:pPr>
        <w:ind w:left="360"/>
        <w:jc w:val="both"/>
        <w:rPr>
          <w:rFonts w:ascii="Times New Roman" w:hAnsi="Times New Roman" w:cs="Times New Roman"/>
          <w:noProof/>
          <w:sz w:val="24"/>
          <w:szCs w:val="24"/>
        </w:rPr>
      </w:pPr>
      <w:r>
        <w:rPr>
          <w:rFonts w:ascii="Times New Roman" w:hAnsi="Times New Roman"/>
          <w:noProof/>
        </w:rPr>
        <w:t>Регламент (ЕС) № 376/2014 има за цел повишаване на авиационната безопасност, като се гарантира, че съответната информация относно безопасността в областта на гражданското въздухоплаване се докладва, събира, съхранява, защитава, обменя, разпространява и анализира. Единствената цел на докладването на събития е предотвратяването на произшествия и инциденти.</w:t>
      </w:r>
    </w:p>
    <w:p>
      <w:pPr>
        <w:ind w:left="360"/>
        <w:jc w:val="both"/>
        <w:rPr>
          <w:rFonts w:ascii="Times New Roman" w:hAnsi="Times New Roman" w:cs="Times New Roman"/>
          <w:noProof/>
          <w:sz w:val="24"/>
          <w:szCs w:val="24"/>
        </w:rPr>
      </w:pPr>
      <w:r>
        <w:rPr>
          <w:rFonts w:ascii="Times New Roman" w:hAnsi="Times New Roman"/>
          <w:noProof/>
        </w:rPr>
        <w:t xml:space="preserve">В член 7, параграф 6 от този регламент се определя, че Комисията е оправомощена да приема делегирани актове в съответствие с член 18, за да дефинира общоевропейската схема за класификация на риска (ERCS). </w:t>
      </w:r>
    </w:p>
    <w:p>
      <w:pPr>
        <w:ind w:left="360"/>
        <w:jc w:val="both"/>
        <w:rPr>
          <w:rFonts w:ascii="Times New Roman" w:hAnsi="Times New Roman" w:cs="Times New Roman"/>
          <w:noProof/>
          <w:sz w:val="24"/>
          <w:szCs w:val="24"/>
        </w:rPr>
      </w:pPr>
      <w:r>
        <w:rPr>
          <w:rFonts w:ascii="Times New Roman" w:hAnsi="Times New Roman"/>
          <w:noProof/>
        </w:rPr>
        <w:t xml:space="preserve">Освен това член 17 от регламента гласи, че на Комисията се предоставя правомощието да приема делегирани актове в съответствие с член 18 с цел: </w:t>
      </w:r>
    </w:p>
    <w:p>
      <w:pPr>
        <w:ind w:left="360"/>
        <w:jc w:val="both"/>
        <w:rPr>
          <w:rFonts w:ascii="Times New Roman" w:hAnsi="Times New Roman" w:cs="Times New Roman"/>
          <w:noProof/>
          <w:sz w:val="24"/>
          <w:szCs w:val="24"/>
        </w:rPr>
      </w:pPr>
      <w:r>
        <w:rPr>
          <w:rFonts w:ascii="Times New Roman" w:hAnsi="Times New Roman"/>
          <w:noProof/>
        </w:rPr>
        <w:t xml:space="preserve">а) да актуализира списъка със задължителните полета с данни в докладите за събития, посочени в приложение I, когато вследствие на натрупания опит от прилагането на настоящия регламент се наложат промени с цел повишаване на авиационната безопасност; </w:t>
      </w:r>
    </w:p>
    <w:p>
      <w:pPr>
        <w:ind w:left="360"/>
        <w:jc w:val="both"/>
        <w:rPr>
          <w:rFonts w:ascii="Times New Roman" w:hAnsi="Times New Roman" w:cs="Times New Roman"/>
          <w:noProof/>
          <w:sz w:val="24"/>
          <w:szCs w:val="24"/>
        </w:rPr>
      </w:pPr>
      <w:r>
        <w:rPr>
          <w:rFonts w:ascii="Times New Roman" w:hAnsi="Times New Roman"/>
          <w:noProof/>
        </w:rPr>
        <w:t>б) да актуализира формуляра за искане на информация от Европейския централен регистър</w:t>
      </w:r>
      <w:r>
        <w:rPr>
          <w:rStyle w:val="FootnoteReference"/>
          <w:rFonts w:ascii="Times New Roman" w:hAnsi="Times New Roman" w:cs="Times New Roman"/>
          <w:noProof/>
        </w:rPr>
        <w:footnoteReference w:id="1"/>
      </w:r>
      <w:r>
        <w:rPr>
          <w:rFonts w:ascii="Times New Roman" w:hAnsi="Times New Roman"/>
          <w:noProof/>
        </w:rPr>
        <w:t xml:space="preserve">, съдържащ се в приложение III, с оглед натрупания опит и новите обстоятелства; </w:t>
      </w:r>
    </w:p>
    <w:p>
      <w:pPr>
        <w:ind w:left="360"/>
        <w:jc w:val="both"/>
        <w:rPr>
          <w:rFonts w:ascii="Times New Roman" w:hAnsi="Times New Roman" w:cs="Times New Roman"/>
          <w:noProof/>
          <w:sz w:val="24"/>
          <w:szCs w:val="24"/>
        </w:rPr>
      </w:pPr>
      <w:r>
        <w:rPr>
          <w:rFonts w:ascii="Times New Roman" w:hAnsi="Times New Roman"/>
          <w:noProof/>
        </w:rPr>
        <w:t>в) да привежда приложенията в съответствие със софтуера ECCAIRS</w:t>
      </w:r>
      <w:r>
        <w:rPr>
          <w:rStyle w:val="FootnoteReference"/>
          <w:rFonts w:ascii="Times New Roman" w:hAnsi="Times New Roman"/>
          <w:noProof/>
        </w:rPr>
        <w:footnoteReference w:id="2"/>
      </w:r>
      <w:r>
        <w:rPr>
          <w:rFonts w:ascii="Times New Roman" w:hAnsi="Times New Roman"/>
          <w:noProof/>
        </w:rPr>
        <w:t xml:space="preserve"> и таксономията ADREP</w:t>
      </w:r>
      <w:r>
        <w:rPr>
          <w:rStyle w:val="FootnoteReference"/>
          <w:rFonts w:ascii="Times New Roman" w:hAnsi="Times New Roman"/>
          <w:noProof/>
        </w:rPr>
        <w:footnoteReference w:id="3"/>
      </w:r>
      <w:r>
        <w:rPr>
          <w:rFonts w:ascii="Times New Roman" w:hAnsi="Times New Roman"/>
          <w:noProof/>
        </w:rPr>
        <w:t>, както и с правни актове, приети от Съюза, и с международни споразумения.</w:t>
      </w:r>
    </w:p>
    <w:p>
      <w:pPr>
        <w:ind w:left="360"/>
        <w:jc w:val="both"/>
        <w:rPr>
          <w:rFonts w:ascii="Times New Roman" w:hAnsi="Times New Roman" w:cs="Times New Roman"/>
          <w:noProof/>
          <w:sz w:val="24"/>
          <w:szCs w:val="24"/>
        </w:rPr>
      </w:pPr>
      <w:r>
        <w:rPr>
          <w:rFonts w:ascii="Times New Roman" w:hAnsi="Times New Roman"/>
          <w:noProof/>
        </w:rPr>
        <w:t>В този контекст в член 18, параграф 2 от регламента се предвижда, че Комисията изготвя доклад до Европейския парламент и до Съвета по отношение на предоставеното ѝ делегиране на правомощия.</w:t>
      </w:r>
    </w:p>
    <w:p>
      <w:pPr>
        <w:pStyle w:val="Header"/>
        <w:numPr>
          <w:ilvl w:val="0"/>
          <w:numId w:val="2"/>
        </w:numPr>
        <w:spacing w:before="600" w:after="240"/>
        <w:jc w:val="both"/>
        <w:rPr>
          <w:rFonts w:ascii="Times New Roman" w:hAnsi="Times New Roman" w:cs="Times New Roman"/>
          <w:b/>
          <w:noProof/>
          <w:sz w:val="24"/>
          <w:szCs w:val="24"/>
        </w:rPr>
      </w:pPr>
      <w:r>
        <w:rPr>
          <w:rFonts w:ascii="Times New Roman" w:hAnsi="Times New Roman"/>
          <w:b/>
          <w:noProof/>
        </w:rPr>
        <w:t>ОПРАВОМОЩАВАНЕ ЗА ПРИЕМАНЕ НА ДЕЛЕГИРАНИ АКТОВЕ</w:t>
      </w:r>
    </w:p>
    <w:p>
      <w:pPr>
        <w:ind w:firstLine="360"/>
        <w:rPr>
          <w:rFonts w:ascii="Times New Roman" w:hAnsi="Times New Roman" w:cs="Times New Roman"/>
          <w:noProof/>
          <w:sz w:val="24"/>
          <w:szCs w:val="24"/>
          <w:u w:val="single"/>
        </w:rPr>
      </w:pPr>
      <w:r>
        <w:rPr>
          <w:rFonts w:ascii="Times New Roman" w:hAnsi="Times New Roman"/>
          <w:noProof/>
          <w:u w:val="single"/>
        </w:rPr>
        <w:t>Европейска схема за класификация на риска (ERCS)</w:t>
      </w:r>
    </w:p>
    <w:p>
      <w:pPr>
        <w:ind w:left="360"/>
        <w:jc w:val="both"/>
        <w:rPr>
          <w:rFonts w:ascii="Times New Roman" w:hAnsi="Times New Roman" w:cs="Times New Roman"/>
          <w:noProof/>
          <w:sz w:val="24"/>
          <w:szCs w:val="24"/>
        </w:rPr>
      </w:pPr>
      <w:r>
        <w:rPr>
          <w:rFonts w:ascii="Times New Roman" w:hAnsi="Times New Roman"/>
          <w:noProof/>
        </w:rPr>
        <w:t>Въпреки че член 7, параграф 6 от регламента е, като такъв, правното основание за делегирания акт, определящ ERCS, важно е също така да се имат предвид параграфи 5 и 7 от този член.</w:t>
      </w:r>
    </w:p>
    <w:p>
      <w:pPr>
        <w:ind w:left="360"/>
        <w:jc w:val="both"/>
        <w:rPr>
          <w:rFonts w:ascii="Times New Roman" w:hAnsi="Times New Roman" w:cs="Times New Roman"/>
          <w:noProof/>
          <w:sz w:val="24"/>
          <w:szCs w:val="24"/>
        </w:rPr>
      </w:pPr>
      <w:r>
        <w:rPr>
          <w:rFonts w:ascii="Times New Roman" w:hAnsi="Times New Roman"/>
          <w:noProof/>
        </w:rPr>
        <w:t xml:space="preserve">Преди делегираният акт „дефиниращ“ ERCS да бъде приет съгласно параграф 6 от член 7, ERCS трябва да бъде „разработена“ в съответствие с параграф 5 от същия член. Освен това </w:t>
      </w:r>
      <w:r>
        <w:rPr>
          <w:rFonts w:ascii="Times New Roman" w:hAnsi="Times New Roman"/>
          <w:noProof/>
        </w:rPr>
        <w:lastRenderedPageBreak/>
        <w:t xml:space="preserve">ERCS, както е определена в делегиран акт, трябва да бъде прилагана в съответствие с договореностите, установени чрез акт за изпълнение, приет в съответствие с член 7, параграф 7. С други думи, съответното прилагане на ERCS следва поредица от последователни, но тясно свързани стъпки. </w:t>
      </w:r>
    </w:p>
    <w:p>
      <w:pPr>
        <w:ind w:left="360"/>
        <w:jc w:val="both"/>
        <w:rPr>
          <w:rFonts w:ascii="Times New Roman" w:hAnsi="Times New Roman" w:cs="Times New Roman"/>
          <w:noProof/>
          <w:sz w:val="24"/>
          <w:szCs w:val="24"/>
        </w:rPr>
      </w:pPr>
      <w:r>
        <w:rPr>
          <w:rFonts w:ascii="Times New Roman" w:hAnsi="Times New Roman"/>
          <w:noProof/>
        </w:rPr>
        <w:t xml:space="preserve">Разработването на ERCS приключи на 15 май 2017 г. съгласно целевата дата, посочена в член 7, параграф 5. </w:t>
      </w:r>
    </w:p>
    <w:p>
      <w:pPr>
        <w:ind w:left="360"/>
        <w:jc w:val="both"/>
        <w:rPr>
          <w:rFonts w:ascii="Times New Roman" w:hAnsi="Times New Roman" w:cs="Times New Roman"/>
          <w:noProof/>
          <w:sz w:val="24"/>
          <w:szCs w:val="24"/>
        </w:rPr>
      </w:pPr>
      <w:r>
        <w:rPr>
          <w:rFonts w:ascii="Times New Roman" w:hAnsi="Times New Roman"/>
          <w:noProof/>
        </w:rPr>
        <w:t>Даден е ход на работи по последващото приемане на делегирания акт, определящ ERCS, но те все още не са приключили. Комисията беше с впечатлението, че би било за предпочитане с оглед постигането на последователен набор от правила, в интерес на успешното прилагане на схемата, да подготви делегирания акт съгласно параграф 6 успоредно с акта(овете), предвидени в параграф 7, и да ги приеме по едно и също време.</w:t>
      </w:r>
    </w:p>
    <w:p>
      <w:pPr>
        <w:ind w:left="360"/>
        <w:jc w:val="both"/>
        <w:rPr>
          <w:rFonts w:ascii="Times New Roman" w:hAnsi="Times New Roman"/>
          <w:noProof/>
          <w:sz w:val="24"/>
          <w:szCs w:val="24"/>
        </w:rPr>
      </w:pPr>
      <w:r>
        <w:rPr>
          <w:rFonts w:ascii="Times New Roman" w:hAnsi="Times New Roman"/>
          <w:noProof/>
        </w:rPr>
        <w:t>Поради това делегирането в член 7, параграф 6 от Регламент (ЕС) № 376/2014 все още не е извършено.</w:t>
      </w:r>
    </w:p>
    <w:p>
      <w:pPr>
        <w:spacing w:line="240" w:lineRule="auto"/>
        <w:ind w:firstLine="360"/>
        <w:jc w:val="both"/>
        <w:rPr>
          <w:rFonts w:ascii="Times New Roman" w:hAnsi="Times New Roman"/>
          <w:noProof/>
          <w:sz w:val="24"/>
          <w:szCs w:val="24"/>
        </w:rPr>
      </w:pPr>
      <w:r>
        <w:rPr>
          <w:rFonts w:ascii="Times New Roman" w:hAnsi="Times New Roman"/>
          <w:noProof/>
          <w:u w:val="single"/>
        </w:rPr>
        <w:t>Изменение на приложенията</w:t>
      </w:r>
      <w:r>
        <w:rPr>
          <w:rFonts w:ascii="Times New Roman" w:hAnsi="Times New Roman"/>
          <w:noProof/>
        </w:rPr>
        <w:t xml:space="preserve"> </w:t>
      </w:r>
    </w:p>
    <w:p>
      <w:pPr>
        <w:ind w:left="360"/>
        <w:jc w:val="both"/>
        <w:rPr>
          <w:rFonts w:ascii="Times New Roman" w:hAnsi="Times New Roman" w:cs="Times New Roman"/>
          <w:noProof/>
          <w:sz w:val="24"/>
          <w:szCs w:val="24"/>
        </w:rPr>
      </w:pPr>
      <w:r>
        <w:rPr>
          <w:rFonts w:ascii="Times New Roman" w:hAnsi="Times New Roman"/>
          <w:noProof/>
        </w:rPr>
        <w:t xml:space="preserve">С член 17 от регламента на Комисията се предоставя правомощието да приема делегирани актове, според целесъобразността, за да изменя приложенията към Регламента. Макар да се очаква, че тези изменения ще бъдат необходими своевременно с оглед на натрупания опит и новите обстоятелства, свързани с прилагането на регламента, беше установено, че до момента съдържанието на приложенията, такива, каквито са към днешна дата, все още е подходящо за целта им. </w:t>
      </w:r>
    </w:p>
    <w:p>
      <w:pPr>
        <w:ind w:left="360"/>
        <w:jc w:val="both"/>
        <w:rPr>
          <w:rFonts w:ascii="Times New Roman" w:hAnsi="Times New Roman" w:cs="Times New Roman"/>
          <w:noProof/>
          <w:sz w:val="24"/>
          <w:szCs w:val="24"/>
        </w:rPr>
      </w:pPr>
      <w:r>
        <w:rPr>
          <w:rFonts w:ascii="Times New Roman" w:hAnsi="Times New Roman"/>
          <w:noProof/>
        </w:rPr>
        <w:t xml:space="preserve">Следователно, правомощието да приема делегирани актове, с цел изменение на приложенията, досега не е било упражнено. </w:t>
      </w:r>
    </w:p>
    <w:p>
      <w:pPr>
        <w:pStyle w:val="Header"/>
        <w:numPr>
          <w:ilvl w:val="0"/>
          <w:numId w:val="2"/>
        </w:numPr>
        <w:spacing w:before="600" w:after="240"/>
        <w:jc w:val="both"/>
        <w:rPr>
          <w:rFonts w:ascii="Times New Roman" w:hAnsi="Times New Roman" w:cs="Times New Roman"/>
          <w:b/>
          <w:noProof/>
          <w:sz w:val="24"/>
          <w:szCs w:val="24"/>
        </w:rPr>
      </w:pPr>
      <w:r>
        <w:rPr>
          <w:rFonts w:ascii="Times New Roman" w:hAnsi="Times New Roman"/>
          <w:b/>
          <w:noProof/>
        </w:rPr>
        <w:t>ЗАКЛЮЧЕНИЯ</w:t>
      </w:r>
    </w:p>
    <w:p>
      <w:pPr>
        <w:ind w:left="360"/>
        <w:jc w:val="both"/>
        <w:rPr>
          <w:rFonts w:ascii="Times New Roman" w:hAnsi="Times New Roman" w:cs="Times New Roman"/>
          <w:noProof/>
          <w:sz w:val="24"/>
          <w:szCs w:val="24"/>
        </w:rPr>
      </w:pPr>
      <w:r>
        <w:rPr>
          <w:rFonts w:ascii="Times New Roman" w:hAnsi="Times New Roman"/>
          <w:noProof/>
        </w:rPr>
        <w:t>По причините, изложени в предходния раздел, досега Комисията не е упражнила своите правомощия за приемане на делегирани актове, както е предвидено в горепосочените членове. Приемането на такива актове остава необходимо предвид член 7, параграф 6, и може да се окаже необходимо предвид член 17.</w:t>
      </w:r>
    </w:p>
    <w:p>
      <w:pPr>
        <w:ind w:left="360"/>
        <w:jc w:val="both"/>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8482005"/>
      <w:docPartObj>
        <w:docPartGallery w:val="Page Numbers (Bottom of Page)"/>
        <w:docPartUnique/>
      </w:docPartObj>
    </w:sdtPr>
    <w:sdtEndPr>
      <w:rPr>
        <w:noProof/>
        <w:sz w:val="20"/>
        <w:szCs w:val="20"/>
      </w:rPr>
    </w:sdtEndPr>
    <w:sdtContent>
      <w:p>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2</w:t>
        </w:r>
        <w:r>
          <w:rPr>
            <w:sz w:val="20"/>
            <w:szCs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rPr>
      </w:pPr>
      <w:r>
        <w:rPr>
          <w:rStyle w:val="FootnoteReference"/>
        </w:rPr>
        <w:footnoteRef/>
      </w:r>
      <w:r>
        <w:t xml:space="preserve"> </w:t>
      </w:r>
      <w:r>
        <w:rPr>
          <w:rFonts w:ascii="Times New Roman" w:hAnsi="Times New Roman"/>
        </w:rPr>
        <w:t>Европейски централен регистър (ЕЦР): Регистър за съхранение на всички доклади за събития, събирани в Съюза. Той се управлява от Комисията.</w:t>
      </w:r>
    </w:p>
  </w:footnote>
  <w:footnote w:id="2">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ECCAIRS: Европейски координационен център за докладване на инциденти с въздухоплавателни средства. </w:t>
      </w:r>
    </w:p>
  </w:footnote>
  <w:footnote w:id="3">
    <w:p>
      <w:pPr>
        <w:pStyle w:val="FootnoteText"/>
        <w:rPr>
          <w:rFonts w:ascii="Times New Roman" w:hAnsi="Times New Roman"/>
        </w:rPr>
      </w:pPr>
      <w:r>
        <w:rPr>
          <w:rStyle w:val="FootnoteReference"/>
        </w:rPr>
        <w:footnoteRef/>
      </w:r>
      <w:r>
        <w:t xml:space="preserve"> </w:t>
      </w:r>
      <w:r>
        <w:rPr>
          <w:rFonts w:ascii="Times New Roman" w:hAnsi="Times New Roman"/>
        </w:rPr>
        <w:t>ADREP: Докладване на произшествия/инциденти. Тази система се експлоатира и поддържа от ИКАО. Системата ADREP работи като използва софтуерната платформа ECCAIRS. „ИКАО“ съответства на Международната организация за гражданско въздухоплаване; Това е специализирана агенция на ООН, създадена от държавите през 1944 г., за да се управляват администрацията и ръководството на Конвенцията за международно гражданско въздухоплаване (Чикагската конвенция).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A5577"/>
    <w:multiLevelType w:val="hybridMultilevel"/>
    <w:tmpl w:val="F272B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A842BF"/>
    <w:multiLevelType w:val="hybridMultilevel"/>
    <w:tmpl w:val="A1EECD82"/>
    <w:lvl w:ilvl="0" w:tplc="080C0001">
      <w:start w:val="1"/>
      <w:numFmt w:val="bullet"/>
      <w:lvlText w:val=""/>
      <w:lvlJc w:val="left"/>
      <w:pPr>
        <w:ind w:left="1139" w:hanging="360"/>
      </w:pPr>
      <w:rPr>
        <w:rFonts w:ascii="Symbol" w:hAnsi="Symbol" w:hint="default"/>
      </w:rPr>
    </w:lvl>
    <w:lvl w:ilvl="1" w:tplc="080C0003" w:tentative="1">
      <w:start w:val="1"/>
      <w:numFmt w:val="bullet"/>
      <w:lvlText w:val="o"/>
      <w:lvlJc w:val="left"/>
      <w:pPr>
        <w:ind w:left="1859" w:hanging="360"/>
      </w:pPr>
      <w:rPr>
        <w:rFonts w:ascii="Courier New" w:hAnsi="Courier New" w:cs="Courier New" w:hint="default"/>
      </w:rPr>
    </w:lvl>
    <w:lvl w:ilvl="2" w:tplc="080C0005" w:tentative="1">
      <w:start w:val="1"/>
      <w:numFmt w:val="bullet"/>
      <w:lvlText w:val=""/>
      <w:lvlJc w:val="left"/>
      <w:pPr>
        <w:ind w:left="2579" w:hanging="360"/>
      </w:pPr>
      <w:rPr>
        <w:rFonts w:ascii="Wingdings" w:hAnsi="Wingdings" w:hint="default"/>
      </w:rPr>
    </w:lvl>
    <w:lvl w:ilvl="3" w:tplc="080C0001" w:tentative="1">
      <w:start w:val="1"/>
      <w:numFmt w:val="bullet"/>
      <w:lvlText w:val=""/>
      <w:lvlJc w:val="left"/>
      <w:pPr>
        <w:ind w:left="3299" w:hanging="360"/>
      </w:pPr>
      <w:rPr>
        <w:rFonts w:ascii="Symbol" w:hAnsi="Symbol" w:hint="default"/>
      </w:rPr>
    </w:lvl>
    <w:lvl w:ilvl="4" w:tplc="080C0003" w:tentative="1">
      <w:start w:val="1"/>
      <w:numFmt w:val="bullet"/>
      <w:lvlText w:val="o"/>
      <w:lvlJc w:val="left"/>
      <w:pPr>
        <w:ind w:left="4019" w:hanging="360"/>
      </w:pPr>
      <w:rPr>
        <w:rFonts w:ascii="Courier New" w:hAnsi="Courier New" w:cs="Courier New" w:hint="default"/>
      </w:rPr>
    </w:lvl>
    <w:lvl w:ilvl="5" w:tplc="080C0005" w:tentative="1">
      <w:start w:val="1"/>
      <w:numFmt w:val="bullet"/>
      <w:lvlText w:val=""/>
      <w:lvlJc w:val="left"/>
      <w:pPr>
        <w:ind w:left="4739" w:hanging="360"/>
      </w:pPr>
      <w:rPr>
        <w:rFonts w:ascii="Wingdings" w:hAnsi="Wingdings" w:hint="default"/>
      </w:rPr>
    </w:lvl>
    <w:lvl w:ilvl="6" w:tplc="080C0001" w:tentative="1">
      <w:start w:val="1"/>
      <w:numFmt w:val="bullet"/>
      <w:lvlText w:val=""/>
      <w:lvlJc w:val="left"/>
      <w:pPr>
        <w:ind w:left="5459" w:hanging="360"/>
      </w:pPr>
      <w:rPr>
        <w:rFonts w:ascii="Symbol" w:hAnsi="Symbol" w:hint="default"/>
      </w:rPr>
    </w:lvl>
    <w:lvl w:ilvl="7" w:tplc="080C0003" w:tentative="1">
      <w:start w:val="1"/>
      <w:numFmt w:val="bullet"/>
      <w:lvlText w:val="o"/>
      <w:lvlJc w:val="left"/>
      <w:pPr>
        <w:ind w:left="6179" w:hanging="360"/>
      </w:pPr>
      <w:rPr>
        <w:rFonts w:ascii="Courier New" w:hAnsi="Courier New" w:cs="Courier New" w:hint="default"/>
      </w:rPr>
    </w:lvl>
    <w:lvl w:ilvl="8" w:tplc="080C0005" w:tentative="1">
      <w:start w:val="1"/>
      <w:numFmt w:val="bullet"/>
      <w:lvlText w:val=""/>
      <w:lvlJc w:val="left"/>
      <w:pPr>
        <w:ind w:left="6899" w:hanging="360"/>
      </w:pPr>
      <w:rPr>
        <w:rFonts w:ascii="Wingdings" w:hAnsi="Wingdings" w:hint="default"/>
      </w:rPr>
    </w:lvl>
  </w:abstractNum>
  <w:abstractNum w:abstractNumId="2">
    <w:nsid w:val="3E6D10B3"/>
    <w:multiLevelType w:val="hybridMultilevel"/>
    <w:tmpl w:val="CAAA62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4D463A05"/>
    <w:multiLevelType w:val="hybridMultilevel"/>
    <w:tmpl w:val="3886ED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D202CB6-F1D6-44D6-AB1D-303FA4858064"/>
    <w:docVar w:name="LW_COVERPAGE_TYPE" w:val="1"/>
    <w:docVar w:name="LW_CROSSREFERENCE" w:val="&lt;UNUSED&gt;"/>
    <w:docVar w:name="LW_DocType" w:val="NORMAL"/>
    <w:docVar w:name="LW_EMISSION" w:val="15.10.2019"/>
    <w:docVar w:name="LW_EMISSION_ISODATE" w:val="2019-10-15"/>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46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86?\u1090?\u1085?\u1086?\u1089?\u1085?\u1086? \u1076?\u1077?\u1083?\u1077?\u1075?\u1080?\u1088?\u1072?\u1085?\u1077?\u1090?\u1086? \u1085?\u1072? \u1087?\u1088?\u1072?\u1074?\u1086?\u1084?\u1086?\u1097?\u1080?\u1103? \u1089?\u1098?\u1075?\u1083?\u1072?\u1089?\u1085?\u1086? \u1056?\u1077?\u1075?\u1083?\u1072?\u1084?\u1077?\u1085?\u1090? (\u1045?\u1057?) \u8470? 376/2014 \u1085?\u1072? \u1045?\u1074?\u1088?\u1086?\u1087?\u1077?\u1081?\u1089?\u1082?\u1080?\u1103? \u1087?\u1072?\u1088?\u1083?\u1072?\u1084?\u1077?\u1085?\u1090? \u1080? \u1085?\u1072? \u1057?\u1098?\u1074?\u1077?\u1090?\u1072? \u1086?\u1090? 3 \u1072?\u1087?\u1088?\u1080?\u1083? 2014 \u1075?\u1086?\u1076?\u1080?\u1085?\u1072? \u1079?\u1072? \u1076?\u1086?\u1082?\u1083?\u1072?\u1076?\u1074?\u1072?\u1085?\u1077?, \u1072?\u1085?\u1072?\u1083?\u1080?\u1079? \u1080? \u1087?\u1086?\u1089?\u1083?\u1077?\u1076?\u1074?\u1072?\u1097?\u1080? \u1076?\u1077?\u1081?\u1089?\u1090?\u1074?\u1080?\u1103? \u1074?\u1098?\u1074? \u1074?\u1088?\u1098?\u1079?\u1082?\u1072? \u1089?\u1098?\u1089? \u1089?\u1098?\u1073?\u1080?\u1090?\u1080?\u1103? \u1074? \u1075?\u1088?\u1072?\u1078?\u1076?\u1072?\u1085?\u1089?\u1082?\u1086?\u1090?\u1086? \u1074?\u1098?\u1079?\u1076?\u1091?\u1093?\u1086?\u1087?\u1083?\u1072?\u1074?\u1072?\u1085?\u1077?, \u1079?\u1072? \u1080?\u1079?\u1084?\u1077?\u1085?\u1077?\u1085?\u1080?\u1077? \u1085?\u1072? \u1056?\u1077?\u1075?\u1083?\u1072?\u1084?\u1077?\u1085?\u1090? (\u1045?\u1057?) \u8470? 996/2010 \u1085?\u1072? \u1045?\u1074?\u1088?\u1086?\u1087?\u1077?\u1081?\u1089?\u1082?\u1080?\u1103? \u1087?\u1072?\u1088?\u1083?\u1072?\u1084?\u1077?\u1085?\u1090? \u1080? \u1085?\u1072? \u1057?\u1098?\u1074?\u1077?\u1090?\u1072? \u1080? \u1079?\u1072? \u1086?\u1090?\u1084?\u1103?\u1085?\u1072? \u1085?\u1072? \u1044?\u1080?\u1088?\u1077?\u1082?\u1090?\u1080?\u1074?\u1072? 2003/42/\u1045?\u1054? \u1085?\u1072? \u1045?\u1074?\u1088?\u1086?\u1087?\u1077?\u1081?\u1089?\u1082?\u1080?\u1103? \u1087?\u1072?\u1088?\u1083?\u1072?\u1084?\u1077?\u1085?\u1090? \u1080? \u1085?\u1072? \u1057?\u1098?\u1074?\u1077?\u1090?\u1072? \u1080? \u1085?\u1072? \u1088?\u1077?\u1075?\u1083?\u1072?\u1084?\u1077?\u1085?\u1090?\u1080? (\u1045?\u1054?) \u8470? 1321/2007 \u1080? (\u1045?\u1054?) \u8470? 1330/2007 \u1085?\u1072? \u1050?\u1086?\u1084?\u1080?\u1089?\u1080?\u1103?\u1090?\u1072? "/>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link w:val="PagedecouvertureChar"/>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PagedecouvertureChar">
    <w:name w:val="Page de couverture Char"/>
    <w:basedOn w:val="DefaultParagraphFont"/>
    <w:link w:val="Pagedecouverture"/>
    <w:rPr>
      <w:rFonts w:ascii="Times New Roman" w:hAnsi="Times New Roman" w:cs="Times New Roman"/>
      <w:sz w:val="24"/>
    </w:rPr>
  </w:style>
  <w:style w:type="character" w:customStyle="1" w:styleId="HeaderSensitivityRightChar">
    <w:name w:val="Header Sensitivity Right Char"/>
    <w:basedOn w:val="PagedecouvertureChar"/>
    <w:link w:val="HeaderSensitivityRight"/>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link w:val="PagedecouvertureChar"/>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PagedecouvertureChar">
    <w:name w:val="Page de couverture Char"/>
    <w:basedOn w:val="DefaultParagraphFont"/>
    <w:link w:val="Pagedecouverture"/>
    <w:rPr>
      <w:rFonts w:ascii="Times New Roman" w:hAnsi="Times New Roman" w:cs="Times New Roman"/>
      <w:sz w:val="24"/>
    </w:rPr>
  </w:style>
  <w:style w:type="character" w:customStyle="1" w:styleId="HeaderSensitivityRightChar">
    <w:name w:val="Header Sensitivity Right Char"/>
    <w:basedOn w:val="PagedecouvertureChar"/>
    <w:link w:val="HeaderSensitivityRigh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88536">
      <w:bodyDiv w:val="1"/>
      <w:marLeft w:val="0"/>
      <w:marRight w:val="0"/>
      <w:marTop w:val="0"/>
      <w:marBottom w:val="0"/>
      <w:divBdr>
        <w:top w:val="none" w:sz="0" w:space="0" w:color="auto"/>
        <w:left w:val="none" w:sz="0" w:space="0" w:color="auto"/>
        <w:bottom w:val="none" w:sz="0" w:space="0" w:color="auto"/>
        <w:right w:val="none" w:sz="0" w:space="0" w:color="auto"/>
      </w:divBdr>
    </w:div>
    <w:div w:id="977879680">
      <w:bodyDiv w:val="1"/>
      <w:marLeft w:val="0"/>
      <w:marRight w:val="0"/>
      <w:marTop w:val="0"/>
      <w:marBottom w:val="0"/>
      <w:divBdr>
        <w:top w:val="none" w:sz="0" w:space="0" w:color="auto"/>
        <w:left w:val="none" w:sz="0" w:space="0" w:color="auto"/>
        <w:bottom w:val="none" w:sz="0" w:space="0" w:color="auto"/>
        <w:right w:val="none" w:sz="0" w:space="0" w:color="auto"/>
      </w:divBdr>
    </w:div>
    <w:div w:id="1057439667">
      <w:bodyDiv w:val="1"/>
      <w:marLeft w:val="0"/>
      <w:marRight w:val="0"/>
      <w:marTop w:val="0"/>
      <w:marBottom w:val="0"/>
      <w:divBdr>
        <w:top w:val="none" w:sz="0" w:space="0" w:color="auto"/>
        <w:left w:val="none" w:sz="0" w:space="0" w:color="auto"/>
        <w:bottom w:val="none" w:sz="0" w:space="0" w:color="auto"/>
        <w:right w:val="none" w:sz="0" w:space="0" w:color="auto"/>
      </w:divBdr>
    </w:div>
    <w:div w:id="164793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FA6F3-C74A-4F08-9F4F-203943898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574</Words>
  <Characters>3168</Characters>
  <Application>Microsoft Office Word</Application>
  <DocSecurity>0</DocSecurity>
  <Lines>57</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16</cp:revision>
  <cp:lastPrinted>2019-06-25T07:59:00Z</cp:lastPrinted>
  <dcterms:created xsi:type="dcterms:W3CDTF">2019-07-19T12:34:00Z</dcterms:created>
  <dcterms:modified xsi:type="dcterms:W3CDTF">2019-10-08T07:05:00Z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