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802CD85-2B84-4E5D-A8EF-7C0913D38B5D" style="width:450.2pt;height:433.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0"/>
          <w:cols w:space="720"/>
          <w:docGrid w:linePitch="326"/>
        </w:sectPr>
      </w:pPr>
    </w:p>
    <w:tbl>
      <w:tblPr>
        <w:tblW w:w="9645" w:type="dxa"/>
        <w:tblInd w:w="-3" w:type="dxa"/>
        <w:tblLayout w:type="fixed"/>
        <w:tblCellMar>
          <w:left w:w="0" w:type="dxa"/>
          <w:right w:w="0" w:type="dxa"/>
        </w:tblCellMar>
        <w:tblLook w:val="0000" w:firstRow="0" w:lastRow="0" w:firstColumn="0" w:lastColumn="0" w:noHBand="0" w:noVBand="0"/>
      </w:tblPr>
      <w:tblGrid>
        <w:gridCol w:w="1705"/>
        <w:gridCol w:w="2264"/>
        <w:gridCol w:w="284"/>
        <w:gridCol w:w="1134"/>
        <w:gridCol w:w="145"/>
        <w:gridCol w:w="141"/>
        <w:gridCol w:w="2269"/>
        <w:gridCol w:w="1703"/>
      </w:tblGrid>
      <w:tr>
        <w:tc>
          <w:tcPr>
            <w:tcW w:w="1705" w:type="dxa"/>
          </w:tcPr>
          <w:p>
            <w:pPr>
              <w:spacing w:line="240" w:lineRule="auto"/>
              <w:jc w:val="center"/>
              <w:rPr>
                <w:rFonts w:ascii="Arial" w:hAnsi="Arial" w:cs="Arial"/>
                <w:b/>
                <w:noProof/>
                <w:sz w:val="23"/>
                <w:szCs w:val="23"/>
              </w:rPr>
            </w:pPr>
            <w:bookmarkStart w:id="1" w:name="_GoBack"/>
            <w:bookmarkEnd w:id="1"/>
          </w:p>
        </w:tc>
        <w:tc>
          <w:tcPr>
            <w:tcW w:w="6237" w:type="dxa"/>
            <w:gridSpan w:val="6"/>
            <w:tcBorders>
              <w:bottom w:val="single" w:sz="4" w:space="0" w:color="auto"/>
            </w:tcBorders>
          </w:tcPr>
          <w:p>
            <w:pPr>
              <w:pStyle w:val="EntLogo"/>
              <w:jc w:val="center"/>
              <w:rPr>
                <w:rFonts w:ascii="Arial" w:hAnsi="Arial" w:cs="Arial"/>
                <w:noProof/>
                <w:spacing w:val="40"/>
                <w:sz w:val="23"/>
                <w:szCs w:val="23"/>
              </w:rPr>
            </w:pPr>
            <w:r>
              <w:rPr>
                <w:rFonts w:ascii="Arial" w:hAnsi="Arial" w:cs="Arial"/>
                <w:noProof/>
                <w:spacing w:val="40"/>
                <w:sz w:val="23"/>
                <w:szCs w:val="23"/>
              </w:rPr>
              <w:t>ACP</w:t>
            </w:r>
            <w:r>
              <w:rPr>
                <w:rFonts w:ascii="Arial" w:hAnsi="Arial" w:cs="Arial"/>
                <w:b w:val="0"/>
                <w:noProof/>
                <w:spacing w:val="40"/>
                <w:sz w:val="23"/>
                <w:szCs w:val="23"/>
              </w:rPr>
              <w:t>-</w:t>
            </w:r>
            <w:r>
              <w:rPr>
                <w:rFonts w:ascii="Arial" w:hAnsi="Arial" w:cs="Arial"/>
                <w:noProof/>
                <w:spacing w:val="40"/>
                <w:sz w:val="23"/>
                <w:szCs w:val="23"/>
              </w:rPr>
              <w:t>EU COTONOU AGREEMENT</w:t>
            </w:r>
          </w:p>
        </w:tc>
        <w:tc>
          <w:tcPr>
            <w:tcW w:w="1703" w:type="dxa"/>
          </w:tcPr>
          <w:p>
            <w:pPr>
              <w:spacing w:line="240" w:lineRule="auto"/>
              <w:jc w:val="center"/>
              <w:rPr>
                <w:rFonts w:ascii="Arial" w:hAnsi="Arial" w:cs="Arial"/>
                <w:b/>
                <w:noProof/>
                <w:sz w:val="23"/>
                <w:szCs w:val="23"/>
              </w:rPr>
            </w:pPr>
          </w:p>
        </w:tc>
      </w:tr>
      <w:tr>
        <w:trPr>
          <w:cantSplit/>
        </w:trPr>
        <w:tc>
          <w:tcPr>
            <w:tcW w:w="9645" w:type="dxa"/>
            <w:gridSpan w:val="8"/>
          </w:tcPr>
          <w:p>
            <w:pPr>
              <w:spacing w:line="240" w:lineRule="auto"/>
              <w:jc w:val="center"/>
              <w:rPr>
                <w:rFonts w:ascii="Arial" w:hAnsi="Arial" w:cs="Arial"/>
                <w:b/>
                <w:noProof/>
                <w:sz w:val="23"/>
                <w:szCs w:val="23"/>
              </w:rPr>
            </w:pPr>
          </w:p>
        </w:tc>
      </w:tr>
      <w:tr>
        <w:tc>
          <w:tcPr>
            <w:tcW w:w="4253" w:type="dxa"/>
            <w:gridSpan w:val="3"/>
            <w:tcBorders>
              <w:bottom w:val="single" w:sz="4" w:space="0" w:color="auto"/>
            </w:tcBorders>
          </w:tcPr>
          <w:p>
            <w:pPr>
              <w:pStyle w:val="EntLogo"/>
              <w:spacing w:line="240" w:lineRule="auto"/>
              <w:jc w:val="center"/>
              <w:rPr>
                <w:rFonts w:ascii="Arial" w:hAnsi="Arial" w:cs="Arial"/>
                <w:noProof/>
                <w:sz w:val="23"/>
                <w:szCs w:val="23"/>
              </w:rPr>
            </w:pPr>
            <w:r>
              <w:rPr>
                <w:rFonts w:ascii="Arial" w:hAnsi="Arial" w:cs="Arial"/>
                <w:noProof/>
                <w:sz w:val="23"/>
                <w:szCs w:val="23"/>
              </w:rPr>
              <w:t>AFRICAN, CARIBBEAN AND</w:t>
            </w:r>
          </w:p>
          <w:p>
            <w:pPr>
              <w:spacing w:line="240" w:lineRule="auto"/>
              <w:jc w:val="center"/>
              <w:rPr>
                <w:rFonts w:ascii="Arial" w:hAnsi="Arial" w:cs="Arial"/>
                <w:b/>
                <w:noProof/>
                <w:sz w:val="23"/>
                <w:szCs w:val="23"/>
              </w:rPr>
            </w:pPr>
            <w:r>
              <w:rPr>
                <w:rFonts w:ascii="Arial" w:hAnsi="Arial" w:cs="Arial"/>
                <w:b/>
                <w:noProof/>
                <w:sz w:val="23"/>
                <w:szCs w:val="23"/>
              </w:rPr>
              <w:t>PACIFIC GROUP OF STATES</w:t>
            </w:r>
          </w:p>
          <w:p>
            <w:pPr>
              <w:spacing w:line="240" w:lineRule="auto"/>
              <w:jc w:val="center"/>
              <w:rPr>
                <w:rFonts w:ascii="Arial" w:hAnsi="Arial" w:cs="Arial"/>
                <w:b/>
                <w:noProof/>
                <w:sz w:val="23"/>
                <w:szCs w:val="23"/>
              </w:rPr>
            </w:pPr>
          </w:p>
        </w:tc>
        <w:tc>
          <w:tcPr>
            <w:tcW w:w="1134" w:type="dxa"/>
          </w:tcPr>
          <w:p>
            <w:pPr>
              <w:rPr>
                <w:rFonts w:ascii="Arial" w:hAnsi="Arial" w:cs="Arial"/>
                <w:noProof/>
                <w:sz w:val="23"/>
                <w:szCs w:val="23"/>
              </w:rPr>
            </w:pPr>
          </w:p>
        </w:tc>
        <w:tc>
          <w:tcPr>
            <w:tcW w:w="4258" w:type="dxa"/>
            <w:gridSpan w:val="4"/>
            <w:tcBorders>
              <w:bottom w:val="single" w:sz="4" w:space="0" w:color="auto"/>
            </w:tcBorders>
          </w:tcPr>
          <w:p>
            <w:pPr>
              <w:pStyle w:val="EntLogo"/>
              <w:spacing w:line="240" w:lineRule="auto"/>
              <w:jc w:val="center"/>
              <w:rPr>
                <w:rFonts w:ascii="Arial" w:hAnsi="Arial" w:cs="Arial"/>
                <w:noProof/>
                <w:sz w:val="23"/>
                <w:szCs w:val="23"/>
              </w:rPr>
            </w:pPr>
            <w:r>
              <w:rPr>
                <w:rFonts w:ascii="Arial" w:hAnsi="Arial" w:cs="Arial"/>
                <w:noProof/>
                <w:sz w:val="23"/>
                <w:szCs w:val="23"/>
              </w:rPr>
              <w:t>COUNCIL OF</w:t>
            </w:r>
          </w:p>
          <w:p>
            <w:pPr>
              <w:pStyle w:val="EntLogo"/>
              <w:spacing w:line="240" w:lineRule="auto"/>
              <w:jc w:val="center"/>
              <w:rPr>
                <w:rFonts w:ascii="Arial" w:hAnsi="Arial" w:cs="Arial"/>
                <w:noProof/>
                <w:sz w:val="23"/>
                <w:szCs w:val="23"/>
              </w:rPr>
            </w:pPr>
            <w:r>
              <w:rPr>
                <w:rFonts w:ascii="Arial" w:hAnsi="Arial" w:cs="Arial"/>
                <w:noProof/>
                <w:sz w:val="23"/>
                <w:szCs w:val="23"/>
              </w:rPr>
              <w:t>THE EUROPEAN UNION</w:t>
            </w:r>
          </w:p>
        </w:tc>
      </w:tr>
      <w:tr>
        <w:tblPrEx>
          <w:tblLook w:val="04A0" w:firstRow="1" w:lastRow="0" w:firstColumn="1" w:lastColumn="0" w:noHBand="0" w:noVBand="1"/>
        </w:tblPrEx>
        <w:trPr>
          <w:cantSplit/>
        </w:trPr>
        <w:tc>
          <w:tcPr>
            <w:tcW w:w="1705" w:type="dxa"/>
            <w:hideMark/>
          </w:tcPr>
          <w:p>
            <w:pPr>
              <w:pStyle w:val="EntInstit"/>
              <w:tabs>
                <w:tab w:val="left" w:pos="851"/>
                <w:tab w:val="left" w:pos="1857"/>
                <w:tab w:val="left" w:pos="2659"/>
              </w:tabs>
              <w:ind w:right="-284"/>
              <w:jc w:val="left"/>
              <w:rPr>
                <w:rFonts w:ascii="Arial" w:hAnsi="Arial"/>
                <w:noProof/>
                <w:sz w:val="23"/>
              </w:rPr>
            </w:pPr>
          </w:p>
        </w:tc>
        <w:tc>
          <w:tcPr>
            <w:tcW w:w="3827" w:type="dxa"/>
            <w:gridSpan w:val="4"/>
          </w:tcPr>
          <w:p>
            <w:pPr>
              <w:pStyle w:val="EntInstit"/>
              <w:spacing w:line="192" w:lineRule="auto"/>
              <w:jc w:val="left"/>
              <w:rPr>
                <w:rFonts w:ascii="Arial" w:hAnsi="Arial"/>
                <w:noProof/>
                <w:color w:val="4D4D4D"/>
                <w:sz w:val="23"/>
              </w:rPr>
            </w:pPr>
            <w:bookmarkStart w:id="2" w:name="Entete"/>
            <w:bookmarkEnd w:id="2"/>
          </w:p>
        </w:tc>
        <w:tc>
          <w:tcPr>
            <w:tcW w:w="141" w:type="dxa"/>
          </w:tcPr>
          <w:p>
            <w:pPr>
              <w:pStyle w:val="EntInstit"/>
              <w:jc w:val="left"/>
              <w:rPr>
                <w:rFonts w:ascii="Arial" w:hAnsi="Arial"/>
                <w:noProof/>
                <w:sz w:val="23"/>
              </w:rPr>
            </w:pPr>
          </w:p>
        </w:tc>
        <w:tc>
          <w:tcPr>
            <w:tcW w:w="3972" w:type="dxa"/>
            <w:gridSpan w:val="2"/>
          </w:tcPr>
          <w:p>
            <w:pPr>
              <w:pStyle w:val="EntInstit"/>
              <w:spacing w:line="192" w:lineRule="auto"/>
              <w:jc w:val="left"/>
              <w:rPr>
                <w:rFonts w:ascii="Arial" w:hAnsi="Arial"/>
                <w:noProof/>
                <w:sz w:val="23"/>
              </w:rPr>
            </w:pPr>
          </w:p>
        </w:tc>
      </w:tr>
      <w:tr>
        <w:trPr>
          <w:cantSplit/>
          <w:trHeight w:val="840"/>
        </w:trPr>
        <w:tc>
          <w:tcPr>
            <w:tcW w:w="3969" w:type="dxa"/>
            <w:gridSpan w:val="2"/>
          </w:tcPr>
          <w:p>
            <w:pPr>
              <w:pStyle w:val="EntRefer"/>
              <w:jc w:val="right"/>
              <w:rPr>
                <w:rFonts w:ascii="Arial" w:hAnsi="Arial"/>
                <w:noProof/>
                <w:color w:val="001718"/>
                <w:sz w:val="23"/>
              </w:rPr>
            </w:pPr>
          </w:p>
          <w:p>
            <w:pPr>
              <w:jc w:val="center"/>
              <w:rPr>
                <w:b/>
                <w:bCs/>
                <w:noProof/>
                <w:szCs w:val="24"/>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bookmarkStart w:id="3" w:name="Lieu"/>
            <w:bookmarkEnd w:id="3"/>
            <w:r>
              <w:rPr>
                <w:rFonts w:ascii="Arial" w:hAnsi="Arial"/>
                <w:noProof/>
                <w:sz w:val="23"/>
              </w:rPr>
              <w:t xml:space="preserve">Brussels, </w:t>
            </w:r>
            <w:bookmarkStart w:id="4" w:name="Date"/>
            <w:bookmarkEnd w:id="4"/>
            <w:r>
              <w:rPr>
                <w:rFonts w:ascii="Arial" w:hAnsi="Arial"/>
                <w:noProof/>
                <w:sz w:val="23"/>
              </w:rPr>
              <w:t>xxx 2019</w:t>
            </w:r>
          </w:p>
          <w:p>
            <w:pPr>
              <w:pStyle w:val="EntRefer"/>
              <w:rPr>
                <w:rFonts w:ascii="Arial" w:hAnsi="Arial"/>
                <w:noProof/>
                <w:sz w:val="23"/>
              </w:rPr>
            </w:pPr>
            <w:bookmarkStart w:id="5" w:name="LangueOrig"/>
            <w:bookmarkEnd w:id="5"/>
          </w:p>
        </w:tc>
      </w:tr>
      <w:tr>
        <w:trPr>
          <w:cantSplit/>
        </w:trPr>
        <w:tc>
          <w:tcPr>
            <w:tcW w:w="3969" w:type="dxa"/>
            <w:gridSpan w:val="2"/>
          </w:tcPr>
          <w:p>
            <w:pPr>
              <w:pStyle w:val="EntRefer"/>
              <w:jc w:val="right"/>
              <w:rPr>
                <w:rFonts w:ascii="Arial" w:hAnsi="Arial"/>
                <w:noProof/>
                <w:color w:val="001718"/>
                <w:sz w:val="23"/>
              </w:rPr>
            </w:pPr>
          </w:p>
        </w:tc>
        <w:tc>
          <w:tcPr>
            <w:tcW w:w="1704" w:type="dxa"/>
            <w:gridSpan w:val="4"/>
          </w:tcPr>
          <w:p>
            <w:pPr>
              <w:pStyle w:val="EntRefer"/>
              <w:rPr>
                <w:rFonts w:ascii="Arial" w:hAnsi="Arial"/>
                <w:noProof/>
                <w:sz w:val="23"/>
              </w:rPr>
            </w:pPr>
          </w:p>
        </w:tc>
        <w:tc>
          <w:tcPr>
            <w:tcW w:w="3972" w:type="dxa"/>
            <w:gridSpan w:val="2"/>
          </w:tcPr>
          <w:p>
            <w:pPr>
              <w:pStyle w:val="EntRefer"/>
              <w:rPr>
                <w:rFonts w:ascii="Arial" w:hAnsi="Arial"/>
                <w:noProof/>
                <w:sz w:val="23"/>
              </w:rPr>
            </w:pPr>
          </w:p>
        </w:tc>
      </w:tr>
      <w:tr>
        <w:trPr>
          <w:cantSplit/>
        </w:trPr>
        <w:tc>
          <w:tcPr>
            <w:tcW w:w="3969" w:type="dxa"/>
            <w:gridSpan w:val="2"/>
          </w:tcPr>
          <w:p>
            <w:pPr>
              <w:pStyle w:val="EntRefer"/>
              <w:rPr>
                <w:rFonts w:ascii="Arial" w:hAnsi="Arial"/>
                <w:noProof/>
                <w:sz w:val="23"/>
              </w:rPr>
            </w:pPr>
            <w:bookmarkStart w:id="6" w:name="DossierInterInst"/>
            <w:bookmarkEnd w:id="6"/>
            <w:r>
              <w:rPr>
                <w:rFonts w:ascii="Arial" w:hAnsi="Arial"/>
                <w:noProof/>
                <w:sz w:val="23"/>
              </w:rPr>
              <w:t>ACP/xxx/19</w:t>
            </w:r>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bookmarkStart w:id="7" w:name="Cote"/>
            <w:bookmarkEnd w:id="7"/>
            <w:r>
              <w:rPr>
                <w:rFonts w:ascii="Arial" w:hAnsi="Arial"/>
                <w:noProof/>
                <w:sz w:val="23"/>
              </w:rPr>
              <w:t>ACP-UE xxx/19</w:t>
            </w:r>
          </w:p>
          <w:p>
            <w:pPr>
              <w:pStyle w:val="EntRefer"/>
              <w:rPr>
                <w:rFonts w:ascii="Arial" w:hAnsi="Arial"/>
                <w:noProof/>
                <w:sz w:val="23"/>
              </w:rPr>
            </w:pPr>
            <w:bookmarkStart w:id="8" w:name="CoteRev"/>
            <w:bookmarkStart w:id="9" w:name="CoteSec"/>
            <w:bookmarkEnd w:id="8"/>
            <w:bookmarkEnd w:id="9"/>
          </w:p>
        </w:tc>
      </w:tr>
      <w:tr>
        <w:trPr>
          <w:cantSplit/>
        </w:trPr>
        <w:tc>
          <w:tcPr>
            <w:tcW w:w="3969" w:type="dxa"/>
            <w:gridSpan w:val="2"/>
          </w:tcPr>
          <w:p>
            <w:pPr>
              <w:pStyle w:val="EntRefer"/>
              <w:jc w:val="center"/>
              <w:rPr>
                <w:rFonts w:ascii="Arial" w:hAnsi="Arial"/>
                <w:noProof/>
                <w:sz w:val="23"/>
              </w:rPr>
            </w:pPr>
            <w:bookmarkStart w:id="10" w:name="SousEmbargo"/>
            <w:bookmarkEnd w:id="10"/>
          </w:p>
        </w:tc>
        <w:tc>
          <w:tcPr>
            <w:tcW w:w="1704" w:type="dxa"/>
            <w:gridSpan w:val="4"/>
          </w:tcPr>
          <w:p>
            <w:pPr>
              <w:spacing w:line="240" w:lineRule="auto"/>
              <w:rPr>
                <w:rFonts w:ascii="Arial" w:hAnsi="Arial"/>
                <w:b/>
                <w:noProof/>
                <w:sz w:val="23"/>
              </w:rPr>
            </w:pPr>
          </w:p>
        </w:tc>
        <w:tc>
          <w:tcPr>
            <w:tcW w:w="3972" w:type="dxa"/>
            <w:gridSpan w:val="2"/>
          </w:tcPr>
          <w:p>
            <w:pPr>
              <w:pStyle w:val="EntRefer"/>
              <w:rPr>
                <w:rFonts w:ascii="Arial" w:hAnsi="Arial"/>
                <w:noProof/>
                <w:sz w:val="23"/>
              </w:rPr>
            </w:pPr>
            <w:bookmarkStart w:id="11" w:name="CoteMat"/>
            <w:bookmarkEnd w:id="11"/>
          </w:p>
        </w:tc>
      </w:tr>
    </w:tbl>
    <w:p>
      <w:pPr>
        <w:pStyle w:val="EntRefer"/>
        <w:rPr>
          <w:rFonts w:ascii="Arial" w:hAnsi="Arial" w:cs="Arial"/>
          <w:noProof/>
          <w:sz w:val="23"/>
          <w:szCs w:val="23"/>
        </w:rPr>
      </w:pPr>
      <w:bookmarkStart w:id="12" w:name="AC"/>
    </w:p>
    <w:p>
      <w:pPr>
        <w:pStyle w:val="EntRefer"/>
        <w:rPr>
          <w:rFonts w:ascii="Arial" w:hAnsi="Arial" w:cs="Arial"/>
          <w:noProof/>
          <w:sz w:val="23"/>
          <w:szCs w:val="23"/>
        </w:rPr>
      </w:pPr>
      <w:bookmarkStart w:id="13" w:name="Title"/>
      <w:bookmarkEnd w:id="13"/>
      <w:r>
        <w:rPr>
          <w:rFonts w:ascii="Arial" w:hAnsi="Arial" w:cs="Arial"/>
          <w:noProof/>
          <w:sz w:val="23"/>
          <w:szCs w:val="23"/>
        </w:rPr>
        <w:t>ACP-EU DECISION</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4" w:name="Subject"/>
            <w:bookmarkEnd w:id="14"/>
            <w:r>
              <w:rPr>
                <w:rFonts w:ascii="Arial" w:hAnsi="Arial" w:cs="Arial"/>
                <w:noProof/>
                <w:sz w:val="23"/>
                <w:szCs w:val="23"/>
              </w:rPr>
              <w:t xml:space="preserve">Draft Decision No xx/2019 of the ACP-EU Committee of Ambassadors on the adoption of transitional measures pursuant to Article 95(4) of the ACP-EU Partnership Agreement </w:t>
            </w:r>
          </w:p>
        </w:tc>
      </w:tr>
    </w:tbl>
    <w:p>
      <w:pPr>
        <w:spacing w:line="240" w:lineRule="auto"/>
        <w:rPr>
          <w:rFonts w:ascii="Arial" w:hAnsi="Arial" w:cs="Arial"/>
          <w:noProof/>
          <w:sz w:val="23"/>
          <w:szCs w:val="23"/>
        </w:rPr>
      </w:pPr>
    </w:p>
    <w:p>
      <w:pPr>
        <w:tabs>
          <w:tab w:val="left" w:pos="3969"/>
        </w:tabs>
        <w:rPr>
          <w:rFonts w:ascii="Arial" w:hAnsi="Arial" w:cs="Arial"/>
          <w:noProof/>
          <w:sz w:val="23"/>
          <w:szCs w:val="23"/>
        </w:rPr>
      </w:pPr>
    </w:p>
    <w:bookmarkEnd w:id="12"/>
    <w:p>
      <w:pPr>
        <w:shd w:val="clear" w:color="auto" w:fill="FFFFFF"/>
        <w:spacing w:before="240" w:after="120" w:line="312" w:lineRule="atLeast"/>
        <w:jc w:val="center"/>
        <w:rPr>
          <w:bCs/>
          <w:noProof/>
          <w:sz w:val="27"/>
          <w:szCs w:val="27"/>
          <w:lang w:val="en" w:eastAsia="en-GB"/>
        </w:rPr>
      </w:pPr>
      <w:r>
        <w:rPr>
          <w:noProof/>
        </w:rPr>
        <w:br w:type="page"/>
      </w:r>
      <w:r>
        <w:rPr>
          <w:bCs/>
          <w:noProof/>
          <w:sz w:val="27"/>
          <w:szCs w:val="27"/>
          <w:lang w:val="en" w:eastAsia="en-GB"/>
        </w:rPr>
        <w:lastRenderedPageBreak/>
        <w:t>Draft</w:t>
      </w:r>
    </w:p>
    <w:p>
      <w:pPr>
        <w:spacing w:before="240" w:after="240"/>
        <w:jc w:val="center"/>
        <w:rPr>
          <w:b/>
          <w:bCs/>
          <w:noProof/>
          <w:szCs w:val="24"/>
        </w:rPr>
      </w:pPr>
      <w:r>
        <w:rPr>
          <w:b/>
          <w:bCs/>
          <w:noProof/>
          <w:szCs w:val="24"/>
        </w:rPr>
        <w:t>DECISION No [X]/2019</w:t>
      </w:r>
      <w:r>
        <w:rPr>
          <w:noProof/>
        </w:rPr>
        <w:t xml:space="preserve"> </w:t>
      </w:r>
    </w:p>
    <w:p>
      <w:pPr>
        <w:spacing w:before="240" w:after="240"/>
        <w:jc w:val="center"/>
        <w:rPr>
          <w:b/>
          <w:bCs/>
          <w:noProof/>
          <w:szCs w:val="24"/>
        </w:rPr>
      </w:pPr>
      <w:r>
        <w:rPr>
          <w:b/>
          <w:bCs/>
          <w:noProof/>
        </w:rPr>
        <w:t>OF THE ACP-EU COMMITTEE OF AMBASSADORS</w:t>
      </w:r>
      <w:r>
        <w:rPr>
          <w:b/>
          <w:bCs/>
          <w:noProof/>
          <w:szCs w:val="24"/>
        </w:rPr>
        <w:t xml:space="preserve"> </w:t>
      </w:r>
    </w:p>
    <w:p>
      <w:pPr>
        <w:shd w:val="clear" w:color="auto" w:fill="FFFFFF"/>
        <w:spacing w:before="240" w:after="120" w:line="312" w:lineRule="atLeast"/>
        <w:jc w:val="center"/>
        <w:rPr>
          <w:b/>
          <w:bCs/>
          <w:noProof/>
          <w:sz w:val="27"/>
          <w:szCs w:val="27"/>
          <w:lang w:val="en" w:eastAsia="en-GB"/>
        </w:rPr>
      </w:pPr>
      <w:r>
        <w:rPr>
          <w:b/>
          <w:bCs/>
          <w:noProof/>
          <w:sz w:val="27"/>
          <w:szCs w:val="27"/>
          <w:lang w:val="en" w:eastAsia="en-GB"/>
        </w:rPr>
        <w:t>of [insert date]</w:t>
      </w:r>
    </w:p>
    <w:p>
      <w:pPr>
        <w:shd w:val="clear" w:color="auto" w:fill="FFFFFF"/>
        <w:spacing w:before="240" w:after="120"/>
        <w:jc w:val="center"/>
        <w:rPr>
          <w:b/>
          <w:bCs/>
          <w:noProof/>
          <w:szCs w:val="24"/>
          <w:lang w:val="en" w:eastAsia="en-GB"/>
        </w:rPr>
      </w:pPr>
      <w:r>
        <w:rPr>
          <w:b/>
          <w:bCs/>
          <w:noProof/>
          <w:szCs w:val="24"/>
          <w:lang w:val="en" w:eastAsia="en-GB"/>
        </w:rPr>
        <w:t>to adopt transitional measures pursuant to Article 95(4) of the ACP-EU Partnership Agreement</w:t>
      </w:r>
    </w:p>
    <w:p>
      <w:pPr>
        <w:shd w:val="clear" w:color="auto" w:fill="FFFFFF"/>
        <w:spacing w:before="120" w:line="312" w:lineRule="atLeast"/>
        <w:jc w:val="both"/>
        <w:rPr>
          <w:noProof/>
          <w:sz w:val="27"/>
          <w:szCs w:val="27"/>
          <w:lang w:val="en" w:eastAsia="en-GB"/>
        </w:rPr>
      </w:pPr>
    </w:p>
    <w:p>
      <w:pPr>
        <w:shd w:val="clear" w:color="auto" w:fill="FFFFFF"/>
        <w:spacing w:before="120" w:line="312" w:lineRule="atLeast"/>
        <w:jc w:val="both"/>
        <w:rPr>
          <w:noProof/>
          <w:sz w:val="27"/>
          <w:szCs w:val="27"/>
          <w:lang w:val="en" w:eastAsia="en-GB"/>
        </w:rPr>
      </w:pPr>
    </w:p>
    <w:p>
      <w:pPr>
        <w:widowControl/>
        <w:spacing w:before="120" w:after="120"/>
        <w:jc w:val="both"/>
        <w:rPr>
          <w:noProof/>
          <w:szCs w:val="24"/>
          <w:lang w:eastAsia="en-US"/>
        </w:rPr>
      </w:pPr>
      <w:r>
        <w:rPr>
          <w:noProof/>
          <w:szCs w:val="24"/>
          <w:lang w:eastAsia="en-US"/>
        </w:rPr>
        <w:t>THE ACP-EU COMMITTEE OF AMBASSADORS,</w:t>
      </w:r>
    </w:p>
    <w:p>
      <w:pPr>
        <w:widowControl/>
        <w:spacing w:before="120" w:after="120"/>
        <w:jc w:val="both"/>
        <w:rPr>
          <w:noProof/>
          <w:szCs w:val="24"/>
          <w:lang w:eastAsia="en-US"/>
        </w:rPr>
      </w:pPr>
      <w:r>
        <w:rPr>
          <w:noProof/>
          <w:szCs w:val="24"/>
          <w:lang w:eastAsia="en-US"/>
        </w:rPr>
        <w:t>Having regard to the Partnership Agreement between the members of the African, Caribbean and Pacific Group of States of the one part, and the European Community and its Member States, of the other part</w:t>
      </w:r>
      <w:r>
        <w:rPr>
          <w:b/>
          <w:bCs/>
          <w:noProof/>
          <w:szCs w:val="24"/>
          <w:vertAlign w:val="superscript"/>
          <w:lang w:eastAsia="en-US"/>
        </w:rPr>
        <w:footnoteReference w:id="1"/>
      </w:r>
      <w:r>
        <w:rPr>
          <w:noProof/>
          <w:szCs w:val="24"/>
          <w:lang w:eastAsia="en-US"/>
        </w:rPr>
        <w:t>, and in particular Article 15(4) and Article 16(2) in conjunction with Article 95(4) thereof,</w:t>
      </w:r>
    </w:p>
    <w:p>
      <w:pPr>
        <w:shd w:val="clear" w:color="auto" w:fill="FFFFFF"/>
        <w:spacing w:before="120" w:line="312" w:lineRule="atLeast"/>
        <w:jc w:val="both"/>
        <w:rPr>
          <w:noProof/>
          <w:sz w:val="27"/>
          <w:szCs w:val="27"/>
          <w:lang w:val="en" w:eastAsia="en-GB"/>
        </w:rPr>
      </w:pPr>
    </w:p>
    <w:p>
      <w:pPr>
        <w:spacing w:line="276" w:lineRule="auto"/>
        <w:rPr>
          <w:noProof/>
          <w:sz w:val="27"/>
          <w:szCs w:val="27"/>
          <w:lang w:val="en" w:eastAsia="en-GB"/>
        </w:rPr>
      </w:pPr>
      <w:r>
        <w:rPr>
          <w:noProof/>
          <w:szCs w:val="24"/>
          <w:lang w:val="en" w:eastAsia="en-GB"/>
        </w:rPr>
        <w:t>Whereas:</w:t>
      </w:r>
    </w:p>
    <w:p>
      <w:pPr>
        <w:widowControl/>
        <w:numPr>
          <w:ilvl w:val="0"/>
          <w:numId w:val="22"/>
        </w:numPr>
        <w:spacing w:before="120" w:after="120"/>
        <w:ind w:left="567" w:hanging="567"/>
        <w:jc w:val="both"/>
        <w:rPr>
          <w:noProof/>
          <w:szCs w:val="24"/>
        </w:rPr>
      </w:pPr>
      <w:r>
        <w:rPr>
          <w:noProof/>
          <w:szCs w:val="24"/>
        </w:rPr>
        <w:t>The ACP-EU Partnership Agreement was signed in Cotonou on 23 June 2000, entered into force on 1 April 2003 and is to be applied until 29 February 2020.</w:t>
      </w:r>
    </w:p>
    <w:p>
      <w:pPr>
        <w:widowControl/>
        <w:numPr>
          <w:ilvl w:val="0"/>
          <w:numId w:val="22"/>
        </w:numPr>
        <w:spacing w:before="120" w:after="120"/>
        <w:ind w:left="567" w:hanging="567"/>
        <w:jc w:val="both"/>
        <w:rPr>
          <w:noProof/>
          <w:szCs w:val="24"/>
        </w:rPr>
      </w:pPr>
      <w:r>
        <w:rPr>
          <w:noProof/>
          <w:szCs w:val="24"/>
        </w:rPr>
        <w:t xml:space="preserve">In </w:t>
      </w:r>
      <w:r>
        <w:rPr>
          <w:noProof/>
          <w:szCs w:val="24"/>
          <w:lang w:eastAsia="en-US"/>
        </w:rPr>
        <w:t>accordance</w:t>
      </w:r>
      <w:r>
        <w:rPr>
          <w:noProof/>
          <w:szCs w:val="24"/>
        </w:rPr>
        <w:t xml:space="preserve"> with the first subparagraph of Article 95(4) of the of the ACP-EU Partnership Agreement, negotiations towards a new ACP-EU Partnership Agreement were launched in September 2018. As the new Agreement will not be ready to be applied by the expiry date of the current legal framework, it is necessary to adopt transitional measures.</w:t>
      </w:r>
    </w:p>
    <w:p>
      <w:pPr>
        <w:widowControl/>
        <w:numPr>
          <w:ilvl w:val="0"/>
          <w:numId w:val="22"/>
        </w:numPr>
        <w:spacing w:before="120" w:after="120"/>
        <w:ind w:left="567" w:hanging="567"/>
        <w:jc w:val="both"/>
        <w:rPr>
          <w:noProof/>
          <w:szCs w:val="24"/>
        </w:rPr>
      </w:pPr>
      <w:r>
        <w:rPr>
          <w:noProof/>
          <w:szCs w:val="24"/>
        </w:rPr>
        <w:t>The second subparagraph of Article 95(4) of the ACP-EU Partnership Agreement provides for the Council of Ministers to adopt any transitional measures that may be required until the new Agreement comes into force.</w:t>
      </w:r>
    </w:p>
    <w:p>
      <w:pPr>
        <w:widowControl/>
        <w:numPr>
          <w:ilvl w:val="0"/>
          <w:numId w:val="22"/>
        </w:numPr>
        <w:spacing w:before="120" w:after="120"/>
        <w:ind w:left="567" w:hanging="567"/>
        <w:jc w:val="both"/>
        <w:rPr>
          <w:noProof/>
          <w:szCs w:val="24"/>
        </w:rPr>
      </w:pPr>
      <w:r>
        <w:rPr>
          <w:noProof/>
          <w:szCs w:val="24"/>
        </w:rPr>
        <w:t>Pursuant to Article 15(4) CPA, on 23 May 2019, the ACP-EU Council of Ministers delegated the powers to adopt the transitional measures to the ACP-EU Committee of Ambassadors</w:t>
      </w:r>
      <w:r>
        <w:rPr>
          <w:noProof/>
          <w:szCs w:val="24"/>
          <w:lang w:eastAsia="en-US"/>
        </w:rPr>
        <w:t>.</w:t>
      </w:r>
      <w:r>
        <w:rPr>
          <w:rStyle w:val="FootnoteReference"/>
          <w:b w:val="0"/>
          <w:noProof/>
          <w:szCs w:val="24"/>
        </w:rPr>
        <w:footnoteReference w:id="2"/>
      </w:r>
      <w:r>
        <w:rPr>
          <w:b/>
          <w:noProof/>
          <w:szCs w:val="24"/>
          <w:lang w:eastAsia="en-US"/>
        </w:rPr>
        <w:t xml:space="preserve"> </w:t>
      </w:r>
    </w:p>
    <w:p>
      <w:pPr>
        <w:widowControl/>
        <w:numPr>
          <w:ilvl w:val="0"/>
          <w:numId w:val="22"/>
        </w:numPr>
        <w:spacing w:before="120" w:after="120"/>
        <w:ind w:left="567" w:hanging="567"/>
        <w:jc w:val="both"/>
        <w:rPr>
          <w:noProof/>
          <w:vanish/>
          <w:szCs w:val="24"/>
          <w:lang w:eastAsia="en-GB"/>
        </w:rPr>
      </w:pPr>
      <w:r>
        <w:rPr>
          <w:noProof/>
          <w:szCs w:val="24"/>
        </w:rPr>
        <w:t>It is therefore appropriate that the ACP-EU Committee of Ambassadors adopt a decision, pursuant to Article 95(4) of the ACP-EU Partnership Agreement, to extend the application of the provisions of the ACP-EU Partnership Agreement signed in Cotonou on 23 June 2000 in their entirety until 31 December 2020, or until the entry into force or provisional application of the new Partnership Agreement between the Union and the ACP States if this takes place before 31 December 2020.</w:t>
      </w:r>
      <w:r>
        <w:rPr>
          <w:noProof/>
          <w:szCs w:val="24"/>
          <w:lang w:eastAsia="en-US"/>
        </w:rPr>
        <w:t xml:space="preserve"> </w:t>
      </w:r>
      <w:r>
        <w:rPr>
          <w:noProof/>
          <w:szCs w:val="24"/>
        </w:rPr>
        <w:t xml:space="preserve"> </w:t>
      </w:r>
    </w:p>
    <w:p>
      <w:pPr>
        <w:shd w:val="clear" w:color="auto" w:fill="FFFFFF"/>
        <w:spacing w:line="240" w:lineRule="auto"/>
        <w:rPr>
          <w:noProof/>
          <w:vanish/>
          <w:szCs w:val="24"/>
          <w:lang w:eastAsia="en-GB"/>
        </w:rPr>
      </w:pPr>
    </w:p>
    <w:p>
      <w:pPr>
        <w:shd w:val="clear" w:color="auto" w:fill="FFFFFF"/>
        <w:spacing w:before="120" w:line="312" w:lineRule="atLeast"/>
        <w:jc w:val="both"/>
        <w:rPr>
          <w:noProof/>
          <w:szCs w:val="24"/>
          <w:lang w:val="en" w:eastAsia="en-GB"/>
        </w:rPr>
      </w:pPr>
      <w:r>
        <w:rPr>
          <w:noProof/>
          <w:szCs w:val="24"/>
          <w:lang w:val="en" w:eastAsia="en-GB"/>
        </w:rPr>
        <w:t>HAS ADOPTED THIS DECISION:</w:t>
      </w:r>
    </w:p>
    <w:p>
      <w:pPr>
        <w:shd w:val="clear" w:color="auto" w:fill="FFFFFF"/>
        <w:spacing w:before="360" w:after="120" w:line="312" w:lineRule="atLeast"/>
        <w:jc w:val="center"/>
        <w:rPr>
          <w:i/>
          <w:iCs/>
          <w:noProof/>
          <w:szCs w:val="24"/>
          <w:lang w:val="en" w:eastAsia="en-GB"/>
        </w:rPr>
      </w:pPr>
      <w:r>
        <w:rPr>
          <w:i/>
          <w:iCs/>
          <w:noProof/>
          <w:szCs w:val="24"/>
          <w:lang w:val="en" w:eastAsia="en-GB"/>
        </w:rPr>
        <w:t>Article 1</w:t>
      </w:r>
    </w:p>
    <w:p>
      <w:pPr>
        <w:widowControl/>
        <w:spacing w:before="120" w:after="120" w:line="240" w:lineRule="auto"/>
        <w:jc w:val="both"/>
        <w:rPr>
          <w:rFonts w:eastAsia="Calibri"/>
          <w:noProof/>
          <w:szCs w:val="24"/>
          <w:lang w:val="cs-CZ" w:eastAsia="en-US"/>
        </w:rPr>
      </w:pPr>
      <w:r>
        <w:rPr>
          <w:rFonts w:eastAsia="Calibri"/>
          <w:noProof/>
          <w:szCs w:val="24"/>
          <w:lang w:eastAsia="en-US"/>
        </w:rPr>
        <w:t>T</w:t>
      </w:r>
      <w:r>
        <w:rPr>
          <w:noProof/>
          <w:szCs w:val="24"/>
        </w:rPr>
        <w:t>he application of the entirety of the provisions of the ACP-EU Partnership Agreement signed in Cotonou on 23 June 2000 shall be extended until 31 December 2020, or until the entry into force or provisional application of the new Partnership Agreement between the Union and the ACP States if this takes place before 31 December 2020.</w:t>
      </w:r>
    </w:p>
    <w:p>
      <w:pPr>
        <w:shd w:val="clear" w:color="auto" w:fill="FFFFFF"/>
        <w:spacing w:line="240" w:lineRule="auto"/>
        <w:jc w:val="both"/>
        <w:rPr>
          <w:noProof/>
          <w:vanish/>
          <w:szCs w:val="24"/>
          <w:lang w:val="en" w:eastAsia="en-GB"/>
        </w:rPr>
      </w:pPr>
    </w:p>
    <w:p>
      <w:pPr>
        <w:shd w:val="clear" w:color="auto" w:fill="FFFFFF"/>
        <w:spacing w:before="360" w:after="120" w:line="312" w:lineRule="atLeast"/>
        <w:jc w:val="center"/>
        <w:rPr>
          <w:i/>
          <w:iCs/>
          <w:noProof/>
          <w:szCs w:val="24"/>
          <w:lang w:val="en" w:eastAsia="en-GB"/>
        </w:rPr>
      </w:pPr>
    </w:p>
    <w:p>
      <w:pPr>
        <w:shd w:val="clear" w:color="auto" w:fill="FFFFFF"/>
        <w:spacing w:before="360" w:after="120" w:line="312" w:lineRule="atLeast"/>
        <w:jc w:val="center"/>
        <w:rPr>
          <w:i/>
          <w:iCs/>
          <w:noProof/>
          <w:szCs w:val="24"/>
          <w:lang w:val="en" w:eastAsia="en-GB"/>
        </w:rPr>
      </w:pPr>
      <w:r>
        <w:rPr>
          <w:i/>
          <w:iCs/>
          <w:noProof/>
          <w:szCs w:val="24"/>
          <w:lang w:val="en" w:eastAsia="en-GB"/>
        </w:rPr>
        <w:t>Article 2</w:t>
      </w:r>
    </w:p>
    <w:p>
      <w:pPr>
        <w:shd w:val="clear" w:color="auto" w:fill="FFFFFF"/>
        <w:spacing w:before="120" w:line="312" w:lineRule="atLeast"/>
        <w:jc w:val="both"/>
        <w:rPr>
          <w:noProof/>
          <w:szCs w:val="24"/>
          <w:lang w:val="en" w:eastAsia="en-GB"/>
        </w:rPr>
      </w:pPr>
      <w:r>
        <w:rPr>
          <w:noProof/>
          <w:szCs w:val="24"/>
          <w:lang w:val="en" w:eastAsia="en-GB"/>
        </w:rPr>
        <w:t>This Decision shall enter into force on xxx 2020.</w:t>
      </w:r>
    </w:p>
    <w:p>
      <w:pPr>
        <w:shd w:val="clear" w:color="auto" w:fill="FFFFFF"/>
        <w:spacing w:line="312" w:lineRule="atLeast"/>
        <w:jc w:val="both"/>
        <w:rPr>
          <w:noProof/>
          <w:szCs w:val="24"/>
          <w:lang w:val="en" w:eastAsia="en-GB"/>
        </w:rPr>
      </w:pPr>
    </w:p>
    <w:p>
      <w:pPr>
        <w:shd w:val="clear" w:color="auto" w:fill="FFFFFF"/>
        <w:spacing w:line="312" w:lineRule="atLeast"/>
        <w:jc w:val="both"/>
        <w:rPr>
          <w:noProof/>
          <w:szCs w:val="24"/>
          <w:lang w:val="en" w:eastAsia="en-GB"/>
        </w:rPr>
      </w:pPr>
      <w:r>
        <w:rPr>
          <w:noProof/>
          <w:szCs w:val="24"/>
          <w:lang w:val="en" w:eastAsia="en-GB"/>
        </w:rPr>
        <w:t>Done at [Brussels], [date].</w:t>
      </w:r>
    </w:p>
    <w:p>
      <w:pPr>
        <w:shd w:val="clear" w:color="auto" w:fill="FFFFFF"/>
        <w:spacing w:before="60" w:after="60" w:line="312" w:lineRule="atLeast"/>
        <w:jc w:val="center"/>
        <w:rPr>
          <w:i/>
          <w:iCs/>
          <w:noProof/>
          <w:sz w:val="27"/>
          <w:szCs w:val="27"/>
          <w:lang w:val="en" w:eastAsia="en-GB"/>
        </w:rPr>
      </w:pPr>
    </w:p>
    <w:p>
      <w:pPr>
        <w:shd w:val="clear" w:color="auto" w:fill="FFFFFF"/>
        <w:spacing w:before="60" w:after="60" w:line="312" w:lineRule="atLeast"/>
        <w:rPr>
          <w:i/>
          <w:iCs/>
          <w:noProof/>
          <w:sz w:val="27"/>
          <w:szCs w:val="27"/>
          <w:lang w:val="en" w:eastAsia="en-GB"/>
        </w:rPr>
      </w:pPr>
    </w:p>
    <w:p>
      <w:pPr>
        <w:shd w:val="clear" w:color="auto" w:fill="FFFFFF"/>
        <w:spacing w:before="60" w:after="60" w:line="312" w:lineRule="atLeast"/>
        <w:jc w:val="center"/>
        <w:rPr>
          <w:noProof/>
          <w:szCs w:val="24"/>
          <w:lang w:val="en" w:eastAsia="en-GB"/>
        </w:rPr>
      </w:pPr>
      <w:r>
        <w:rPr>
          <w:i/>
          <w:iCs/>
          <w:noProof/>
          <w:szCs w:val="24"/>
          <w:lang w:val="en" w:eastAsia="en-GB"/>
        </w:rPr>
        <w:t>For the ACP-EU Committee of Ambassadors</w:t>
      </w:r>
      <w:r>
        <w:rPr>
          <w:noProof/>
          <w:szCs w:val="24"/>
          <w:lang w:val="en" w:eastAsia="en-GB"/>
        </w:rPr>
        <w:t xml:space="preserve"> </w:t>
      </w:r>
      <w:r>
        <w:rPr>
          <w:rFonts w:eastAsia="Calibri"/>
          <w:noProof/>
          <w:lang w:eastAsia="en-US"/>
        </w:rPr>
        <w:tab/>
      </w:r>
    </w:p>
    <w:p>
      <w:pPr>
        <w:widowControl/>
        <w:pBdr>
          <w:bottom w:val="single" w:sz="4" w:space="0" w:color="000000"/>
        </w:pBdr>
        <w:spacing w:before="360" w:after="120"/>
        <w:ind w:left="3400" w:right="3400"/>
        <w:jc w:val="center"/>
        <w:rPr>
          <w:rFonts w:eastAsia="Calibri"/>
          <w:b/>
          <w:noProof/>
          <w:szCs w:val="22"/>
          <w:lang w:eastAsia="en-US"/>
        </w:rPr>
      </w:pP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rPr>
        <w:lang w:val="pt-PT"/>
      </w:rPr>
    </w:pPr>
    <w:r>
      <w:rPr>
        <w:lang w:val="pt-PT"/>
      </w:rPr>
      <w:t>ACP-UE xxx/19</w:t>
    </w:r>
    <w:r>
      <w:rPr>
        <w:lang w:val="pt-PT"/>
      </w:rPr>
      <w:tab/>
      <w:t>ACP/xxx/19</w:t>
    </w:r>
    <w:r>
      <w:rPr>
        <w:lang w:val="pt-PT"/>
      </w:rPr>
      <w:tab/>
    </w:r>
    <w:r>
      <w:rPr>
        <w:lang w:val="pt-PT"/>
      </w:rPr>
      <w:tab/>
    </w:r>
    <w:r>
      <w:rPr>
        <w:rStyle w:val="PageNumber"/>
      </w:rPr>
      <w:fldChar w:fldCharType="begin"/>
    </w:r>
    <w:r>
      <w:rPr>
        <w:rStyle w:val="PageNumber"/>
        <w:lang w:val="pt-PT"/>
      </w:rPr>
      <w:instrText xml:space="preserve"> PAGE </w:instrText>
    </w:r>
    <w:r>
      <w:rPr>
        <w:rStyle w:val="PageNumber"/>
      </w:rPr>
      <w:fldChar w:fldCharType="separate"/>
    </w:r>
    <w:r>
      <w:rPr>
        <w:rStyle w:val="PageNumber"/>
        <w:noProof/>
        <w:lang w:val="pt-PT"/>
      </w:rPr>
      <w:t>2</w:t>
    </w:r>
    <w:r>
      <w:rPr>
        <w:rStyle w:val="PageNumber"/>
      </w:rPr>
      <w:fldChar w:fldCharType="end"/>
    </w:r>
  </w:p>
  <w:p>
    <w:pPr>
      <w:pStyle w:val="Footer"/>
      <w:tabs>
        <w:tab w:val="clear" w:pos="7371"/>
      </w:tabs>
      <w:spacing w:line="280" w:lineRule="exact"/>
      <w:rPr>
        <w:lang w:val="fr-BE"/>
      </w:rPr>
    </w:pPr>
    <w:r>
      <w:rPr>
        <w:lang w:val="pt-PT"/>
      </w:rPr>
      <w:tab/>
    </w:r>
    <w:r>
      <w:rPr>
        <w:lang w:val="pt-PT"/>
      </w:rPr>
      <w:tab/>
    </w:r>
    <w:r>
      <w:rPr>
        <w:b/>
        <w:position w:val="-4"/>
        <w:sz w:val="36"/>
        <w:lang w:val="pt-PT"/>
      </w:rPr>
      <w:t xml:space="preserve"> </w:t>
    </w:r>
    <w:r>
      <w:rPr>
        <w:b/>
        <w:position w:val="-4"/>
        <w:sz w:val="36"/>
      </w:rPr>
      <w:t> </w:t>
    </w:r>
    <w:r>
      <w:rPr>
        <w:b/>
        <w:position w:val="-4"/>
        <w:sz w:val="36"/>
        <w:lang w:val="fr-BE"/>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sz w:val="20"/>
          <w:lang w:val="pl-PL"/>
        </w:rPr>
      </w:pPr>
      <w:r>
        <w:rPr>
          <w:rStyle w:val="FootnoteReference"/>
          <w:bCs/>
          <w:sz w:val="20"/>
        </w:rPr>
        <w:footnoteRef/>
      </w:r>
      <w:r>
        <w:rPr>
          <w:sz w:val="20"/>
          <w:lang w:val="pl-PL"/>
        </w:rPr>
        <w:tab/>
        <w:t xml:space="preserve">OJ L 317, 15.12.2000, p. 3 </w:t>
      </w:r>
      <w:r>
        <w:rPr>
          <w:sz w:val="20"/>
        </w:rPr>
        <w:t>as amended by the Agreement signed in Luxembourg on 25 June 2005 (OJ L209, 11.8.2005, p.27) and by the Agreement signed in Ouagadougou on 22 June 2010 (OJ L287, 4.11.2010, p 3)</w:t>
      </w:r>
      <w:r>
        <w:rPr>
          <w:sz w:val="20"/>
          <w:lang w:val="pl-PL"/>
        </w:rPr>
        <w:t>.</w:t>
      </w:r>
    </w:p>
  </w:footnote>
  <w:footnote w:id="2">
    <w:p>
      <w:pPr>
        <w:pStyle w:val="FootnoteText"/>
        <w:rPr>
          <w:lang w:val="en-US"/>
        </w:rPr>
      </w:pPr>
      <w:r>
        <w:rPr>
          <w:rStyle w:val="FootnoteReference"/>
          <w:b w:val="0"/>
        </w:rPr>
        <w:footnoteRef/>
      </w:r>
      <w:r>
        <w:rPr>
          <w:b/>
        </w:rPr>
        <w:t xml:space="preserve"> </w:t>
      </w:r>
      <w:r>
        <w:tab/>
      </w:r>
      <w:r>
        <w:rPr>
          <w:sz w:val="20"/>
        </w:rPr>
        <w:t xml:space="preserve">Decision No 1/2019 of the ACP-EU Council of Ministers of 23 May 2019 </w:t>
      </w:r>
      <w:r>
        <w:rPr>
          <w:bCs/>
          <w:sz w:val="20"/>
        </w:rPr>
        <w:t>on the delegation of powers to the ACP-EU Committee of Ambassadors on the decision to adopt transitional measures pursuant to Article 95(4) of the ACP-EU Partnership Agreement [2019/920] (OJ L146, 05.06.2019, p. 114).</w:t>
      </w:r>
      <w:r>
        <w:rPr>
          <w:b/>
          <w:bCs/>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F67088F"/>
    <w:multiLevelType w:val="singleLevel"/>
    <w:tmpl w:val="2CF07246"/>
    <w:lvl w:ilvl="0">
      <w:start w:val="1"/>
      <w:numFmt w:val="decimal"/>
      <w:lvlText w:val="(%1)"/>
      <w:lvlJc w:val="left"/>
      <w:pPr>
        <w:tabs>
          <w:tab w:val="num" w:pos="564"/>
        </w:tabs>
        <w:ind w:left="564" w:hanging="564"/>
      </w:pPr>
      <w:rPr>
        <w:rFonts w:hint="default"/>
      </w:rPr>
    </w:lvl>
  </w:abstractNum>
  <w:abstractNum w:abstractNumId="3">
    <w:nsid w:val="1DE57EBB"/>
    <w:multiLevelType w:val="singleLevel"/>
    <w:tmpl w:val="2CF07246"/>
    <w:lvl w:ilvl="0">
      <w:start w:val="1"/>
      <w:numFmt w:val="decimal"/>
      <w:lvlText w:val="(%1)"/>
      <w:lvlJc w:val="left"/>
      <w:pPr>
        <w:tabs>
          <w:tab w:val="num" w:pos="564"/>
        </w:tabs>
        <w:ind w:left="564" w:hanging="564"/>
      </w:pPr>
      <w:rPr>
        <w:rFonts w:hint="default"/>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0">
    <w:nsid w:val="3EFF7248"/>
    <w:multiLevelType w:val="singleLevel"/>
    <w:tmpl w:val="2CF07246"/>
    <w:lvl w:ilvl="0">
      <w:start w:val="1"/>
      <w:numFmt w:val="decimal"/>
      <w:lvlText w:val="(%1)"/>
      <w:lvlJc w:val="left"/>
      <w:pPr>
        <w:tabs>
          <w:tab w:val="num" w:pos="564"/>
        </w:tabs>
        <w:ind w:left="564" w:hanging="564"/>
      </w:pPr>
      <w:rPr>
        <w:rFonts w:hint="default"/>
      </w:rPr>
    </w:lvl>
  </w:abstractNum>
  <w:abstractNum w:abstractNumId="1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3">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4">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
    <w:nsid w:val="7214470D"/>
    <w:multiLevelType w:val="hybridMultilevel"/>
    <w:tmpl w:val="4BA8F898"/>
    <w:lvl w:ilvl="0" w:tplc="AE7652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7"/>
  </w:num>
  <w:num w:numId="2">
    <w:abstractNumId w:val="9"/>
  </w:num>
  <w:num w:numId="3">
    <w:abstractNumId w:val="17"/>
  </w:num>
  <w:num w:numId="4">
    <w:abstractNumId w:val="4"/>
  </w:num>
  <w:num w:numId="5">
    <w:abstractNumId w:val="12"/>
  </w:num>
  <w:num w:numId="6">
    <w:abstractNumId w:val="8"/>
  </w:num>
  <w:num w:numId="7">
    <w:abstractNumId w:val="11"/>
  </w:num>
  <w:num w:numId="8">
    <w:abstractNumId w:val="15"/>
  </w:num>
  <w:num w:numId="9">
    <w:abstractNumId w:val="6"/>
  </w:num>
  <w:num w:numId="10">
    <w:abstractNumId w:val="1"/>
  </w:num>
  <w:num w:numId="11">
    <w:abstractNumId w:val="5"/>
  </w:num>
  <w:num w:numId="12">
    <w:abstractNumId w:val="5"/>
  </w:num>
  <w:num w:numId="13">
    <w:abstractNumId w:val="5"/>
  </w:num>
  <w:num w:numId="14">
    <w:abstractNumId w:val="5"/>
  </w:num>
  <w:num w:numId="15">
    <w:abstractNumId w:val="14"/>
  </w:num>
  <w:num w:numId="16">
    <w:abstractNumId w:val="13"/>
    <w:lvlOverride w:ilvl="0">
      <w:startOverride w:val="1"/>
    </w:lvlOverride>
  </w:num>
  <w:num w:numId="17">
    <w:abstractNumId w:val="13"/>
  </w:num>
  <w:num w:numId="18">
    <w:abstractNumId w:val="0"/>
  </w:num>
  <w:num w:numId="19">
    <w:abstractNumId w:val="2"/>
  </w:num>
  <w:num w:numId="20">
    <w:abstractNumId w:val="10"/>
  </w:num>
  <w:num w:numId="21">
    <w:abstractNumId w:val="3"/>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hideGrammaticalErrors/>
  <w:activeWritingStyle w:appName="MSWord" w:lang="pt-PT"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4802CD85-2B84-4E5D-A8EF-7C0913D38B5D"/>
    <w:docVar w:name="LW_COVERPAGE_TYPE" w:val="1"/>
    <w:docVar w:name="LW_CROSSREFERENCE" w:val="&lt;UNUSED&gt;"/>
    <w:docVar w:name="LW_DocType" w:val="_GENEN"/>
    <w:docVar w:name="LW_EMISSION" w:val="25.10.2019"/>
    <w:docVar w:name="LW_EMISSION_ISODATE" w:val="2019-10-2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position to be adopted by the European Union within the ACP-EU Committee of Ambassadors, with regard to the adoption of a decision to adopt transitional measures pursuant to Article 95(4) of the ACP-EU Partnership Agreement&lt;/FMT&gt;_x000d__x000d__x000d__x000d__x000b_"/>
    <w:docVar w:name="LW_PART_NBR" w:val="1"/>
    <w:docVar w:name="LW_PART_NBR_TOTAL" w:val="1"/>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paragraph" w:customStyle="1" w:styleId="Typedudocument">
    <w:name w:val="Type du document"/>
    <w:basedOn w:val="Normal"/>
    <w:next w:val="Normal"/>
    <w:pPr>
      <w:widowControl/>
      <w:spacing w:before="360"/>
      <w:jc w:val="center"/>
    </w:pPr>
    <w:rPr>
      <w:b/>
      <w:szCs w:val="24"/>
      <w:lang w:eastAsia="en-US"/>
    </w:rPr>
  </w:style>
  <w:style w:type="character" w:customStyle="1" w:styleId="FootnoteTextChar">
    <w:name w:val="Footnote Text Char"/>
    <w:link w:val="FootnoteText"/>
    <w:rPr>
      <w:sz w:val="24"/>
      <w:lang w:eastAsia="fr-BE"/>
    </w:rPr>
  </w:style>
  <w:style w:type="paragraph" w:customStyle="1" w:styleId="Text1">
    <w:name w:val="Text 1"/>
    <w:basedOn w:val="Normal"/>
    <w:pPr>
      <w:widowControl/>
      <w:spacing w:before="120" w:after="120"/>
      <w:ind w:left="850"/>
      <w:outlineLvl w:val="0"/>
    </w:pPr>
    <w:rPr>
      <w:szCs w:val="24"/>
      <w:lang w:eastAsia="en-US"/>
    </w:rPr>
  </w:style>
  <w:style w:type="paragraph" w:customStyle="1" w:styleId="Point0">
    <w:name w:val="Point 0"/>
    <w:basedOn w:val="Normal"/>
    <w:pPr>
      <w:widowControl/>
      <w:spacing w:before="120" w:after="120"/>
      <w:ind w:left="850" w:hanging="850"/>
    </w:pPr>
    <w:rPr>
      <w:szCs w:val="24"/>
      <w:lang w:eastAsia="en-US"/>
    </w:rPr>
  </w:style>
  <w:style w:type="paragraph" w:customStyle="1" w:styleId="ManualNumPar1">
    <w:name w:val="Manual NumPar 1"/>
    <w:basedOn w:val="Normal"/>
    <w:next w:val="Text1"/>
    <w:pPr>
      <w:widowControl/>
      <w:spacing w:before="120" w:after="120"/>
      <w:ind w:left="850" w:hanging="850"/>
      <w:outlineLvl w:val="0"/>
    </w:pPr>
    <w:rPr>
      <w:szCs w:val="24"/>
      <w:lang w:eastAsia="en-US"/>
    </w:rPr>
  </w:style>
  <w:style w:type="paragraph" w:customStyle="1" w:styleId="Datedadoption">
    <w:name w:val="Date d'adoption"/>
    <w:basedOn w:val="Normal"/>
    <w:next w:val="Titreobjet"/>
    <w:pPr>
      <w:widowControl/>
      <w:spacing w:before="360"/>
      <w:jc w:val="center"/>
    </w:pPr>
    <w:rPr>
      <w:b/>
      <w:szCs w:val="24"/>
      <w:lang w:eastAsia="en-US"/>
    </w:rPr>
  </w:style>
  <w:style w:type="paragraph" w:customStyle="1" w:styleId="Fait">
    <w:name w:val="Fait à"/>
    <w:basedOn w:val="Normal"/>
    <w:next w:val="Institutionquisigne"/>
    <w:pPr>
      <w:keepNext/>
      <w:widowControl/>
      <w:spacing w:before="120"/>
    </w:pPr>
    <w:rPr>
      <w:szCs w:val="24"/>
      <w:lang w:eastAsia="en-US"/>
    </w:rPr>
  </w:style>
  <w:style w:type="paragraph" w:customStyle="1" w:styleId="Formuledadoption">
    <w:name w:val="Formule d'adoption"/>
    <w:basedOn w:val="Normal"/>
    <w:next w:val="Titrearticle"/>
    <w:pPr>
      <w:keepNext/>
      <w:widowControl/>
      <w:spacing w:before="120" w:after="120"/>
    </w:pPr>
    <w:rPr>
      <w:szCs w:val="24"/>
      <w:lang w:eastAsia="en-US"/>
    </w:rPr>
  </w:style>
  <w:style w:type="paragraph" w:customStyle="1" w:styleId="Institutionquiagit">
    <w:name w:val="Institution qui agit"/>
    <w:basedOn w:val="Normal"/>
    <w:next w:val="Normal"/>
    <w:pPr>
      <w:keepNext/>
      <w:widowControl/>
      <w:spacing w:before="600" w:after="120"/>
    </w:pPr>
    <w:rPr>
      <w:szCs w:val="24"/>
      <w:lang w:eastAsia="en-US"/>
    </w:rPr>
  </w:style>
  <w:style w:type="paragraph" w:customStyle="1" w:styleId="Institutionquisigne">
    <w:name w:val="Institution qui signe"/>
    <w:basedOn w:val="Normal"/>
    <w:next w:val="Personnequisigne"/>
    <w:pPr>
      <w:keepNext/>
      <w:widowControl/>
      <w:tabs>
        <w:tab w:val="left" w:pos="5669"/>
      </w:tabs>
      <w:spacing w:before="720"/>
    </w:pPr>
    <w:rPr>
      <w:i/>
      <w:szCs w:val="24"/>
      <w:lang w:eastAsia="en-US"/>
    </w:rPr>
  </w:style>
  <w:style w:type="paragraph" w:customStyle="1" w:styleId="ManualConsidrant">
    <w:name w:val="Manual Considérant"/>
    <w:basedOn w:val="Normal"/>
    <w:pPr>
      <w:widowControl/>
      <w:spacing w:before="120" w:after="120"/>
      <w:ind w:left="850" w:hanging="850"/>
    </w:pPr>
    <w:rPr>
      <w:szCs w:val="24"/>
      <w:lang w:eastAsia="en-US"/>
    </w:rPr>
  </w:style>
  <w:style w:type="paragraph" w:customStyle="1" w:styleId="Personnequisigne">
    <w:name w:val="Personne qui signe"/>
    <w:basedOn w:val="Normal"/>
    <w:next w:val="Institutionquisigne"/>
    <w:pPr>
      <w:widowControl/>
      <w:tabs>
        <w:tab w:val="left" w:pos="5669"/>
      </w:tabs>
    </w:pPr>
    <w:rPr>
      <w:i/>
      <w:szCs w:val="24"/>
      <w:lang w:eastAsia="en-US"/>
    </w:rPr>
  </w:style>
  <w:style w:type="paragraph" w:customStyle="1" w:styleId="Titrearticle">
    <w:name w:val="Titre article"/>
    <w:basedOn w:val="Normal"/>
    <w:next w:val="Normal"/>
    <w:pPr>
      <w:keepNext/>
      <w:widowControl/>
      <w:spacing w:before="360" w:after="120"/>
      <w:jc w:val="center"/>
    </w:pPr>
    <w:rPr>
      <w:i/>
      <w:szCs w:val="24"/>
      <w:lang w:eastAsia="en-US"/>
    </w:rPr>
  </w:style>
  <w:style w:type="paragraph" w:customStyle="1" w:styleId="Titreobjet">
    <w:name w:val="Titre objet"/>
    <w:basedOn w:val="Normal"/>
    <w:next w:val="Normal"/>
    <w:pPr>
      <w:widowControl/>
      <w:spacing w:before="360" w:after="360"/>
      <w:jc w:val="center"/>
    </w:pPr>
    <w:rPr>
      <w:b/>
      <w:szCs w:val="24"/>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b/>
      <w:szCs w:val="24"/>
      <w:lang w:eastAsia="en-US"/>
    </w:rPr>
  </w:style>
  <w:style w:type="paragraph" w:customStyle="1" w:styleId="Tiret3">
    <w:name w:val="Tiret 3"/>
    <w:basedOn w:val="Normal"/>
    <w:pPr>
      <w:widowControl/>
      <w:numPr>
        <w:numId w:val="15"/>
      </w:numPr>
      <w:tabs>
        <w:tab w:val="clear" w:pos="2551"/>
        <w:tab w:val="num" w:pos="360"/>
      </w:tabs>
      <w:spacing w:before="120" w:after="120"/>
      <w:ind w:left="0" w:firstLine="0"/>
    </w:pPr>
    <w:rPr>
      <w:rFonts w:eastAsia="Calibri"/>
      <w:szCs w:val="22"/>
      <w:lang w:eastAsia="en-US"/>
    </w:rPr>
  </w:style>
  <w:style w:type="paragraph" w:customStyle="1" w:styleId="Tiret1">
    <w:name w:val="Tiret 1"/>
    <w:basedOn w:val="Normal"/>
    <w:pPr>
      <w:widowControl/>
      <w:numPr>
        <w:numId w:val="16"/>
      </w:numPr>
      <w:tabs>
        <w:tab w:val="clear" w:pos="1417"/>
        <w:tab w:val="num" w:pos="851"/>
      </w:tabs>
      <w:spacing w:before="120" w:after="120"/>
      <w:ind w:left="851" w:hanging="851"/>
    </w:pPr>
    <w:rPr>
      <w:rFonts w:eastAsia="Calibri"/>
      <w:szCs w:val="22"/>
      <w:lang w:eastAsia="en-US"/>
    </w:rPr>
  </w:style>
  <w:style w:type="paragraph" w:customStyle="1" w:styleId="Pointabc">
    <w:name w:val="Point abc"/>
    <w:basedOn w:val="Normal"/>
    <w:pPr>
      <w:widowControl/>
      <w:numPr>
        <w:ilvl w:val="1"/>
        <w:numId w:val="18"/>
      </w:numPr>
      <w:tabs>
        <w:tab w:val="clear" w:pos="567"/>
        <w:tab w:val="num" w:pos="1417"/>
      </w:tabs>
      <w:spacing w:before="120" w:after="120"/>
      <w:ind w:left="1417"/>
    </w:pPr>
    <w:rPr>
      <w:rFonts w:eastAsia="Calibri"/>
      <w:szCs w:val="22"/>
      <w:lang w:eastAsia="en-US"/>
    </w:rPr>
  </w:style>
  <w:style w:type="paragraph" w:customStyle="1" w:styleId="Pointabc1">
    <w:name w:val="Point abc (1)"/>
    <w:basedOn w:val="Normal"/>
    <w:pPr>
      <w:widowControl/>
      <w:numPr>
        <w:ilvl w:val="3"/>
        <w:numId w:val="18"/>
      </w:numPr>
      <w:tabs>
        <w:tab w:val="clear" w:pos="1134"/>
        <w:tab w:val="num" w:pos="1417"/>
      </w:tabs>
      <w:spacing w:before="120" w:after="120"/>
      <w:ind w:left="1417"/>
    </w:pPr>
    <w:rPr>
      <w:rFonts w:eastAsia="Calibri"/>
      <w:szCs w:val="22"/>
      <w:lang w:eastAsia="en-US"/>
    </w:rPr>
  </w:style>
  <w:style w:type="paragraph" w:customStyle="1" w:styleId="Pointabc2">
    <w:name w:val="Point abc (2)"/>
    <w:basedOn w:val="Normal"/>
    <w:pPr>
      <w:widowControl/>
      <w:numPr>
        <w:ilvl w:val="5"/>
        <w:numId w:val="18"/>
      </w:numPr>
      <w:tabs>
        <w:tab w:val="clear" w:pos="1701"/>
        <w:tab w:val="num" w:pos="1417"/>
      </w:tabs>
      <w:spacing w:before="120" w:after="120"/>
      <w:ind w:left="1417"/>
    </w:pPr>
    <w:rPr>
      <w:rFonts w:eastAsia="Calibri"/>
      <w:szCs w:val="22"/>
      <w:lang w:eastAsia="en-US"/>
    </w:rPr>
  </w:style>
  <w:style w:type="paragraph" w:customStyle="1" w:styleId="Pointabc3">
    <w:name w:val="Point abc (3)"/>
    <w:basedOn w:val="Normal"/>
    <w:pPr>
      <w:widowControl/>
      <w:numPr>
        <w:ilvl w:val="7"/>
        <w:numId w:val="18"/>
      </w:numPr>
      <w:tabs>
        <w:tab w:val="clear" w:pos="2268"/>
        <w:tab w:val="num" w:pos="1417"/>
      </w:tabs>
      <w:spacing w:before="120" w:after="120"/>
      <w:ind w:left="1417"/>
    </w:pPr>
    <w:rPr>
      <w:rFonts w:eastAsia="Calibri"/>
      <w:szCs w:val="22"/>
      <w:lang w:eastAsia="en-US"/>
    </w:rPr>
  </w:style>
  <w:style w:type="paragraph" w:customStyle="1" w:styleId="Pointabc4">
    <w:name w:val="Point abc (4)"/>
    <w:basedOn w:val="Normal"/>
    <w:pPr>
      <w:widowControl/>
      <w:numPr>
        <w:ilvl w:val="8"/>
        <w:numId w:val="18"/>
      </w:numPr>
      <w:tabs>
        <w:tab w:val="clear" w:pos="2835"/>
        <w:tab w:val="num" w:pos="1417"/>
      </w:tabs>
      <w:spacing w:before="120" w:after="120"/>
      <w:ind w:left="1417"/>
    </w:pPr>
    <w:rPr>
      <w:rFonts w:eastAsia="Calibri"/>
      <w:szCs w:val="22"/>
      <w:lang w:eastAsia="en-US"/>
    </w:rPr>
  </w:style>
  <w:style w:type="paragraph" w:customStyle="1" w:styleId="Point123">
    <w:name w:val="Point 123"/>
    <w:basedOn w:val="Normal"/>
    <w:pPr>
      <w:widowControl/>
      <w:numPr>
        <w:numId w:val="18"/>
      </w:numPr>
      <w:tabs>
        <w:tab w:val="clear" w:pos="567"/>
        <w:tab w:val="num" w:pos="1417"/>
      </w:tabs>
      <w:spacing w:before="120" w:after="120"/>
      <w:ind w:left="1417"/>
    </w:pPr>
    <w:rPr>
      <w:rFonts w:eastAsia="Calibri"/>
      <w:szCs w:val="22"/>
      <w:lang w:eastAsia="en-US"/>
    </w:rPr>
  </w:style>
  <w:style w:type="paragraph" w:customStyle="1" w:styleId="Point1231">
    <w:name w:val="Point 123 (1)"/>
    <w:basedOn w:val="Normal"/>
    <w:pPr>
      <w:widowControl/>
      <w:numPr>
        <w:ilvl w:val="2"/>
        <w:numId w:val="18"/>
      </w:numPr>
      <w:tabs>
        <w:tab w:val="clear" w:pos="1134"/>
        <w:tab w:val="num" w:pos="1417"/>
      </w:tabs>
      <w:spacing w:before="120" w:after="120"/>
      <w:ind w:left="1417"/>
    </w:pPr>
    <w:rPr>
      <w:rFonts w:eastAsia="Calibri"/>
      <w:szCs w:val="22"/>
      <w:lang w:eastAsia="en-US"/>
    </w:rPr>
  </w:style>
  <w:style w:type="paragraph" w:customStyle="1" w:styleId="Point1232">
    <w:name w:val="Point 123 (2)"/>
    <w:basedOn w:val="Normal"/>
    <w:pPr>
      <w:widowControl/>
      <w:numPr>
        <w:ilvl w:val="4"/>
        <w:numId w:val="18"/>
      </w:numPr>
      <w:tabs>
        <w:tab w:val="clear" w:pos="1701"/>
        <w:tab w:val="num" w:pos="1417"/>
      </w:tabs>
      <w:spacing w:before="120" w:after="120"/>
      <w:ind w:left="1417"/>
    </w:pPr>
    <w:rPr>
      <w:rFonts w:eastAsia="Calibri"/>
      <w:szCs w:val="22"/>
      <w:lang w:eastAsia="en-US"/>
    </w:rPr>
  </w:style>
  <w:style w:type="paragraph" w:customStyle="1" w:styleId="Point1233">
    <w:name w:val="Point 123 (3)"/>
    <w:basedOn w:val="Normal"/>
    <w:pPr>
      <w:widowControl/>
      <w:numPr>
        <w:ilvl w:val="6"/>
        <w:numId w:val="18"/>
      </w:numPr>
      <w:tabs>
        <w:tab w:val="clear" w:pos="2268"/>
        <w:tab w:val="num" w:pos="1417"/>
      </w:tabs>
      <w:spacing w:before="120" w:after="120"/>
      <w:ind w:left="1417"/>
    </w:pPr>
    <w:rPr>
      <w:rFonts w:eastAsia="Calibr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sz w:val="28"/>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6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3FAD-BFC6-47DE-A2DE-BB8E9CEC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444</Words>
  <Characters>2331</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RANDERS Berit</dc:creator>
  <cp:lastModifiedBy>WES PDFC Administrator</cp:lastModifiedBy>
  <cp:revision>13</cp:revision>
  <cp:lastPrinted>2018-12-18T09:14:00Z</cp:lastPrinted>
  <dcterms:created xsi:type="dcterms:W3CDTF">2019-10-16T07:40:00Z</dcterms:created>
  <dcterms:modified xsi:type="dcterms:W3CDTF">2019-10-21T10:32:00Z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 Build 20190717</vt:lpwstr>
  </property>
</Properties>
</file>