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9339F7B9-3FF8-40E0-B009-16F4191637DB" style="width:450.8pt;height:447.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417" w:bottom="1134" w:left="1417" w:header="709" w:footer="709" w:gutter="0"/>
          <w:pgNumType w:start="0"/>
          <w:cols w:space="720"/>
          <w:docGrid w:linePitch="326"/>
        </w:sectPr>
      </w:pPr>
    </w:p>
    <w:tbl>
      <w:tblPr>
        <w:tblW w:w="9645" w:type="dxa"/>
        <w:tblInd w:w="-3" w:type="dxa"/>
        <w:tblLayout w:type="fixed"/>
        <w:tblCellMar>
          <w:left w:w="0" w:type="dxa"/>
          <w:right w:w="0" w:type="dxa"/>
        </w:tblCellMar>
        <w:tblLook w:val="0000" w:firstRow="0" w:lastRow="0" w:firstColumn="0" w:lastColumn="0" w:noHBand="0" w:noVBand="0"/>
      </w:tblPr>
      <w:tblGrid>
        <w:gridCol w:w="1705"/>
        <w:gridCol w:w="2264"/>
        <w:gridCol w:w="284"/>
        <w:gridCol w:w="1134"/>
        <w:gridCol w:w="145"/>
        <w:gridCol w:w="141"/>
        <w:gridCol w:w="2269"/>
        <w:gridCol w:w="1703"/>
      </w:tblGrid>
      <w:tr>
        <w:tc>
          <w:tcPr>
            <w:tcW w:w="1705" w:type="dxa"/>
          </w:tcPr>
          <w:p>
            <w:pPr>
              <w:spacing w:line="240" w:lineRule="auto"/>
              <w:jc w:val="center"/>
              <w:rPr>
                <w:rFonts w:ascii="Arial" w:hAnsi="Arial" w:cs="Arial"/>
                <w:b/>
                <w:noProof/>
                <w:sz w:val="23"/>
                <w:szCs w:val="23"/>
              </w:rPr>
            </w:pPr>
            <w:bookmarkStart w:id="1" w:name="_GoBack"/>
            <w:bookmarkEnd w:id="1"/>
          </w:p>
        </w:tc>
        <w:tc>
          <w:tcPr>
            <w:tcW w:w="6237" w:type="dxa"/>
            <w:gridSpan w:val="6"/>
            <w:tcBorders>
              <w:bottom w:val="single" w:sz="4" w:space="0" w:color="auto"/>
            </w:tcBorders>
          </w:tcPr>
          <w:p>
            <w:pPr>
              <w:pStyle w:val="EntLogo"/>
              <w:jc w:val="center"/>
              <w:rPr>
                <w:rFonts w:ascii="Arial" w:hAnsi="Arial" w:cs="Arial"/>
                <w:noProof/>
                <w:spacing w:val="40"/>
                <w:sz w:val="23"/>
                <w:szCs w:val="23"/>
              </w:rPr>
            </w:pPr>
            <w:r>
              <w:rPr>
                <w:rFonts w:ascii="Arial" w:hAnsi="Arial"/>
                <w:noProof/>
                <w:sz w:val="23"/>
                <w:szCs w:val="23"/>
              </w:rPr>
              <w:t>ACCORD DE COTONOU ACP</w:t>
            </w:r>
            <w:r>
              <w:rPr>
                <w:rFonts w:ascii="Arial" w:hAnsi="Arial"/>
                <w:b w:val="0"/>
                <w:noProof/>
                <w:sz w:val="23"/>
                <w:szCs w:val="23"/>
              </w:rPr>
              <w:t>-</w:t>
            </w:r>
            <w:r>
              <w:rPr>
                <w:rFonts w:ascii="Arial" w:hAnsi="Arial"/>
                <w:noProof/>
                <w:sz w:val="23"/>
                <w:szCs w:val="23"/>
              </w:rPr>
              <w:t xml:space="preserve">UE </w:t>
            </w:r>
          </w:p>
        </w:tc>
        <w:tc>
          <w:tcPr>
            <w:tcW w:w="1703" w:type="dxa"/>
          </w:tcPr>
          <w:p>
            <w:pPr>
              <w:spacing w:line="240" w:lineRule="auto"/>
              <w:jc w:val="center"/>
              <w:rPr>
                <w:rFonts w:ascii="Arial" w:hAnsi="Arial" w:cs="Arial"/>
                <w:b/>
                <w:noProof/>
                <w:sz w:val="23"/>
                <w:szCs w:val="23"/>
              </w:rPr>
            </w:pPr>
          </w:p>
        </w:tc>
      </w:tr>
      <w:tr>
        <w:trPr>
          <w:cantSplit/>
        </w:trPr>
        <w:tc>
          <w:tcPr>
            <w:tcW w:w="9645" w:type="dxa"/>
            <w:gridSpan w:val="8"/>
          </w:tcPr>
          <w:p>
            <w:pPr>
              <w:spacing w:line="240" w:lineRule="auto"/>
              <w:jc w:val="center"/>
              <w:rPr>
                <w:rFonts w:ascii="Arial" w:hAnsi="Arial" w:cs="Arial"/>
                <w:b/>
                <w:noProof/>
                <w:sz w:val="23"/>
                <w:szCs w:val="23"/>
              </w:rPr>
            </w:pPr>
          </w:p>
        </w:tc>
      </w:tr>
      <w:tr>
        <w:tc>
          <w:tcPr>
            <w:tcW w:w="4253" w:type="dxa"/>
            <w:gridSpan w:val="3"/>
            <w:tcBorders>
              <w:bottom w:val="single" w:sz="4" w:space="0" w:color="auto"/>
            </w:tcBorders>
          </w:tcPr>
          <w:p>
            <w:pPr>
              <w:pStyle w:val="EntLogo"/>
              <w:spacing w:line="240" w:lineRule="auto"/>
              <w:jc w:val="center"/>
              <w:rPr>
                <w:rFonts w:ascii="Arial" w:hAnsi="Arial" w:cs="Arial"/>
                <w:noProof/>
                <w:sz w:val="23"/>
                <w:szCs w:val="23"/>
              </w:rPr>
            </w:pPr>
            <w:r>
              <w:rPr>
                <w:rFonts w:ascii="Arial" w:hAnsi="Arial"/>
                <w:noProof/>
                <w:sz w:val="23"/>
                <w:szCs w:val="23"/>
              </w:rPr>
              <w:t>GROUPE DES ÉTATS D’AFRIQUE,</w:t>
            </w:r>
          </w:p>
          <w:p>
            <w:pPr>
              <w:spacing w:line="240" w:lineRule="auto"/>
              <w:jc w:val="center"/>
              <w:rPr>
                <w:rFonts w:ascii="Arial" w:hAnsi="Arial" w:cs="Arial"/>
                <w:b/>
                <w:noProof/>
                <w:sz w:val="23"/>
                <w:szCs w:val="23"/>
              </w:rPr>
            </w:pPr>
            <w:r>
              <w:rPr>
                <w:rFonts w:ascii="Arial" w:hAnsi="Arial"/>
                <w:b/>
                <w:noProof/>
                <w:sz w:val="23"/>
                <w:szCs w:val="23"/>
              </w:rPr>
              <w:t>DES CARAÏBES ET DU PACIFIQUE</w:t>
            </w:r>
          </w:p>
          <w:p>
            <w:pPr>
              <w:spacing w:line="240" w:lineRule="auto"/>
              <w:jc w:val="center"/>
              <w:rPr>
                <w:rFonts w:ascii="Arial" w:hAnsi="Arial" w:cs="Arial"/>
                <w:b/>
                <w:noProof/>
                <w:sz w:val="23"/>
                <w:szCs w:val="23"/>
              </w:rPr>
            </w:pPr>
          </w:p>
        </w:tc>
        <w:tc>
          <w:tcPr>
            <w:tcW w:w="1134" w:type="dxa"/>
          </w:tcPr>
          <w:p>
            <w:pPr>
              <w:rPr>
                <w:rFonts w:ascii="Arial" w:hAnsi="Arial" w:cs="Arial"/>
                <w:noProof/>
                <w:sz w:val="23"/>
                <w:szCs w:val="23"/>
              </w:rPr>
            </w:pPr>
          </w:p>
        </w:tc>
        <w:tc>
          <w:tcPr>
            <w:tcW w:w="4258" w:type="dxa"/>
            <w:gridSpan w:val="4"/>
            <w:tcBorders>
              <w:bottom w:val="single" w:sz="4" w:space="0" w:color="auto"/>
            </w:tcBorders>
          </w:tcPr>
          <w:p>
            <w:pPr>
              <w:pStyle w:val="EntLogo"/>
              <w:spacing w:line="240" w:lineRule="auto"/>
              <w:jc w:val="center"/>
              <w:rPr>
                <w:rFonts w:ascii="Arial" w:hAnsi="Arial" w:cs="Arial"/>
                <w:noProof/>
                <w:sz w:val="23"/>
                <w:szCs w:val="23"/>
              </w:rPr>
            </w:pPr>
            <w:r>
              <w:rPr>
                <w:rFonts w:ascii="Arial" w:hAnsi="Arial"/>
                <w:noProof/>
                <w:sz w:val="23"/>
                <w:szCs w:val="23"/>
              </w:rPr>
              <w:t>CONSEIL DE</w:t>
            </w:r>
          </w:p>
          <w:p>
            <w:pPr>
              <w:pStyle w:val="EntLogo"/>
              <w:spacing w:line="240" w:lineRule="auto"/>
              <w:jc w:val="center"/>
              <w:rPr>
                <w:rFonts w:ascii="Arial" w:hAnsi="Arial" w:cs="Arial"/>
                <w:noProof/>
                <w:sz w:val="23"/>
                <w:szCs w:val="23"/>
              </w:rPr>
            </w:pPr>
            <w:r>
              <w:rPr>
                <w:rFonts w:ascii="Arial" w:hAnsi="Arial"/>
                <w:noProof/>
                <w:sz w:val="23"/>
                <w:szCs w:val="23"/>
              </w:rPr>
              <w:t>L’UNION EUROPÉENNE</w:t>
            </w:r>
          </w:p>
        </w:tc>
      </w:tr>
      <w:tr>
        <w:tblPrEx>
          <w:tblLook w:val="04A0" w:firstRow="1" w:lastRow="0" w:firstColumn="1" w:lastColumn="0" w:noHBand="0" w:noVBand="1"/>
        </w:tblPrEx>
        <w:trPr>
          <w:cantSplit/>
        </w:trPr>
        <w:tc>
          <w:tcPr>
            <w:tcW w:w="1705" w:type="dxa"/>
            <w:hideMark/>
          </w:tcPr>
          <w:p>
            <w:pPr>
              <w:pStyle w:val="EntInstit"/>
              <w:tabs>
                <w:tab w:val="left" w:pos="851"/>
                <w:tab w:val="left" w:pos="1857"/>
                <w:tab w:val="left" w:pos="2659"/>
              </w:tabs>
              <w:ind w:right="-284"/>
              <w:jc w:val="left"/>
              <w:rPr>
                <w:rFonts w:ascii="Arial" w:hAnsi="Arial"/>
                <w:noProof/>
                <w:sz w:val="23"/>
              </w:rPr>
            </w:pPr>
          </w:p>
        </w:tc>
        <w:tc>
          <w:tcPr>
            <w:tcW w:w="3827" w:type="dxa"/>
            <w:gridSpan w:val="4"/>
          </w:tcPr>
          <w:p>
            <w:pPr>
              <w:pStyle w:val="EntInstit"/>
              <w:spacing w:line="192" w:lineRule="auto"/>
              <w:jc w:val="left"/>
              <w:rPr>
                <w:rFonts w:ascii="Arial" w:hAnsi="Arial"/>
                <w:noProof/>
                <w:color w:val="4D4D4D"/>
                <w:sz w:val="23"/>
              </w:rPr>
            </w:pPr>
          </w:p>
        </w:tc>
        <w:tc>
          <w:tcPr>
            <w:tcW w:w="141" w:type="dxa"/>
          </w:tcPr>
          <w:p>
            <w:pPr>
              <w:pStyle w:val="EntInstit"/>
              <w:jc w:val="left"/>
              <w:rPr>
                <w:rFonts w:ascii="Arial" w:hAnsi="Arial"/>
                <w:noProof/>
                <w:sz w:val="23"/>
              </w:rPr>
            </w:pPr>
          </w:p>
        </w:tc>
        <w:tc>
          <w:tcPr>
            <w:tcW w:w="3972" w:type="dxa"/>
            <w:gridSpan w:val="2"/>
          </w:tcPr>
          <w:p>
            <w:pPr>
              <w:pStyle w:val="EntInstit"/>
              <w:spacing w:line="192" w:lineRule="auto"/>
              <w:jc w:val="left"/>
              <w:rPr>
                <w:rFonts w:ascii="Arial" w:hAnsi="Arial"/>
                <w:noProof/>
                <w:sz w:val="23"/>
              </w:rPr>
            </w:pPr>
          </w:p>
        </w:tc>
      </w:tr>
      <w:tr>
        <w:trPr>
          <w:cantSplit/>
          <w:trHeight w:val="840"/>
        </w:trPr>
        <w:tc>
          <w:tcPr>
            <w:tcW w:w="3969" w:type="dxa"/>
            <w:gridSpan w:val="2"/>
          </w:tcPr>
          <w:p>
            <w:pPr>
              <w:pStyle w:val="EntRefer"/>
              <w:jc w:val="right"/>
              <w:rPr>
                <w:rFonts w:ascii="Arial" w:hAnsi="Arial"/>
                <w:noProof/>
                <w:color w:val="001718"/>
                <w:sz w:val="23"/>
              </w:rPr>
            </w:pPr>
          </w:p>
          <w:p>
            <w:pPr>
              <w:jc w:val="center"/>
              <w:rPr>
                <w:b/>
                <w:bCs/>
                <w:noProof/>
                <w:szCs w:val="24"/>
              </w:rPr>
            </w:pPr>
          </w:p>
        </w:tc>
        <w:tc>
          <w:tcPr>
            <w:tcW w:w="1704" w:type="dxa"/>
            <w:gridSpan w:val="4"/>
          </w:tcPr>
          <w:p>
            <w:pPr>
              <w:pStyle w:val="EntRefer"/>
              <w:rPr>
                <w:rFonts w:ascii="Arial" w:hAnsi="Arial"/>
                <w:noProof/>
                <w:sz w:val="23"/>
              </w:rPr>
            </w:pPr>
          </w:p>
        </w:tc>
        <w:tc>
          <w:tcPr>
            <w:tcW w:w="3972" w:type="dxa"/>
            <w:gridSpan w:val="2"/>
          </w:tcPr>
          <w:p>
            <w:pPr>
              <w:pStyle w:val="EntRefer"/>
              <w:rPr>
                <w:rFonts w:ascii="Arial" w:hAnsi="Arial"/>
                <w:noProof/>
                <w:sz w:val="23"/>
              </w:rPr>
            </w:pPr>
            <w:r>
              <w:rPr>
                <w:rFonts w:ascii="Arial" w:hAnsi="Arial"/>
                <w:noProof/>
                <w:sz w:val="23"/>
              </w:rPr>
              <w:t>Bruxelles, le XXX 2019</w:t>
            </w:r>
          </w:p>
          <w:p>
            <w:pPr>
              <w:pStyle w:val="EntRefer"/>
              <w:rPr>
                <w:rFonts w:ascii="Arial" w:hAnsi="Arial"/>
                <w:noProof/>
                <w:sz w:val="23"/>
              </w:rPr>
            </w:pPr>
          </w:p>
        </w:tc>
      </w:tr>
      <w:tr>
        <w:trPr>
          <w:cantSplit/>
        </w:trPr>
        <w:tc>
          <w:tcPr>
            <w:tcW w:w="3969" w:type="dxa"/>
            <w:gridSpan w:val="2"/>
          </w:tcPr>
          <w:p>
            <w:pPr>
              <w:pStyle w:val="EntRefer"/>
              <w:jc w:val="right"/>
              <w:rPr>
                <w:rFonts w:ascii="Arial" w:hAnsi="Arial"/>
                <w:noProof/>
                <w:color w:val="001718"/>
                <w:sz w:val="23"/>
              </w:rPr>
            </w:pPr>
          </w:p>
        </w:tc>
        <w:tc>
          <w:tcPr>
            <w:tcW w:w="1704" w:type="dxa"/>
            <w:gridSpan w:val="4"/>
          </w:tcPr>
          <w:p>
            <w:pPr>
              <w:pStyle w:val="EntRefer"/>
              <w:rPr>
                <w:rFonts w:ascii="Arial" w:hAnsi="Arial"/>
                <w:noProof/>
                <w:sz w:val="23"/>
              </w:rPr>
            </w:pPr>
          </w:p>
        </w:tc>
        <w:tc>
          <w:tcPr>
            <w:tcW w:w="3972" w:type="dxa"/>
            <w:gridSpan w:val="2"/>
          </w:tcPr>
          <w:p>
            <w:pPr>
              <w:pStyle w:val="EntRefer"/>
              <w:rPr>
                <w:rFonts w:ascii="Arial" w:hAnsi="Arial"/>
                <w:noProof/>
                <w:sz w:val="23"/>
              </w:rPr>
            </w:pPr>
          </w:p>
        </w:tc>
      </w:tr>
      <w:tr>
        <w:trPr>
          <w:cantSplit/>
        </w:trPr>
        <w:tc>
          <w:tcPr>
            <w:tcW w:w="3969" w:type="dxa"/>
            <w:gridSpan w:val="2"/>
          </w:tcPr>
          <w:p>
            <w:pPr>
              <w:pStyle w:val="EntRefer"/>
              <w:rPr>
                <w:rFonts w:ascii="Arial" w:hAnsi="Arial"/>
                <w:noProof/>
                <w:sz w:val="23"/>
              </w:rPr>
            </w:pPr>
            <w:r>
              <w:rPr>
                <w:rFonts w:ascii="Arial" w:hAnsi="Arial"/>
                <w:noProof/>
                <w:sz w:val="23"/>
              </w:rPr>
              <w:t>ACP/xxx/19</w:t>
            </w:r>
          </w:p>
        </w:tc>
        <w:tc>
          <w:tcPr>
            <w:tcW w:w="1704" w:type="dxa"/>
            <w:gridSpan w:val="4"/>
          </w:tcPr>
          <w:p>
            <w:pPr>
              <w:spacing w:line="240" w:lineRule="auto"/>
              <w:rPr>
                <w:rFonts w:ascii="Arial" w:hAnsi="Arial"/>
                <w:b/>
                <w:noProof/>
                <w:sz w:val="23"/>
              </w:rPr>
            </w:pPr>
          </w:p>
        </w:tc>
        <w:tc>
          <w:tcPr>
            <w:tcW w:w="3972" w:type="dxa"/>
            <w:gridSpan w:val="2"/>
          </w:tcPr>
          <w:p>
            <w:pPr>
              <w:pStyle w:val="EntRefer"/>
              <w:rPr>
                <w:rFonts w:ascii="Arial" w:hAnsi="Arial"/>
                <w:noProof/>
                <w:sz w:val="23"/>
              </w:rPr>
            </w:pPr>
            <w:r>
              <w:rPr>
                <w:rFonts w:ascii="Arial" w:hAnsi="Arial"/>
                <w:noProof/>
                <w:sz w:val="23"/>
              </w:rPr>
              <w:t>ACP-UE xxx/19</w:t>
            </w:r>
          </w:p>
          <w:p>
            <w:pPr>
              <w:pStyle w:val="EntRefer"/>
              <w:rPr>
                <w:rFonts w:ascii="Arial" w:hAnsi="Arial"/>
                <w:noProof/>
                <w:sz w:val="23"/>
              </w:rPr>
            </w:pPr>
          </w:p>
        </w:tc>
      </w:tr>
      <w:tr>
        <w:trPr>
          <w:cantSplit/>
        </w:trPr>
        <w:tc>
          <w:tcPr>
            <w:tcW w:w="3969" w:type="dxa"/>
            <w:gridSpan w:val="2"/>
          </w:tcPr>
          <w:p>
            <w:pPr>
              <w:pStyle w:val="EntRefer"/>
              <w:jc w:val="center"/>
              <w:rPr>
                <w:rFonts w:ascii="Arial" w:hAnsi="Arial"/>
                <w:noProof/>
                <w:sz w:val="23"/>
              </w:rPr>
            </w:pPr>
          </w:p>
        </w:tc>
        <w:tc>
          <w:tcPr>
            <w:tcW w:w="1704" w:type="dxa"/>
            <w:gridSpan w:val="4"/>
          </w:tcPr>
          <w:p>
            <w:pPr>
              <w:spacing w:line="240" w:lineRule="auto"/>
              <w:rPr>
                <w:rFonts w:ascii="Arial" w:hAnsi="Arial"/>
                <w:b/>
                <w:noProof/>
                <w:sz w:val="23"/>
              </w:rPr>
            </w:pPr>
          </w:p>
        </w:tc>
        <w:tc>
          <w:tcPr>
            <w:tcW w:w="3972" w:type="dxa"/>
            <w:gridSpan w:val="2"/>
          </w:tcPr>
          <w:p>
            <w:pPr>
              <w:pStyle w:val="EntRefer"/>
              <w:rPr>
                <w:rFonts w:ascii="Arial" w:hAnsi="Arial"/>
                <w:noProof/>
                <w:sz w:val="23"/>
              </w:rPr>
            </w:pPr>
          </w:p>
        </w:tc>
      </w:tr>
    </w:tbl>
    <w:p>
      <w:pPr>
        <w:pStyle w:val="EntRefer"/>
        <w:rPr>
          <w:rFonts w:ascii="Arial" w:hAnsi="Arial" w:cs="Arial"/>
          <w:noProof/>
          <w:sz w:val="23"/>
          <w:szCs w:val="23"/>
        </w:rPr>
      </w:pPr>
    </w:p>
    <w:p>
      <w:pPr>
        <w:pStyle w:val="EntRefer"/>
        <w:rPr>
          <w:rFonts w:ascii="Arial" w:hAnsi="Arial" w:cs="Arial"/>
          <w:noProof/>
          <w:sz w:val="23"/>
          <w:szCs w:val="23"/>
        </w:rPr>
      </w:pPr>
      <w:r>
        <w:rPr>
          <w:rFonts w:ascii="Arial" w:hAnsi="Arial"/>
          <w:noProof/>
          <w:sz w:val="23"/>
          <w:szCs w:val="23"/>
        </w:rPr>
        <w:t>Décision ACP-UE</w:t>
      </w:r>
    </w:p>
    <w:tbl>
      <w:tblPr>
        <w:tblW w:w="0" w:type="auto"/>
        <w:tblLayout w:type="fixed"/>
        <w:tblCellMar>
          <w:left w:w="0" w:type="dxa"/>
          <w:right w:w="0" w:type="dxa"/>
        </w:tblCellMar>
        <w:tblLook w:val="0000" w:firstRow="0" w:lastRow="0" w:firstColumn="0" w:lastColumn="0" w:noHBand="0" w:noVBand="0"/>
      </w:tblPr>
      <w:tblGrid>
        <w:gridCol w:w="1701"/>
        <w:gridCol w:w="7938"/>
      </w:tblGrid>
      <w:tr>
        <w:tc>
          <w:tcPr>
            <w:tcW w:w="1701" w:type="dxa"/>
            <w:tcBorders>
              <w:top w:val="single" w:sz="4" w:space="0" w:color="auto"/>
              <w:bottom w:val="single" w:sz="4" w:space="0" w:color="auto"/>
            </w:tcBorders>
          </w:tcPr>
          <w:p>
            <w:pPr>
              <w:pStyle w:val="EntEmet"/>
              <w:rPr>
                <w:rFonts w:ascii="Arial" w:hAnsi="Arial" w:cs="Arial"/>
                <w:noProof/>
                <w:sz w:val="23"/>
                <w:szCs w:val="23"/>
              </w:rPr>
            </w:pPr>
            <w:r>
              <w:rPr>
                <w:rFonts w:ascii="Arial" w:hAnsi="Arial"/>
                <w:noProof/>
                <w:sz w:val="23"/>
                <w:szCs w:val="23"/>
              </w:rPr>
              <w:t>Objet:</w:t>
            </w:r>
          </w:p>
        </w:tc>
        <w:tc>
          <w:tcPr>
            <w:tcW w:w="7938" w:type="dxa"/>
            <w:tcBorders>
              <w:top w:val="single" w:sz="4" w:space="0" w:color="auto"/>
              <w:bottom w:val="single" w:sz="4" w:space="0" w:color="auto"/>
            </w:tcBorders>
          </w:tcPr>
          <w:p>
            <w:pPr>
              <w:pStyle w:val="EntEmet"/>
              <w:rPr>
                <w:rFonts w:ascii="Arial" w:hAnsi="Arial" w:cs="Arial"/>
                <w:noProof/>
                <w:sz w:val="23"/>
                <w:szCs w:val="23"/>
              </w:rPr>
            </w:pPr>
            <w:r>
              <w:rPr>
                <w:rFonts w:ascii="Arial" w:hAnsi="Arial"/>
                <w:noProof/>
                <w:sz w:val="23"/>
                <w:szCs w:val="23"/>
              </w:rPr>
              <w:t xml:space="preserve">Projet de décision nº xx/2019 du Comité des ambassadeurs ACP-UE relative à l’adoption de mesures transitoires en vertu de l’article 95, paragraphe 4, de l’accord de partenariat ACP-UE </w:t>
            </w:r>
          </w:p>
        </w:tc>
      </w:tr>
    </w:tbl>
    <w:p>
      <w:pPr>
        <w:spacing w:line="240" w:lineRule="auto"/>
        <w:rPr>
          <w:rFonts w:ascii="Arial" w:hAnsi="Arial" w:cs="Arial"/>
          <w:noProof/>
          <w:sz w:val="23"/>
          <w:szCs w:val="23"/>
        </w:rPr>
      </w:pPr>
    </w:p>
    <w:p>
      <w:pPr>
        <w:tabs>
          <w:tab w:val="left" w:pos="3969"/>
        </w:tabs>
        <w:rPr>
          <w:rFonts w:ascii="Arial" w:hAnsi="Arial" w:cs="Arial"/>
          <w:noProof/>
          <w:sz w:val="23"/>
          <w:szCs w:val="23"/>
        </w:rPr>
      </w:pPr>
    </w:p>
    <w:p>
      <w:pPr>
        <w:shd w:val="clear" w:color="auto" w:fill="FFFFFF"/>
        <w:spacing w:before="240" w:after="120" w:line="312" w:lineRule="atLeast"/>
        <w:jc w:val="center"/>
        <w:rPr>
          <w:bCs/>
          <w:noProof/>
          <w:sz w:val="27"/>
          <w:szCs w:val="27"/>
        </w:rPr>
      </w:pPr>
      <w:r>
        <w:rPr>
          <w:noProof/>
        </w:rPr>
        <w:br w:type="page"/>
      </w:r>
      <w:r>
        <w:rPr>
          <w:bCs/>
          <w:noProof/>
          <w:sz w:val="27"/>
          <w:szCs w:val="27"/>
        </w:rPr>
        <w:t>Projet de</w:t>
      </w:r>
    </w:p>
    <w:p>
      <w:pPr>
        <w:spacing w:before="240" w:after="240"/>
        <w:jc w:val="center"/>
        <w:rPr>
          <w:b/>
          <w:bCs/>
          <w:noProof/>
          <w:szCs w:val="24"/>
        </w:rPr>
      </w:pPr>
      <w:r>
        <w:rPr>
          <w:b/>
          <w:bCs/>
          <w:noProof/>
        </w:rPr>
        <w:t>DÉCISION Nº [X/2019]</w:t>
      </w:r>
      <w:r>
        <w:rPr>
          <w:noProof/>
        </w:rPr>
        <w:t xml:space="preserve"> </w:t>
      </w:r>
    </w:p>
    <w:p>
      <w:pPr>
        <w:spacing w:before="240" w:after="240"/>
        <w:jc w:val="center"/>
        <w:rPr>
          <w:b/>
          <w:bCs/>
          <w:noProof/>
          <w:szCs w:val="24"/>
        </w:rPr>
      </w:pPr>
      <w:r>
        <w:rPr>
          <w:b/>
          <w:bCs/>
          <w:noProof/>
        </w:rPr>
        <w:t xml:space="preserve">DU COMITÉ DES AMBASSADEURS ACP-UE </w:t>
      </w:r>
    </w:p>
    <w:p>
      <w:pPr>
        <w:shd w:val="clear" w:color="auto" w:fill="FFFFFF"/>
        <w:spacing w:before="240" w:after="120" w:line="312" w:lineRule="atLeast"/>
        <w:jc w:val="center"/>
        <w:rPr>
          <w:b/>
          <w:bCs/>
          <w:noProof/>
          <w:sz w:val="27"/>
          <w:szCs w:val="27"/>
        </w:rPr>
      </w:pPr>
      <w:r>
        <w:rPr>
          <w:b/>
          <w:bCs/>
          <w:noProof/>
          <w:sz w:val="27"/>
          <w:szCs w:val="27"/>
        </w:rPr>
        <w:t>du [insérer la date]</w:t>
      </w:r>
    </w:p>
    <w:p>
      <w:pPr>
        <w:shd w:val="clear" w:color="auto" w:fill="FFFFFF"/>
        <w:spacing w:before="240" w:after="120"/>
        <w:jc w:val="center"/>
        <w:rPr>
          <w:b/>
          <w:bCs/>
          <w:noProof/>
          <w:szCs w:val="24"/>
        </w:rPr>
      </w:pPr>
      <w:r>
        <w:rPr>
          <w:b/>
          <w:bCs/>
          <w:noProof/>
        </w:rPr>
        <w:t>d’adopter des mesures transitoires en vertu de l’article 95, paragraphe 4, de l’accord de partenariat ACP-UE</w:t>
      </w:r>
    </w:p>
    <w:p>
      <w:pPr>
        <w:shd w:val="clear" w:color="auto" w:fill="FFFFFF"/>
        <w:spacing w:before="120" w:line="312" w:lineRule="atLeast"/>
        <w:jc w:val="both"/>
        <w:rPr>
          <w:noProof/>
          <w:sz w:val="27"/>
          <w:szCs w:val="27"/>
        </w:rPr>
      </w:pPr>
    </w:p>
    <w:p>
      <w:pPr>
        <w:shd w:val="clear" w:color="auto" w:fill="FFFFFF"/>
        <w:spacing w:before="120" w:line="312" w:lineRule="atLeast"/>
        <w:jc w:val="both"/>
        <w:rPr>
          <w:noProof/>
          <w:sz w:val="27"/>
          <w:szCs w:val="27"/>
        </w:rPr>
      </w:pPr>
    </w:p>
    <w:p>
      <w:pPr>
        <w:widowControl/>
        <w:spacing w:before="120" w:after="120"/>
        <w:jc w:val="both"/>
        <w:rPr>
          <w:noProof/>
          <w:szCs w:val="24"/>
        </w:rPr>
      </w:pPr>
      <w:r>
        <w:rPr>
          <w:noProof/>
        </w:rPr>
        <w:t>LE COMITÉ DES AMBASSADEURS ACP-UE,</w:t>
      </w:r>
    </w:p>
    <w:p>
      <w:pPr>
        <w:widowControl/>
        <w:spacing w:before="120" w:after="120"/>
        <w:jc w:val="both"/>
        <w:rPr>
          <w:noProof/>
          <w:szCs w:val="24"/>
        </w:rPr>
      </w:pPr>
      <w:r>
        <w:rPr>
          <w:noProof/>
        </w:rPr>
        <w:t>vu l’accord de partenariat entre les membres du groupe des États d’Afrique, des Caraïbes et du Pacifique, d’une part, et la Communauté européenne et ses États membres, d’autre part</w:t>
      </w:r>
      <w:r>
        <w:rPr>
          <w:b/>
          <w:bCs/>
          <w:noProof/>
          <w:vertAlign w:val="superscript"/>
        </w:rPr>
        <w:footnoteReference w:id="1"/>
      </w:r>
      <w:r>
        <w:rPr>
          <w:noProof/>
        </w:rPr>
        <w:t>, et notamment son article 15, paragraphe 4, et son article 16, paragraphe 2, en liaison avec son article 95, paragraphe 4,</w:t>
      </w:r>
    </w:p>
    <w:p>
      <w:pPr>
        <w:shd w:val="clear" w:color="auto" w:fill="FFFFFF"/>
        <w:spacing w:before="120" w:line="312" w:lineRule="atLeast"/>
        <w:jc w:val="both"/>
        <w:rPr>
          <w:noProof/>
          <w:sz w:val="27"/>
          <w:szCs w:val="27"/>
        </w:rPr>
      </w:pPr>
    </w:p>
    <w:p>
      <w:pPr>
        <w:spacing w:line="276" w:lineRule="auto"/>
        <w:rPr>
          <w:noProof/>
          <w:sz w:val="27"/>
          <w:szCs w:val="27"/>
        </w:rPr>
      </w:pPr>
      <w:r>
        <w:rPr>
          <w:noProof/>
        </w:rPr>
        <w:t>considérant ce qui suit:</w:t>
      </w:r>
    </w:p>
    <w:p>
      <w:pPr>
        <w:widowControl/>
        <w:numPr>
          <w:ilvl w:val="0"/>
          <w:numId w:val="22"/>
        </w:numPr>
        <w:spacing w:before="120" w:after="120"/>
        <w:ind w:left="567" w:hanging="567"/>
        <w:jc w:val="both"/>
        <w:rPr>
          <w:noProof/>
          <w:szCs w:val="24"/>
        </w:rPr>
      </w:pPr>
      <w:r>
        <w:rPr>
          <w:noProof/>
        </w:rPr>
        <w:t>L’accord de partenariat ACP-UE a été signé à Cotonou le 23 juin 2000, est entré en vigueur le 1</w:t>
      </w:r>
      <w:r>
        <w:rPr>
          <w:noProof/>
          <w:vertAlign w:val="superscript"/>
        </w:rPr>
        <w:t>er</w:t>
      </w:r>
      <w:r>
        <w:rPr>
          <w:noProof/>
        </w:rPr>
        <w:t> avril 2003 et doit s’appliquer jusqu’au 29 février 2020.</w:t>
      </w:r>
    </w:p>
    <w:p>
      <w:pPr>
        <w:widowControl/>
        <w:numPr>
          <w:ilvl w:val="0"/>
          <w:numId w:val="22"/>
        </w:numPr>
        <w:spacing w:before="120" w:after="120"/>
        <w:ind w:left="567" w:hanging="567"/>
        <w:jc w:val="both"/>
        <w:rPr>
          <w:noProof/>
          <w:szCs w:val="24"/>
        </w:rPr>
      </w:pPr>
      <w:r>
        <w:rPr>
          <w:noProof/>
        </w:rPr>
        <w:t>Conformément à l’article 95, paragraphe 4, premier alinéa, de l’accord de partenariat ACP-UE, les négociations en vue d’un nouvel accord de partenariat ACP-UE ont été lancées en septembre 2018. Étant donné que le nouvel accord ne sera pas prêt à être appliqué à la date d’expiration du cadre juridique actuel, il est nécessaire d’adopter des mesures transitoires.</w:t>
      </w:r>
    </w:p>
    <w:p>
      <w:pPr>
        <w:widowControl/>
        <w:numPr>
          <w:ilvl w:val="0"/>
          <w:numId w:val="22"/>
        </w:numPr>
        <w:spacing w:before="120" w:after="120"/>
        <w:ind w:left="567" w:hanging="567"/>
        <w:jc w:val="both"/>
        <w:rPr>
          <w:noProof/>
          <w:szCs w:val="24"/>
        </w:rPr>
      </w:pPr>
      <w:r>
        <w:rPr>
          <w:noProof/>
        </w:rPr>
        <w:t>L’article 95, paragraphe 4, deuxième alinéa, de l’accord de partenariat ACP-UE dispose que le Conseil des ministres adopte les mesures transitoires nécessaires jusqu’à l’entrée en vigueur du nouvel accord.</w:t>
      </w:r>
    </w:p>
    <w:p>
      <w:pPr>
        <w:widowControl/>
        <w:numPr>
          <w:ilvl w:val="0"/>
          <w:numId w:val="22"/>
        </w:numPr>
        <w:spacing w:before="120" w:after="120"/>
        <w:ind w:left="567" w:hanging="567"/>
        <w:jc w:val="both"/>
        <w:rPr>
          <w:noProof/>
          <w:szCs w:val="24"/>
        </w:rPr>
      </w:pPr>
      <w:r>
        <w:rPr>
          <w:noProof/>
        </w:rPr>
        <w:t>Conformément à l’article 15, paragraphe 4, de l’accord de partenariat ACP-UE,</w:t>
      </w:r>
      <w:r>
        <w:rPr>
          <w:noProof/>
          <w:lang w:val="fr-BE"/>
        </w:rPr>
        <w:t xml:space="preserve"> le 23 mai 2019, le</w:t>
      </w:r>
      <w:r>
        <w:rPr>
          <w:noProof/>
        </w:rPr>
        <w:t xml:space="preserve"> Conseil des ministres ACP-UE a délégué au Comité des ambassadeurs ACP-UE le pouvoir d’adopter des mesures transitoires</w:t>
      </w:r>
      <w:r>
        <w:rPr>
          <w:rStyle w:val="FootnoteReference"/>
          <w:b w:val="0"/>
          <w:noProof/>
        </w:rPr>
        <w:footnoteReference w:id="2"/>
      </w:r>
      <w:r>
        <w:rPr>
          <w:noProof/>
        </w:rPr>
        <w:t>.</w:t>
      </w:r>
      <w:r>
        <w:rPr>
          <w:b/>
          <w:noProof/>
        </w:rPr>
        <w:t xml:space="preserve"> </w:t>
      </w:r>
    </w:p>
    <w:p>
      <w:pPr>
        <w:widowControl/>
        <w:numPr>
          <w:ilvl w:val="0"/>
          <w:numId w:val="22"/>
        </w:numPr>
        <w:spacing w:before="120" w:after="120"/>
        <w:ind w:left="567" w:hanging="567"/>
        <w:jc w:val="both"/>
        <w:rPr>
          <w:noProof/>
          <w:vanish/>
          <w:szCs w:val="24"/>
        </w:rPr>
      </w:pPr>
      <w:r>
        <w:rPr>
          <w:noProof/>
        </w:rPr>
        <w:t xml:space="preserve">Il y a donc lieu que le Comité des ambassadeurs ACP-UE adopte une décision, en vertu de l’article 95, paragraphe 4, de l’accord de partenariat ACP-UE, prorogeant l’application des dispositions de l’accord de partenariat ACP-UE signé à Cotonou le 23 juin 2000 dans leur intégralité jusqu’au 31 décembre 2020, ou jusqu’à l’entrée en vigueur ou l’application provisoire du nouvel accord de partenariat entre l’Union et les États ACP si celle-ci intervient avant le 31 décembre 2020.  </w:t>
      </w:r>
    </w:p>
    <w:p>
      <w:pPr>
        <w:shd w:val="clear" w:color="auto" w:fill="FFFFFF"/>
        <w:spacing w:line="240" w:lineRule="auto"/>
        <w:rPr>
          <w:noProof/>
          <w:vanish/>
          <w:szCs w:val="24"/>
        </w:rPr>
      </w:pPr>
    </w:p>
    <w:p>
      <w:pPr>
        <w:shd w:val="clear" w:color="auto" w:fill="FFFFFF"/>
        <w:spacing w:before="120" w:line="312" w:lineRule="atLeast"/>
        <w:jc w:val="both"/>
        <w:rPr>
          <w:noProof/>
          <w:szCs w:val="24"/>
        </w:rPr>
      </w:pPr>
      <w:r>
        <w:rPr>
          <w:noProof/>
        </w:rPr>
        <w:t>A ADOPTÉ LA PRÉSENTE DÉCISION:</w:t>
      </w:r>
    </w:p>
    <w:p>
      <w:pPr>
        <w:shd w:val="clear" w:color="auto" w:fill="FFFFFF"/>
        <w:spacing w:before="360" w:after="120" w:line="312" w:lineRule="atLeast"/>
        <w:jc w:val="center"/>
        <w:rPr>
          <w:i/>
          <w:iCs/>
          <w:noProof/>
          <w:szCs w:val="24"/>
        </w:rPr>
      </w:pPr>
      <w:r>
        <w:rPr>
          <w:i/>
          <w:iCs/>
          <w:noProof/>
        </w:rPr>
        <w:t>Article premier</w:t>
      </w:r>
    </w:p>
    <w:p>
      <w:pPr>
        <w:widowControl/>
        <w:spacing w:before="120" w:after="120" w:line="240" w:lineRule="auto"/>
        <w:jc w:val="both"/>
        <w:rPr>
          <w:rFonts w:eastAsia="Calibri"/>
          <w:noProof/>
          <w:szCs w:val="24"/>
        </w:rPr>
      </w:pPr>
      <w:r>
        <w:rPr>
          <w:noProof/>
        </w:rPr>
        <w:t>L’application de l’ensemble des dispositions de l’accord de partenariat ACP-UE signé à Cotonou le 23 juin 2000 est prorogée jusqu’au 31 décembre 2020, ou jusqu’à l’entrée en vigueur ou l’application provisoire du nouvel accord de partenariat entre l’Union et les États ACP si celle-ci intervient avant le 31 décembre 2020.</w:t>
      </w:r>
    </w:p>
    <w:p>
      <w:pPr>
        <w:shd w:val="clear" w:color="auto" w:fill="FFFFFF"/>
        <w:spacing w:line="240" w:lineRule="auto"/>
        <w:jc w:val="both"/>
        <w:rPr>
          <w:noProof/>
          <w:vanish/>
          <w:szCs w:val="24"/>
        </w:rPr>
      </w:pPr>
    </w:p>
    <w:p>
      <w:pPr>
        <w:shd w:val="clear" w:color="auto" w:fill="FFFFFF"/>
        <w:spacing w:before="360" w:after="120" w:line="312" w:lineRule="atLeast"/>
        <w:jc w:val="center"/>
        <w:rPr>
          <w:i/>
          <w:iCs/>
          <w:noProof/>
          <w:szCs w:val="24"/>
        </w:rPr>
      </w:pPr>
    </w:p>
    <w:p>
      <w:pPr>
        <w:shd w:val="clear" w:color="auto" w:fill="FFFFFF"/>
        <w:spacing w:before="360" w:after="120" w:line="312" w:lineRule="atLeast"/>
        <w:jc w:val="center"/>
        <w:rPr>
          <w:i/>
          <w:iCs/>
          <w:noProof/>
          <w:szCs w:val="24"/>
        </w:rPr>
      </w:pPr>
      <w:r>
        <w:rPr>
          <w:i/>
          <w:iCs/>
          <w:noProof/>
        </w:rPr>
        <w:t>Article 2</w:t>
      </w:r>
    </w:p>
    <w:p>
      <w:pPr>
        <w:shd w:val="clear" w:color="auto" w:fill="FFFFFF"/>
        <w:spacing w:before="120" w:line="312" w:lineRule="atLeast"/>
        <w:jc w:val="both"/>
        <w:rPr>
          <w:noProof/>
          <w:szCs w:val="24"/>
        </w:rPr>
      </w:pPr>
      <w:r>
        <w:rPr>
          <w:noProof/>
        </w:rPr>
        <w:t>La présente décision entre en vigueur le xxx 2020.</w:t>
      </w:r>
    </w:p>
    <w:p>
      <w:pPr>
        <w:shd w:val="clear" w:color="auto" w:fill="FFFFFF"/>
        <w:spacing w:line="312" w:lineRule="atLeast"/>
        <w:jc w:val="both"/>
        <w:rPr>
          <w:noProof/>
          <w:szCs w:val="24"/>
        </w:rPr>
      </w:pPr>
    </w:p>
    <w:p>
      <w:pPr>
        <w:shd w:val="clear" w:color="auto" w:fill="FFFFFF"/>
        <w:spacing w:line="312" w:lineRule="atLeast"/>
        <w:jc w:val="both"/>
        <w:rPr>
          <w:noProof/>
          <w:szCs w:val="24"/>
        </w:rPr>
      </w:pPr>
      <w:r>
        <w:rPr>
          <w:noProof/>
        </w:rPr>
        <w:t>Fait à Bruxelles, le […]</w:t>
      </w:r>
    </w:p>
    <w:p>
      <w:pPr>
        <w:shd w:val="clear" w:color="auto" w:fill="FFFFFF"/>
        <w:spacing w:before="60" w:after="60" w:line="312" w:lineRule="atLeast"/>
        <w:jc w:val="center"/>
        <w:rPr>
          <w:i/>
          <w:iCs/>
          <w:noProof/>
          <w:sz w:val="27"/>
          <w:szCs w:val="27"/>
        </w:rPr>
      </w:pPr>
    </w:p>
    <w:p>
      <w:pPr>
        <w:shd w:val="clear" w:color="auto" w:fill="FFFFFF"/>
        <w:spacing w:before="60" w:after="60" w:line="312" w:lineRule="atLeast"/>
        <w:rPr>
          <w:i/>
          <w:iCs/>
          <w:noProof/>
          <w:sz w:val="27"/>
          <w:szCs w:val="27"/>
        </w:rPr>
      </w:pPr>
    </w:p>
    <w:p>
      <w:pPr>
        <w:shd w:val="clear" w:color="auto" w:fill="FFFFFF"/>
        <w:spacing w:before="60" w:after="60" w:line="312" w:lineRule="atLeast"/>
        <w:jc w:val="center"/>
        <w:rPr>
          <w:noProof/>
          <w:szCs w:val="24"/>
        </w:rPr>
      </w:pPr>
      <w:r>
        <w:rPr>
          <w:i/>
          <w:iCs/>
          <w:noProof/>
        </w:rPr>
        <w:t>Par le Comité des ambassadeurs ACP-UE</w:t>
      </w:r>
      <w:r>
        <w:rPr>
          <w:noProof/>
        </w:rPr>
        <w:t xml:space="preserve"> </w:t>
      </w:r>
      <w:r>
        <w:rPr>
          <w:noProof/>
        </w:rPr>
        <w:tab/>
      </w:r>
    </w:p>
    <w:p>
      <w:pPr>
        <w:widowControl/>
        <w:pBdr>
          <w:bottom w:val="single" w:sz="4" w:space="0" w:color="000000"/>
        </w:pBdr>
        <w:spacing w:before="360" w:after="120"/>
        <w:ind w:left="3400" w:right="3400"/>
        <w:jc w:val="center"/>
        <w:rPr>
          <w:rFonts w:eastAsia="Calibri"/>
          <w:b/>
          <w:noProof/>
          <w:szCs w:val="22"/>
        </w:rPr>
      </w:pPr>
    </w:p>
    <w:sectPr>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spacing w:after="60"/>
    </w:pPr>
  </w:p>
  <w:p>
    <w:pPr>
      <w:pStyle w:val="Footer"/>
    </w:pPr>
    <w:r>
      <w:t>ACP-UE xxx/19</w:t>
    </w:r>
    <w:r>
      <w:tab/>
      <w:t>ACP/xxx/19</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pPr>
      <w:pStyle w:val="Footer"/>
      <w:tabs>
        <w:tab w:val="clear" w:pos="7371"/>
      </w:tabs>
      <w:spacing w:line="280" w:lineRule="exact"/>
    </w:pPr>
    <w:r>
      <w:tab/>
    </w:r>
    <w:r>
      <w:tab/>
    </w:r>
    <w:r>
      <w:rPr>
        <w:b/>
        <w:sz w:val="36"/>
      </w:rPr>
      <w:t xml:space="preserve">  FR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sz w:val="20"/>
        </w:rPr>
      </w:pPr>
      <w:r>
        <w:rPr>
          <w:rStyle w:val="FootnoteReference"/>
          <w:bCs/>
          <w:sz w:val="20"/>
        </w:rPr>
        <w:footnoteRef/>
      </w:r>
      <w:r>
        <w:rPr>
          <w:sz w:val="20"/>
        </w:rPr>
        <w:tab/>
        <w:t>JO L 317 du 15.12.2000, p. 3, modifié par l’accord signé à Luxembourg le 25 juin 2005 (JO L 209 du 11.8.2005, p. 27) et par l’accord signé à Ouagadougou le 22 juin 2010 (JO L 287 du 4.11.2010, p. 3).</w:t>
      </w:r>
    </w:p>
  </w:footnote>
  <w:footnote w:id="2">
    <w:p>
      <w:pPr>
        <w:pStyle w:val="FootnoteText"/>
      </w:pPr>
      <w:r>
        <w:rPr>
          <w:rStyle w:val="FootnoteReference"/>
          <w:b w:val="0"/>
        </w:rPr>
        <w:footnoteRef/>
      </w:r>
      <w:r>
        <w:rPr>
          <w:b/>
        </w:rPr>
        <w:t xml:space="preserve"> </w:t>
      </w:r>
      <w:r>
        <w:tab/>
      </w:r>
      <w:r>
        <w:rPr>
          <w:sz w:val="20"/>
        </w:rPr>
        <w:t xml:space="preserve">Décision nº 1/2019 du Conseil des ministres ACP-UE du 23 mai 2019 </w:t>
      </w:r>
      <w:r>
        <w:rPr>
          <w:bCs/>
          <w:sz w:val="20"/>
        </w:rPr>
        <w:t>en ce qui concerne la délégation de compétences au Comité des ambassadeurs ACP-UE relative à la décision d’adopter des mesures transitoires en vertu de l’article 95, paragraphe 4, de l’accord de partenariat ACP-UE [2019/920] (JO L 146 du 5.6.2019, p. 114).</w:t>
      </w:r>
      <w:r>
        <w:rPr>
          <w:b/>
          <w:bCs/>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0F67088F"/>
    <w:multiLevelType w:val="singleLevel"/>
    <w:tmpl w:val="2CF07246"/>
    <w:lvl w:ilvl="0">
      <w:start w:val="1"/>
      <w:numFmt w:val="decimal"/>
      <w:lvlText w:val="(%1)"/>
      <w:lvlJc w:val="left"/>
      <w:pPr>
        <w:tabs>
          <w:tab w:val="num" w:pos="564"/>
        </w:tabs>
        <w:ind w:left="564" w:hanging="564"/>
      </w:pPr>
      <w:rPr>
        <w:rFonts w:hint="default"/>
      </w:rPr>
    </w:lvl>
  </w:abstractNum>
  <w:abstractNum w:abstractNumId="3">
    <w:nsid w:val="1DE57EBB"/>
    <w:multiLevelType w:val="singleLevel"/>
    <w:tmpl w:val="2CF07246"/>
    <w:lvl w:ilvl="0">
      <w:start w:val="1"/>
      <w:numFmt w:val="decimal"/>
      <w:lvlText w:val="(%1)"/>
      <w:lvlJc w:val="left"/>
      <w:pPr>
        <w:tabs>
          <w:tab w:val="num" w:pos="564"/>
        </w:tabs>
        <w:ind w:left="564" w:hanging="564"/>
      </w:pPr>
      <w:rPr>
        <w:rFonts w:hint="default"/>
      </w:rPr>
    </w:lvl>
  </w:abstractNum>
  <w:abstractNum w:abstractNumId="4">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5">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0">
    <w:nsid w:val="3EFF7248"/>
    <w:multiLevelType w:val="singleLevel"/>
    <w:tmpl w:val="2CF07246"/>
    <w:lvl w:ilvl="0">
      <w:start w:val="1"/>
      <w:numFmt w:val="decimal"/>
      <w:lvlText w:val="(%1)"/>
      <w:lvlJc w:val="left"/>
      <w:pPr>
        <w:tabs>
          <w:tab w:val="num" w:pos="564"/>
        </w:tabs>
        <w:ind w:left="564" w:hanging="564"/>
      </w:pPr>
      <w:rPr>
        <w:rFonts w:hint="default"/>
      </w:rPr>
    </w:lvl>
  </w:abstractNum>
  <w:abstractNum w:abstractNumId="11">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3">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14">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6">
    <w:nsid w:val="7214470D"/>
    <w:multiLevelType w:val="hybridMultilevel"/>
    <w:tmpl w:val="4BA8F898"/>
    <w:lvl w:ilvl="0" w:tplc="AE76520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7"/>
  </w:num>
  <w:num w:numId="2">
    <w:abstractNumId w:val="9"/>
  </w:num>
  <w:num w:numId="3">
    <w:abstractNumId w:val="17"/>
  </w:num>
  <w:num w:numId="4">
    <w:abstractNumId w:val="4"/>
  </w:num>
  <w:num w:numId="5">
    <w:abstractNumId w:val="12"/>
  </w:num>
  <w:num w:numId="6">
    <w:abstractNumId w:val="8"/>
  </w:num>
  <w:num w:numId="7">
    <w:abstractNumId w:val="11"/>
  </w:num>
  <w:num w:numId="8">
    <w:abstractNumId w:val="15"/>
  </w:num>
  <w:num w:numId="9">
    <w:abstractNumId w:val="6"/>
  </w:num>
  <w:num w:numId="10">
    <w:abstractNumId w:val="1"/>
  </w:num>
  <w:num w:numId="11">
    <w:abstractNumId w:val="5"/>
  </w:num>
  <w:num w:numId="12">
    <w:abstractNumId w:val="5"/>
  </w:num>
  <w:num w:numId="13">
    <w:abstractNumId w:val="5"/>
  </w:num>
  <w:num w:numId="14">
    <w:abstractNumId w:val="5"/>
  </w:num>
  <w:num w:numId="15">
    <w:abstractNumId w:val="14"/>
  </w:num>
  <w:num w:numId="16">
    <w:abstractNumId w:val="13"/>
    <w:lvlOverride w:ilvl="0">
      <w:startOverride w:val="1"/>
    </w:lvlOverride>
  </w:num>
  <w:num w:numId="17">
    <w:abstractNumId w:val="13"/>
  </w:num>
  <w:num w:numId="18">
    <w:abstractNumId w:val="0"/>
  </w:num>
  <w:num w:numId="19">
    <w:abstractNumId w:val="2"/>
  </w:num>
  <w:num w:numId="20">
    <w:abstractNumId w:val="10"/>
  </w:num>
  <w:num w:numId="21">
    <w:abstractNumId w:val="3"/>
  </w:num>
  <w:num w:numId="2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ctiveWritingStyle w:appName="MSWord" w:lang="pt-PT" w:vendorID="64" w:dllVersion="131078" w:nlCheck="1" w:checkStyle="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Num" w:val="0"/>
    <w:docVar w:name="DocStatus" w:val="Green"/>
    <w:docVar w:name="DW_DocType" w:val="_GENEN"/>
    <w:docVar w:name="LW_ACCOMPAGNANT.CP" w:val="de la"/>
    <w:docVar w:name="LW_ANNEX_NBR_FIRST" w:val="1"/>
    <w:docVar w:name="LW_ANNEX_NBR_LAST" w:val="1"/>
    <w:docVar w:name="LW_ANNEX_UNIQUE" w:val="1"/>
    <w:docVar w:name="LW_CORRIGENDUM" w:val="&lt;UNUSED&gt;"/>
    <w:docVar w:name="LW_COVERPAGE_EXISTS" w:val="True"/>
    <w:docVar w:name="LW_COVERPAGE_GUID" w:val="9339F7B9-3FF8-40E0-B009-16F4191637DB"/>
    <w:docVar w:name="LW_COVERPAGE_TYPE" w:val="1"/>
    <w:docVar w:name="LW_CROSSREFERENCE" w:val="&lt;UNUSED&gt;"/>
    <w:docVar w:name="LW_DocType" w:val="_GENEN"/>
    <w:docVar w:name="LW_EMISSION" w:val="25.10.2019"/>
    <w:docVar w:name="LW_EMISSION_ISODATE" w:val="2019-10-25"/>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lt;FMT:Bold&gt;relative à la position à adopter par l'Union européenne au sein du Comité des ambassadeurs ACP-UE en ce qui concerne l'adoption d'une décision d'adopter des mesures transitoires en vertu de l'article 95, paragraphe 4, de l'accord de partenariat ACP-UE&lt;/FMT&gt;_x000d__x000d__x000d__x000d__x000d__x000b_"/>
    <w:docVar w:name="LW_PART_NBR" w:val="1"/>
    <w:docVar w:name="LW_PART_NBR_TOTAL" w:val="1"/>
    <w:docVar w:name="LW_REF.INST.NEW" w:val="COM"/>
    <w:docVar w:name="LW_REF.INST.NEW_ADOPTED" w:val="final"/>
    <w:docVar w:name="LW_REF.INST.NEW_TEXT" w:val="(2019) 5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proposition de_x000b__x000b_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paragraph" w:customStyle="1" w:styleId="Typedudocument">
    <w:name w:val="Type du document"/>
    <w:basedOn w:val="Normal"/>
    <w:next w:val="Normal"/>
    <w:pPr>
      <w:widowControl/>
      <w:spacing w:before="360"/>
      <w:jc w:val="center"/>
    </w:pPr>
    <w:rPr>
      <w:b/>
      <w:szCs w:val="24"/>
      <w:lang w:eastAsia="en-US"/>
    </w:rPr>
  </w:style>
  <w:style w:type="character" w:customStyle="1" w:styleId="FootnoteTextChar">
    <w:name w:val="Footnote Text Char"/>
    <w:link w:val="FootnoteText"/>
    <w:rPr>
      <w:sz w:val="24"/>
      <w:lang w:eastAsia="fr-BE"/>
    </w:rPr>
  </w:style>
  <w:style w:type="paragraph" w:customStyle="1" w:styleId="Text1">
    <w:name w:val="Text 1"/>
    <w:basedOn w:val="Normal"/>
    <w:pPr>
      <w:widowControl/>
      <w:spacing w:before="120" w:after="120"/>
      <w:ind w:left="850"/>
      <w:outlineLvl w:val="0"/>
    </w:pPr>
    <w:rPr>
      <w:szCs w:val="24"/>
      <w:lang w:eastAsia="en-US"/>
    </w:rPr>
  </w:style>
  <w:style w:type="paragraph" w:customStyle="1" w:styleId="Point0">
    <w:name w:val="Point 0"/>
    <w:basedOn w:val="Normal"/>
    <w:pPr>
      <w:widowControl/>
      <w:spacing w:before="120" w:after="120"/>
      <w:ind w:left="850" w:hanging="850"/>
    </w:pPr>
    <w:rPr>
      <w:szCs w:val="24"/>
      <w:lang w:eastAsia="en-US"/>
    </w:rPr>
  </w:style>
  <w:style w:type="paragraph" w:customStyle="1" w:styleId="ManualNumPar1">
    <w:name w:val="Manual NumPar 1"/>
    <w:basedOn w:val="Normal"/>
    <w:next w:val="Text1"/>
    <w:pPr>
      <w:widowControl/>
      <w:spacing w:before="120" w:after="120"/>
      <w:ind w:left="850" w:hanging="850"/>
      <w:outlineLvl w:val="0"/>
    </w:pPr>
    <w:rPr>
      <w:szCs w:val="24"/>
      <w:lang w:eastAsia="en-US"/>
    </w:rPr>
  </w:style>
  <w:style w:type="paragraph" w:customStyle="1" w:styleId="Datedadoption">
    <w:name w:val="Date d'adoption"/>
    <w:basedOn w:val="Normal"/>
    <w:next w:val="Titreobjet"/>
    <w:pPr>
      <w:widowControl/>
      <w:spacing w:before="360"/>
      <w:jc w:val="center"/>
    </w:pPr>
    <w:rPr>
      <w:b/>
      <w:szCs w:val="24"/>
      <w:lang w:eastAsia="en-US"/>
    </w:rPr>
  </w:style>
  <w:style w:type="paragraph" w:customStyle="1" w:styleId="Fait">
    <w:name w:val="Fait à"/>
    <w:basedOn w:val="Normal"/>
    <w:next w:val="Institutionquisigne"/>
    <w:pPr>
      <w:keepNext/>
      <w:widowControl/>
      <w:spacing w:before="120"/>
    </w:pPr>
    <w:rPr>
      <w:szCs w:val="24"/>
      <w:lang w:eastAsia="en-US"/>
    </w:rPr>
  </w:style>
  <w:style w:type="paragraph" w:customStyle="1" w:styleId="Formuledadoption">
    <w:name w:val="Formule d'adoption"/>
    <w:basedOn w:val="Normal"/>
    <w:next w:val="Titrearticle"/>
    <w:pPr>
      <w:keepNext/>
      <w:widowControl/>
      <w:spacing w:before="120" w:after="120"/>
    </w:pPr>
    <w:rPr>
      <w:szCs w:val="24"/>
      <w:lang w:eastAsia="en-US"/>
    </w:rPr>
  </w:style>
  <w:style w:type="paragraph" w:customStyle="1" w:styleId="Institutionquiagit">
    <w:name w:val="Institution qui agit"/>
    <w:basedOn w:val="Normal"/>
    <w:next w:val="Normal"/>
    <w:pPr>
      <w:keepNext/>
      <w:widowControl/>
      <w:spacing w:before="600" w:after="120"/>
    </w:pPr>
    <w:rPr>
      <w:szCs w:val="24"/>
      <w:lang w:eastAsia="en-US"/>
    </w:rPr>
  </w:style>
  <w:style w:type="paragraph" w:customStyle="1" w:styleId="Institutionquisigne">
    <w:name w:val="Institution qui signe"/>
    <w:basedOn w:val="Normal"/>
    <w:next w:val="Personnequisigne"/>
    <w:pPr>
      <w:keepNext/>
      <w:widowControl/>
      <w:tabs>
        <w:tab w:val="left" w:pos="5669"/>
      </w:tabs>
      <w:spacing w:before="720"/>
    </w:pPr>
    <w:rPr>
      <w:i/>
      <w:szCs w:val="24"/>
      <w:lang w:eastAsia="en-US"/>
    </w:rPr>
  </w:style>
  <w:style w:type="paragraph" w:customStyle="1" w:styleId="ManualConsidrant">
    <w:name w:val="Manual Considérant"/>
    <w:basedOn w:val="Normal"/>
    <w:pPr>
      <w:widowControl/>
      <w:spacing w:before="120" w:after="120"/>
      <w:ind w:left="850" w:hanging="850"/>
    </w:pPr>
    <w:rPr>
      <w:szCs w:val="24"/>
      <w:lang w:eastAsia="en-US"/>
    </w:rPr>
  </w:style>
  <w:style w:type="paragraph" w:customStyle="1" w:styleId="Personnequisigne">
    <w:name w:val="Personne qui signe"/>
    <w:basedOn w:val="Normal"/>
    <w:next w:val="Institutionquisigne"/>
    <w:pPr>
      <w:widowControl/>
      <w:tabs>
        <w:tab w:val="left" w:pos="5669"/>
      </w:tabs>
    </w:pPr>
    <w:rPr>
      <w:i/>
      <w:szCs w:val="24"/>
      <w:lang w:eastAsia="en-US"/>
    </w:rPr>
  </w:style>
  <w:style w:type="paragraph" w:customStyle="1" w:styleId="Titrearticle">
    <w:name w:val="Titre article"/>
    <w:basedOn w:val="Normal"/>
    <w:next w:val="Normal"/>
    <w:pPr>
      <w:keepNext/>
      <w:widowControl/>
      <w:spacing w:before="360" w:after="120"/>
      <w:jc w:val="center"/>
    </w:pPr>
    <w:rPr>
      <w:i/>
      <w:szCs w:val="24"/>
      <w:lang w:eastAsia="en-US"/>
    </w:rPr>
  </w:style>
  <w:style w:type="paragraph" w:customStyle="1" w:styleId="Titreobjet">
    <w:name w:val="Titre objet"/>
    <w:basedOn w:val="Normal"/>
    <w:next w:val="Normal"/>
    <w:pPr>
      <w:widowControl/>
      <w:spacing w:before="360" w:after="360"/>
      <w:jc w:val="center"/>
    </w:pPr>
    <w:rPr>
      <w:b/>
      <w:szCs w:val="24"/>
      <w:lang w:eastAsia="en-US"/>
    </w:rPr>
  </w:style>
  <w:style w:type="paragraph" w:customStyle="1" w:styleId="Lignefinal">
    <w:name w:val="Ligne final"/>
    <w:basedOn w:val="Normal"/>
    <w:next w:val="Normal"/>
    <w:pPr>
      <w:widowControl/>
      <w:pBdr>
        <w:bottom w:val="single" w:sz="4" w:space="0" w:color="000000"/>
      </w:pBdr>
      <w:spacing w:before="360" w:after="120"/>
      <w:ind w:left="3400" w:right="3400"/>
      <w:jc w:val="center"/>
    </w:pPr>
    <w:rPr>
      <w:b/>
      <w:szCs w:val="24"/>
      <w:lang w:eastAsia="en-US"/>
    </w:rPr>
  </w:style>
  <w:style w:type="paragraph" w:customStyle="1" w:styleId="Tiret3">
    <w:name w:val="Tiret 3"/>
    <w:basedOn w:val="Normal"/>
    <w:pPr>
      <w:widowControl/>
      <w:numPr>
        <w:numId w:val="15"/>
      </w:numPr>
      <w:tabs>
        <w:tab w:val="clear" w:pos="2551"/>
        <w:tab w:val="num" w:pos="360"/>
      </w:tabs>
      <w:spacing w:before="120" w:after="120"/>
      <w:ind w:left="0" w:firstLine="0"/>
    </w:pPr>
    <w:rPr>
      <w:rFonts w:eastAsia="Calibri"/>
      <w:szCs w:val="22"/>
      <w:lang w:eastAsia="en-US"/>
    </w:rPr>
  </w:style>
  <w:style w:type="paragraph" w:customStyle="1" w:styleId="Tiret1">
    <w:name w:val="Tiret 1"/>
    <w:basedOn w:val="Normal"/>
    <w:pPr>
      <w:widowControl/>
      <w:numPr>
        <w:numId w:val="16"/>
      </w:numPr>
      <w:tabs>
        <w:tab w:val="clear" w:pos="1417"/>
        <w:tab w:val="num" w:pos="851"/>
      </w:tabs>
      <w:spacing w:before="120" w:after="120"/>
      <w:ind w:left="851" w:hanging="851"/>
    </w:pPr>
    <w:rPr>
      <w:rFonts w:eastAsia="Calibri"/>
      <w:szCs w:val="22"/>
      <w:lang w:eastAsia="en-US"/>
    </w:rPr>
  </w:style>
  <w:style w:type="paragraph" w:customStyle="1" w:styleId="Pointabc">
    <w:name w:val="Point abc"/>
    <w:basedOn w:val="Normal"/>
    <w:pPr>
      <w:widowControl/>
      <w:numPr>
        <w:ilvl w:val="1"/>
        <w:numId w:val="18"/>
      </w:numPr>
      <w:tabs>
        <w:tab w:val="clear" w:pos="567"/>
        <w:tab w:val="num" w:pos="1417"/>
      </w:tabs>
      <w:spacing w:before="120" w:after="120"/>
      <w:ind w:left="1417"/>
    </w:pPr>
    <w:rPr>
      <w:rFonts w:eastAsia="Calibri"/>
      <w:szCs w:val="22"/>
      <w:lang w:eastAsia="en-US"/>
    </w:rPr>
  </w:style>
  <w:style w:type="paragraph" w:customStyle="1" w:styleId="Pointabc1">
    <w:name w:val="Point abc (1)"/>
    <w:basedOn w:val="Normal"/>
    <w:pPr>
      <w:widowControl/>
      <w:numPr>
        <w:ilvl w:val="3"/>
        <w:numId w:val="18"/>
      </w:numPr>
      <w:tabs>
        <w:tab w:val="clear" w:pos="1134"/>
        <w:tab w:val="num" w:pos="1417"/>
      </w:tabs>
      <w:spacing w:before="120" w:after="120"/>
      <w:ind w:left="1417"/>
    </w:pPr>
    <w:rPr>
      <w:rFonts w:eastAsia="Calibri"/>
      <w:szCs w:val="22"/>
      <w:lang w:eastAsia="en-US"/>
    </w:rPr>
  </w:style>
  <w:style w:type="paragraph" w:customStyle="1" w:styleId="Pointabc2">
    <w:name w:val="Point abc (2)"/>
    <w:basedOn w:val="Normal"/>
    <w:pPr>
      <w:widowControl/>
      <w:numPr>
        <w:ilvl w:val="5"/>
        <w:numId w:val="18"/>
      </w:numPr>
      <w:tabs>
        <w:tab w:val="clear" w:pos="1701"/>
        <w:tab w:val="num" w:pos="1417"/>
      </w:tabs>
      <w:spacing w:before="120" w:after="120"/>
      <w:ind w:left="1417"/>
    </w:pPr>
    <w:rPr>
      <w:rFonts w:eastAsia="Calibri"/>
      <w:szCs w:val="22"/>
      <w:lang w:eastAsia="en-US"/>
    </w:rPr>
  </w:style>
  <w:style w:type="paragraph" w:customStyle="1" w:styleId="Pointabc3">
    <w:name w:val="Point abc (3)"/>
    <w:basedOn w:val="Normal"/>
    <w:pPr>
      <w:widowControl/>
      <w:numPr>
        <w:ilvl w:val="7"/>
        <w:numId w:val="18"/>
      </w:numPr>
      <w:tabs>
        <w:tab w:val="clear" w:pos="2268"/>
        <w:tab w:val="num" w:pos="1417"/>
      </w:tabs>
      <w:spacing w:before="120" w:after="120"/>
      <w:ind w:left="1417"/>
    </w:pPr>
    <w:rPr>
      <w:rFonts w:eastAsia="Calibri"/>
      <w:szCs w:val="22"/>
      <w:lang w:eastAsia="en-US"/>
    </w:rPr>
  </w:style>
  <w:style w:type="paragraph" w:customStyle="1" w:styleId="Pointabc4">
    <w:name w:val="Point abc (4)"/>
    <w:basedOn w:val="Normal"/>
    <w:pPr>
      <w:widowControl/>
      <w:numPr>
        <w:ilvl w:val="8"/>
        <w:numId w:val="18"/>
      </w:numPr>
      <w:tabs>
        <w:tab w:val="clear" w:pos="2835"/>
        <w:tab w:val="num" w:pos="1417"/>
      </w:tabs>
      <w:spacing w:before="120" w:after="120"/>
      <w:ind w:left="1417"/>
    </w:pPr>
    <w:rPr>
      <w:rFonts w:eastAsia="Calibri"/>
      <w:szCs w:val="22"/>
      <w:lang w:eastAsia="en-US"/>
    </w:rPr>
  </w:style>
  <w:style w:type="paragraph" w:customStyle="1" w:styleId="Point123">
    <w:name w:val="Point 123"/>
    <w:basedOn w:val="Normal"/>
    <w:pPr>
      <w:widowControl/>
      <w:numPr>
        <w:numId w:val="18"/>
      </w:numPr>
      <w:tabs>
        <w:tab w:val="clear" w:pos="567"/>
        <w:tab w:val="num" w:pos="1417"/>
      </w:tabs>
      <w:spacing w:before="120" w:after="120"/>
      <w:ind w:left="1417"/>
    </w:pPr>
    <w:rPr>
      <w:rFonts w:eastAsia="Calibri"/>
      <w:szCs w:val="22"/>
      <w:lang w:eastAsia="en-US"/>
    </w:rPr>
  </w:style>
  <w:style w:type="paragraph" w:customStyle="1" w:styleId="Point1231">
    <w:name w:val="Point 123 (1)"/>
    <w:basedOn w:val="Normal"/>
    <w:pPr>
      <w:widowControl/>
      <w:numPr>
        <w:ilvl w:val="2"/>
        <w:numId w:val="18"/>
      </w:numPr>
      <w:tabs>
        <w:tab w:val="clear" w:pos="1134"/>
        <w:tab w:val="num" w:pos="1417"/>
      </w:tabs>
      <w:spacing w:before="120" w:after="120"/>
      <w:ind w:left="1417"/>
    </w:pPr>
    <w:rPr>
      <w:rFonts w:eastAsia="Calibri"/>
      <w:szCs w:val="22"/>
      <w:lang w:eastAsia="en-US"/>
    </w:rPr>
  </w:style>
  <w:style w:type="paragraph" w:customStyle="1" w:styleId="Point1232">
    <w:name w:val="Point 123 (2)"/>
    <w:basedOn w:val="Normal"/>
    <w:pPr>
      <w:widowControl/>
      <w:numPr>
        <w:ilvl w:val="4"/>
        <w:numId w:val="18"/>
      </w:numPr>
      <w:tabs>
        <w:tab w:val="clear" w:pos="1701"/>
        <w:tab w:val="num" w:pos="1417"/>
      </w:tabs>
      <w:spacing w:before="120" w:after="120"/>
      <w:ind w:left="1417"/>
    </w:pPr>
    <w:rPr>
      <w:rFonts w:eastAsia="Calibri"/>
      <w:szCs w:val="22"/>
      <w:lang w:eastAsia="en-US"/>
    </w:rPr>
  </w:style>
  <w:style w:type="paragraph" w:customStyle="1" w:styleId="Point1233">
    <w:name w:val="Point 123 (3)"/>
    <w:basedOn w:val="Normal"/>
    <w:pPr>
      <w:widowControl/>
      <w:numPr>
        <w:ilvl w:val="6"/>
        <w:numId w:val="18"/>
      </w:numPr>
      <w:tabs>
        <w:tab w:val="clear" w:pos="2268"/>
        <w:tab w:val="num" w:pos="1417"/>
      </w:tabs>
      <w:spacing w:before="120" w:after="120"/>
      <w:ind w:left="1417"/>
    </w:pPr>
    <w:rPr>
      <w:rFonts w:eastAsia="Calibr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sz w:val="28"/>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46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1A802-3B69-4902-9F87-E45FA502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458</Words>
  <Characters>2442</Characters>
  <Application>Microsoft Office Word</Application>
  <DocSecurity>0</DocSecurity>
  <Lines>87</Lines>
  <Paragraphs>35</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RANDERS Berit</dc:creator>
  <cp:lastModifiedBy>WES PDFC Administrator</cp:lastModifiedBy>
  <cp:revision>15</cp:revision>
  <cp:lastPrinted>2018-12-18T09:14:00Z</cp:lastPrinted>
  <dcterms:created xsi:type="dcterms:W3CDTF">2019-10-16T07:40:00Z</dcterms:created>
  <dcterms:modified xsi:type="dcterms:W3CDTF">2019-10-21T10:33:00Z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 Build 20190717</vt:lpwstr>
  </property>
  <property fmtid="{D5CDD505-2E9C-101B-9397-08002B2CF9AE}" pid="11" name="Created using">
    <vt:lpwstr>LW 7.0, Build 20190717</vt:lpwstr>
  </property>
</Properties>
</file>