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88118887-87D0-455A-BFAC-A4C5F761C548" style="width:450pt;height:461.2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1134" w:right="1417" w:bottom="1134" w:left="1417" w:header="709" w:footer="709" w:gutter="0"/>
          <w:pgNumType w:start="0"/>
          <w:cols w:space="720"/>
          <w:docGrid w:linePitch="326"/>
        </w:sectPr>
      </w:pPr>
    </w:p>
    <w:tbl>
      <w:tblPr>
        <w:tblW w:w="9645" w:type="dxa"/>
        <w:tblInd w:w="-3" w:type="dxa"/>
        <w:tblLayout w:type="fixed"/>
        <w:tblCellMar>
          <w:left w:w="0" w:type="dxa"/>
          <w:right w:w="0" w:type="dxa"/>
        </w:tblCellMar>
        <w:tblLook w:val="0000" w:firstRow="0" w:lastRow="0" w:firstColumn="0" w:lastColumn="0" w:noHBand="0" w:noVBand="0"/>
      </w:tblPr>
      <w:tblGrid>
        <w:gridCol w:w="1705"/>
        <w:gridCol w:w="2264"/>
        <w:gridCol w:w="284"/>
        <w:gridCol w:w="1134"/>
        <w:gridCol w:w="145"/>
        <w:gridCol w:w="141"/>
        <w:gridCol w:w="2269"/>
        <w:gridCol w:w="1703"/>
      </w:tblGrid>
      <w:tr>
        <w:tc>
          <w:tcPr>
            <w:tcW w:w="1705" w:type="dxa"/>
          </w:tcPr>
          <w:p>
            <w:pPr>
              <w:spacing w:line="240" w:lineRule="auto"/>
              <w:jc w:val="center"/>
              <w:rPr>
                <w:rFonts w:ascii="Arial" w:hAnsi="Arial" w:cs="Arial"/>
                <w:b/>
                <w:noProof/>
                <w:sz w:val="23"/>
                <w:szCs w:val="23"/>
              </w:rPr>
            </w:pPr>
            <w:bookmarkStart w:id="1" w:name="_GoBack"/>
            <w:bookmarkEnd w:id="1"/>
          </w:p>
        </w:tc>
        <w:tc>
          <w:tcPr>
            <w:tcW w:w="6237" w:type="dxa"/>
            <w:gridSpan w:val="6"/>
            <w:tcBorders>
              <w:bottom w:val="single" w:sz="4" w:space="0" w:color="auto"/>
            </w:tcBorders>
          </w:tcPr>
          <w:p>
            <w:pPr>
              <w:pStyle w:val="EntLogo"/>
              <w:jc w:val="center"/>
              <w:rPr>
                <w:rFonts w:ascii="Arial" w:hAnsi="Arial" w:cs="Arial"/>
                <w:noProof/>
                <w:spacing w:val="40"/>
                <w:sz w:val="23"/>
                <w:szCs w:val="23"/>
              </w:rPr>
            </w:pPr>
            <w:r>
              <w:rPr>
                <w:rFonts w:ascii="Arial" w:hAnsi="Arial"/>
                <w:noProof/>
                <w:sz w:val="23"/>
                <w:szCs w:val="23"/>
              </w:rPr>
              <w:t>СПОРАЗУМЕНИЕ АКТБ</w:t>
            </w:r>
            <w:r>
              <w:rPr>
                <w:rFonts w:ascii="Arial" w:hAnsi="Arial"/>
                <w:b w:val="0"/>
                <w:noProof/>
                <w:sz w:val="23"/>
                <w:szCs w:val="23"/>
              </w:rPr>
              <w:t>—</w:t>
            </w:r>
            <w:r>
              <w:rPr>
                <w:rFonts w:ascii="Arial" w:hAnsi="Arial"/>
                <w:noProof/>
                <w:sz w:val="23"/>
                <w:szCs w:val="23"/>
              </w:rPr>
              <w:t>ЕС ОТ КОТОНУ</w:t>
            </w:r>
          </w:p>
        </w:tc>
        <w:tc>
          <w:tcPr>
            <w:tcW w:w="1703" w:type="dxa"/>
          </w:tcPr>
          <w:p>
            <w:pPr>
              <w:spacing w:line="240" w:lineRule="auto"/>
              <w:jc w:val="center"/>
              <w:rPr>
                <w:rFonts w:ascii="Arial" w:hAnsi="Arial" w:cs="Arial"/>
                <w:b/>
                <w:noProof/>
                <w:sz w:val="23"/>
                <w:szCs w:val="23"/>
              </w:rPr>
            </w:pPr>
          </w:p>
        </w:tc>
      </w:tr>
      <w:tr>
        <w:trPr>
          <w:cantSplit/>
        </w:trPr>
        <w:tc>
          <w:tcPr>
            <w:tcW w:w="9645" w:type="dxa"/>
            <w:gridSpan w:val="8"/>
          </w:tcPr>
          <w:p>
            <w:pPr>
              <w:spacing w:line="240" w:lineRule="auto"/>
              <w:jc w:val="center"/>
              <w:rPr>
                <w:rFonts w:ascii="Arial" w:hAnsi="Arial" w:cs="Arial"/>
                <w:b/>
                <w:noProof/>
                <w:sz w:val="23"/>
                <w:szCs w:val="23"/>
              </w:rPr>
            </w:pPr>
          </w:p>
        </w:tc>
      </w:tr>
      <w:tr>
        <w:tc>
          <w:tcPr>
            <w:tcW w:w="4253" w:type="dxa"/>
            <w:gridSpan w:val="3"/>
            <w:tcBorders>
              <w:bottom w:val="single" w:sz="4" w:space="0" w:color="auto"/>
            </w:tcBorders>
          </w:tcPr>
          <w:p>
            <w:pPr>
              <w:pStyle w:val="EntLogo"/>
              <w:spacing w:line="240" w:lineRule="auto"/>
              <w:jc w:val="center"/>
              <w:rPr>
                <w:rFonts w:ascii="Arial" w:hAnsi="Arial" w:cs="Arial"/>
                <w:noProof/>
                <w:sz w:val="23"/>
                <w:szCs w:val="23"/>
              </w:rPr>
            </w:pPr>
            <w:r>
              <w:rPr>
                <w:rFonts w:ascii="Arial" w:hAnsi="Arial"/>
                <w:noProof/>
                <w:sz w:val="23"/>
                <w:szCs w:val="23"/>
              </w:rPr>
              <w:t xml:space="preserve">ГРУПА НА ДЪРЖАВИТЕ ОТ АФРИКА, КАРИБИТЕ И </w:t>
            </w:r>
          </w:p>
          <w:p>
            <w:pPr>
              <w:spacing w:line="240" w:lineRule="auto"/>
              <w:jc w:val="center"/>
              <w:rPr>
                <w:rFonts w:ascii="Arial" w:hAnsi="Arial" w:cs="Arial"/>
                <w:b/>
                <w:noProof/>
                <w:sz w:val="23"/>
                <w:szCs w:val="23"/>
              </w:rPr>
            </w:pPr>
            <w:r>
              <w:rPr>
                <w:rFonts w:ascii="Arial" w:hAnsi="Arial"/>
                <w:b/>
                <w:noProof/>
                <w:sz w:val="23"/>
                <w:szCs w:val="23"/>
              </w:rPr>
              <w:t>ТИХООКЕАНСКИЯ БАСЕЙН</w:t>
            </w:r>
          </w:p>
          <w:p>
            <w:pPr>
              <w:spacing w:line="240" w:lineRule="auto"/>
              <w:jc w:val="center"/>
              <w:rPr>
                <w:rFonts w:ascii="Arial" w:hAnsi="Arial" w:cs="Arial"/>
                <w:b/>
                <w:noProof/>
                <w:sz w:val="23"/>
                <w:szCs w:val="23"/>
              </w:rPr>
            </w:pPr>
          </w:p>
        </w:tc>
        <w:tc>
          <w:tcPr>
            <w:tcW w:w="1134" w:type="dxa"/>
          </w:tcPr>
          <w:p>
            <w:pPr>
              <w:rPr>
                <w:rFonts w:ascii="Arial" w:hAnsi="Arial" w:cs="Arial"/>
                <w:noProof/>
                <w:sz w:val="23"/>
                <w:szCs w:val="23"/>
              </w:rPr>
            </w:pPr>
          </w:p>
        </w:tc>
        <w:tc>
          <w:tcPr>
            <w:tcW w:w="4258" w:type="dxa"/>
            <w:gridSpan w:val="4"/>
            <w:tcBorders>
              <w:bottom w:val="single" w:sz="4" w:space="0" w:color="auto"/>
            </w:tcBorders>
          </w:tcPr>
          <w:p>
            <w:pPr>
              <w:pStyle w:val="EntLogo"/>
              <w:spacing w:line="240" w:lineRule="auto"/>
              <w:jc w:val="center"/>
              <w:rPr>
                <w:rFonts w:ascii="Arial" w:hAnsi="Arial" w:cs="Arial"/>
                <w:noProof/>
                <w:sz w:val="23"/>
                <w:szCs w:val="23"/>
              </w:rPr>
            </w:pPr>
            <w:r>
              <w:rPr>
                <w:rFonts w:ascii="Arial" w:hAnsi="Arial"/>
                <w:noProof/>
                <w:sz w:val="23"/>
                <w:szCs w:val="23"/>
              </w:rPr>
              <w:t>СЪВЕТ НА</w:t>
            </w:r>
          </w:p>
          <w:p>
            <w:pPr>
              <w:pStyle w:val="EntLogo"/>
              <w:spacing w:line="240" w:lineRule="auto"/>
              <w:jc w:val="center"/>
              <w:rPr>
                <w:rFonts w:ascii="Arial" w:hAnsi="Arial" w:cs="Arial"/>
                <w:noProof/>
                <w:sz w:val="23"/>
                <w:szCs w:val="23"/>
              </w:rPr>
            </w:pPr>
            <w:r>
              <w:rPr>
                <w:rFonts w:ascii="Arial" w:hAnsi="Arial"/>
                <w:noProof/>
                <w:sz w:val="23"/>
                <w:szCs w:val="23"/>
              </w:rPr>
              <w:t>ЕВРОПЕЙСКИЯ СЪЮЗ</w:t>
            </w:r>
          </w:p>
        </w:tc>
      </w:tr>
      <w:tr>
        <w:tblPrEx>
          <w:tblLook w:val="04A0" w:firstRow="1" w:lastRow="0" w:firstColumn="1" w:lastColumn="0" w:noHBand="0" w:noVBand="1"/>
        </w:tblPrEx>
        <w:trPr>
          <w:cantSplit/>
        </w:trPr>
        <w:tc>
          <w:tcPr>
            <w:tcW w:w="1705" w:type="dxa"/>
            <w:hideMark/>
          </w:tcPr>
          <w:p>
            <w:pPr>
              <w:pStyle w:val="EntInstit"/>
              <w:tabs>
                <w:tab w:val="left" w:pos="851"/>
                <w:tab w:val="left" w:pos="1857"/>
                <w:tab w:val="left" w:pos="2659"/>
              </w:tabs>
              <w:ind w:right="-284"/>
              <w:jc w:val="left"/>
              <w:rPr>
                <w:rFonts w:ascii="Arial" w:hAnsi="Arial"/>
                <w:noProof/>
                <w:sz w:val="23"/>
              </w:rPr>
            </w:pPr>
          </w:p>
        </w:tc>
        <w:tc>
          <w:tcPr>
            <w:tcW w:w="3827" w:type="dxa"/>
            <w:gridSpan w:val="4"/>
          </w:tcPr>
          <w:p>
            <w:pPr>
              <w:pStyle w:val="EntInstit"/>
              <w:spacing w:line="192" w:lineRule="auto"/>
              <w:jc w:val="left"/>
              <w:rPr>
                <w:rFonts w:ascii="Arial" w:hAnsi="Arial"/>
                <w:noProof/>
                <w:color w:val="4D4D4D"/>
                <w:sz w:val="23"/>
              </w:rPr>
            </w:pPr>
          </w:p>
        </w:tc>
        <w:tc>
          <w:tcPr>
            <w:tcW w:w="141" w:type="dxa"/>
          </w:tcPr>
          <w:p>
            <w:pPr>
              <w:pStyle w:val="EntInstit"/>
              <w:jc w:val="left"/>
              <w:rPr>
                <w:rFonts w:ascii="Arial" w:hAnsi="Arial"/>
                <w:noProof/>
                <w:sz w:val="23"/>
              </w:rPr>
            </w:pPr>
          </w:p>
        </w:tc>
        <w:tc>
          <w:tcPr>
            <w:tcW w:w="3972" w:type="dxa"/>
            <w:gridSpan w:val="2"/>
          </w:tcPr>
          <w:p>
            <w:pPr>
              <w:pStyle w:val="EntInstit"/>
              <w:spacing w:line="192" w:lineRule="auto"/>
              <w:jc w:val="left"/>
              <w:rPr>
                <w:rFonts w:ascii="Arial" w:hAnsi="Arial"/>
                <w:noProof/>
                <w:sz w:val="23"/>
              </w:rPr>
            </w:pPr>
          </w:p>
        </w:tc>
      </w:tr>
      <w:tr>
        <w:trPr>
          <w:cantSplit/>
          <w:trHeight w:val="840"/>
        </w:trPr>
        <w:tc>
          <w:tcPr>
            <w:tcW w:w="3969" w:type="dxa"/>
            <w:gridSpan w:val="2"/>
          </w:tcPr>
          <w:p>
            <w:pPr>
              <w:pStyle w:val="EntRefer"/>
              <w:jc w:val="right"/>
              <w:rPr>
                <w:rFonts w:ascii="Arial" w:hAnsi="Arial"/>
                <w:noProof/>
                <w:color w:val="001718"/>
                <w:sz w:val="23"/>
              </w:rPr>
            </w:pPr>
          </w:p>
          <w:p>
            <w:pPr>
              <w:jc w:val="center"/>
              <w:rPr>
                <w:b/>
                <w:bCs/>
                <w:noProof/>
                <w:szCs w:val="24"/>
              </w:rPr>
            </w:pPr>
          </w:p>
        </w:tc>
        <w:tc>
          <w:tcPr>
            <w:tcW w:w="1704" w:type="dxa"/>
            <w:gridSpan w:val="4"/>
          </w:tcPr>
          <w:p>
            <w:pPr>
              <w:pStyle w:val="EntRefer"/>
              <w:rPr>
                <w:rFonts w:ascii="Arial" w:hAnsi="Arial"/>
                <w:noProof/>
                <w:sz w:val="23"/>
              </w:rPr>
            </w:pPr>
          </w:p>
        </w:tc>
        <w:tc>
          <w:tcPr>
            <w:tcW w:w="3972" w:type="dxa"/>
            <w:gridSpan w:val="2"/>
          </w:tcPr>
          <w:p>
            <w:pPr>
              <w:pStyle w:val="EntRefer"/>
              <w:rPr>
                <w:rFonts w:ascii="Arial" w:hAnsi="Arial"/>
                <w:noProof/>
                <w:sz w:val="23"/>
              </w:rPr>
            </w:pPr>
            <w:r>
              <w:rPr>
                <w:rFonts w:ascii="Arial" w:hAnsi="Arial"/>
                <w:noProof/>
                <w:sz w:val="23"/>
              </w:rPr>
              <w:t>Брюксел, ххх 2019 г.</w:t>
            </w:r>
          </w:p>
          <w:p>
            <w:pPr>
              <w:pStyle w:val="EntRefer"/>
              <w:rPr>
                <w:rFonts w:ascii="Arial" w:hAnsi="Arial"/>
                <w:noProof/>
                <w:sz w:val="23"/>
              </w:rPr>
            </w:pPr>
          </w:p>
        </w:tc>
      </w:tr>
      <w:tr>
        <w:trPr>
          <w:cantSplit/>
        </w:trPr>
        <w:tc>
          <w:tcPr>
            <w:tcW w:w="3969" w:type="dxa"/>
            <w:gridSpan w:val="2"/>
          </w:tcPr>
          <w:p>
            <w:pPr>
              <w:pStyle w:val="EntRefer"/>
              <w:jc w:val="right"/>
              <w:rPr>
                <w:rFonts w:ascii="Arial" w:hAnsi="Arial"/>
                <w:noProof/>
                <w:color w:val="001718"/>
                <w:sz w:val="23"/>
              </w:rPr>
            </w:pPr>
          </w:p>
        </w:tc>
        <w:tc>
          <w:tcPr>
            <w:tcW w:w="1704" w:type="dxa"/>
            <w:gridSpan w:val="4"/>
          </w:tcPr>
          <w:p>
            <w:pPr>
              <w:pStyle w:val="EntRefer"/>
              <w:rPr>
                <w:rFonts w:ascii="Arial" w:hAnsi="Arial"/>
                <w:noProof/>
                <w:sz w:val="23"/>
              </w:rPr>
            </w:pPr>
          </w:p>
        </w:tc>
        <w:tc>
          <w:tcPr>
            <w:tcW w:w="3972" w:type="dxa"/>
            <w:gridSpan w:val="2"/>
          </w:tcPr>
          <w:p>
            <w:pPr>
              <w:pStyle w:val="EntRefer"/>
              <w:rPr>
                <w:rFonts w:ascii="Arial" w:hAnsi="Arial"/>
                <w:noProof/>
                <w:sz w:val="23"/>
              </w:rPr>
            </w:pPr>
          </w:p>
        </w:tc>
      </w:tr>
      <w:tr>
        <w:trPr>
          <w:cantSplit/>
        </w:trPr>
        <w:tc>
          <w:tcPr>
            <w:tcW w:w="3969" w:type="dxa"/>
            <w:gridSpan w:val="2"/>
          </w:tcPr>
          <w:p>
            <w:pPr>
              <w:pStyle w:val="EntRefer"/>
              <w:rPr>
                <w:rFonts w:ascii="Arial" w:hAnsi="Arial"/>
                <w:noProof/>
                <w:sz w:val="23"/>
              </w:rPr>
            </w:pPr>
            <w:r>
              <w:rPr>
                <w:rFonts w:ascii="Arial" w:hAnsi="Arial"/>
                <w:noProof/>
                <w:sz w:val="23"/>
              </w:rPr>
              <w:t>АКТБ/xxx/19</w:t>
            </w:r>
          </w:p>
        </w:tc>
        <w:tc>
          <w:tcPr>
            <w:tcW w:w="1704" w:type="dxa"/>
            <w:gridSpan w:val="4"/>
          </w:tcPr>
          <w:p>
            <w:pPr>
              <w:spacing w:line="240" w:lineRule="auto"/>
              <w:rPr>
                <w:rFonts w:ascii="Arial" w:hAnsi="Arial"/>
                <w:b/>
                <w:noProof/>
                <w:sz w:val="23"/>
              </w:rPr>
            </w:pPr>
          </w:p>
        </w:tc>
        <w:tc>
          <w:tcPr>
            <w:tcW w:w="3972" w:type="dxa"/>
            <w:gridSpan w:val="2"/>
          </w:tcPr>
          <w:p>
            <w:pPr>
              <w:pStyle w:val="EntRefer"/>
              <w:rPr>
                <w:rFonts w:ascii="Arial" w:hAnsi="Arial"/>
                <w:noProof/>
                <w:sz w:val="23"/>
              </w:rPr>
            </w:pPr>
            <w:r>
              <w:rPr>
                <w:rFonts w:ascii="Arial" w:hAnsi="Arial"/>
                <w:noProof/>
                <w:sz w:val="23"/>
              </w:rPr>
              <w:t>АКТБ—ЕС xxx/19</w:t>
            </w:r>
          </w:p>
          <w:p>
            <w:pPr>
              <w:pStyle w:val="EntRefer"/>
              <w:rPr>
                <w:rFonts w:ascii="Arial" w:hAnsi="Arial"/>
                <w:noProof/>
                <w:sz w:val="23"/>
              </w:rPr>
            </w:pPr>
          </w:p>
        </w:tc>
      </w:tr>
      <w:tr>
        <w:trPr>
          <w:cantSplit/>
        </w:trPr>
        <w:tc>
          <w:tcPr>
            <w:tcW w:w="3969" w:type="dxa"/>
            <w:gridSpan w:val="2"/>
          </w:tcPr>
          <w:p>
            <w:pPr>
              <w:pStyle w:val="EntRefer"/>
              <w:jc w:val="center"/>
              <w:rPr>
                <w:rFonts w:ascii="Arial" w:hAnsi="Arial"/>
                <w:noProof/>
                <w:sz w:val="23"/>
              </w:rPr>
            </w:pPr>
          </w:p>
        </w:tc>
        <w:tc>
          <w:tcPr>
            <w:tcW w:w="1704" w:type="dxa"/>
            <w:gridSpan w:val="4"/>
          </w:tcPr>
          <w:p>
            <w:pPr>
              <w:spacing w:line="240" w:lineRule="auto"/>
              <w:rPr>
                <w:rFonts w:ascii="Arial" w:hAnsi="Arial"/>
                <w:b/>
                <w:noProof/>
                <w:sz w:val="23"/>
              </w:rPr>
            </w:pPr>
          </w:p>
        </w:tc>
        <w:tc>
          <w:tcPr>
            <w:tcW w:w="3972" w:type="dxa"/>
            <w:gridSpan w:val="2"/>
          </w:tcPr>
          <w:p>
            <w:pPr>
              <w:pStyle w:val="EntRefer"/>
              <w:rPr>
                <w:rFonts w:ascii="Arial" w:hAnsi="Arial"/>
                <w:noProof/>
                <w:sz w:val="23"/>
              </w:rPr>
            </w:pPr>
          </w:p>
        </w:tc>
      </w:tr>
    </w:tbl>
    <w:p>
      <w:pPr>
        <w:pStyle w:val="EntRefer"/>
        <w:rPr>
          <w:rFonts w:ascii="Arial" w:hAnsi="Arial" w:cs="Arial"/>
          <w:noProof/>
          <w:sz w:val="23"/>
          <w:szCs w:val="23"/>
        </w:rPr>
      </w:pPr>
    </w:p>
    <w:p>
      <w:pPr>
        <w:pStyle w:val="EntRefer"/>
        <w:rPr>
          <w:rFonts w:ascii="Arial" w:hAnsi="Arial" w:cs="Arial"/>
          <w:noProof/>
          <w:sz w:val="23"/>
          <w:szCs w:val="23"/>
        </w:rPr>
      </w:pPr>
      <w:r>
        <w:rPr>
          <w:rFonts w:ascii="Arial" w:hAnsi="Arial"/>
          <w:noProof/>
          <w:sz w:val="23"/>
          <w:szCs w:val="23"/>
        </w:rPr>
        <w:t>РЕШЕНИЕ АКТБ—ЕС</w:t>
      </w:r>
    </w:p>
    <w:tbl>
      <w:tblPr>
        <w:tblW w:w="0" w:type="auto"/>
        <w:tblLayout w:type="fixed"/>
        <w:tblCellMar>
          <w:left w:w="0" w:type="dxa"/>
          <w:right w:w="0" w:type="dxa"/>
        </w:tblCellMar>
        <w:tblLook w:val="0000" w:firstRow="0" w:lastRow="0" w:firstColumn="0" w:lastColumn="0" w:noHBand="0" w:noVBand="0"/>
      </w:tblPr>
      <w:tblGrid>
        <w:gridCol w:w="1701"/>
        <w:gridCol w:w="7938"/>
      </w:tblGrid>
      <w:tr>
        <w:tc>
          <w:tcPr>
            <w:tcW w:w="1701" w:type="dxa"/>
            <w:tcBorders>
              <w:top w:val="single" w:sz="4" w:space="0" w:color="auto"/>
              <w:bottom w:val="single" w:sz="4" w:space="0" w:color="auto"/>
            </w:tcBorders>
          </w:tcPr>
          <w:p>
            <w:pPr>
              <w:pStyle w:val="EntEmet"/>
              <w:rPr>
                <w:rFonts w:ascii="Arial" w:hAnsi="Arial" w:cs="Arial"/>
                <w:noProof/>
                <w:sz w:val="23"/>
                <w:szCs w:val="23"/>
              </w:rPr>
            </w:pPr>
            <w:r>
              <w:rPr>
                <w:rFonts w:ascii="Arial" w:hAnsi="Arial"/>
                <w:noProof/>
                <w:sz w:val="23"/>
                <w:szCs w:val="23"/>
              </w:rPr>
              <w:t>Относно:</w:t>
            </w:r>
          </w:p>
        </w:tc>
        <w:tc>
          <w:tcPr>
            <w:tcW w:w="7938" w:type="dxa"/>
            <w:tcBorders>
              <w:top w:val="single" w:sz="4" w:space="0" w:color="auto"/>
              <w:bottom w:val="single" w:sz="4" w:space="0" w:color="auto"/>
            </w:tcBorders>
          </w:tcPr>
          <w:p>
            <w:pPr>
              <w:pStyle w:val="EntEmet"/>
              <w:rPr>
                <w:rFonts w:ascii="Arial" w:hAnsi="Arial" w:cs="Arial"/>
                <w:noProof/>
                <w:sz w:val="23"/>
                <w:szCs w:val="23"/>
              </w:rPr>
            </w:pPr>
            <w:r>
              <w:rPr>
                <w:rFonts w:ascii="Arial" w:hAnsi="Arial"/>
                <w:noProof/>
                <w:sz w:val="23"/>
                <w:szCs w:val="23"/>
              </w:rPr>
              <w:t xml:space="preserve">Проект на решение № xx/2019 на Комитета на посланиците АКТБ—ЕС за приемане на преходни мерки в съответствие с член 95, параграф 4 от Споразумението за партньорство АКТБ—ЕС </w:t>
            </w:r>
          </w:p>
        </w:tc>
      </w:tr>
    </w:tbl>
    <w:p>
      <w:pPr>
        <w:spacing w:line="240" w:lineRule="auto"/>
        <w:rPr>
          <w:rFonts w:ascii="Arial" w:hAnsi="Arial" w:cs="Arial"/>
          <w:noProof/>
          <w:sz w:val="23"/>
          <w:szCs w:val="23"/>
        </w:rPr>
      </w:pPr>
    </w:p>
    <w:p>
      <w:pPr>
        <w:tabs>
          <w:tab w:val="left" w:pos="3969"/>
        </w:tabs>
        <w:rPr>
          <w:rFonts w:ascii="Arial" w:hAnsi="Arial" w:cs="Arial"/>
          <w:noProof/>
          <w:sz w:val="23"/>
          <w:szCs w:val="23"/>
        </w:rPr>
      </w:pPr>
    </w:p>
    <w:p>
      <w:pPr>
        <w:shd w:val="clear" w:color="auto" w:fill="FFFFFF"/>
        <w:spacing w:before="240" w:after="120" w:line="312" w:lineRule="atLeast"/>
        <w:jc w:val="center"/>
        <w:rPr>
          <w:bCs/>
          <w:noProof/>
          <w:sz w:val="27"/>
          <w:szCs w:val="27"/>
        </w:rPr>
      </w:pPr>
      <w:r>
        <w:rPr>
          <w:noProof/>
        </w:rPr>
        <w:br w:type="page"/>
      </w:r>
      <w:r>
        <w:rPr>
          <w:bCs/>
          <w:noProof/>
          <w:sz w:val="27"/>
          <w:szCs w:val="27"/>
        </w:rPr>
        <w:t>Проект на</w:t>
      </w:r>
    </w:p>
    <w:p>
      <w:pPr>
        <w:spacing w:before="240" w:after="240"/>
        <w:jc w:val="center"/>
        <w:rPr>
          <w:b/>
          <w:bCs/>
          <w:noProof/>
          <w:szCs w:val="24"/>
        </w:rPr>
      </w:pPr>
      <w:r>
        <w:rPr>
          <w:b/>
          <w:bCs/>
          <w:noProof/>
        </w:rPr>
        <w:t>РЕШЕНИЕ № [X]/2019</w:t>
      </w:r>
      <w:r>
        <w:rPr>
          <w:noProof/>
        </w:rPr>
        <w:t xml:space="preserve"> </w:t>
      </w:r>
    </w:p>
    <w:p>
      <w:pPr>
        <w:spacing w:before="240" w:after="240"/>
        <w:jc w:val="center"/>
        <w:rPr>
          <w:b/>
          <w:bCs/>
          <w:noProof/>
          <w:szCs w:val="24"/>
        </w:rPr>
      </w:pPr>
      <w:r>
        <w:rPr>
          <w:b/>
          <w:bCs/>
          <w:noProof/>
        </w:rPr>
        <w:t xml:space="preserve">НА КОМИТЕТА НА ПОСЛАНИЦИТЕ АКТБ—ЕС </w:t>
      </w:r>
    </w:p>
    <w:p>
      <w:pPr>
        <w:shd w:val="clear" w:color="auto" w:fill="FFFFFF"/>
        <w:spacing w:before="240" w:after="120" w:line="312" w:lineRule="atLeast"/>
        <w:jc w:val="center"/>
        <w:rPr>
          <w:b/>
          <w:bCs/>
          <w:noProof/>
          <w:sz w:val="27"/>
          <w:szCs w:val="27"/>
        </w:rPr>
      </w:pPr>
      <w:r>
        <w:rPr>
          <w:b/>
          <w:bCs/>
          <w:noProof/>
          <w:sz w:val="27"/>
          <w:szCs w:val="27"/>
        </w:rPr>
        <w:t>от [да се добави датата]</w:t>
      </w:r>
    </w:p>
    <w:p>
      <w:pPr>
        <w:shd w:val="clear" w:color="auto" w:fill="FFFFFF"/>
        <w:spacing w:before="240" w:after="120"/>
        <w:jc w:val="center"/>
        <w:rPr>
          <w:b/>
          <w:bCs/>
          <w:noProof/>
          <w:szCs w:val="24"/>
        </w:rPr>
      </w:pPr>
      <w:r>
        <w:rPr>
          <w:b/>
          <w:bCs/>
          <w:noProof/>
        </w:rPr>
        <w:t>за приемане на преходни мерки съгласно член 95, параграф 4 от Споразумението за партньорство АКТБ—ЕС</w:t>
      </w:r>
    </w:p>
    <w:p>
      <w:pPr>
        <w:shd w:val="clear" w:color="auto" w:fill="FFFFFF"/>
        <w:spacing w:before="120" w:line="312" w:lineRule="atLeast"/>
        <w:jc w:val="both"/>
        <w:rPr>
          <w:noProof/>
          <w:sz w:val="27"/>
          <w:szCs w:val="27"/>
        </w:rPr>
      </w:pPr>
    </w:p>
    <w:p>
      <w:pPr>
        <w:shd w:val="clear" w:color="auto" w:fill="FFFFFF"/>
        <w:spacing w:before="120" w:line="312" w:lineRule="atLeast"/>
        <w:jc w:val="both"/>
        <w:rPr>
          <w:noProof/>
          <w:sz w:val="27"/>
          <w:szCs w:val="27"/>
        </w:rPr>
      </w:pPr>
    </w:p>
    <w:p>
      <w:pPr>
        <w:widowControl/>
        <w:spacing w:before="120" w:after="120"/>
        <w:jc w:val="both"/>
        <w:rPr>
          <w:noProof/>
          <w:szCs w:val="24"/>
        </w:rPr>
      </w:pPr>
      <w:r>
        <w:rPr>
          <w:noProof/>
        </w:rPr>
        <w:t>КОМИТЕТЪТ НА ПОСЛАНИЦИТЕ АКТБ—ЕС,</w:t>
      </w:r>
    </w:p>
    <w:p>
      <w:pPr>
        <w:widowControl/>
        <w:spacing w:before="120" w:after="120"/>
        <w:jc w:val="both"/>
        <w:rPr>
          <w:noProof/>
          <w:szCs w:val="24"/>
        </w:rPr>
      </w:pPr>
      <w:r>
        <w:rPr>
          <w:noProof/>
        </w:rPr>
        <w:t>като взе предвид Споразумението за партньорство между членовете на групата на държавите от Африка, Карибите и Тихоокеанския басейн, от една страна, и Европейската общност и нейните държави членки, от друга страна</w:t>
      </w:r>
      <w:r>
        <w:rPr>
          <w:b/>
          <w:bCs/>
          <w:noProof/>
          <w:vertAlign w:val="superscript"/>
        </w:rPr>
        <w:footnoteReference w:id="1"/>
      </w:r>
      <w:r>
        <w:rPr>
          <w:noProof/>
        </w:rPr>
        <w:t>, и по-специално член 15, параграф 4 и член 16, параграф 2 от него, във връзка с член 95, параграф 4 от него,</w:t>
      </w:r>
    </w:p>
    <w:p>
      <w:pPr>
        <w:shd w:val="clear" w:color="auto" w:fill="FFFFFF"/>
        <w:spacing w:before="120" w:line="312" w:lineRule="atLeast"/>
        <w:jc w:val="both"/>
        <w:rPr>
          <w:noProof/>
          <w:sz w:val="27"/>
          <w:szCs w:val="27"/>
        </w:rPr>
      </w:pPr>
    </w:p>
    <w:p>
      <w:pPr>
        <w:spacing w:line="276" w:lineRule="auto"/>
        <w:rPr>
          <w:noProof/>
          <w:sz w:val="27"/>
          <w:szCs w:val="27"/>
        </w:rPr>
      </w:pPr>
      <w:r>
        <w:rPr>
          <w:noProof/>
        </w:rPr>
        <w:t>като има предвид, че:</w:t>
      </w:r>
    </w:p>
    <w:p>
      <w:pPr>
        <w:widowControl/>
        <w:numPr>
          <w:ilvl w:val="0"/>
          <w:numId w:val="22"/>
        </w:numPr>
        <w:spacing w:before="120" w:after="120"/>
        <w:ind w:left="567" w:hanging="567"/>
        <w:jc w:val="both"/>
        <w:rPr>
          <w:noProof/>
          <w:szCs w:val="24"/>
        </w:rPr>
      </w:pPr>
      <w:r>
        <w:rPr>
          <w:noProof/>
        </w:rPr>
        <w:t>Споразумението за партньорство АКТБ—ЕС бе подписано в Котону на 23 юни 2000 г., влезе в сила на 1 април 2003 г. и ще се прилага до 29 февруари 2020 г.</w:t>
      </w:r>
    </w:p>
    <w:p>
      <w:pPr>
        <w:widowControl/>
        <w:numPr>
          <w:ilvl w:val="0"/>
          <w:numId w:val="22"/>
        </w:numPr>
        <w:spacing w:before="120" w:after="120"/>
        <w:ind w:left="567" w:hanging="567"/>
        <w:jc w:val="both"/>
        <w:rPr>
          <w:noProof/>
          <w:szCs w:val="24"/>
        </w:rPr>
      </w:pPr>
      <w:r>
        <w:rPr>
          <w:noProof/>
        </w:rPr>
        <w:t>Съгласно член 95, параграф 4, първа алинея от Споразумението за партньорство АКТБ—ЕС през септември 2018 г. започнаха преговори по ново споразумение за партньорство АКТБ—ЕС. Тъй като до датата на изтичане на срока на действие на настоящата правна уредба няма да има готовност за прилагане на новото споразумение, е необходимо да се приемат преходни мерки.</w:t>
      </w:r>
    </w:p>
    <w:p>
      <w:pPr>
        <w:widowControl/>
        <w:numPr>
          <w:ilvl w:val="0"/>
          <w:numId w:val="22"/>
        </w:numPr>
        <w:spacing w:before="120" w:after="120"/>
        <w:ind w:left="567" w:hanging="567"/>
        <w:jc w:val="both"/>
        <w:rPr>
          <w:noProof/>
          <w:szCs w:val="24"/>
        </w:rPr>
      </w:pPr>
      <w:r>
        <w:rPr>
          <w:noProof/>
        </w:rPr>
        <w:t>В член 95, параграф 4, втора алинея от Споразумението за партньорство АКТБ—ЕС е предвидено, че Съветът на министрите приема всички преходни мерки, които може да са необходими до влизането в сила на новото споразумение.</w:t>
      </w:r>
    </w:p>
    <w:p>
      <w:pPr>
        <w:widowControl/>
        <w:numPr>
          <w:ilvl w:val="0"/>
          <w:numId w:val="22"/>
        </w:numPr>
        <w:spacing w:before="120" w:after="120"/>
        <w:ind w:left="567" w:hanging="567"/>
        <w:jc w:val="both"/>
        <w:rPr>
          <w:noProof/>
          <w:szCs w:val="24"/>
        </w:rPr>
      </w:pPr>
      <w:r>
        <w:rPr>
          <w:noProof/>
        </w:rPr>
        <w:t>Съгласно член 15, параграф 4 от СПК на 23 май 2019 г. Съветът на министрите АКТБ—ЕС делегира правомощия за приемане на преходни мерки на Комитета на посланиците АКТБ—ЕС</w:t>
      </w:r>
      <w:r>
        <w:rPr>
          <w:rStyle w:val="FootnoteReference"/>
          <w:b w:val="0"/>
          <w:noProof/>
        </w:rPr>
        <w:footnoteReference w:id="2"/>
      </w:r>
      <w:r>
        <w:rPr>
          <w:noProof/>
        </w:rPr>
        <w:t>.</w:t>
      </w:r>
      <w:r>
        <w:rPr>
          <w:b/>
          <w:noProof/>
        </w:rPr>
        <w:t xml:space="preserve"> </w:t>
      </w:r>
    </w:p>
    <w:p>
      <w:pPr>
        <w:widowControl/>
        <w:numPr>
          <w:ilvl w:val="0"/>
          <w:numId w:val="22"/>
        </w:numPr>
        <w:spacing w:before="120" w:after="120"/>
        <w:ind w:left="567" w:hanging="567"/>
        <w:jc w:val="both"/>
        <w:rPr>
          <w:noProof/>
          <w:vanish/>
          <w:szCs w:val="24"/>
        </w:rPr>
      </w:pPr>
      <w:r>
        <w:rPr>
          <w:noProof/>
        </w:rPr>
        <w:t xml:space="preserve">Поради това е целесъобразно Комитетът на посланиците АКТБ—ЕС да приеме решение в съответствие с член 95, параграф 4 от Споразумението за партньорство АКТБ—ЕС, за удължаване на срока на прилагане на разпоредбите на Споразумението за партньорство АКТБ—ЕС, подписано в Котону на 23 юни 2000 г., в тяхната цялост, до 31 декември 2020 г. или до датата на влизане в сила или началната дата на временното прилагане на новото споразумение за партньорство между Съюза и държавите от АКТБ, ако тя е преди 31 декември 2020 г.  </w:t>
      </w:r>
    </w:p>
    <w:p>
      <w:pPr>
        <w:shd w:val="clear" w:color="auto" w:fill="FFFFFF"/>
        <w:spacing w:line="240" w:lineRule="auto"/>
        <w:rPr>
          <w:noProof/>
          <w:vanish/>
          <w:szCs w:val="24"/>
        </w:rPr>
      </w:pPr>
    </w:p>
    <w:p>
      <w:pPr>
        <w:shd w:val="clear" w:color="auto" w:fill="FFFFFF"/>
        <w:spacing w:before="120" w:line="312" w:lineRule="atLeast"/>
        <w:jc w:val="both"/>
        <w:rPr>
          <w:noProof/>
          <w:szCs w:val="24"/>
        </w:rPr>
      </w:pPr>
      <w:r>
        <w:rPr>
          <w:noProof/>
        </w:rPr>
        <w:t>ПРИЕ НАСТОЯЩОТО РЕШЕНИЕ:</w:t>
      </w:r>
    </w:p>
    <w:p>
      <w:pPr>
        <w:shd w:val="clear" w:color="auto" w:fill="FFFFFF"/>
        <w:spacing w:before="360" w:after="120" w:line="312" w:lineRule="atLeast"/>
        <w:jc w:val="center"/>
        <w:rPr>
          <w:i/>
          <w:iCs/>
          <w:noProof/>
          <w:szCs w:val="24"/>
        </w:rPr>
      </w:pPr>
      <w:r>
        <w:rPr>
          <w:i/>
          <w:iCs/>
          <w:noProof/>
        </w:rPr>
        <w:t>Член 1</w:t>
      </w:r>
    </w:p>
    <w:p>
      <w:pPr>
        <w:widowControl/>
        <w:spacing w:before="120" w:after="120" w:line="240" w:lineRule="auto"/>
        <w:jc w:val="both"/>
        <w:rPr>
          <w:rFonts w:eastAsia="Calibri"/>
          <w:noProof/>
          <w:szCs w:val="24"/>
        </w:rPr>
      </w:pPr>
      <w:r>
        <w:rPr>
          <w:noProof/>
        </w:rPr>
        <w:t>Прилагането на разпоредбите на Споразумението за партньорство АКТБ—ЕС, подписано в Котону на 23 юни 2000 г., в тяхната цялост, се удължава до 31 декември 2020 г. или до датата на влизане в сила или началната дата на временното прилагане на новото споразумение за партньорство между Съюза и държавите от АКТБ, ако тя е преди 31 декември 2020 г.</w:t>
      </w:r>
    </w:p>
    <w:p>
      <w:pPr>
        <w:shd w:val="clear" w:color="auto" w:fill="FFFFFF"/>
        <w:spacing w:line="240" w:lineRule="auto"/>
        <w:jc w:val="both"/>
        <w:rPr>
          <w:noProof/>
          <w:vanish/>
          <w:szCs w:val="24"/>
        </w:rPr>
      </w:pPr>
    </w:p>
    <w:p>
      <w:pPr>
        <w:shd w:val="clear" w:color="auto" w:fill="FFFFFF"/>
        <w:spacing w:before="360" w:after="120" w:line="312" w:lineRule="atLeast"/>
        <w:jc w:val="center"/>
        <w:rPr>
          <w:i/>
          <w:iCs/>
          <w:noProof/>
          <w:szCs w:val="24"/>
        </w:rPr>
      </w:pPr>
    </w:p>
    <w:p>
      <w:pPr>
        <w:shd w:val="clear" w:color="auto" w:fill="FFFFFF"/>
        <w:spacing w:before="360" w:after="120" w:line="312" w:lineRule="atLeast"/>
        <w:jc w:val="center"/>
        <w:rPr>
          <w:i/>
          <w:iCs/>
          <w:noProof/>
          <w:szCs w:val="24"/>
        </w:rPr>
      </w:pPr>
      <w:r>
        <w:rPr>
          <w:i/>
          <w:iCs/>
          <w:noProof/>
        </w:rPr>
        <w:t>Член 2</w:t>
      </w:r>
    </w:p>
    <w:p>
      <w:pPr>
        <w:shd w:val="clear" w:color="auto" w:fill="FFFFFF"/>
        <w:spacing w:before="120" w:line="312" w:lineRule="atLeast"/>
        <w:jc w:val="both"/>
        <w:rPr>
          <w:noProof/>
          <w:szCs w:val="24"/>
        </w:rPr>
      </w:pPr>
      <w:r>
        <w:rPr>
          <w:noProof/>
        </w:rPr>
        <w:t>Настоящото решение влиза в сила на xxx 2020 г.</w:t>
      </w:r>
    </w:p>
    <w:p>
      <w:pPr>
        <w:shd w:val="clear" w:color="auto" w:fill="FFFFFF"/>
        <w:spacing w:line="312" w:lineRule="atLeast"/>
        <w:jc w:val="both"/>
        <w:rPr>
          <w:noProof/>
          <w:szCs w:val="24"/>
        </w:rPr>
      </w:pPr>
    </w:p>
    <w:p>
      <w:pPr>
        <w:shd w:val="clear" w:color="auto" w:fill="FFFFFF"/>
        <w:spacing w:line="312" w:lineRule="atLeast"/>
        <w:jc w:val="both"/>
        <w:rPr>
          <w:noProof/>
          <w:szCs w:val="24"/>
        </w:rPr>
      </w:pPr>
      <w:r>
        <w:rPr>
          <w:noProof/>
        </w:rPr>
        <w:t>Съставено в [Брюксел] на [дата] година.</w:t>
      </w:r>
    </w:p>
    <w:p>
      <w:pPr>
        <w:shd w:val="clear" w:color="auto" w:fill="FFFFFF"/>
        <w:spacing w:before="60" w:after="60" w:line="312" w:lineRule="atLeast"/>
        <w:jc w:val="center"/>
        <w:rPr>
          <w:i/>
          <w:iCs/>
          <w:noProof/>
          <w:sz w:val="27"/>
          <w:szCs w:val="27"/>
        </w:rPr>
      </w:pPr>
    </w:p>
    <w:p>
      <w:pPr>
        <w:shd w:val="clear" w:color="auto" w:fill="FFFFFF"/>
        <w:spacing w:before="60" w:after="60" w:line="312" w:lineRule="atLeast"/>
        <w:rPr>
          <w:i/>
          <w:iCs/>
          <w:noProof/>
          <w:sz w:val="27"/>
          <w:szCs w:val="27"/>
        </w:rPr>
      </w:pPr>
    </w:p>
    <w:p>
      <w:pPr>
        <w:shd w:val="clear" w:color="auto" w:fill="FFFFFF"/>
        <w:spacing w:before="60" w:after="60" w:line="312" w:lineRule="atLeast"/>
        <w:jc w:val="center"/>
        <w:rPr>
          <w:noProof/>
          <w:szCs w:val="24"/>
        </w:rPr>
      </w:pPr>
      <w:r>
        <w:rPr>
          <w:i/>
          <w:iCs/>
          <w:noProof/>
        </w:rPr>
        <w:t>За Комитета на посланиците АКТБ—ЕС</w:t>
      </w:r>
      <w:r>
        <w:rPr>
          <w:noProof/>
        </w:rPr>
        <w:t xml:space="preserve"> </w:t>
      </w:r>
      <w:r>
        <w:rPr>
          <w:noProof/>
        </w:rPr>
        <w:tab/>
      </w:r>
    </w:p>
    <w:p>
      <w:pPr>
        <w:widowControl/>
        <w:pBdr>
          <w:bottom w:val="single" w:sz="4" w:space="0" w:color="000000"/>
        </w:pBdr>
        <w:spacing w:before="360" w:after="120"/>
        <w:ind w:left="3400" w:right="3400"/>
        <w:jc w:val="center"/>
        <w:rPr>
          <w:rFonts w:eastAsia="Calibri"/>
          <w:b/>
          <w:noProof/>
          <w:szCs w:val="22"/>
        </w:rPr>
      </w:pPr>
    </w:p>
    <w:sectPr>
      <w:headerReference w:type="even" r:id="rId16"/>
      <w:headerReference w:type="default" r:id="rId17"/>
      <w:footerReference w:type="even" r:id="rId18"/>
      <w:footerReference w:type="default" r:id="rId19"/>
      <w:headerReference w:type="first" r:id="rId20"/>
      <w:footerReference w:type="first" r:id="rId21"/>
      <w:endnotePr>
        <w:numFmt w:val="decimal"/>
      </w:endnotePr>
      <w:pgSz w:w="11907" w:h="16840" w:code="9"/>
      <w:pgMar w:top="1134" w:right="1134" w:bottom="1134"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spacing w:after="60"/>
    </w:pPr>
  </w:p>
  <w:p>
    <w:pPr>
      <w:pStyle w:val="Footer"/>
    </w:pPr>
    <w:r>
      <w:t>АКТБ-ЕС xxx/19</w:t>
    </w:r>
    <w:r>
      <w:tab/>
      <w:t>АКТБ/xxx/19</w:t>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pPr>
      <w:pStyle w:val="Footer"/>
      <w:tabs>
        <w:tab w:val="clear" w:pos="7371"/>
      </w:tabs>
      <w:spacing w:line="280" w:lineRule="exact"/>
      <w:rPr>
        <w:lang w:val="en-GB"/>
      </w:rPr>
    </w:pPr>
    <w:r>
      <w:tab/>
    </w:r>
    <w:r>
      <w:tab/>
    </w:r>
    <w:r>
      <w:rPr>
        <w:b/>
        <w:sz w:val="36"/>
      </w:rPr>
      <w:t xml:space="preserve">  </w:t>
    </w:r>
    <w:r>
      <w:rPr>
        <w:b/>
        <w:sz w:val="36"/>
        <w:lang w:val="en-GB"/>
      </w:rPr>
      <w:t>BG</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pStyle w:val="FootnoteText"/>
      </w:pPr>
      <w:r>
        <w:separator/>
      </w:r>
    </w:p>
  </w:footnote>
  <w:footnote w:type="continuationSeparator" w:id="0">
    <w:p>
      <w:pPr>
        <w:pStyle w:val="FootnoteText"/>
      </w:pPr>
      <w:r>
        <w:separator/>
      </w:r>
    </w:p>
  </w:footnote>
  <w:footnote w:id="1">
    <w:p>
      <w:pPr>
        <w:pStyle w:val="FootnoteText"/>
        <w:rPr>
          <w:sz w:val="20"/>
        </w:rPr>
      </w:pPr>
      <w:r>
        <w:rPr>
          <w:rStyle w:val="FootnoteReference"/>
          <w:bCs/>
          <w:sz w:val="20"/>
        </w:rPr>
        <w:footnoteRef/>
      </w:r>
      <w:r>
        <w:rPr>
          <w:sz w:val="20"/>
        </w:rPr>
        <w:tab/>
        <w:t>(OВ L 317, 15.12.2000 г., стp. 3), изменено със споразумението, подписано в Люксембург на 25 юни 2005 г. (ОВ L 209, 11.8.2005 г., стр. 27), и със споразумението, подписано в Уагадугу на 22 юни 2010 г. (OВ L 287, 4.11.2010 г., стp. 3).</w:t>
      </w:r>
    </w:p>
  </w:footnote>
  <w:footnote w:id="2">
    <w:p>
      <w:pPr>
        <w:pStyle w:val="FootnoteText"/>
      </w:pPr>
      <w:r>
        <w:rPr>
          <w:rStyle w:val="FootnoteReference"/>
          <w:b w:val="0"/>
        </w:rPr>
        <w:footnoteRef/>
      </w:r>
      <w:r>
        <w:rPr>
          <w:b/>
        </w:rPr>
        <w:t xml:space="preserve"> </w:t>
      </w:r>
      <w:r>
        <w:tab/>
      </w:r>
      <w:r>
        <w:rPr>
          <w:sz w:val="20"/>
        </w:rPr>
        <w:t xml:space="preserve">Решение № 1/2019 на Съвета на министрите АКТБ—ЕС от 23 май 2019 г. </w:t>
      </w:r>
      <w:r>
        <w:rPr>
          <w:bCs/>
          <w:sz w:val="20"/>
        </w:rPr>
        <w:t>относно делегирането на правомощия на Комитета на посланиците АКТБ—ЕС относно решение за приемане на преходни мерки в съответствие с член 95, параграф 4 от Споразумението за партньорство АКТБ—ЕС [2019/920] (ОВ L 146, 5.6.2019 г., стр. 114).</w:t>
      </w:r>
      <w:r>
        <w:rPr>
          <w:b/>
          <w:bCs/>
        </w:rPr>
        <w:t xml:space="preserve"> </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95604"/>
    <w:multiLevelType w:val="multilevel"/>
    <w:tmpl w:val="9F60CF46"/>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2">
    <w:nsid w:val="0F67088F"/>
    <w:multiLevelType w:val="singleLevel"/>
    <w:tmpl w:val="2CF07246"/>
    <w:lvl w:ilvl="0">
      <w:start w:val="1"/>
      <w:numFmt w:val="decimal"/>
      <w:lvlText w:val="(%1)"/>
      <w:lvlJc w:val="left"/>
      <w:pPr>
        <w:tabs>
          <w:tab w:val="num" w:pos="564"/>
        </w:tabs>
        <w:ind w:left="564" w:hanging="564"/>
      </w:pPr>
      <w:rPr>
        <w:rFonts w:hint="default"/>
      </w:rPr>
    </w:lvl>
  </w:abstractNum>
  <w:abstractNum w:abstractNumId="3">
    <w:nsid w:val="1DE57EBB"/>
    <w:multiLevelType w:val="singleLevel"/>
    <w:tmpl w:val="2CF07246"/>
    <w:lvl w:ilvl="0">
      <w:start w:val="1"/>
      <w:numFmt w:val="decimal"/>
      <w:lvlText w:val="(%1)"/>
      <w:lvlJc w:val="left"/>
      <w:pPr>
        <w:tabs>
          <w:tab w:val="num" w:pos="564"/>
        </w:tabs>
        <w:ind w:left="564" w:hanging="564"/>
      </w:pPr>
      <w:rPr>
        <w:rFonts w:hint="default"/>
      </w:rPr>
    </w:lvl>
  </w:abstractNum>
  <w:abstractNum w:abstractNumId="4">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5">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6">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7">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8">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9">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10">
    <w:nsid w:val="3EFF7248"/>
    <w:multiLevelType w:val="singleLevel"/>
    <w:tmpl w:val="2CF07246"/>
    <w:lvl w:ilvl="0">
      <w:start w:val="1"/>
      <w:numFmt w:val="decimal"/>
      <w:lvlText w:val="(%1)"/>
      <w:lvlJc w:val="left"/>
      <w:pPr>
        <w:tabs>
          <w:tab w:val="num" w:pos="564"/>
        </w:tabs>
        <w:ind w:left="564" w:hanging="564"/>
      </w:pPr>
      <w:rPr>
        <w:rFonts w:hint="default"/>
      </w:rPr>
    </w:lvl>
  </w:abstractNum>
  <w:abstractNum w:abstractNumId="11">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12">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13">
    <w:nsid w:val="4B013CF3"/>
    <w:multiLevelType w:val="singleLevel"/>
    <w:tmpl w:val="5D7CB33C"/>
    <w:name w:val="Tiret 1"/>
    <w:lvl w:ilvl="0">
      <w:start w:val="1"/>
      <w:numFmt w:val="bullet"/>
      <w:lvlRestart w:val="0"/>
      <w:pStyle w:val="Tiret1"/>
      <w:lvlText w:val="–"/>
      <w:lvlJc w:val="left"/>
      <w:pPr>
        <w:tabs>
          <w:tab w:val="num" w:pos="1417"/>
        </w:tabs>
        <w:ind w:left="1417" w:hanging="567"/>
      </w:pPr>
      <w:rPr>
        <w:bdr w:val="none" w:sz="0" w:space="0" w:color="auto"/>
      </w:rPr>
    </w:lvl>
  </w:abstractNum>
  <w:abstractNum w:abstractNumId="14">
    <w:nsid w:val="523628EF"/>
    <w:multiLevelType w:val="singleLevel"/>
    <w:tmpl w:val="34FC1884"/>
    <w:name w:val="Tiret 3"/>
    <w:lvl w:ilvl="0">
      <w:start w:val="1"/>
      <w:numFmt w:val="bullet"/>
      <w:lvlRestart w:val="0"/>
      <w:pStyle w:val="Tiret3"/>
      <w:lvlText w:val="–"/>
      <w:lvlJc w:val="left"/>
      <w:pPr>
        <w:tabs>
          <w:tab w:val="num" w:pos="2551"/>
        </w:tabs>
        <w:ind w:left="2551" w:hanging="567"/>
      </w:pPr>
      <w:rPr>
        <w:bdr w:val="none" w:sz="0" w:space="0" w:color="auto"/>
      </w:rPr>
    </w:lvl>
  </w:abstractNum>
  <w:abstractNum w:abstractNumId="15">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16">
    <w:nsid w:val="7214470D"/>
    <w:multiLevelType w:val="hybridMultilevel"/>
    <w:tmpl w:val="4BA8F898"/>
    <w:lvl w:ilvl="0" w:tplc="AE76520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num w:numId="1">
    <w:abstractNumId w:val="7"/>
  </w:num>
  <w:num w:numId="2">
    <w:abstractNumId w:val="9"/>
  </w:num>
  <w:num w:numId="3">
    <w:abstractNumId w:val="17"/>
  </w:num>
  <w:num w:numId="4">
    <w:abstractNumId w:val="4"/>
  </w:num>
  <w:num w:numId="5">
    <w:abstractNumId w:val="12"/>
  </w:num>
  <w:num w:numId="6">
    <w:abstractNumId w:val="8"/>
  </w:num>
  <w:num w:numId="7">
    <w:abstractNumId w:val="11"/>
  </w:num>
  <w:num w:numId="8">
    <w:abstractNumId w:val="15"/>
  </w:num>
  <w:num w:numId="9">
    <w:abstractNumId w:val="6"/>
  </w:num>
  <w:num w:numId="10">
    <w:abstractNumId w:val="1"/>
  </w:num>
  <w:num w:numId="11">
    <w:abstractNumId w:val="5"/>
  </w:num>
  <w:num w:numId="12">
    <w:abstractNumId w:val="5"/>
  </w:num>
  <w:num w:numId="13">
    <w:abstractNumId w:val="5"/>
  </w:num>
  <w:num w:numId="14">
    <w:abstractNumId w:val="5"/>
  </w:num>
  <w:num w:numId="15">
    <w:abstractNumId w:val="14"/>
  </w:num>
  <w:num w:numId="16">
    <w:abstractNumId w:val="13"/>
    <w:lvlOverride w:ilvl="0">
      <w:startOverride w:val="1"/>
    </w:lvlOverride>
  </w:num>
  <w:num w:numId="17">
    <w:abstractNumId w:val="13"/>
  </w:num>
  <w:num w:numId="18">
    <w:abstractNumId w:val="0"/>
  </w:num>
  <w:num w:numId="19">
    <w:abstractNumId w:val="2"/>
  </w:num>
  <w:num w:numId="20">
    <w:abstractNumId w:val="10"/>
  </w:num>
  <w:num w:numId="21">
    <w:abstractNumId w:val="3"/>
  </w:num>
  <w:num w:numId="22">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ctiveWritingStyle w:appName="MSWord" w:lang="pt-PT" w:vendorID="64" w:dllVersion="131078" w:nlCheck="1" w:checkStyle="0"/>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US" w:vendorID="8" w:dllVersion="513" w:checkStyle="1"/>
  <w:activeWritingStyle w:appName="MSWord" w:lang="en-GB" w:vendorID="8" w:dllVersion="513" w:checkStyle="1"/>
  <w:activeWritingStyle w:appName="MSWord" w:lang="fr-FR" w:vendorID="9" w:dllVersion="512" w:checkStyle="1"/>
  <w:activeWritingStyle w:appName="MSWord" w:lang="pl-PL" w:vendorID="12"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98305"/>
  </w:hdrShapeDefaults>
  <w:footnotePr>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pyNum" w:val="0"/>
    <w:docVar w:name="DocStatus" w:val="Green"/>
    <w:docVar w:name="DW_DocType" w:val="_GENEN"/>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88118887-87D0-455A-BFAC-A4C5F761C548"/>
    <w:docVar w:name="LW_COVERPAGE_TYPE" w:val="1"/>
    <w:docVar w:name="LW_CROSSREFERENCE" w:val="&lt;UNUSED&gt;"/>
    <w:docVar w:name="LW_DocType" w:val="_GENEN"/>
    <w:docVar w:name="LW_EMISSION" w:val="25.10.2019"/>
    <w:docVar w:name="LW_EMISSION_ISODATE" w:val="2019-10-25"/>
    <w:docVar w:name="LW_EMISSION_LOCATION" w:val="BRX"/>
    <w:docVar w:name="LW_EMISSION_PREFIX" w:val="Брюксел, "/>
    <w:docVar w:name="LW_EMISSION_SUFFIX" w:val=" \u1075?."/>
    <w:docVar w:name="LW_ID_DOCTYPE_NONLW" w:val="CP-036"/>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u1086?\u1090?\u1085?\u1086?\u1089?\u1085?\u1086? \u1087?\u1086?\u1079?\u1080?\u1094?\u1080?\u1103?\u1090?\u1072?, \u1082?\u1086?\u1103?\u1090?\u1086? \u1090?\u1088?\u1103?\u1073?\u1074?\u1072? \u1076?\u1072? \u1073?\u1098?\u1076?\u1077? \u1079?\u1072?\u1077?\u1090?\u1072? \u1086?\u1090? \u1045?\u1074?\u1088?\u1086?\u1087?\u1077?\u1081?\u1089?\u1082?\u1080?\u1103? \u1089?\u1098?\u1102?\u1079? \u1074? \u1088?\u1072?\u1084?\u1082?\u1080?\u1090?\u1077? \u1085?\u1072? \u1050?\u1086?\u1084?\u1080?\u1090?\u1077?\u1090?\u1072? \u1085?\u1072? \u1087?\u1086?\u1089?\u1083?\u1072?\u1085?\u1080?\u1094?\u1080?\u1090?\u1077? \u1040?\u1050?\u1058?\u1041?\u8212?\u1045?\u1057? \u1074?\u1098?\u1074? \u1074?\u1088?\u1098?\u1079?\u1082?\u1072? \u1089? \u1087?\u1088?\u1080?\u1077?\u1084?\u1072?\u1085?\u1077?\u1090?\u1086? \u1085?\u1072? \u1088?\u1077?\u1096?\u1077?\u1085?\u1080?\u1077? \u1079?\u1072? \u1087?\u1088?\u1080?\u1077?\u1084?\u1072?\u1085?\u1077?\u1090?\u1086? \u1085?\u1072? \u1087?\u1088?\u1077?\u1093?\u1086?\u1076?\u1085?\u1080? \u1084?\u1077?\u1088?\u1082?\u1080? \u1074? \u1089?\u1098?\u1086?\u1090?\u1074?\u1077?\u1090?\u1089?\u1090?\u1074?\u1080?\u1077? \u1089? \u1095?\u1083?\u1077?\u1085? 95, \u1087?\u1072?\u1088?\u1072?\u1075?\u1088?\u1072?\u1092? 4 \u1086?\u1090? \u1057?\u1087?\u1086?\u1088?\u1072?\u1079?\u1091?\u1084?\u1077?\u1085?\u1080?\u1077?\u1090?\u1086? \u1079?\u1072? \u1087?\u1072?\u1088?\u1090?\u1085?\u1100?\u1086?\u1088?\u1089?\u1090?\u1074?\u1086? \u1040?\u1050?\u1058?\u1041?\u8212?\u1045?\u1057?_x000d__x000d__x000b__x000d__x000d__x000d__x000d__x000d__x000d__x000d__x000d__x000b_"/>
    <w:docVar w:name="LW_PART_NBR" w:val="1"/>
    <w:docVar w:name="LW_PART_NBR_TOTAL" w:val="1"/>
    <w:docVar w:name="LW_REF.INST.NEW" w:val="COM"/>
    <w:docVar w:name="LW_REF.INST.NEW_ADOPTED" w:val="final"/>
    <w:docVar w:name="LW_REF.INST.NEW_TEXT" w:val="(2019) 55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u1055?\u1056?\u1048?\u1051?\u1054?\u1046?\u1045?\u1053?\u1048?\u1045?_x000b_"/>
    <w:docVar w:name="LW_TYPEACTEPRINCIPAL.CP" w:val="\u1055?\u1088?\u1077?\u1076?\u1083?\u1086?\u1078?\u1077?\u1085?\u1080?\u1077? \u1079?\u1072?_x000b__x000b_\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link w:val="FootnoteTextChar"/>
    <w:pPr>
      <w:tabs>
        <w:tab w:val="left" w:pos="567"/>
      </w:tabs>
      <w:spacing w:line="240" w:lineRule="auto"/>
      <w:ind w:left="567" w:hanging="567"/>
    </w:pPr>
  </w:style>
  <w:style w:type="paragraph" w:styleId="Header">
    <w:name w:val="header"/>
    <w:basedOn w:val="Normal"/>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semiHidden/>
    <w:rPr>
      <w:rFonts w:ascii="Tahoma" w:hAnsi="Tahoma" w:cs="Tahoma"/>
      <w:sz w:val="16"/>
      <w:szCs w:val="16"/>
    </w:rPr>
  </w:style>
  <w:style w:type="paragraph" w:customStyle="1" w:styleId="Typedudocument">
    <w:name w:val="Type du document"/>
    <w:basedOn w:val="Normal"/>
    <w:next w:val="Normal"/>
    <w:pPr>
      <w:widowControl/>
      <w:spacing w:before="360"/>
      <w:jc w:val="center"/>
    </w:pPr>
    <w:rPr>
      <w:b/>
      <w:szCs w:val="24"/>
      <w:lang w:eastAsia="en-US"/>
    </w:rPr>
  </w:style>
  <w:style w:type="character" w:customStyle="1" w:styleId="FootnoteTextChar">
    <w:name w:val="Footnote Text Char"/>
    <w:link w:val="FootnoteText"/>
    <w:rPr>
      <w:sz w:val="24"/>
      <w:lang w:eastAsia="fr-BE"/>
    </w:rPr>
  </w:style>
  <w:style w:type="paragraph" w:customStyle="1" w:styleId="Text1">
    <w:name w:val="Text 1"/>
    <w:basedOn w:val="Normal"/>
    <w:pPr>
      <w:widowControl/>
      <w:spacing w:before="120" w:after="120"/>
      <w:ind w:left="850"/>
      <w:outlineLvl w:val="0"/>
    </w:pPr>
    <w:rPr>
      <w:szCs w:val="24"/>
      <w:lang w:eastAsia="en-US"/>
    </w:rPr>
  </w:style>
  <w:style w:type="paragraph" w:customStyle="1" w:styleId="Point0">
    <w:name w:val="Point 0"/>
    <w:basedOn w:val="Normal"/>
    <w:pPr>
      <w:widowControl/>
      <w:spacing w:before="120" w:after="120"/>
      <w:ind w:left="850" w:hanging="850"/>
    </w:pPr>
    <w:rPr>
      <w:szCs w:val="24"/>
      <w:lang w:eastAsia="en-US"/>
    </w:rPr>
  </w:style>
  <w:style w:type="paragraph" w:customStyle="1" w:styleId="ManualNumPar1">
    <w:name w:val="Manual NumPar 1"/>
    <w:basedOn w:val="Normal"/>
    <w:next w:val="Text1"/>
    <w:pPr>
      <w:widowControl/>
      <w:spacing w:before="120" w:after="120"/>
      <w:ind w:left="850" w:hanging="850"/>
      <w:outlineLvl w:val="0"/>
    </w:pPr>
    <w:rPr>
      <w:szCs w:val="24"/>
      <w:lang w:eastAsia="en-US"/>
    </w:rPr>
  </w:style>
  <w:style w:type="paragraph" w:customStyle="1" w:styleId="Datedadoption">
    <w:name w:val="Date d'adoption"/>
    <w:basedOn w:val="Normal"/>
    <w:next w:val="Titreobjet"/>
    <w:pPr>
      <w:widowControl/>
      <w:spacing w:before="360"/>
      <w:jc w:val="center"/>
    </w:pPr>
    <w:rPr>
      <w:b/>
      <w:szCs w:val="24"/>
      <w:lang w:eastAsia="en-US"/>
    </w:rPr>
  </w:style>
  <w:style w:type="paragraph" w:customStyle="1" w:styleId="Fait">
    <w:name w:val="Fait à"/>
    <w:basedOn w:val="Normal"/>
    <w:next w:val="Institutionquisigne"/>
    <w:pPr>
      <w:keepNext/>
      <w:widowControl/>
      <w:spacing w:before="120"/>
    </w:pPr>
    <w:rPr>
      <w:szCs w:val="24"/>
      <w:lang w:eastAsia="en-US"/>
    </w:rPr>
  </w:style>
  <w:style w:type="paragraph" w:customStyle="1" w:styleId="Formuledadoption">
    <w:name w:val="Formule d'adoption"/>
    <w:basedOn w:val="Normal"/>
    <w:next w:val="Titrearticle"/>
    <w:pPr>
      <w:keepNext/>
      <w:widowControl/>
      <w:spacing w:before="120" w:after="120"/>
    </w:pPr>
    <w:rPr>
      <w:szCs w:val="24"/>
      <w:lang w:eastAsia="en-US"/>
    </w:rPr>
  </w:style>
  <w:style w:type="paragraph" w:customStyle="1" w:styleId="Institutionquiagit">
    <w:name w:val="Institution qui agit"/>
    <w:basedOn w:val="Normal"/>
    <w:next w:val="Normal"/>
    <w:pPr>
      <w:keepNext/>
      <w:widowControl/>
      <w:spacing w:before="600" w:after="120"/>
    </w:pPr>
    <w:rPr>
      <w:szCs w:val="24"/>
      <w:lang w:eastAsia="en-US"/>
    </w:rPr>
  </w:style>
  <w:style w:type="paragraph" w:customStyle="1" w:styleId="Institutionquisigne">
    <w:name w:val="Institution qui signe"/>
    <w:basedOn w:val="Normal"/>
    <w:next w:val="Personnequisigne"/>
    <w:pPr>
      <w:keepNext/>
      <w:widowControl/>
      <w:tabs>
        <w:tab w:val="left" w:pos="5669"/>
      </w:tabs>
      <w:spacing w:before="720"/>
    </w:pPr>
    <w:rPr>
      <w:i/>
      <w:szCs w:val="24"/>
      <w:lang w:eastAsia="en-US"/>
    </w:rPr>
  </w:style>
  <w:style w:type="paragraph" w:customStyle="1" w:styleId="ManualConsidrant">
    <w:name w:val="Manual Considérant"/>
    <w:basedOn w:val="Normal"/>
    <w:pPr>
      <w:widowControl/>
      <w:spacing w:before="120" w:after="120"/>
      <w:ind w:left="850" w:hanging="850"/>
    </w:pPr>
    <w:rPr>
      <w:szCs w:val="24"/>
      <w:lang w:eastAsia="en-US"/>
    </w:rPr>
  </w:style>
  <w:style w:type="paragraph" w:customStyle="1" w:styleId="Personnequisigne">
    <w:name w:val="Personne qui signe"/>
    <w:basedOn w:val="Normal"/>
    <w:next w:val="Institutionquisigne"/>
    <w:pPr>
      <w:widowControl/>
      <w:tabs>
        <w:tab w:val="left" w:pos="5669"/>
      </w:tabs>
    </w:pPr>
    <w:rPr>
      <w:i/>
      <w:szCs w:val="24"/>
      <w:lang w:eastAsia="en-US"/>
    </w:rPr>
  </w:style>
  <w:style w:type="paragraph" w:customStyle="1" w:styleId="Titrearticle">
    <w:name w:val="Titre article"/>
    <w:basedOn w:val="Normal"/>
    <w:next w:val="Normal"/>
    <w:pPr>
      <w:keepNext/>
      <w:widowControl/>
      <w:spacing w:before="360" w:after="120"/>
      <w:jc w:val="center"/>
    </w:pPr>
    <w:rPr>
      <w:i/>
      <w:szCs w:val="24"/>
      <w:lang w:eastAsia="en-US"/>
    </w:rPr>
  </w:style>
  <w:style w:type="paragraph" w:customStyle="1" w:styleId="Titreobjet">
    <w:name w:val="Titre objet"/>
    <w:basedOn w:val="Normal"/>
    <w:next w:val="Normal"/>
    <w:pPr>
      <w:widowControl/>
      <w:spacing w:before="360" w:after="360"/>
      <w:jc w:val="center"/>
    </w:pPr>
    <w:rPr>
      <w:b/>
      <w:szCs w:val="24"/>
      <w:lang w:eastAsia="en-US"/>
    </w:rPr>
  </w:style>
  <w:style w:type="paragraph" w:customStyle="1" w:styleId="Lignefinal">
    <w:name w:val="Ligne final"/>
    <w:basedOn w:val="Normal"/>
    <w:next w:val="Normal"/>
    <w:pPr>
      <w:widowControl/>
      <w:pBdr>
        <w:bottom w:val="single" w:sz="4" w:space="0" w:color="000000"/>
      </w:pBdr>
      <w:spacing w:before="360" w:after="120"/>
      <w:ind w:left="3400" w:right="3400"/>
      <w:jc w:val="center"/>
    </w:pPr>
    <w:rPr>
      <w:b/>
      <w:szCs w:val="24"/>
      <w:lang w:eastAsia="en-US"/>
    </w:rPr>
  </w:style>
  <w:style w:type="paragraph" w:customStyle="1" w:styleId="Tiret3">
    <w:name w:val="Tiret 3"/>
    <w:basedOn w:val="Normal"/>
    <w:pPr>
      <w:widowControl/>
      <w:numPr>
        <w:numId w:val="15"/>
      </w:numPr>
      <w:tabs>
        <w:tab w:val="clear" w:pos="2551"/>
        <w:tab w:val="num" w:pos="360"/>
      </w:tabs>
      <w:spacing w:before="120" w:after="120"/>
      <w:ind w:left="0" w:firstLine="0"/>
    </w:pPr>
    <w:rPr>
      <w:rFonts w:eastAsia="Calibri"/>
      <w:szCs w:val="22"/>
      <w:lang w:eastAsia="en-US"/>
    </w:rPr>
  </w:style>
  <w:style w:type="paragraph" w:customStyle="1" w:styleId="Tiret1">
    <w:name w:val="Tiret 1"/>
    <w:basedOn w:val="Normal"/>
    <w:pPr>
      <w:widowControl/>
      <w:numPr>
        <w:numId w:val="16"/>
      </w:numPr>
      <w:tabs>
        <w:tab w:val="clear" w:pos="1417"/>
        <w:tab w:val="num" w:pos="851"/>
      </w:tabs>
      <w:spacing w:before="120" w:after="120"/>
      <w:ind w:left="851" w:hanging="851"/>
    </w:pPr>
    <w:rPr>
      <w:rFonts w:eastAsia="Calibri"/>
      <w:szCs w:val="22"/>
      <w:lang w:eastAsia="en-US"/>
    </w:rPr>
  </w:style>
  <w:style w:type="paragraph" w:customStyle="1" w:styleId="Pointabc">
    <w:name w:val="Point abc"/>
    <w:basedOn w:val="Normal"/>
    <w:pPr>
      <w:widowControl/>
      <w:numPr>
        <w:ilvl w:val="1"/>
        <w:numId w:val="18"/>
      </w:numPr>
      <w:tabs>
        <w:tab w:val="clear" w:pos="567"/>
        <w:tab w:val="num" w:pos="1417"/>
      </w:tabs>
      <w:spacing w:before="120" w:after="120"/>
      <w:ind w:left="1417"/>
    </w:pPr>
    <w:rPr>
      <w:rFonts w:eastAsia="Calibri"/>
      <w:szCs w:val="22"/>
      <w:lang w:eastAsia="en-US"/>
    </w:rPr>
  </w:style>
  <w:style w:type="paragraph" w:customStyle="1" w:styleId="Pointabc1">
    <w:name w:val="Point abc (1)"/>
    <w:basedOn w:val="Normal"/>
    <w:pPr>
      <w:widowControl/>
      <w:numPr>
        <w:ilvl w:val="3"/>
        <w:numId w:val="18"/>
      </w:numPr>
      <w:tabs>
        <w:tab w:val="clear" w:pos="1134"/>
        <w:tab w:val="num" w:pos="1417"/>
      </w:tabs>
      <w:spacing w:before="120" w:after="120"/>
      <w:ind w:left="1417"/>
    </w:pPr>
    <w:rPr>
      <w:rFonts w:eastAsia="Calibri"/>
      <w:szCs w:val="22"/>
      <w:lang w:eastAsia="en-US"/>
    </w:rPr>
  </w:style>
  <w:style w:type="paragraph" w:customStyle="1" w:styleId="Pointabc2">
    <w:name w:val="Point abc (2)"/>
    <w:basedOn w:val="Normal"/>
    <w:pPr>
      <w:widowControl/>
      <w:numPr>
        <w:ilvl w:val="5"/>
        <w:numId w:val="18"/>
      </w:numPr>
      <w:tabs>
        <w:tab w:val="clear" w:pos="1701"/>
        <w:tab w:val="num" w:pos="1417"/>
      </w:tabs>
      <w:spacing w:before="120" w:after="120"/>
      <w:ind w:left="1417"/>
    </w:pPr>
    <w:rPr>
      <w:rFonts w:eastAsia="Calibri"/>
      <w:szCs w:val="22"/>
      <w:lang w:eastAsia="en-US"/>
    </w:rPr>
  </w:style>
  <w:style w:type="paragraph" w:customStyle="1" w:styleId="Pointabc3">
    <w:name w:val="Point abc (3)"/>
    <w:basedOn w:val="Normal"/>
    <w:pPr>
      <w:widowControl/>
      <w:numPr>
        <w:ilvl w:val="7"/>
        <w:numId w:val="18"/>
      </w:numPr>
      <w:tabs>
        <w:tab w:val="clear" w:pos="2268"/>
        <w:tab w:val="num" w:pos="1417"/>
      </w:tabs>
      <w:spacing w:before="120" w:after="120"/>
      <w:ind w:left="1417"/>
    </w:pPr>
    <w:rPr>
      <w:rFonts w:eastAsia="Calibri"/>
      <w:szCs w:val="22"/>
      <w:lang w:eastAsia="en-US"/>
    </w:rPr>
  </w:style>
  <w:style w:type="paragraph" w:customStyle="1" w:styleId="Pointabc4">
    <w:name w:val="Point abc (4)"/>
    <w:basedOn w:val="Normal"/>
    <w:pPr>
      <w:widowControl/>
      <w:numPr>
        <w:ilvl w:val="8"/>
        <w:numId w:val="18"/>
      </w:numPr>
      <w:tabs>
        <w:tab w:val="clear" w:pos="2835"/>
        <w:tab w:val="num" w:pos="1417"/>
      </w:tabs>
      <w:spacing w:before="120" w:after="120"/>
      <w:ind w:left="1417"/>
    </w:pPr>
    <w:rPr>
      <w:rFonts w:eastAsia="Calibri"/>
      <w:szCs w:val="22"/>
      <w:lang w:eastAsia="en-US"/>
    </w:rPr>
  </w:style>
  <w:style w:type="paragraph" w:customStyle="1" w:styleId="Point123">
    <w:name w:val="Point 123"/>
    <w:basedOn w:val="Normal"/>
    <w:pPr>
      <w:widowControl/>
      <w:numPr>
        <w:numId w:val="18"/>
      </w:numPr>
      <w:tabs>
        <w:tab w:val="clear" w:pos="567"/>
        <w:tab w:val="num" w:pos="1417"/>
      </w:tabs>
      <w:spacing w:before="120" w:after="120"/>
      <w:ind w:left="1417"/>
    </w:pPr>
    <w:rPr>
      <w:rFonts w:eastAsia="Calibri"/>
      <w:szCs w:val="22"/>
      <w:lang w:eastAsia="en-US"/>
    </w:rPr>
  </w:style>
  <w:style w:type="paragraph" w:customStyle="1" w:styleId="Point1231">
    <w:name w:val="Point 123 (1)"/>
    <w:basedOn w:val="Normal"/>
    <w:pPr>
      <w:widowControl/>
      <w:numPr>
        <w:ilvl w:val="2"/>
        <w:numId w:val="18"/>
      </w:numPr>
      <w:tabs>
        <w:tab w:val="clear" w:pos="1134"/>
        <w:tab w:val="num" w:pos="1417"/>
      </w:tabs>
      <w:spacing w:before="120" w:after="120"/>
      <w:ind w:left="1417"/>
    </w:pPr>
    <w:rPr>
      <w:rFonts w:eastAsia="Calibri"/>
      <w:szCs w:val="22"/>
      <w:lang w:eastAsia="en-US"/>
    </w:rPr>
  </w:style>
  <w:style w:type="paragraph" w:customStyle="1" w:styleId="Point1232">
    <w:name w:val="Point 123 (2)"/>
    <w:basedOn w:val="Normal"/>
    <w:pPr>
      <w:widowControl/>
      <w:numPr>
        <w:ilvl w:val="4"/>
        <w:numId w:val="18"/>
      </w:numPr>
      <w:tabs>
        <w:tab w:val="clear" w:pos="1701"/>
        <w:tab w:val="num" w:pos="1417"/>
      </w:tabs>
      <w:spacing w:before="120" w:after="120"/>
      <w:ind w:left="1417"/>
    </w:pPr>
    <w:rPr>
      <w:rFonts w:eastAsia="Calibri"/>
      <w:szCs w:val="22"/>
      <w:lang w:eastAsia="en-US"/>
    </w:rPr>
  </w:style>
  <w:style w:type="paragraph" w:customStyle="1" w:styleId="Point1233">
    <w:name w:val="Point 123 (3)"/>
    <w:basedOn w:val="Normal"/>
    <w:pPr>
      <w:widowControl/>
      <w:numPr>
        <w:ilvl w:val="6"/>
        <w:numId w:val="18"/>
      </w:numPr>
      <w:tabs>
        <w:tab w:val="clear" w:pos="2268"/>
        <w:tab w:val="num" w:pos="1417"/>
      </w:tabs>
      <w:spacing w:before="120" w:after="120"/>
      <w:ind w:left="1417"/>
    </w:pPr>
    <w:rPr>
      <w:rFonts w:eastAsia="Calibr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lang w:eastAsia="fr-B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eastAsia="fr-BE"/>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lang w:eastAsia="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lang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lang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lang w:eastAsia="fr-BE"/>
    </w:rPr>
  </w:style>
  <w:style w:type="paragraph" w:customStyle="1" w:styleId="HeaderSensitivityRight">
    <w:name w:val="Header Sensitivity Right"/>
    <w:basedOn w:val="Normal"/>
    <w:link w:val="HeaderSensitivityRightChar"/>
    <w:pPr>
      <w:spacing w:after="120" w:line="240" w:lineRule="auto"/>
      <w:jc w:val="right"/>
    </w:pPr>
    <w:rPr>
      <w:sz w:val="28"/>
    </w:rPr>
  </w:style>
  <w:style w:type="character" w:customStyle="1" w:styleId="HeaderSensitivityRightChar">
    <w:name w:val="Header Sensitivity Right Char"/>
    <w:basedOn w:val="DefaultParagraphFont"/>
    <w:link w:val="HeaderSensitivityRight"/>
    <w:rPr>
      <w:sz w:val="28"/>
      <w:lang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4461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876D0-C192-4596-B0A5-0A2A431D3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489</Words>
  <Characters>2417</Characters>
  <Application>Microsoft Office Word</Application>
  <DocSecurity>0</DocSecurity>
  <Lines>92</Lines>
  <Paragraphs>37</Paragraphs>
  <ScaleCrop>false</ScaleCrop>
  <HeadingPairs>
    <vt:vector size="2" baseType="variant">
      <vt:variant>
        <vt:lpstr>Title</vt:lpstr>
      </vt:variant>
      <vt:variant>
        <vt:i4>1</vt:i4>
      </vt:variant>
    </vt:vector>
  </HeadingPairs>
  <TitlesOfParts>
    <vt:vector size="1" baseType="lpstr">
      <vt:lpstr>GEN</vt:lpstr>
    </vt:vector>
  </TitlesOfParts>
  <Company>DTI</Company>
  <LinksUpToDate>false</LinksUpToDate>
  <CharactersWithSpaces>2869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RANDERS Berit</dc:creator>
  <cp:lastModifiedBy>WES PDFC Administrator</cp:lastModifiedBy>
  <cp:revision>19</cp:revision>
  <cp:lastPrinted>2018-12-18T09:14:00Z</cp:lastPrinted>
  <dcterms:created xsi:type="dcterms:W3CDTF">2019-10-16T07:40:00Z</dcterms:created>
  <dcterms:modified xsi:type="dcterms:W3CDTF">2019-10-25T09:19:00Z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1</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PTemplateID">
    <vt:lpwstr>CP-036</vt:lpwstr>
  </property>
  <property fmtid="{D5CDD505-2E9C-101B-9397-08002B2CF9AE}" pid="10" name="Last edited using">
    <vt:lpwstr>LW 7.0, Build 20190717</vt:lpwstr>
  </property>
  <property fmtid="{D5CDD505-2E9C-101B-9397-08002B2CF9AE}" pid="11" name="Created using">
    <vt:lpwstr>LW 7.0, Build 20190717</vt:lpwstr>
  </property>
</Properties>
</file>