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8E5210B-AF51-48F3-8F00-CE94071F3620" style="width:450.75pt;height:436.5pt">
            <v:imagedata r:id="rId9" o:title=""/>
          </v:shape>
        </w:pict>
      </w:r>
    </w:p>
    <w:p>
      <w:pPr>
        <w:pStyle w:val="Pagedecouverture"/>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240" w:after="240"/>
        <w:rPr>
          <w:noProof/>
          <w:szCs w:val="24"/>
        </w:rPr>
      </w:pPr>
      <w:r>
        <w:rPr>
          <w:noProof/>
        </w:rPr>
        <w:t xml:space="preserve">На 29 март 2017 г. Обединеното кралство нотифицира Европейския съвет съгласно член 50 от Договора за Европейския съюз (ДЕС) за намерението си да се оттегли от Европейския съюз и от Европейската общност за атомна енергия. В съответствие с посочената разпоредба Европейският съюз договори с Обединеното кралство споразумение, с което се определят редът и условията за неговото оттегляне (наричано по-нататък „Споразумението за оттегляне“), като се вземе предвид рамката на бъдещите му отношения със Съюза. </w:t>
      </w:r>
    </w:p>
    <w:p>
      <w:pPr>
        <w:pBdr>
          <w:top w:val="nil"/>
          <w:left w:val="nil"/>
          <w:bottom w:val="nil"/>
          <w:right w:val="nil"/>
          <w:between w:val="nil"/>
          <w:bar w:val="nil"/>
        </w:pBdr>
        <w:spacing w:after="240"/>
        <w:rPr>
          <w:noProof/>
          <w:szCs w:val="24"/>
        </w:rPr>
      </w:pPr>
      <w:r>
        <w:rPr>
          <w:noProof/>
        </w:rPr>
        <w:t>На 25 ноември 2018 г. Европейският съвет (член 50) одобри Споразумението за оттегляне и Политическа декларация, очертаваща рамката на бъдещите отношения между Европейския съюз и Обединеното кралство („Политическата декларация“), съгласно договореното на равнище преговарящи. В изявленията към протокола на заседанието на Европейския съвет от 25 ноември 2018 г. бяха включени две декларации на Европейския съвет и на Комисията: тълкувателна декларация по член 184 от Споразумението за оттегляне и декларация относно териториалния обхват на бъдещите споразумения. На 5 декември 2018 г. Комисията представи предложение за Решение на Съвета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(COM(2018) 833) и предложение за Решение на Съвета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(COM(2018) 834).</w:t>
      </w:r>
    </w:p>
    <w:p>
      <w:pPr>
        <w:pBdr>
          <w:top w:val="nil"/>
          <w:left w:val="nil"/>
          <w:bottom w:val="nil"/>
          <w:right w:val="nil"/>
          <w:between w:val="nil"/>
          <w:bar w:val="nil"/>
        </w:pBdr>
        <w:spacing w:after="240"/>
        <w:rPr>
          <w:noProof/>
          <w:szCs w:val="24"/>
        </w:rPr>
      </w:pPr>
      <w:r>
        <w:rPr>
          <w:noProof/>
        </w:rPr>
        <w:t>На 11 януари 2019 г. Съветът прие Решение (ЕС) 2019/274, с което се разрешава подписването на Споразумението за оттегляне</w:t>
      </w:r>
      <w:r>
        <w:rPr>
          <w:rStyle w:val="FootnoteReference"/>
          <w:noProof/>
        </w:rPr>
        <w:footnoteReference w:id="1"/>
      </w:r>
      <w:r>
        <w:rPr>
          <w:noProof/>
        </w:rPr>
        <w:t xml:space="preserve">, и предаде за одобрение на Европейския парламент проекта на решение на Съвета за сключване на Споразумението за оттегляне. </w:t>
      </w:r>
    </w:p>
    <w:p>
      <w:pPr>
        <w:rPr>
          <w:noProof/>
          <w:szCs w:val="24"/>
        </w:rPr>
      </w:pPr>
      <w:r>
        <w:rPr>
          <w:noProof/>
        </w:rPr>
        <w:t>Правителството на Обединеното кралство обаче не получи необходимата подкрепа от своя парламент, за да пристъпи към подписването и ратифицирането на Споразумението за оттегляне, и поиска от Европейския съвет да удължи срока, предвиден в член 50, параграф 3 от ДЕС. Първоначално Европейският съвет продължи срока до 12 април 2019 г.</w:t>
      </w:r>
      <w:r>
        <w:rPr>
          <w:rStyle w:val="FootnoteReference"/>
          <w:noProof/>
        </w:rPr>
        <w:footnoteReference w:id="2"/>
      </w:r>
      <w:r>
        <w:rPr>
          <w:noProof/>
        </w:rPr>
        <w:t xml:space="preserve"> и впоследствие го продължи допълнително до 31 октомври 2019 г.</w:t>
      </w:r>
      <w:r>
        <w:rPr>
          <w:rStyle w:val="FootnoteReference"/>
          <w:noProof/>
        </w:rPr>
        <w:footnoteReference w:id="3"/>
      </w:r>
      <w:r>
        <w:rPr>
          <w:noProof/>
        </w:rPr>
        <w:t xml:space="preserve"> В резултат на това датата на влизане в сила на Споразумението за оттегляне трябваше да бъде съответно коригирана и, по предложение на Комисията (COM(2019) </w:t>
      </w:r>
      <w:r>
        <w:rPr>
          <w:noProof/>
        </w:rPr>
        <w:lastRenderedPageBreak/>
        <w:t>97), на 13 април 2019 г. Съветът прие Решение 2019/642 за изменение на Решение (ЕС) 2019/274 за подписване на адаптирания текст на Споразумението за оттегляне</w:t>
      </w:r>
      <w:r>
        <w:rPr>
          <w:rStyle w:val="FootnoteReference"/>
          <w:noProof/>
        </w:rPr>
        <w:footnoteReference w:id="4"/>
      </w:r>
      <w:r>
        <w:rPr>
          <w:noProof/>
        </w:rPr>
        <w:t xml:space="preserve">. </w:t>
      </w:r>
    </w:p>
    <w:p>
      <w:pPr>
        <w:pBdr>
          <w:top w:val="nil"/>
          <w:left w:val="nil"/>
          <w:bottom w:val="nil"/>
          <w:right w:val="nil"/>
          <w:between w:val="nil"/>
          <w:bar w:val="nil"/>
        </w:pBdr>
        <w:spacing w:after="240"/>
        <w:rPr>
          <w:noProof/>
          <w:szCs w:val="24"/>
        </w:rPr>
      </w:pPr>
      <w:r>
        <w:rPr>
          <w:noProof/>
        </w:rPr>
        <w:t>След оставката на Тереза Мей от поста министър-председател на Обединеното кралство новото правителство на Обединеното кралство поиска Протоколът за Ирландия/Северна Ирландия, приложен към Споразумението за оттегляне, прието на 25 ноември 2018 г. от Европейския съвет, да бъде заменен. Правителството на Обединеното кралство също така поиска изменения в Политическата декларация, очертаваща рамката на бъдещите отношения между Европейския съюз и Обединеното кралство Великобритания и Северна Ирландия (наричана по-нататък „Политическата декларация“</w:t>
      </w:r>
      <w:r>
        <w:rPr>
          <w:rStyle w:val="FootnoteReference"/>
          <w:noProof/>
        </w:rPr>
        <w:footnoteReference w:id="5"/>
      </w:r>
      <w:r>
        <w:rPr>
          <w:noProof/>
        </w:rPr>
        <w:t xml:space="preserve">), одобрена на 25 ноември 2018 г., с цел да се отрази различната степен на амбиция на правителството на Обединеното кралство по отношение на бъдещите отношения със Съюза. Обсъжданията между преговарящите от Съюза и Обединеното кралство бяха възобновени през септември 2019 г. </w:t>
      </w:r>
    </w:p>
    <w:p>
      <w:pPr>
        <w:pBdr>
          <w:top w:val="nil"/>
          <w:left w:val="nil"/>
          <w:bottom w:val="nil"/>
          <w:right w:val="nil"/>
          <w:between w:val="nil"/>
          <w:bar w:val="nil"/>
        </w:pBdr>
        <w:spacing w:after="240"/>
        <w:rPr>
          <w:noProof/>
          <w:szCs w:val="24"/>
        </w:rPr>
      </w:pPr>
      <w:r>
        <w:rPr>
          <w:noProof/>
        </w:rPr>
        <w:t xml:space="preserve">На 17 октомври 2019 г. преговарящите постигнаха съгласие по преработен текст на Протокола за Ирландия/Северна Ирландия и по необходимите технически адаптации на членове 184 и 185 от Споразумението за оттегляне, както и по преработена политическа декларация. Правителството на Обединеното кралство даде своето одобрение за двата текста, договорени на равнище преговарящи на 17 октомври 2019 г. На същата дата Европейският съвет, въз основа на препоръка от председателя на Комисията, одобри преразгледаното Споразумение за оттегляне и преразгледаната Политическа декларация, съгласно договореното на равнище преговарящи. Поради това е необходимо Решение (ЕС) 2019/274 относно подписването на Споразумението за оттегляне да бъде съответно изменено.  </w:t>
      </w:r>
    </w:p>
    <w:p>
      <w:pPr>
        <w:rPr>
          <w:noProof/>
        </w:rPr>
      </w:pP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Решение (ЕС) 2019/274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50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На 29 март 2017 г. Обединеното кралство нотифицира Европейския съвет за намерението си да се оттегли от Европейския съюз и Европейската общност за атомна енергия (Евратом) в съответствие с член 50 от Договора за Европейския съюз (ДЕС), който се прилага по отношение на Евратом по силата на член 106а от Договора за създаване на Европейската общност за атомна енергия.</w:t>
      </w:r>
    </w:p>
    <w:p>
      <w:pPr>
        <w:pStyle w:val="ManualConsidrant"/>
        <w:rPr>
          <w:noProof/>
        </w:rPr>
      </w:pPr>
      <w:r>
        <w:t>(2)</w:t>
      </w:r>
      <w:r>
        <w:tab/>
      </w:r>
      <w:r>
        <w:rPr>
          <w:noProof/>
        </w:rPr>
        <w:t xml:space="preserve">В съответствие с член 50 от ДЕС Европейският съюз договори с Обединеното кралство споразумение, с което се определят редът и условията за неговото оттегляне, като се вземе предвид рамката на бъдещите му отношения със Съюза (наричано по-нататък „Споразумението за оттегляне“). </w:t>
      </w:r>
    </w:p>
    <w:p>
      <w:pPr>
        <w:pStyle w:val="ManualConsidrant"/>
        <w:rPr>
          <w:noProof/>
        </w:rPr>
      </w:pPr>
      <w:r>
        <w:t>(3)</w:t>
      </w:r>
      <w:r>
        <w:tab/>
      </w:r>
      <w:r>
        <w:rPr>
          <w:noProof/>
        </w:rPr>
        <w:t>На 11 януари 2019 г. Съветът прие Решение (ЕС) 2019/274</w:t>
      </w:r>
      <w:r>
        <w:rPr>
          <w:rStyle w:val="FootnoteReference"/>
          <w:noProof/>
        </w:rPr>
        <w:footnoteReference w:id="6"/>
      </w:r>
      <w:r>
        <w:rPr>
          <w:noProof/>
        </w:rPr>
        <w:t xml:space="preserve"> относно подписването на Споразумението за оттегляне. </w:t>
      </w:r>
    </w:p>
    <w:p>
      <w:pPr>
        <w:pStyle w:val="ManualConsidrant"/>
        <w:rPr>
          <w:noProof/>
        </w:rPr>
      </w:pPr>
      <w:r>
        <w:t>(4)</w:t>
      </w:r>
      <w:r>
        <w:tab/>
      </w:r>
      <w:r>
        <w:rPr>
          <w:noProof/>
        </w:rPr>
        <w:t>С Решение (ЕС) 2019/476</w:t>
      </w:r>
      <w:r>
        <w:rPr>
          <w:rStyle w:val="FootnoteReference"/>
          <w:noProof/>
        </w:rPr>
        <w:footnoteReference w:id="7"/>
      </w:r>
      <w:r>
        <w:rPr>
          <w:noProof/>
        </w:rPr>
        <w:t xml:space="preserve"> Европейският съвет, в съгласие с Обединеното кралство, реши първоначално да продължи срока по член 50, параграф 3 от ДЕС </w:t>
      </w:r>
      <w:r>
        <w:rPr>
          <w:noProof/>
        </w:rPr>
        <w:lastRenderedPageBreak/>
        <w:t>до 12 април 2019 г. Този срок беше допълнително продължен до 31 октомври 2019 г. с Решение (ЕС) 2019/584</w:t>
      </w:r>
      <w:r>
        <w:rPr>
          <w:rStyle w:val="FootnoteReference"/>
          <w:noProof/>
        </w:rPr>
        <w:footnoteReference w:id="8"/>
      </w:r>
      <w:r>
        <w:rPr>
          <w:noProof/>
        </w:rPr>
        <w:t xml:space="preserve"> на Европейския съвет, взето в съгласие с Обединеното кралство. </w:t>
      </w:r>
    </w:p>
    <w:p>
      <w:pPr>
        <w:pStyle w:val="ManualConsidrant"/>
        <w:rPr>
          <w:noProof/>
        </w:rPr>
      </w:pPr>
      <w:r>
        <w:t>(5)</w:t>
      </w:r>
      <w:r>
        <w:tab/>
      </w:r>
      <w:r>
        <w:rPr>
          <w:noProof/>
        </w:rPr>
        <w:t>В резултат на това датата на влизане в сила на Споразумението за оттегляне трябваше да бъде съответно коригирана и Решение (ЕС) 2019/274 на Съвета относно подписването на Споразумението за оттегляне беше изменено, за да се вземе предвид адаптираният текст на Споразумението за оттегляне</w:t>
      </w:r>
      <w:r>
        <w:rPr>
          <w:rStyle w:val="FootnoteReference"/>
          <w:noProof/>
        </w:rPr>
        <w:footnoteReference w:id="9"/>
      </w:r>
      <w:r>
        <w:rPr>
          <w:noProof/>
        </w:rPr>
        <w:t xml:space="preserve">. </w:t>
      </w:r>
    </w:p>
    <w:p>
      <w:pPr>
        <w:pStyle w:val="ManualConsidrant"/>
        <w:rPr>
          <w:noProof/>
        </w:rPr>
      </w:pPr>
      <w:r>
        <w:t>(6)</w:t>
      </w:r>
      <w:r>
        <w:tab/>
      </w:r>
      <w:r>
        <w:rPr>
          <w:noProof/>
        </w:rPr>
        <w:t>В резултат на състоялите се през септември и октомври 2019 г. преговори между преговарящите от Съюза и Обединеното кралство беше постигнато съгласие по преработен текст на Протокола за Ирландия/Северна Ирландия, включен в Споразумението за оттегляне, както и по необходимите технически адаптации на членове 184 и 185 от посоченото Споразумение. На 17 октомври 2019 г. Европейският съвет одобри измененото Споразумение за оттегляне.</w:t>
      </w:r>
    </w:p>
    <w:p>
      <w:pPr>
        <w:pStyle w:val="ManualConsidrant"/>
        <w:rPr>
          <w:noProof/>
        </w:rPr>
      </w:pPr>
      <w:r>
        <w:t>(7)</w:t>
      </w:r>
      <w:r>
        <w:tab/>
      </w:r>
      <w:r>
        <w:rPr>
          <w:noProof/>
        </w:rPr>
        <w:t>Поради това Решение (ЕС) 2019/274 следва да бъде съответно изменено.</w:t>
      </w:r>
    </w:p>
    <w:p>
      <w:pPr>
        <w:pStyle w:val="ManualConsidrant"/>
        <w:rPr>
          <w:noProof/>
        </w:rPr>
      </w:pPr>
      <w:r>
        <w:t>(8)</w:t>
      </w:r>
      <w:r>
        <w:tab/>
      </w:r>
      <w:r>
        <w:rPr>
          <w:noProof/>
        </w:rPr>
        <w:t>Както е предвидено в член 50, параграф 4 от ДЕС, Обединеното кралство не участва нито в обсъжданията на Съвета относно настоящото решение, нито в приемането му,</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Член 1, втора алинея от Решение (ЕС) 2019/274 се заменя със следното:</w:t>
      </w:r>
    </w:p>
    <w:p>
      <w:pPr>
        <w:spacing w:after="0"/>
        <w:rPr>
          <w:noProof/>
        </w:rPr>
      </w:pPr>
      <w:r>
        <w:rPr>
          <w:noProof/>
        </w:rPr>
        <w:t>„Текстът на измененото Споразумение е приложен към настоящото решение.“</w:t>
      </w:r>
    </w:p>
    <w:p>
      <w:pPr>
        <w:spacing w:before="0" w:after="0"/>
        <w:rPr>
          <w:noProof/>
        </w:rPr>
      </w:pPr>
    </w:p>
    <w:p>
      <w:pPr>
        <w:pStyle w:val="Titrearticle"/>
        <w:rPr>
          <w:noProof/>
        </w:rPr>
      </w:pPr>
      <w:r>
        <w:rPr>
          <w:noProof/>
        </w:rPr>
        <w:t>Член 2</w:t>
      </w:r>
    </w:p>
    <w:p>
      <w:pPr>
        <w:rPr>
          <w:noProof/>
        </w:rPr>
      </w:pPr>
      <w:r>
        <w:rPr>
          <w:noProof/>
        </w:rPr>
        <w:t>Текстът на Споразумението, приложен към Решение (ЕС) 2019/274, се заменя с текста на измененото Споразумение, приложен към настоящото решение.</w:t>
      </w:r>
    </w:p>
    <w:p>
      <w:pPr>
        <w:pStyle w:val="Titrearticle"/>
        <w:rPr>
          <w:noProof/>
        </w:rPr>
      </w:pPr>
      <w:r>
        <w:rPr>
          <w:noProof/>
        </w:rPr>
        <w:lastRenderedPageBreak/>
        <w:t>Член 3</w:t>
      </w:r>
    </w:p>
    <w:p>
      <w:pPr>
        <w:keepNext/>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2019/274 на Съвета от 11 януари 2019 г.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(OВ L 47I, 19.2.2019 г., стр. 1). Текстът на Споразумението за оттегляне, приложен към Решение (ЕС) 2019/274, беше публикуван в ОВ C 66 I, 19.2.2019 г., стр. 1.</w:t>
      </w:r>
    </w:p>
  </w:footnote>
  <w:footnote w:id="2">
    <w:p>
      <w:pPr>
        <w:pStyle w:val="FootnoteText"/>
      </w:pPr>
      <w:r>
        <w:rPr>
          <w:rStyle w:val="FootnoteReference"/>
        </w:rPr>
        <w:footnoteRef/>
      </w:r>
      <w:r>
        <w:tab/>
        <w:t>Решение (EС) 2019/476 на Европейския съвет, взето в съгласие с Обединеното кралство, от 22 март 2019 г. за продължаване на срока по член 50, параграф 3 от ДЕС (ОВ L 80 I, 22.3.2019 г., стр. 1).</w:t>
      </w:r>
    </w:p>
  </w:footnote>
  <w:footnote w:id="3">
    <w:p>
      <w:pPr>
        <w:pStyle w:val="FootnoteText"/>
      </w:pPr>
      <w:r>
        <w:rPr>
          <w:rStyle w:val="FootnoteReference"/>
        </w:rPr>
        <w:footnoteRef/>
      </w:r>
      <w:r>
        <w:tab/>
        <w:t>Решение (ЕС) 2019/584 на Европейския съвет, взето в съгласие с Обединеното кралство, от 11 април 2019 г. за продължаване на срока по член 50, параграф 3 от Договора за Европейския съюз (ОВ L 101, 11.4.2019 г., стр. 1).</w:t>
      </w:r>
    </w:p>
  </w:footnote>
  <w:footnote w:id="4">
    <w:p>
      <w:pPr>
        <w:pStyle w:val="FootnoteText"/>
      </w:pPr>
      <w:r>
        <w:rPr>
          <w:rStyle w:val="FootnoteReference"/>
        </w:rPr>
        <w:footnoteRef/>
      </w:r>
      <w:r>
        <w:tab/>
        <w:t>Решение (ЕС) 2019/642 на Съвета от 13 април 2019 г. за изменение на Решение (ЕС) 2019/274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110 I, 25.4.2019 г., стр. 1). Текстът на Споразумението за оттегляне, приложен към Решение (ЕС) 2019/642, беше публикуван в ОВ C 144 I, 25.4.2019 г., стр. 1.</w:t>
      </w:r>
    </w:p>
  </w:footnote>
  <w:footnote w:id="5">
    <w:p>
      <w:pPr>
        <w:pStyle w:val="FootnoteText"/>
      </w:pPr>
      <w:r>
        <w:rPr>
          <w:rStyle w:val="FootnoteReference"/>
        </w:rPr>
        <w:footnoteRef/>
      </w:r>
      <w:r>
        <w:tab/>
        <w:t>Текстът на Политическата декларация беше публикуван в ОВ C 66 I, 19.2.2019 г., стр. 1.</w:t>
      </w:r>
    </w:p>
  </w:footnote>
  <w:footnote w:id="6">
    <w:p>
      <w:pPr>
        <w:pStyle w:val="FootnoteText"/>
      </w:pPr>
      <w:r>
        <w:rPr>
          <w:rStyle w:val="FootnoteReference"/>
        </w:rPr>
        <w:footnoteRef/>
      </w:r>
      <w:r>
        <w:tab/>
        <w:t>Решение (ЕС) 2019/274 на Съвета от 11 януари 2019 г.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(OВ L 47I, 19.2.2019 г., стр. 1). Текстът на Споразумението за оттегляне, приложен към Решение (ЕС) 2019/274, беше публикуван в ОВ C 66 I, 19.2.2019 г., стр. 1.</w:t>
      </w:r>
    </w:p>
  </w:footnote>
  <w:footnote w:id="7">
    <w:p>
      <w:pPr>
        <w:pStyle w:val="FootnoteText"/>
      </w:pPr>
      <w:r>
        <w:rPr>
          <w:rStyle w:val="FootnoteReference"/>
        </w:rPr>
        <w:footnoteRef/>
      </w:r>
      <w:r>
        <w:tab/>
        <w:t>Решение (EС) 2019/476 на Европейския съвет, взето в съгласие с Обединеното кралство, от 22 март 2019 г. за продължаване на срока по член 50, параграф 3 от ДЕС (ОВ L 80 I, 22.3.2019 г., стр. 1).</w:t>
      </w:r>
    </w:p>
  </w:footnote>
  <w:footnote w:id="8">
    <w:p>
      <w:pPr>
        <w:pStyle w:val="FootnoteText"/>
      </w:pPr>
      <w:r>
        <w:rPr>
          <w:rStyle w:val="FootnoteReference"/>
        </w:rPr>
        <w:footnoteRef/>
      </w:r>
      <w:r>
        <w:tab/>
        <w:t>Решение (ЕС) 2019/584 на Европейския съвет, взето в съгласие с Обединеното кралство, от 11 април 2019 г. за продължаване на срока по член 50, параграф 3 от Договора за Европейския съюз (ОВ L 101, 11.4.2019 г., стр. 1).</w:t>
      </w:r>
    </w:p>
  </w:footnote>
  <w:footnote w:id="9">
    <w:p>
      <w:pPr>
        <w:pStyle w:val="FootnoteText"/>
      </w:pPr>
      <w:r>
        <w:rPr>
          <w:rStyle w:val="FootnoteReference"/>
        </w:rPr>
        <w:footnoteRef/>
      </w:r>
      <w:r>
        <w:tab/>
        <w:t>Решение (ЕС) 2019/642 на Съвета от 13 април 2019 г. за изменение на Решение (ЕС) 2019/274 относно подписването, от името на Европейския съюз и на Европейската общност за атомна енергия,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(ОВ L 110 I, 25.4.2019 г., стр. 1). Текстът на Споразумението за оттегляне, приложен към Решение (ЕС) 2019/642, беше публикуван в ОВ C 144 I, 25.4.2019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0602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3C17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5211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28FE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C2DC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D236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A2EB52"/>
    <w:lvl w:ilvl="0">
      <w:start w:val="1"/>
      <w:numFmt w:val="decimal"/>
      <w:pStyle w:val="ListNumber"/>
      <w:lvlText w:val="%1."/>
      <w:lvlJc w:val="left"/>
      <w:pPr>
        <w:tabs>
          <w:tab w:val="num" w:pos="360"/>
        </w:tabs>
        <w:ind w:left="360" w:hanging="360"/>
      </w:pPr>
    </w:lvl>
  </w:abstractNum>
  <w:abstractNum w:abstractNumId="7">
    <w:nsid w:val="FFFFFF89"/>
    <w:multiLevelType w:val="singleLevel"/>
    <w:tmpl w:val="2EE20F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5"/>
  </w:num>
  <w:num w:numId="11">
    <w:abstractNumId w:val="21"/>
  </w:num>
  <w:num w:numId="12">
    <w:abstractNumId w:val="20"/>
  </w:num>
  <w:num w:numId="13">
    <w:abstractNumId w:val="9"/>
  </w:num>
  <w:num w:numId="14">
    <w:abstractNumId w:val="16"/>
  </w:num>
  <w:num w:numId="15">
    <w:abstractNumId w:val="10"/>
  </w:num>
  <w:num w:numId="16">
    <w:abstractNumId w:val="28"/>
    <w:lvlOverride w:ilvl="0">
      <w:startOverride w:val="1"/>
    </w:lvlOverride>
  </w:num>
  <w:num w:numId="17">
    <w:abstractNumId w:val="25"/>
  </w:num>
  <w:num w:numId="18">
    <w:abstractNumId w:val="17"/>
  </w:num>
  <w:num w:numId="19">
    <w:abstractNumId w:val="27"/>
  </w:num>
  <w:num w:numId="20">
    <w:abstractNumId w:val="14"/>
  </w:num>
  <w:num w:numId="21">
    <w:abstractNumId w:val="18"/>
  </w:num>
  <w:num w:numId="22">
    <w:abstractNumId w:val="12"/>
  </w:num>
  <w:num w:numId="23">
    <w:abstractNumId w:val="26"/>
  </w:num>
  <w:num w:numId="24">
    <w:abstractNumId w:val="11"/>
  </w:num>
  <w:num w:numId="25">
    <w:abstractNumId w:val="19"/>
  </w:num>
  <w:num w:numId="26">
    <w:abstractNumId w:val="23"/>
  </w:num>
  <w:num w:numId="27">
    <w:abstractNumId w:val="24"/>
  </w:num>
  <w:num w:numId="28">
    <w:abstractNumId w:val="13"/>
  </w:num>
  <w:num w:numId="29">
    <w:abstractNumId w:val="22"/>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8 19:00: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DW_AutoOpen" w:val="True"/>
    <w:docVar w:name="LW_CORRIGENDUM" w:val="&lt;UNUSED&gt;"/>
    <w:docVar w:name="LW_COVERPAGE_EXISTS" w:val="True"/>
    <w:docVar w:name="LW_COVERPAGE_GUID" w:val="78E5210B-AF51-48F3-8F00-CE94071F3620"/>
    <w:docVar w:name="LW_COVERPAGE_TYPE" w:val="1"/>
    <w:docVar w:name="LW_CROSSREFERENCE" w:val="&lt;UNUSED&gt;"/>
    <w:docVar w:name="LW_DocType" w:val="COM"/>
    <w:docVar w:name="LW_EMISSION" w:val="18.10.2019"/>
    <w:docVar w:name="LW_EMISSION_ISODATE" w:val="2019-10-1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0"/>
    <w:docVar w:name="LW_REF.II.NEW.CP_YEAR" w:val="2019"/>
    <w:docVar w:name="LW_REF.INST.NEW" w:val="COM"/>
    <w:docVar w:name="LW_REF.INST.NEW_ADOPTED" w:val="final"/>
    <w:docVar w:name="LW_REF.INST.NEW_TEXT" w:val="(2019) 8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45?\u1057?) 2019/274 \u1086?\u1090?\u1085?\u1086?\u1089?\u1085?\u1086? \u1087?\u1086?\u1076?\u1087?\u1080?\u1089?\u1074?\u1072?\u1085?\u1077?\u1090?\u1086?, \u1086?\u1090? \u1080?\u1084?\u1077?\u1090?\u1086? \u1085?\u1072? \u1045?\u1074?\u1088?\u1086?\u1087?\u1077?\u1081?\u1089?\u1082?\u1080?\u1103? \u1089?\u1098?\u1102?\u1079? \u1080? \u1085?\u1072? \u1045?\u1074?\u1088?\u1086?\u1087?\u1077?\u1081?\u1089?\u1082?\u1072?\u1090?\u1072? \u1086?\u1073?\u1097?\u1085?\u1086?\u1089?\u1090? \u1079?\u1072? \u1072?\u1090?\u1086?\u1084?\u1085?\u1072? \u1077?\u1085?\u1077?\u1088?\u1075?\u1080?\u1103?, \u1085?\u1072?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Bullet1">
    <w:name w:val="List Bullet 1"/>
    <w:basedOn w:val="Normal"/>
    <w:pPr>
      <w:numPr>
        <w:numId w:val="9"/>
      </w:numPr>
    </w:pPr>
    <w:rPr>
      <w:rFonts w:eastAsia="Times New Roman"/>
      <w:lang w:eastAsia="en-GB"/>
    </w:rPr>
  </w:style>
  <w:style w:type="paragraph" w:customStyle="1" w:styleId="ListDash">
    <w:name w:val="List Dash"/>
    <w:basedOn w:val="Normal"/>
    <w:pPr>
      <w:numPr>
        <w:numId w:val="10"/>
      </w:numPr>
    </w:pPr>
    <w:rPr>
      <w:rFonts w:eastAsia="Times New Roman"/>
      <w:lang w:eastAsia="en-GB"/>
    </w:rPr>
  </w:style>
  <w:style w:type="paragraph" w:customStyle="1" w:styleId="ListDash1">
    <w:name w:val="List Dash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lang w:val="bg-BG"/>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Pr>
      <w:lang w:eastAsia="fr-BE"/>
    </w:rPr>
  </w:style>
  <w:style w:type="paragraph" w:customStyle="1" w:styleId="ListDash3">
    <w:name w:val="List Dash 3"/>
    <w:basedOn w:val="Normal"/>
    <w:pPr>
      <w:numPr>
        <w:numId w:val="13"/>
      </w:numPr>
    </w:pPr>
    <w:rPr>
      <w:rFonts w:eastAsia="Times New Roman"/>
      <w:lang w:eastAsia="en-GB"/>
    </w:rPr>
  </w:style>
  <w:style w:type="paragraph" w:customStyle="1" w:styleId="ListDash4">
    <w:name w:val="List Dash 4"/>
    <w:basedOn w:val="Normal"/>
    <w:pPr>
      <w:numPr>
        <w:numId w:val="14"/>
      </w:numPr>
    </w:pPr>
    <w:rPr>
      <w:rFonts w:eastAsia="Times New Roman"/>
      <w:lang w:eastAsia="en-GB"/>
    </w:rPr>
  </w:style>
  <w:style w:type="paragraph" w:customStyle="1" w:styleId="ListNumber1">
    <w:name w:val="List Number 1"/>
    <w:basedOn w:val="Text1"/>
    <w:pPr>
      <w:numPr>
        <w:numId w:val="15"/>
      </w:numPr>
    </w:pPr>
    <w:rPr>
      <w:rFonts w:eastAsia="Times New Roman"/>
      <w:lang w:eastAsia="en-GB"/>
    </w:rPr>
  </w:style>
  <w:style w:type="paragraph" w:customStyle="1" w:styleId="ListNumber1Level2">
    <w:name w:val="List Number 1 (Level 2)"/>
    <w:basedOn w:val="Text1"/>
    <w:pPr>
      <w:numPr>
        <w:ilvl w:val="1"/>
        <w:numId w:val="15"/>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5"/>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5"/>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bg-BG"/>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Bullet1">
    <w:name w:val="List Bullet 1"/>
    <w:basedOn w:val="Normal"/>
    <w:pPr>
      <w:numPr>
        <w:numId w:val="9"/>
      </w:numPr>
    </w:pPr>
    <w:rPr>
      <w:rFonts w:eastAsia="Times New Roman"/>
      <w:lang w:eastAsia="en-GB"/>
    </w:rPr>
  </w:style>
  <w:style w:type="paragraph" w:customStyle="1" w:styleId="ListDash">
    <w:name w:val="List Dash"/>
    <w:basedOn w:val="Normal"/>
    <w:pPr>
      <w:numPr>
        <w:numId w:val="10"/>
      </w:numPr>
    </w:pPr>
    <w:rPr>
      <w:rFonts w:eastAsia="Times New Roman"/>
      <w:lang w:eastAsia="en-GB"/>
    </w:rPr>
  </w:style>
  <w:style w:type="paragraph" w:customStyle="1" w:styleId="ListDash1">
    <w:name w:val="List Dash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Pr>
      <w:lang w:val="bg-BG"/>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Pr>
      <w:lang w:eastAsia="fr-BE"/>
    </w:rPr>
  </w:style>
  <w:style w:type="paragraph" w:customStyle="1" w:styleId="ListDash3">
    <w:name w:val="List Dash 3"/>
    <w:basedOn w:val="Normal"/>
    <w:pPr>
      <w:numPr>
        <w:numId w:val="13"/>
      </w:numPr>
    </w:pPr>
    <w:rPr>
      <w:rFonts w:eastAsia="Times New Roman"/>
      <w:lang w:eastAsia="en-GB"/>
    </w:rPr>
  </w:style>
  <w:style w:type="paragraph" w:customStyle="1" w:styleId="ListDash4">
    <w:name w:val="List Dash 4"/>
    <w:basedOn w:val="Normal"/>
    <w:pPr>
      <w:numPr>
        <w:numId w:val="14"/>
      </w:numPr>
    </w:pPr>
    <w:rPr>
      <w:rFonts w:eastAsia="Times New Roman"/>
      <w:lang w:eastAsia="en-GB"/>
    </w:rPr>
  </w:style>
  <w:style w:type="paragraph" w:customStyle="1" w:styleId="ListNumber1">
    <w:name w:val="List Number 1"/>
    <w:basedOn w:val="Text1"/>
    <w:pPr>
      <w:numPr>
        <w:numId w:val="15"/>
      </w:numPr>
    </w:pPr>
    <w:rPr>
      <w:rFonts w:eastAsia="Times New Roman"/>
      <w:lang w:eastAsia="en-GB"/>
    </w:rPr>
  </w:style>
  <w:style w:type="paragraph" w:customStyle="1" w:styleId="ListNumber1Level2">
    <w:name w:val="List Number 1 (Level 2)"/>
    <w:basedOn w:val="Text1"/>
    <w:pPr>
      <w:numPr>
        <w:ilvl w:val="1"/>
        <w:numId w:val="15"/>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5"/>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5"/>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character" w:customStyle="1" w:styleId="TOCHeadingChar">
    <w:name w:val="TOC Heading Char"/>
    <w:uiPriority w:val="39"/>
    <w:rPr>
      <w:rFonts w:ascii="Times New Roman" w:hAnsi="Times New Roman" w:cs="Times New Roman"/>
      <w:b/>
      <w:sz w:val="28"/>
      <w:lang w:val="bg-BG"/>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1621">
      <w:bodyDiv w:val="1"/>
      <w:marLeft w:val="0"/>
      <w:marRight w:val="0"/>
      <w:marTop w:val="0"/>
      <w:marBottom w:val="0"/>
      <w:divBdr>
        <w:top w:val="none" w:sz="0" w:space="0" w:color="auto"/>
        <w:left w:val="none" w:sz="0" w:space="0" w:color="auto"/>
        <w:bottom w:val="none" w:sz="0" w:space="0" w:color="auto"/>
        <w:right w:val="none" w:sz="0" w:space="0" w:color="auto"/>
      </w:divBdr>
    </w:div>
    <w:div w:id="462501090">
      <w:bodyDiv w:val="1"/>
      <w:marLeft w:val="0"/>
      <w:marRight w:val="0"/>
      <w:marTop w:val="0"/>
      <w:marBottom w:val="0"/>
      <w:divBdr>
        <w:top w:val="none" w:sz="0" w:space="0" w:color="auto"/>
        <w:left w:val="none" w:sz="0" w:space="0" w:color="auto"/>
        <w:bottom w:val="none" w:sz="0" w:space="0" w:color="auto"/>
        <w:right w:val="none" w:sz="0" w:space="0" w:color="auto"/>
      </w:divBdr>
    </w:div>
    <w:div w:id="521551201">
      <w:bodyDiv w:val="1"/>
      <w:marLeft w:val="0"/>
      <w:marRight w:val="0"/>
      <w:marTop w:val="0"/>
      <w:marBottom w:val="0"/>
      <w:divBdr>
        <w:top w:val="none" w:sz="0" w:space="0" w:color="auto"/>
        <w:left w:val="none" w:sz="0" w:space="0" w:color="auto"/>
        <w:bottom w:val="none" w:sz="0" w:space="0" w:color="auto"/>
        <w:right w:val="none" w:sz="0" w:space="0" w:color="auto"/>
      </w:divBdr>
    </w:div>
    <w:div w:id="606234461">
      <w:bodyDiv w:val="1"/>
      <w:marLeft w:val="0"/>
      <w:marRight w:val="0"/>
      <w:marTop w:val="0"/>
      <w:marBottom w:val="0"/>
      <w:divBdr>
        <w:top w:val="none" w:sz="0" w:space="0" w:color="auto"/>
        <w:left w:val="none" w:sz="0" w:space="0" w:color="auto"/>
        <w:bottom w:val="none" w:sz="0" w:space="0" w:color="auto"/>
        <w:right w:val="none" w:sz="0" w:space="0" w:color="auto"/>
      </w:divBdr>
      <w:divsChild>
        <w:div w:id="2086487229">
          <w:marLeft w:val="0"/>
          <w:marRight w:val="0"/>
          <w:marTop w:val="0"/>
          <w:marBottom w:val="0"/>
          <w:divBdr>
            <w:top w:val="none" w:sz="0" w:space="0" w:color="auto"/>
            <w:left w:val="none" w:sz="0" w:space="0" w:color="auto"/>
            <w:bottom w:val="none" w:sz="0" w:space="0" w:color="auto"/>
            <w:right w:val="none" w:sz="0" w:space="0" w:color="auto"/>
          </w:divBdr>
          <w:divsChild>
            <w:div w:id="747460571">
              <w:marLeft w:val="0"/>
              <w:marRight w:val="0"/>
              <w:marTop w:val="0"/>
              <w:marBottom w:val="150"/>
              <w:divBdr>
                <w:top w:val="none" w:sz="0" w:space="0" w:color="auto"/>
                <w:left w:val="none" w:sz="0" w:space="0" w:color="auto"/>
                <w:bottom w:val="none" w:sz="0" w:space="0" w:color="auto"/>
                <w:right w:val="none" w:sz="0" w:space="0" w:color="auto"/>
              </w:divBdr>
              <w:divsChild>
                <w:div w:id="1711567601">
                  <w:marLeft w:val="0"/>
                  <w:marRight w:val="0"/>
                  <w:marTop w:val="0"/>
                  <w:marBottom w:val="0"/>
                  <w:divBdr>
                    <w:top w:val="none" w:sz="0" w:space="0" w:color="auto"/>
                    <w:left w:val="none" w:sz="0" w:space="0" w:color="auto"/>
                    <w:bottom w:val="none" w:sz="0" w:space="0" w:color="auto"/>
                    <w:right w:val="none" w:sz="0" w:space="0" w:color="auto"/>
                  </w:divBdr>
                  <w:divsChild>
                    <w:div w:id="57364378">
                      <w:marLeft w:val="0"/>
                      <w:marRight w:val="0"/>
                      <w:marTop w:val="0"/>
                      <w:marBottom w:val="0"/>
                      <w:divBdr>
                        <w:top w:val="none" w:sz="0" w:space="0" w:color="auto"/>
                        <w:left w:val="none" w:sz="0" w:space="0" w:color="auto"/>
                        <w:bottom w:val="none" w:sz="0" w:space="0" w:color="auto"/>
                        <w:right w:val="none" w:sz="0" w:space="0" w:color="auto"/>
                      </w:divBdr>
                      <w:divsChild>
                        <w:div w:id="138155627">
                          <w:marLeft w:val="0"/>
                          <w:marRight w:val="0"/>
                          <w:marTop w:val="0"/>
                          <w:marBottom w:val="0"/>
                          <w:divBdr>
                            <w:top w:val="none" w:sz="0" w:space="0" w:color="auto"/>
                            <w:left w:val="none" w:sz="0" w:space="0" w:color="auto"/>
                            <w:bottom w:val="none" w:sz="0" w:space="0" w:color="auto"/>
                            <w:right w:val="none" w:sz="0" w:space="0" w:color="auto"/>
                          </w:divBdr>
                          <w:divsChild>
                            <w:div w:id="1966964128">
                              <w:marLeft w:val="0"/>
                              <w:marRight w:val="0"/>
                              <w:marTop w:val="0"/>
                              <w:marBottom w:val="0"/>
                              <w:divBdr>
                                <w:top w:val="none" w:sz="0" w:space="0" w:color="auto"/>
                                <w:left w:val="none" w:sz="0" w:space="0" w:color="auto"/>
                                <w:bottom w:val="none" w:sz="0" w:space="0" w:color="auto"/>
                                <w:right w:val="none" w:sz="0" w:space="0" w:color="auto"/>
                              </w:divBdr>
                              <w:divsChild>
                                <w:div w:id="1299384063">
                                  <w:marLeft w:val="0"/>
                                  <w:marRight w:val="-3600"/>
                                  <w:marTop w:val="150"/>
                                  <w:marBottom w:val="0"/>
                                  <w:divBdr>
                                    <w:top w:val="none" w:sz="0" w:space="0" w:color="auto"/>
                                    <w:left w:val="none" w:sz="0" w:space="0" w:color="auto"/>
                                    <w:bottom w:val="none" w:sz="0" w:space="0" w:color="auto"/>
                                    <w:right w:val="none" w:sz="0" w:space="0" w:color="auto"/>
                                  </w:divBdr>
                                  <w:divsChild>
                                    <w:div w:id="1145390697">
                                      <w:marLeft w:val="0"/>
                                      <w:marRight w:val="3600"/>
                                      <w:marTop w:val="0"/>
                                      <w:marBottom w:val="0"/>
                                      <w:divBdr>
                                        <w:top w:val="none" w:sz="0" w:space="0" w:color="auto"/>
                                        <w:left w:val="none" w:sz="0" w:space="0" w:color="auto"/>
                                        <w:bottom w:val="none" w:sz="0" w:space="0" w:color="auto"/>
                                        <w:right w:val="none" w:sz="0" w:space="0" w:color="auto"/>
                                      </w:divBdr>
                                      <w:divsChild>
                                        <w:div w:id="1797487616">
                                          <w:marLeft w:val="0"/>
                                          <w:marRight w:val="0"/>
                                          <w:marTop w:val="0"/>
                                          <w:marBottom w:val="0"/>
                                          <w:divBdr>
                                            <w:top w:val="none" w:sz="0" w:space="0" w:color="auto"/>
                                            <w:left w:val="none" w:sz="0" w:space="0" w:color="auto"/>
                                            <w:bottom w:val="none" w:sz="0" w:space="0" w:color="auto"/>
                                            <w:right w:val="none" w:sz="0" w:space="0" w:color="auto"/>
                                          </w:divBdr>
                                          <w:divsChild>
                                            <w:div w:id="1923291387">
                                              <w:marLeft w:val="0"/>
                                              <w:marRight w:val="0"/>
                                              <w:marTop w:val="0"/>
                                              <w:marBottom w:val="0"/>
                                              <w:divBdr>
                                                <w:top w:val="none" w:sz="0" w:space="0" w:color="auto"/>
                                                <w:left w:val="none" w:sz="0" w:space="0" w:color="auto"/>
                                                <w:bottom w:val="none" w:sz="0" w:space="0" w:color="auto"/>
                                                <w:right w:val="none" w:sz="0" w:space="0" w:color="auto"/>
                                              </w:divBdr>
                                              <w:divsChild>
                                                <w:div w:id="1201359413">
                                                  <w:marLeft w:val="0"/>
                                                  <w:marRight w:val="0"/>
                                                  <w:marTop w:val="0"/>
                                                  <w:marBottom w:val="0"/>
                                                  <w:divBdr>
                                                    <w:top w:val="none" w:sz="0" w:space="0" w:color="auto"/>
                                                    <w:left w:val="none" w:sz="0" w:space="0" w:color="auto"/>
                                                    <w:bottom w:val="none" w:sz="0" w:space="0" w:color="auto"/>
                                                    <w:right w:val="none" w:sz="0" w:space="0" w:color="auto"/>
                                                  </w:divBdr>
                                                  <w:divsChild>
                                                    <w:div w:id="2021588997">
                                                      <w:marLeft w:val="0"/>
                                                      <w:marRight w:val="0"/>
                                                      <w:marTop w:val="0"/>
                                                      <w:marBottom w:val="0"/>
                                                      <w:divBdr>
                                                        <w:top w:val="none" w:sz="0" w:space="0" w:color="auto"/>
                                                        <w:left w:val="none" w:sz="0" w:space="0" w:color="auto"/>
                                                        <w:bottom w:val="none" w:sz="0" w:space="0" w:color="auto"/>
                                                        <w:right w:val="none" w:sz="0" w:space="0" w:color="auto"/>
                                                      </w:divBdr>
                                                      <w:divsChild>
                                                        <w:div w:id="422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116869">
      <w:bodyDiv w:val="1"/>
      <w:marLeft w:val="0"/>
      <w:marRight w:val="0"/>
      <w:marTop w:val="0"/>
      <w:marBottom w:val="0"/>
      <w:divBdr>
        <w:top w:val="none" w:sz="0" w:space="0" w:color="auto"/>
        <w:left w:val="none" w:sz="0" w:space="0" w:color="auto"/>
        <w:bottom w:val="none" w:sz="0" w:space="0" w:color="auto"/>
        <w:right w:val="none" w:sz="0" w:space="0" w:color="auto"/>
      </w:divBdr>
    </w:div>
    <w:div w:id="1061635231">
      <w:bodyDiv w:val="1"/>
      <w:marLeft w:val="0"/>
      <w:marRight w:val="0"/>
      <w:marTop w:val="0"/>
      <w:marBottom w:val="0"/>
      <w:divBdr>
        <w:top w:val="none" w:sz="0" w:space="0" w:color="auto"/>
        <w:left w:val="none" w:sz="0" w:space="0" w:color="auto"/>
        <w:bottom w:val="none" w:sz="0" w:space="0" w:color="auto"/>
        <w:right w:val="none" w:sz="0" w:space="0" w:color="auto"/>
      </w:divBdr>
      <w:divsChild>
        <w:div w:id="1732465468">
          <w:marLeft w:val="0"/>
          <w:marRight w:val="0"/>
          <w:marTop w:val="0"/>
          <w:marBottom w:val="0"/>
          <w:divBdr>
            <w:top w:val="none" w:sz="0" w:space="0" w:color="auto"/>
            <w:left w:val="none" w:sz="0" w:space="0" w:color="auto"/>
            <w:bottom w:val="none" w:sz="0" w:space="0" w:color="auto"/>
            <w:right w:val="none" w:sz="0" w:space="0" w:color="auto"/>
          </w:divBdr>
          <w:divsChild>
            <w:div w:id="1634410217">
              <w:marLeft w:val="0"/>
              <w:marRight w:val="0"/>
              <w:marTop w:val="0"/>
              <w:marBottom w:val="150"/>
              <w:divBdr>
                <w:top w:val="none" w:sz="0" w:space="0" w:color="auto"/>
                <w:left w:val="none" w:sz="0" w:space="0" w:color="auto"/>
                <w:bottom w:val="none" w:sz="0" w:space="0" w:color="auto"/>
                <w:right w:val="none" w:sz="0" w:space="0" w:color="auto"/>
              </w:divBdr>
              <w:divsChild>
                <w:div w:id="1598365430">
                  <w:marLeft w:val="0"/>
                  <w:marRight w:val="0"/>
                  <w:marTop w:val="0"/>
                  <w:marBottom w:val="0"/>
                  <w:divBdr>
                    <w:top w:val="none" w:sz="0" w:space="0" w:color="auto"/>
                    <w:left w:val="none" w:sz="0" w:space="0" w:color="auto"/>
                    <w:bottom w:val="none" w:sz="0" w:space="0" w:color="auto"/>
                    <w:right w:val="none" w:sz="0" w:space="0" w:color="auto"/>
                  </w:divBdr>
                  <w:divsChild>
                    <w:div w:id="422336400">
                      <w:marLeft w:val="0"/>
                      <w:marRight w:val="0"/>
                      <w:marTop w:val="0"/>
                      <w:marBottom w:val="0"/>
                      <w:divBdr>
                        <w:top w:val="none" w:sz="0" w:space="0" w:color="auto"/>
                        <w:left w:val="none" w:sz="0" w:space="0" w:color="auto"/>
                        <w:bottom w:val="none" w:sz="0" w:space="0" w:color="auto"/>
                        <w:right w:val="none" w:sz="0" w:space="0" w:color="auto"/>
                      </w:divBdr>
                      <w:divsChild>
                        <w:div w:id="1392537955">
                          <w:marLeft w:val="0"/>
                          <w:marRight w:val="0"/>
                          <w:marTop w:val="0"/>
                          <w:marBottom w:val="0"/>
                          <w:divBdr>
                            <w:top w:val="none" w:sz="0" w:space="0" w:color="auto"/>
                            <w:left w:val="none" w:sz="0" w:space="0" w:color="auto"/>
                            <w:bottom w:val="none" w:sz="0" w:space="0" w:color="auto"/>
                            <w:right w:val="none" w:sz="0" w:space="0" w:color="auto"/>
                          </w:divBdr>
                          <w:divsChild>
                            <w:div w:id="1583878954">
                              <w:marLeft w:val="0"/>
                              <w:marRight w:val="0"/>
                              <w:marTop w:val="0"/>
                              <w:marBottom w:val="0"/>
                              <w:divBdr>
                                <w:top w:val="none" w:sz="0" w:space="0" w:color="auto"/>
                                <w:left w:val="none" w:sz="0" w:space="0" w:color="auto"/>
                                <w:bottom w:val="none" w:sz="0" w:space="0" w:color="auto"/>
                                <w:right w:val="none" w:sz="0" w:space="0" w:color="auto"/>
                              </w:divBdr>
                              <w:divsChild>
                                <w:div w:id="651253905">
                                  <w:marLeft w:val="0"/>
                                  <w:marRight w:val="-3600"/>
                                  <w:marTop w:val="150"/>
                                  <w:marBottom w:val="0"/>
                                  <w:divBdr>
                                    <w:top w:val="none" w:sz="0" w:space="0" w:color="auto"/>
                                    <w:left w:val="none" w:sz="0" w:space="0" w:color="auto"/>
                                    <w:bottom w:val="none" w:sz="0" w:space="0" w:color="auto"/>
                                    <w:right w:val="none" w:sz="0" w:space="0" w:color="auto"/>
                                  </w:divBdr>
                                  <w:divsChild>
                                    <w:div w:id="970481595">
                                      <w:marLeft w:val="0"/>
                                      <w:marRight w:val="3600"/>
                                      <w:marTop w:val="0"/>
                                      <w:marBottom w:val="0"/>
                                      <w:divBdr>
                                        <w:top w:val="none" w:sz="0" w:space="0" w:color="auto"/>
                                        <w:left w:val="none" w:sz="0" w:space="0" w:color="auto"/>
                                        <w:bottom w:val="none" w:sz="0" w:space="0" w:color="auto"/>
                                        <w:right w:val="none" w:sz="0" w:space="0" w:color="auto"/>
                                      </w:divBdr>
                                      <w:divsChild>
                                        <w:div w:id="1921014592">
                                          <w:marLeft w:val="0"/>
                                          <w:marRight w:val="0"/>
                                          <w:marTop w:val="0"/>
                                          <w:marBottom w:val="0"/>
                                          <w:divBdr>
                                            <w:top w:val="none" w:sz="0" w:space="0" w:color="auto"/>
                                            <w:left w:val="none" w:sz="0" w:space="0" w:color="auto"/>
                                            <w:bottom w:val="none" w:sz="0" w:space="0" w:color="auto"/>
                                            <w:right w:val="none" w:sz="0" w:space="0" w:color="auto"/>
                                          </w:divBdr>
                                          <w:divsChild>
                                            <w:div w:id="1668357989">
                                              <w:marLeft w:val="0"/>
                                              <w:marRight w:val="0"/>
                                              <w:marTop w:val="0"/>
                                              <w:marBottom w:val="0"/>
                                              <w:divBdr>
                                                <w:top w:val="none" w:sz="0" w:space="0" w:color="auto"/>
                                                <w:left w:val="none" w:sz="0" w:space="0" w:color="auto"/>
                                                <w:bottom w:val="none" w:sz="0" w:space="0" w:color="auto"/>
                                                <w:right w:val="none" w:sz="0" w:space="0" w:color="auto"/>
                                              </w:divBdr>
                                              <w:divsChild>
                                                <w:div w:id="1432236735">
                                                  <w:marLeft w:val="0"/>
                                                  <w:marRight w:val="0"/>
                                                  <w:marTop w:val="0"/>
                                                  <w:marBottom w:val="0"/>
                                                  <w:divBdr>
                                                    <w:top w:val="none" w:sz="0" w:space="0" w:color="auto"/>
                                                    <w:left w:val="none" w:sz="0" w:space="0" w:color="auto"/>
                                                    <w:bottom w:val="none" w:sz="0" w:space="0" w:color="auto"/>
                                                    <w:right w:val="none" w:sz="0" w:space="0" w:color="auto"/>
                                                  </w:divBdr>
                                                  <w:divsChild>
                                                    <w:div w:id="1701011168">
                                                      <w:marLeft w:val="0"/>
                                                      <w:marRight w:val="0"/>
                                                      <w:marTop w:val="0"/>
                                                      <w:marBottom w:val="0"/>
                                                      <w:divBdr>
                                                        <w:top w:val="none" w:sz="0" w:space="0" w:color="auto"/>
                                                        <w:left w:val="none" w:sz="0" w:space="0" w:color="auto"/>
                                                        <w:bottom w:val="none" w:sz="0" w:space="0" w:color="auto"/>
                                                        <w:right w:val="none" w:sz="0" w:space="0" w:color="auto"/>
                                                      </w:divBdr>
                                                      <w:divsChild>
                                                        <w:div w:id="16820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874568">
      <w:bodyDiv w:val="1"/>
      <w:marLeft w:val="0"/>
      <w:marRight w:val="0"/>
      <w:marTop w:val="0"/>
      <w:marBottom w:val="0"/>
      <w:divBdr>
        <w:top w:val="none" w:sz="0" w:space="0" w:color="auto"/>
        <w:left w:val="none" w:sz="0" w:space="0" w:color="auto"/>
        <w:bottom w:val="none" w:sz="0" w:space="0" w:color="auto"/>
        <w:right w:val="none" w:sz="0" w:space="0" w:color="auto"/>
      </w:divBdr>
    </w:div>
    <w:div w:id="1886019672">
      <w:bodyDiv w:val="1"/>
      <w:marLeft w:val="0"/>
      <w:marRight w:val="0"/>
      <w:marTop w:val="0"/>
      <w:marBottom w:val="0"/>
      <w:divBdr>
        <w:top w:val="none" w:sz="0" w:space="0" w:color="auto"/>
        <w:left w:val="none" w:sz="0" w:space="0" w:color="auto"/>
        <w:bottom w:val="none" w:sz="0" w:space="0" w:color="auto"/>
        <w:right w:val="none" w:sz="0" w:space="0" w:color="auto"/>
      </w:divBdr>
    </w:div>
    <w:div w:id="2074545182">
      <w:bodyDiv w:val="1"/>
      <w:marLeft w:val="0"/>
      <w:marRight w:val="0"/>
      <w:marTop w:val="0"/>
      <w:marBottom w:val="0"/>
      <w:divBdr>
        <w:top w:val="none" w:sz="0" w:space="0" w:color="auto"/>
        <w:left w:val="none" w:sz="0" w:space="0" w:color="auto"/>
        <w:bottom w:val="none" w:sz="0" w:space="0" w:color="auto"/>
        <w:right w:val="none" w:sz="0" w:space="0" w:color="auto"/>
      </w:divBdr>
    </w:div>
    <w:div w:id="2093233368">
      <w:bodyDiv w:val="1"/>
      <w:marLeft w:val="0"/>
      <w:marRight w:val="0"/>
      <w:marTop w:val="0"/>
      <w:marBottom w:val="0"/>
      <w:divBdr>
        <w:top w:val="none" w:sz="0" w:space="0" w:color="auto"/>
        <w:left w:val="none" w:sz="0" w:space="0" w:color="auto"/>
        <w:bottom w:val="none" w:sz="0" w:space="0" w:color="auto"/>
        <w:right w:val="none" w:sz="0" w:space="0" w:color="auto"/>
      </w:divBdr>
    </w:div>
    <w:div w:id="21058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D00AF12-40C2-4054-B3C9-E843049E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1050</Words>
  <Characters>6189</Characters>
  <Application>Microsoft Office Word</Application>
  <DocSecurity>0</DocSecurity>
  <Lines>119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2019-10-17T11:12:00Z</cp:lastPrinted>
  <dcterms:created xsi:type="dcterms:W3CDTF">2019-10-18T15:00:00Z</dcterms:created>
  <dcterms:modified xsi:type="dcterms:W3CDTF">2019-10-18T17:00:00Z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