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6A0561F-10D6-4F00-B82A-C15DB248A127" style="width:451.25pt;height:422.8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240" w:after="240"/>
        <w:rPr>
          <w:noProof/>
          <w:szCs w:val="24"/>
        </w:rPr>
      </w:pPr>
      <w:r>
        <w:rPr>
          <w:noProof/>
        </w:rPr>
        <w:t xml:space="preserve">Le 29 mars 2017, le Royaume-Uni a notifié au Conseil européen, en vertu de l’article 50 du traité sur l’Union européenne (TUE), son intention de se retirer de l’Union européenne et de la Communauté européenne de l’énergie atomique. Conformément à cette disposition, l’Union européenne a négocié avec le Royaume-Uni un accord fixant les modalités de son retrait (ci-après l’«accord de retrait»), en tenant compte du cadre de ses relations futures avec l’Union. </w:t>
      </w:r>
    </w:p>
    <w:p>
      <w:pPr>
        <w:pBdr>
          <w:top w:val="nil"/>
          <w:left w:val="nil"/>
          <w:bottom w:val="nil"/>
          <w:right w:val="nil"/>
          <w:between w:val="nil"/>
          <w:bar w:val="nil"/>
        </w:pBdr>
        <w:spacing w:after="240"/>
        <w:rPr>
          <w:noProof/>
          <w:szCs w:val="24"/>
        </w:rPr>
      </w:pPr>
      <w:r>
        <w:rPr>
          <w:noProof/>
        </w:rPr>
        <w:t>Le 25 novembre 2018, le Conseil européen (article 50) a fait sien l’accord de retrait et a approuvé une déclaration politique fixant le cadre des relations futures entre l’Union européenne et le Royaume-Uni (la «déclaration politique»), comme convenu au niveau des négociateurs. Dans les déclarations à inscrire au procès-verbal de la réunion du Conseil européen du 25 novembre 2018 figuraient deux déclarations du Conseil européen et de la Commission: une déclaration interprétative relative à l’article 184 de l’accord de retrait et une déclaration sur le champ d’application territorial des accords futurs. Le 5 décembre 2018, la Commission a présenté une proposition de décision du Conseil relative à la signature, au nom de l’Union européenne et de la Communauté européenne de l’énergie atomique, de l'accord sur le retrait du Royaume-Uni de Grande-Bretagne et d'Irlande du Nord de l'Union européenne et de la Communauté européenne de l'énergie atomique [COM(2018 833] et une proposition de décision du Conseil relative à la conclusion de l'accord sur le retrait du Royaume-Uni de Grande-Bretagne et d'Irlande du Nord de l'Union européenne et de la Communauté européenne de l'énergie atomique [COM(2018) 834].</w:t>
      </w:r>
    </w:p>
    <w:p>
      <w:pPr>
        <w:pBdr>
          <w:top w:val="nil"/>
          <w:left w:val="nil"/>
          <w:bottom w:val="nil"/>
          <w:right w:val="nil"/>
          <w:between w:val="nil"/>
          <w:bar w:val="nil"/>
        </w:pBdr>
        <w:spacing w:after="240"/>
        <w:rPr>
          <w:noProof/>
          <w:szCs w:val="24"/>
        </w:rPr>
      </w:pPr>
      <w:r>
        <w:rPr>
          <w:noProof/>
        </w:rPr>
        <w:t>Le 11 janvier 2019, le Conseil a adopté la décision (UE) 2019/274 autorisant la signature de l’accord de retrait</w:t>
      </w:r>
      <w:r>
        <w:rPr>
          <w:rStyle w:val="FootnoteReference"/>
          <w:noProof/>
        </w:rPr>
        <w:footnoteReference w:id="1"/>
      </w:r>
      <w:r>
        <w:rPr>
          <w:noProof/>
        </w:rPr>
        <w:t xml:space="preserve"> et a transmis le projet de décision du Conseil relative à la conclusion de l’accord de retrait au Parlement européen pour approbation. </w:t>
      </w:r>
    </w:p>
    <w:p>
      <w:pPr>
        <w:rPr>
          <w:noProof/>
          <w:szCs w:val="24"/>
        </w:rPr>
      </w:pPr>
      <w:r>
        <w:rPr>
          <w:noProof/>
        </w:rPr>
        <w:t>Toutefois, le gouvernement du Royaume-Uni n’a pas obtenu le soutien nécessaire de son parlement pour signer et ratifier l’accord de retrait et a demandé au Conseil européen de proroger le délai prévu à l’article 50, paragraphe 3, du TUE. Le Conseil européen a accordé initialement une prorogation jusqu’au 12 avril 2019</w:t>
      </w:r>
      <w:r>
        <w:rPr>
          <w:rStyle w:val="FootnoteReference"/>
          <w:noProof/>
        </w:rPr>
        <w:footnoteReference w:id="2"/>
      </w:r>
      <w:r>
        <w:rPr>
          <w:noProof/>
        </w:rPr>
        <w:t>, puis une nouvelle prorogation jusqu’au 31 octobre 2019</w:t>
      </w:r>
      <w:r>
        <w:rPr>
          <w:rStyle w:val="FootnoteReference"/>
          <w:noProof/>
        </w:rPr>
        <w:footnoteReference w:id="3"/>
      </w:r>
      <w:r>
        <w:rPr>
          <w:noProof/>
        </w:rPr>
        <w:t>. De ce fait, la date d’entrée en vigueur de l’accord de retrait a dû être adaptée en conséquence et, sur proposition de la Commission [COM(2019) 97], le Conseil a adopté, le 13 avril 2019, la décision (UE) 2019/642 portant modification de la décision (UE) 2019/274 relative à la signature du texte adapté de l’accord de retrait</w:t>
      </w:r>
      <w:r>
        <w:rPr>
          <w:rStyle w:val="FootnoteReference"/>
          <w:noProof/>
        </w:rPr>
        <w:footnoteReference w:id="4"/>
      </w:r>
      <w:r>
        <w:rPr>
          <w:noProof/>
        </w:rPr>
        <w:t xml:space="preserve">. </w:t>
      </w:r>
    </w:p>
    <w:p>
      <w:pPr>
        <w:pBdr>
          <w:top w:val="nil"/>
          <w:left w:val="nil"/>
          <w:bottom w:val="nil"/>
          <w:right w:val="nil"/>
          <w:between w:val="nil"/>
          <w:bar w:val="nil"/>
        </w:pBdr>
        <w:spacing w:after="240"/>
        <w:rPr>
          <w:noProof/>
          <w:szCs w:val="24"/>
        </w:rPr>
      </w:pPr>
      <w:r>
        <w:rPr>
          <w:noProof/>
        </w:rPr>
        <w:lastRenderedPageBreak/>
        <w:t>À la suite de la démission de Theresa May de ses fonctions de Première ministre du Royaume-Uni, le nouveau gouvernement du Royaume-Uni a demandé le remplacement du protocole sur l’Irlande et l’Irlande du Nord joint à l’accord de retrait approuvé le 25 novembre 2018 par le Conseil européen. Le Royaume-Uni a également demandé que des modifications soient apportées à la déclaration politique fixant le cadre des relations futures entre l’Union européenne et le Royaume-Uni de Grande-Bretagne et d’Irlande du Nord (ci-après la «déclaration politique»</w:t>
      </w:r>
      <w:r>
        <w:rPr>
          <w:rStyle w:val="FootnoteReference"/>
          <w:noProof/>
        </w:rPr>
        <w:footnoteReference w:id="5"/>
      </w:r>
      <w:r>
        <w:rPr>
          <w:noProof/>
        </w:rPr>
        <w:t xml:space="preserve">) approuvée le 25 novembre 2018, en vue de refléter le niveau d’ambition différent du gouvernement du Royaume-Uni pour les relations futures avec l’Union. Les discussions entre les négociateurs de l’Union et du Royaume-Uni ont repris en septembre 2019. </w:t>
      </w:r>
    </w:p>
    <w:p>
      <w:pPr>
        <w:pBdr>
          <w:top w:val="nil"/>
          <w:left w:val="nil"/>
          <w:bottom w:val="nil"/>
          <w:right w:val="nil"/>
          <w:between w:val="nil"/>
          <w:bar w:val="nil"/>
        </w:pBdr>
        <w:spacing w:after="240"/>
        <w:rPr>
          <w:noProof/>
          <w:szCs w:val="24"/>
        </w:rPr>
      </w:pPr>
      <w:r>
        <w:rPr>
          <w:noProof/>
        </w:rPr>
        <w:t xml:space="preserve">Le 17 octobre 2019, les négociateurs sont parvenus à un accord sur un texte révisé du protocole sur l’Irlande et l’Irlande du Nord et sur les adaptations techniques nécessaires des articles 184 et 185 de l’accord de retrait, ainsi que sur une déclaration politique révisée. Le gouvernement du Royaume-Uni a indiqué qu’il approuvait les deux textes ayant fait l'objet d’un accord au niveau des négociateurs le 17 octobre 2019. À la même date, le Conseil européen, sur la base d’une recommandation du président de la Commission, a fait sien l’accord de retrait révisé et a approuvé la déclaration politique révisée, comme convenu au niveau des négociateurs. Il est donc nécessaire de modifier la décision (UE) 2019/274 relative à la signature de l’accord de retrait en conséquence.  </w:t>
      </w:r>
    </w:p>
    <w:p>
      <w:pPr>
        <w:rPr>
          <w:noProof/>
        </w:rPr>
      </w:pP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portant modification de la décision (UE) 2019/274 relative à la signature, au nom de l’Union européenne et de la Communauté européenne de l’énergie atomique, de l’accord sur le retrait du Royaume-Uni de Grande-Bretagne et d’Irlande du Nord de l’Union européenne et de la Communauté européenne de l’énergie atomique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l’Union européenne, et notamment son article 50,</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29 mars 2017, le Royaume-Uni a notifié au Conseil européen son intention de se retirer de l'Union européenne et de la Communauté européenne de l'énergie atomique (ci-après dénommée «Euratom») conformément à l'article 50 du traité sur l'Union européenne (TUE), qui s'applique à Euratom en vertu de l'article 106 </w:t>
      </w:r>
      <w:r>
        <w:rPr>
          <w:i/>
          <w:noProof/>
        </w:rPr>
        <w:t>bis</w:t>
      </w:r>
      <w:r>
        <w:rPr>
          <w:noProof/>
        </w:rPr>
        <w:t xml:space="preserve"> du traité instituant la Communauté européenne de l'énergie atomique.</w:t>
      </w:r>
    </w:p>
    <w:p>
      <w:pPr>
        <w:pStyle w:val="ManualConsidrant"/>
        <w:rPr>
          <w:noProof/>
        </w:rPr>
      </w:pPr>
      <w:r>
        <w:t>(2)</w:t>
      </w:r>
      <w:r>
        <w:tab/>
      </w:r>
      <w:r>
        <w:rPr>
          <w:noProof/>
        </w:rPr>
        <w:t xml:space="preserve">Conformément à l'article 50 du TUE, l'Union européenne a négocié avec le Royaume-Uni un accord fixant les modalités de son retrait, en tenant compte du cadre de ses relations futures avec l'Union (ci-après dénommé «accord de retrait») </w:t>
      </w:r>
    </w:p>
    <w:p>
      <w:pPr>
        <w:pStyle w:val="ManualConsidrant"/>
        <w:rPr>
          <w:noProof/>
        </w:rPr>
      </w:pPr>
      <w:r>
        <w:t>(3)</w:t>
      </w:r>
      <w:r>
        <w:tab/>
      </w:r>
      <w:r>
        <w:rPr>
          <w:noProof/>
        </w:rPr>
        <w:t>Le 11 janvier 2019, le Conseil a adopté la décision (UE) 2019/274</w:t>
      </w:r>
      <w:r>
        <w:rPr>
          <w:rStyle w:val="FootnoteReference"/>
          <w:noProof/>
        </w:rPr>
        <w:footnoteReference w:id="6"/>
      </w:r>
      <w:r>
        <w:rPr>
          <w:noProof/>
        </w:rPr>
        <w:t xml:space="preserve"> relative à la signature de l'accord de retrait. </w:t>
      </w:r>
    </w:p>
    <w:p>
      <w:pPr>
        <w:pStyle w:val="ManualConsidrant"/>
        <w:rPr>
          <w:noProof/>
        </w:rPr>
      </w:pPr>
      <w:r>
        <w:t>(4)</w:t>
      </w:r>
      <w:r>
        <w:tab/>
      </w:r>
      <w:r>
        <w:rPr>
          <w:noProof/>
        </w:rPr>
        <w:t>Par sa décision (UE) 2019/476</w:t>
      </w:r>
      <w:r>
        <w:rPr>
          <w:rStyle w:val="FootnoteReference"/>
          <w:noProof/>
        </w:rPr>
        <w:footnoteReference w:id="7"/>
      </w:r>
      <w:r>
        <w:rPr>
          <w:noProof/>
        </w:rPr>
        <w:t xml:space="preserve">, le Conseil européen a initialement décidé, en accord avec le Royaume-Uni, de proroger le délai prévu à l'article 50, paragraphe 3, du TUE jusqu'au 12 avril 2019. Ce délai a de nouveau été prorogé jusqu’au 31 octobre 2019 </w:t>
      </w:r>
      <w:r>
        <w:rPr>
          <w:noProof/>
        </w:rPr>
        <w:lastRenderedPageBreak/>
        <w:t>par la décision (UE) 2019/584</w:t>
      </w:r>
      <w:r>
        <w:rPr>
          <w:rStyle w:val="FootnoteReference"/>
          <w:noProof/>
        </w:rPr>
        <w:footnoteReference w:id="8"/>
      </w:r>
      <w:r>
        <w:rPr>
          <w:noProof/>
        </w:rPr>
        <w:t xml:space="preserve"> du Conseil européen, prise en accord avec le Royaume-Uni. </w:t>
      </w:r>
    </w:p>
    <w:p>
      <w:pPr>
        <w:pStyle w:val="ManualConsidrant"/>
        <w:rPr>
          <w:noProof/>
        </w:rPr>
      </w:pPr>
      <w:r>
        <w:t>(5)</w:t>
      </w:r>
      <w:r>
        <w:tab/>
      </w:r>
      <w:r>
        <w:rPr>
          <w:noProof/>
        </w:rPr>
        <w:t>De ce fait, la date d’entrée en vigueur de l’accord de retrait a dû être adaptée en conséquence, et la décision (UE) 2019/274 du Conseil relative à la signature de l’accord de retrait a été modifiée pour tenir compte du texte adapté de l’accord de retrait</w:t>
      </w:r>
      <w:r>
        <w:rPr>
          <w:rStyle w:val="FootnoteReference"/>
          <w:noProof/>
        </w:rPr>
        <w:footnoteReference w:id="9"/>
      </w:r>
      <w:r>
        <w:rPr>
          <w:noProof/>
        </w:rPr>
        <w:t xml:space="preserve">. </w:t>
      </w:r>
    </w:p>
    <w:p>
      <w:pPr>
        <w:pStyle w:val="ManualConsidrant"/>
        <w:rPr>
          <w:noProof/>
        </w:rPr>
      </w:pPr>
      <w:r>
        <w:t>(6)</w:t>
      </w:r>
      <w:r>
        <w:tab/>
      </w:r>
      <w:r>
        <w:rPr>
          <w:noProof/>
        </w:rPr>
        <w:t>À la suite des négociations entre les négociateurs de l’Union et du Royaume-Uni au cours des mois de septembre et d’octobre 2019, ceux-ci sont parvenus à un accord sur un texte révisé du protocole sur l’Irlande et l’Irlande du Nord figurant dans l’accord de retrait et sur les adaptations techniques nécessaires des articles 184 et 185 dudit accord. Le 17 octobre 2019, le Conseil européen a fait sien l’accord de retrait révisé.</w:t>
      </w:r>
    </w:p>
    <w:p>
      <w:pPr>
        <w:pStyle w:val="ManualConsidrant"/>
        <w:rPr>
          <w:noProof/>
        </w:rPr>
      </w:pPr>
      <w:r>
        <w:t>(7)</w:t>
      </w:r>
      <w:r>
        <w:tab/>
      </w:r>
      <w:r>
        <w:rPr>
          <w:noProof/>
        </w:rPr>
        <w:t>Il convient donc de modifier la décision (UE) 2019/274 en conséquence.</w:t>
      </w:r>
    </w:p>
    <w:p>
      <w:pPr>
        <w:pStyle w:val="ManualConsidrant"/>
        <w:rPr>
          <w:noProof/>
        </w:rPr>
      </w:pPr>
      <w:r>
        <w:t>(8)</w:t>
      </w:r>
      <w:r>
        <w:tab/>
      </w:r>
      <w:r>
        <w:rPr>
          <w:noProof/>
        </w:rPr>
        <w:t>Ainsi que le prévoit l'article 50, paragraphe 4, du TUE, le Royaume-Uni n'a pas participé aux délibérations du Conseil concernant la présente décision, ni à son adoption,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À l’article 1</w:t>
      </w:r>
      <w:r>
        <w:rPr>
          <w:noProof/>
          <w:vertAlign w:val="superscript"/>
        </w:rPr>
        <w:t>er</w:t>
      </w:r>
      <w:r>
        <w:rPr>
          <w:noProof/>
        </w:rPr>
        <w:t xml:space="preserve"> de la décision (UE) 2019/274, le deuxième alinéa est remplacé par le texte suivant:</w:t>
      </w:r>
    </w:p>
    <w:p>
      <w:pPr>
        <w:spacing w:after="0"/>
        <w:rPr>
          <w:noProof/>
        </w:rPr>
      </w:pPr>
      <w:r>
        <w:rPr>
          <w:noProof/>
        </w:rPr>
        <w:t>«Le texte de l’accord, tel que modifié, est joint à la présente décision.»</w:t>
      </w:r>
    </w:p>
    <w:p>
      <w:pPr>
        <w:spacing w:before="0" w:after="0"/>
        <w:rPr>
          <w:noProof/>
        </w:rPr>
      </w:pPr>
    </w:p>
    <w:p>
      <w:pPr>
        <w:pStyle w:val="Titrearticle"/>
        <w:rPr>
          <w:noProof/>
        </w:rPr>
      </w:pPr>
      <w:r>
        <w:rPr>
          <w:noProof/>
        </w:rPr>
        <w:t>Article 2</w:t>
      </w:r>
    </w:p>
    <w:p>
      <w:pPr>
        <w:rPr>
          <w:noProof/>
        </w:rPr>
      </w:pPr>
      <w:r>
        <w:rPr>
          <w:noProof/>
        </w:rPr>
        <w:t>Le texte de l’accord joint à la décision (UE) 2019/274 est remplacé par le texte de l’accord modifié joint à la présente décision.</w:t>
      </w:r>
    </w:p>
    <w:p>
      <w:pPr>
        <w:pStyle w:val="Titrearticle"/>
        <w:rPr>
          <w:noProof/>
        </w:rPr>
      </w:pPr>
      <w:r>
        <w:rPr>
          <w:noProof/>
        </w:rPr>
        <w:lastRenderedPageBreak/>
        <w:t>Article 3</w:t>
      </w:r>
    </w:p>
    <w:p>
      <w:pPr>
        <w:keepNext/>
        <w:keepLines/>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(UE) 2019/274 du Conseil du 11 janvier 2019 relative à la signature, au nom de l’Union européenne et de la Communauté européenne de l’énergie atomique, de l’accord sur le retrait du Royaume-Uni de Grande-Bretagne et d’Irlande du Nord de l’Union européenne et de la Communauté européenne de l’énergie atomique (JO L 47 I du 19.2.2019, p. 1). Le texte de l’accord de retrait joint à la décision (UE) 2019/274 a été publié au JO C 66 I du 19.2.2019, p. 1.</w:t>
      </w:r>
    </w:p>
  </w:footnote>
  <w:footnote w:id="2">
    <w:p>
      <w:pPr>
        <w:pStyle w:val="FootnoteText"/>
        <w:rPr>
          <w:lang w:val="fr-BE"/>
        </w:rPr>
      </w:pPr>
      <w:r>
        <w:rPr>
          <w:rStyle w:val="FootnoteReference"/>
        </w:rPr>
        <w:footnoteRef/>
      </w:r>
      <w:r>
        <w:rPr>
          <w:lang w:val="fr-BE"/>
        </w:rPr>
        <w:tab/>
        <w:t>Décision (UE) 2019/476 du Conseil européen, prise en accord avec le Royaume-Uni, du 22 mars 2019 prorogeant le délai au titre de l'article 50, paragraphe 3, du TUE (JO L 80 I du 22.3.2019, p. 1).</w:t>
      </w:r>
    </w:p>
  </w:footnote>
  <w:footnote w:id="3">
    <w:p>
      <w:pPr>
        <w:pStyle w:val="FootnoteText"/>
        <w:rPr>
          <w:lang w:val="fr-BE"/>
        </w:rPr>
      </w:pPr>
      <w:r>
        <w:rPr>
          <w:rStyle w:val="FootnoteReference"/>
        </w:rPr>
        <w:footnoteRef/>
      </w:r>
      <w:r>
        <w:rPr>
          <w:lang w:val="fr-BE"/>
        </w:rPr>
        <w:tab/>
        <w:t>Décision (UE) 2019/584 du Conseil européen prise en accord avec le Royaume-Uni du 11 avril 2019 prorogeant le délai au titre de l'article 50, paragraphe 3, du TUE (JO L 101 du 11.4.2019, p. 1).</w:t>
      </w:r>
    </w:p>
  </w:footnote>
  <w:footnote w:id="4">
    <w:p>
      <w:pPr>
        <w:pStyle w:val="FootnoteText"/>
        <w:rPr>
          <w:lang w:val="fr-BE"/>
        </w:rPr>
      </w:pPr>
      <w:r>
        <w:rPr>
          <w:rStyle w:val="FootnoteReference"/>
        </w:rPr>
        <w:footnoteRef/>
      </w:r>
      <w:r>
        <w:rPr>
          <w:lang w:val="fr-BE"/>
        </w:rPr>
        <w:tab/>
        <w:t>Décision (UE) 2019/642 du Conseil du 13 avril 2019 portant modification de la décision (UE) 2019/274 relative à la signature, au nom de l'Union européenne et de la Communauté européenne de l'énergie atomique, de l'accord sur le retrait du Royaume-Uni de Grande-Bretagne et d'Irlande du Nord de l'Union européenne et de la Communauté européenne de l'énergie atomique (JO L 110 I du 25.4.2019, p. 1). Le texte de l’accord de retrait joint à la décision (UE) 2019/642 a été publié au JO C 144 I du 25.4.2019, p. 1.</w:t>
      </w:r>
    </w:p>
  </w:footnote>
  <w:footnote w:id="5">
    <w:p>
      <w:pPr>
        <w:pStyle w:val="FootnoteText"/>
        <w:rPr>
          <w:lang w:val="fr-BE"/>
        </w:rPr>
      </w:pPr>
      <w:r>
        <w:rPr>
          <w:rStyle w:val="FootnoteReference"/>
        </w:rPr>
        <w:footnoteRef/>
      </w:r>
      <w:r>
        <w:rPr>
          <w:lang w:val="fr-BE"/>
        </w:rPr>
        <w:tab/>
        <w:t>Le texte de la déclaration politique a été publié au JO C 66 I du 19.2.2019, p. 1.</w:t>
      </w:r>
    </w:p>
  </w:footnote>
  <w:footnote w:id="6">
    <w:p>
      <w:pPr>
        <w:pStyle w:val="FootnoteText"/>
        <w:rPr>
          <w:lang w:val="fr-BE"/>
        </w:rPr>
      </w:pPr>
      <w:r>
        <w:rPr>
          <w:rStyle w:val="FootnoteReference"/>
        </w:rPr>
        <w:footnoteRef/>
      </w:r>
      <w:r>
        <w:rPr>
          <w:lang w:val="fr-BE"/>
        </w:rPr>
        <w:tab/>
        <w:t>Décision (UE) 2019/274 du Conseil du 11 janvier 2019 relative à la signature, au nom de l’Union européenne et de la Communauté européenne de l’énergie atomique, de l’accord sur le retrait du Royaume-Uni de Grande-Bretagne et d’Irlande du Nord de l’Union européenne et de la Communauté européenne de l’énergie atomique (JO L 47 I du 19.2.2019, p. 1). Le texte de l’accord de retrait joint à la décision (UE) 2019/274 a été publié au JO C 66 I du 19.2.2019, p. 1.</w:t>
      </w:r>
    </w:p>
  </w:footnote>
  <w:footnote w:id="7">
    <w:p>
      <w:pPr>
        <w:pStyle w:val="FootnoteText"/>
        <w:rPr>
          <w:lang w:val="fr-BE"/>
        </w:rPr>
      </w:pPr>
      <w:r>
        <w:rPr>
          <w:rStyle w:val="FootnoteReference"/>
        </w:rPr>
        <w:footnoteRef/>
      </w:r>
      <w:r>
        <w:rPr>
          <w:lang w:val="fr-BE"/>
        </w:rPr>
        <w:tab/>
        <w:t>Décision (UE) 2019/476 du Conseil européen, prise en accord avec le Royaume-Uni, du 22 mars 2019 prorogeant le délai au titre de l'article 50, paragraphe 3, du TUE (JO L 80 I du 22.3.2019, p. 1).</w:t>
      </w:r>
    </w:p>
  </w:footnote>
  <w:footnote w:id="8">
    <w:p>
      <w:pPr>
        <w:pStyle w:val="FootnoteText"/>
        <w:rPr>
          <w:lang w:val="fr-BE"/>
        </w:rPr>
      </w:pPr>
      <w:r>
        <w:rPr>
          <w:rStyle w:val="FootnoteReference"/>
        </w:rPr>
        <w:footnoteRef/>
      </w:r>
      <w:r>
        <w:rPr>
          <w:lang w:val="fr-BE"/>
        </w:rPr>
        <w:tab/>
        <w:t>Décision (UE) 2019/584 du Conseil européen prise en accord avec le Royaume-Uni du 11 avril 2019 prorogeant le délai au titre de l'article 50, paragraphe 3, du TUE (JO L 101 du 11.4.2019, p. 1).</w:t>
      </w:r>
    </w:p>
  </w:footnote>
  <w:footnote w:id="9">
    <w:p>
      <w:pPr>
        <w:pStyle w:val="FootnoteText"/>
        <w:rPr>
          <w:lang w:val="fr-BE"/>
        </w:rPr>
      </w:pPr>
      <w:r>
        <w:rPr>
          <w:rStyle w:val="FootnoteReference"/>
        </w:rPr>
        <w:footnoteRef/>
      </w:r>
      <w:r>
        <w:rPr>
          <w:lang w:val="fr-BE"/>
        </w:rPr>
        <w:tab/>
        <w:t>Décision (UE) 2019/642 du Conseil du 13 avril 2019 portant modification de la décision (UE) 2019/274 relative à la signature, au nom de l'Union européenne et de la Communauté européenne de l'énergie atomique, de l'accord sur le retrait du Royaume-Uni de Grande-Bretagne et d'Irlande du Nord de l'Union européenne et de la Communauté européenne de l'énergie atomique (JO L 110 I du 25.4.2019, p. 1). Le texte de l’accord de retrait joint à la décision (UE) 2019/642 a été publié au JO C 144 I du 25.4.2019,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0602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C17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5211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8FE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C2DC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D236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A2EB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EE20F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5"/>
  </w:num>
  <w:num w:numId="11">
    <w:abstractNumId w:val="21"/>
  </w:num>
  <w:num w:numId="12">
    <w:abstractNumId w:val="20"/>
  </w:num>
  <w:num w:numId="13">
    <w:abstractNumId w:val="9"/>
  </w:num>
  <w:num w:numId="14">
    <w:abstractNumId w:val="16"/>
  </w:num>
  <w:num w:numId="15">
    <w:abstractNumId w:val="10"/>
  </w:num>
  <w:num w:numId="16">
    <w:abstractNumId w:val="28"/>
    <w:lvlOverride w:ilvl="0">
      <w:startOverride w:val="1"/>
    </w:lvlOverride>
  </w:num>
  <w:num w:numId="17">
    <w:abstractNumId w:val="25"/>
  </w:num>
  <w:num w:numId="18">
    <w:abstractNumId w:val="17"/>
  </w:num>
  <w:num w:numId="19">
    <w:abstractNumId w:val="27"/>
  </w:num>
  <w:num w:numId="20">
    <w:abstractNumId w:val="14"/>
  </w:num>
  <w:num w:numId="21">
    <w:abstractNumId w:val="18"/>
  </w:num>
  <w:num w:numId="22">
    <w:abstractNumId w:val="12"/>
  </w:num>
  <w:num w:numId="23">
    <w:abstractNumId w:val="26"/>
  </w:num>
  <w:num w:numId="24">
    <w:abstractNumId w:val="11"/>
  </w:num>
  <w:num w:numId="25">
    <w:abstractNumId w:val="19"/>
  </w:num>
  <w:num w:numId="26">
    <w:abstractNumId w:val="23"/>
  </w:num>
  <w:num w:numId="27">
    <w:abstractNumId w:val="24"/>
  </w:num>
  <w:num w:numId="28">
    <w:abstractNumId w:val="13"/>
  </w:num>
  <w:num w:numId="29">
    <w:abstractNumId w:val="22"/>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8 19:00: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DW_AutoOpen" w:val="True"/>
    <w:docVar w:name="LW_CORRIGENDUM" w:val="&lt;UNUSED&gt;"/>
    <w:docVar w:name="LW_COVERPAGE_EXISTS" w:val="True"/>
    <w:docVar w:name="LW_COVERPAGE_GUID" w:val="76A0561F-10D6-4F00-B82A-C15DB248A127"/>
    <w:docVar w:name="LW_COVERPAGE_TYPE" w:val="1"/>
    <w:docVar w:name="LW_CROSSREFERENCE" w:val="&lt;UNUSED&gt;"/>
    <w:docVar w:name="LW_DocType" w:val="COM"/>
    <w:docVar w:name="LW_EMISSION" w:val="18.10.2019"/>
    <w:docVar w:name="LW_EMISSION_ISODATE" w:val="2019-10-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0"/>
    <w:docVar w:name="LW_REF.II.NEW.CP_YEAR" w:val="2019"/>
    <w:docVar w:name="LW_REF.INST.NEW" w:val="COM"/>
    <w:docVar w:name="LW_REF.INST.NEW_ADOPTED" w:val="final"/>
    <w:docVar w:name="LW_REF.INST.NEW_TEXT" w:val="(2019) 8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portant modification de la décision (UE) 2019/274 relative à la signature, au nom de l\u8217?Union européenne et de la Communauté européenne de l\u8217?énergie atomique, de l\u8217?accord sur le retrait du Royaume-Uni de Grande-Bretagne et d\u8217?Irlande du Nord de l\u8217?Union européenne et de la Communauté européenne de l\u8217?énergie atom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Bullet1">
    <w:name w:val="List Bullet 1"/>
    <w:basedOn w:val="Normal"/>
    <w:pPr>
      <w:numPr>
        <w:numId w:val="9"/>
      </w:numPr>
    </w:pPr>
    <w:rPr>
      <w:rFonts w:eastAsia="Times New Roman"/>
      <w:lang w:eastAsia="en-GB"/>
    </w:rPr>
  </w:style>
  <w:style w:type="paragraph" w:customStyle="1" w:styleId="ListDash">
    <w:name w:val="List Dash"/>
    <w:basedOn w:val="Normal"/>
    <w:pPr>
      <w:numPr>
        <w:numId w:val="10"/>
      </w:numPr>
    </w:pPr>
    <w:rPr>
      <w:rFonts w:eastAsia="Times New Roman"/>
      <w:lang w:eastAsia="en-GB"/>
    </w:rPr>
  </w:style>
  <w:style w:type="paragraph" w:customStyle="1" w:styleId="ListDash1">
    <w:name w:val="List Dash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lang w:val="fr-FR"/>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Pr>
      <w:lang w:eastAsia="fr-BE"/>
    </w:rPr>
  </w:style>
  <w:style w:type="paragraph" w:customStyle="1" w:styleId="ListDash3">
    <w:name w:val="List Dash 3"/>
    <w:basedOn w:val="Normal"/>
    <w:pPr>
      <w:numPr>
        <w:numId w:val="13"/>
      </w:numPr>
    </w:pPr>
    <w:rPr>
      <w:rFonts w:eastAsia="Times New Roman"/>
      <w:lang w:eastAsia="en-GB"/>
    </w:rPr>
  </w:style>
  <w:style w:type="paragraph" w:customStyle="1" w:styleId="ListDash4">
    <w:name w:val="List Dash 4"/>
    <w:basedOn w:val="Normal"/>
    <w:pPr>
      <w:numPr>
        <w:numId w:val="14"/>
      </w:numPr>
    </w:pPr>
    <w:rPr>
      <w:rFonts w:eastAsia="Times New Roman"/>
      <w:lang w:eastAsia="en-GB"/>
    </w:rPr>
  </w:style>
  <w:style w:type="paragraph" w:customStyle="1" w:styleId="ListNumber1">
    <w:name w:val="List Number 1"/>
    <w:basedOn w:val="Text1"/>
    <w:pPr>
      <w:numPr>
        <w:numId w:val="15"/>
      </w:numPr>
    </w:pPr>
    <w:rPr>
      <w:rFonts w:eastAsia="Times New Roman"/>
      <w:lang w:eastAsia="en-GB"/>
    </w:rPr>
  </w:style>
  <w:style w:type="paragraph" w:customStyle="1" w:styleId="ListNumber1Level2">
    <w:name w:val="List Number 1 (Level 2)"/>
    <w:basedOn w:val="Text1"/>
    <w:pPr>
      <w:numPr>
        <w:ilvl w:val="1"/>
        <w:numId w:val="15"/>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5"/>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5"/>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fr-FR"/>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Bullet1">
    <w:name w:val="List Bullet 1"/>
    <w:basedOn w:val="Normal"/>
    <w:pPr>
      <w:numPr>
        <w:numId w:val="9"/>
      </w:numPr>
    </w:pPr>
    <w:rPr>
      <w:rFonts w:eastAsia="Times New Roman"/>
      <w:lang w:eastAsia="en-GB"/>
    </w:rPr>
  </w:style>
  <w:style w:type="paragraph" w:customStyle="1" w:styleId="ListDash">
    <w:name w:val="List Dash"/>
    <w:basedOn w:val="Normal"/>
    <w:pPr>
      <w:numPr>
        <w:numId w:val="10"/>
      </w:numPr>
    </w:pPr>
    <w:rPr>
      <w:rFonts w:eastAsia="Times New Roman"/>
      <w:lang w:eastAsia="en-GB"/>
    </w:rPr>
  </w:style>
  <w:style w:type="paragraph" w:customStyle="1" w:styleId="ListDash1">
    <w:name w:val="List Dash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lang w:val="fr-FR"/>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Pr>
      <w:lang w:eastAsia="fr-BE"/>
    </w:rPr>
  </w:style>
  <w:style w:type="paragraph" w:customStyle="1" w:styleId="ListDash3">
    <w:name w:val="List Dash 3"/>
    <w:basedOn w:val="Normal"/>
    <w:pPr>
      <w:numPr>
        <w:numId w:val="13"/>
      </w:numPr>
    </w:pPr>
    <w:rPr>
      <w:rFonts w:eastAsia="Times New Roman"/>
      <w:lang w:eastAsia="en-GB"/>
    </w:rPr>
  </w:style>
  <w:style w:type="paragraph" w:customStyle="1" w:styleId="ListDash4">
    <w:name w:val="List Dash 4"/>
    <w:basedOn w:val="Normal"/>
    <w:pPr>
      <w:numPr>
        <w:numId w:val="14"/>
      </w:numPr>
    </w:pPr>
    <w:rPr>
      <w:rFonts w:eastAsia="Times New Roman"/>
      <w:lang w:eastAsia="en-GB"/>
    </w:rPr>
  </w:style>
  <w:style w:type="paragraph" w:customStyle="1" w:styleId="ListNumber1">
    <w:name w:val="List Number 1"/>
    <w:basedOn w:val="Text1"/>
    <w:pPr>
      <w:numPr>
        <w:numId w:val="15"/>
      </w:numPr>
    </w:pPr>
    <w:rPr>
      <w:rFonts w:eastAsia="Times New Roman"/>
      <w:lang w:eastAsia="en-GB"/>
    </w:rPr>
  </w:style>
  <w:style w:type="paragraph" w:customStyle="1" w:styleId="ListNumber1Level2">
    <w:name w:val="List Number 1 (Level 2)"/>
    <w:basedOn w:val="Text1"/>
    <w:pPr>
      <w:numPr>
        <w:ilvl w:val="1"/>
        <w:numId w:val="15"/>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5"/>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5"/>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fr-FR"/>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1621">
      <w:bodyDiv w:val="1"/>
      <w:marLeft w:val="0"/>
      <w:marRight w:val="0"/>
      <w:marTop w:val="0"/>
      <w:marBottom w:val="0"/>
      <w:divBdr>
        <w:top w:val="none" w:sz="0" w:space="0" w:color="auto"/>
        <w:left w:val="none" w:sz="0" w:space="0" w:color="auto"/>
        <w:bottom w:val="none" w:sz="0" w:space="0" w:color="auto"/>
        <w:right w:val="none" w:sz="0" w:space="0" w:color="auto"/>
      </w:divBdr>
    </w:div>
    <w:div w:id="462501090">
      <w:bodyDiv w:val="1"/>
      <w:marLeft w:val="0"/>
      <w:marRight w:val="0"/>
      <w:marTop w:val="0"/>
      <w:marBottom w:val="0"/>
      <w:divBdr>
        <w:top w:val="none" w:sz="0" w:space="0" w:color="auto"/>
        <w:left w:val="none" w:sz="0" w:space="0" w:color="auto"/>
        <w:bottom w:val="none" w:sz="0" w:space="0" w:color="auto"/>
        <w:right w:val="none" w:sz="0" w:space="0" w:color="auto"/>
      </w:divBdr>
    </w:div>
    <w:div w:id="521551201">
      <w:bodyDiv w:val="1"/>
      <w:marLeft w:val="0"/>
      <w:marRight w:val="0"/>
      <w:marTop w:val="0"/>
      <w:marBottom w:val="0"/>
      <w:divBdr>
        <w:top w:val="none" w:sz="0" w:space="0" w:color="auto"/>
        <w:left w:val="none" w:sz="0" w:space="0" w:color="auto"/>
        <w:bottom w:val="none" w:sz="0" w:space="0" w:color="auto"/>
        <w:right w:val="none" w:sz="0" w:space="0" w:color="auto"/>
      </w:divBdr>
    </w:div>
    <w:div w:id="606234461">
      <w:bodyDiv w:val="1"/>
      <w:marLeft w:val="0"/>
      <w:marRight w:val="0"/>
      <w:marTop w:val="0"/>
      <w:marBottom w:val="0"/>
      <w:divBdr>
        <w:top w:val="none" w:sz="0" w:space="0" w:color="auto"/>
        <w:left w:val="none" w:sz="0" w:space="0" w:color="auto"/>
        <w:bottom w:val="none" w:sz="0" w:space="0" w:color="auto"/>
        <w:right w:val="none" w:sz="0" w:space="0" w:color="auto"/>
      </w:divBdr>
      <w:divsChild>
        <w:div w:id="2086487229">
          <w:marLeft w:val="0"/>
          <w:marRight w:val="0"/>
          <w:marTop w:val="0"/>
          <w:marBottom w:val="0"/>
          <w:divBdr>
            <w:top w:val="none" w:sz="0" w:space="0" w:color="auto"/>
            <w:left w:val="none" w:sz="0" w:space="0" w:color="auto"/>
            <w:bottom w:val="none" w:sz="0" w:space="0" w:color="auto"/>
            <w:right w:val="none" w:sz="0" w:space="0" w:color="auto"/>
          </w:divBdr>
          <w:divsChild>
            <w:div w:id="747460571">
              <w:marLeft w:val="0"/>
              <w:marRight w:val="0"/>
              <w:marTop w:val="0"/>
              <w:marBottom w:val="150"/>
              <w:divBdr>
                <w:top w:val="none" w:sz="0" w:space="0" w:color="auto"/>
                <w:left w:val="none" w:sz="0" w:space="0" w:color="auto"/>
                <w:bottom w:val="none" w:sz="0" w:space="0" w:color="auto"/>
                <w:right w:val="none" w:sz="0" w:space="0" w:color="auto"/>
              </w:divBdr>
              <w:divsChild>
                <w:div w:id="1711567601">
                  <w:marLeft w:val="0"/>
                  <w:marRight w:val="0"/>
                  <w:marTop w:val="0"/>
                  <w:marBottom w:val="0"/>
                  <w:divBdr>
                    <w:top w:val="none" w:sz="0" w:space="0" w:color="auto"/>
                    <w:left w:val="none" w:sz="0" w:space="0" w:color="auto"/>
                    <w:bottom w:val="none" w:sz="0" w:space="0" w:color="auto"/>
                    <w:right w:val="none" w:sz="0" w:space="0" w:color="auto"/>
                  </w:divBdr>
                  <w:divsChild>
                    <w:div w:id="57364378">
                      <w:marLeft w:val="0"/>
                      <w:marRight w:val="0"/>
                      <w:marTop w:val="0"/>
                      <w:marBottom w:val="0"/>
                      <w:divBdr>
                        <w:top w:val="none" w:sz="0" w:space="0" w:color="auto"/>
                        <w:left w:val="none" w:sz="0" w:space="0" w:color="auto"/>
                        <w:bottom w:val="none" w:sz="0" w:space="0" w:color="auto"/>
                        <w:right w:val="none" w:sz="0" w:space="0" w:color="auto"/>
                      </w:divBdr>
                      <w:divsChild>
                        <w:div w:id="138155627">
                          <w:marLeft w:val="0"/>
                          <w:marRight w:val="0"/>
                          <w:marTop w:val="0"/>
                          <w:marBottom w:val="0"/>
                          <w:divBdr>
                            <w:top w:val="none" w:sz="0" w:space="0" w:color="auto"/>
                            <w:left w:val="none" w:sz="0" w:space="0" w:color="auto"/>
                            <w:bottom w:val="none" w:sz="0" w:space="0" w:color="auto"/>
                            <w:right w:val="none" w:sz="0" w:space="0" w:color="auto"/>
                          </w:divBdr>
                          <w:divsChild>
                            <w:div w:id="1966964128">
                              <w:marLeft w:val="0"/>
                              <w:marRight w:val="0"/>
                              <w:marTop w:val="0"/>
                              <w:marBottom w:val="0"/>
                              <w:divBdr>
                                <w:top w:val="none" w:sz="0" w:space="0" w:color="auto"/>
                                <w:left w:val="none" w:sz="0" w:space="0" w:color="auto"/>
                                <w:bottom w:val="none" w:sz="0" w:space="0" w:color="auto"/>
                                <w:right w:val="none" w:sz="0" w:space="0" w:color="auto"/>
                              </w:divBdr>
                              <w:divsChild>
                                <w:div w:id="1299384063">
                                  <w:marLeft w:val="0"/>
                                  <w:marRight w:val="-3600"/>
                                  <w:marTop w:val="150"/>
                                  <w:marBottom w:val="0"/>
                                  <w:divBdr>
                                    <w:top w:val="none" w:sz="0" w:space="0" w:color="auto"/>
                                    <w:left w:val="none" w:sz="0" w:space="0" w:color="auto"/>
                                    <w:bottom w:val="none" w:sz="0" w:space="0" w:color="auto"/>
                                    <w:right w:val="none" w:sz="0" w:space="0" w:color="auto"/>
                                  </w:divBdr>
                                  <w:divsChild>
                                    <w:div w:id="1145390697">
                                      <w:marLeft w:val="0"/>
                                      <w:marRight w:val="3600"/>
                                      <w:marTop w:val="0"/>
                                      <w:marBottom w:val="0"/>
                                      <w:divBdr>
                                        <w:top w:val="none" w:sz="0" w:space="0" w:color="auto"/>
                                        <w:left w:val="none" w:sz="0" w:space="0" w:color="auto"/>
                                        <w:bottom w:val="none" w:sz="0" w:space="0" w:color="auto"/>
                                        <w:right w:val="none" w:sz="0" w:space="0" w:color="auto"/>
                                      </w:divBdr>
                                      <w:divsChild>
                                        <w:div w:id="1797487616">
                                          <w:marLeft w:val="0"/>
                                          <w:marRight w:val="0"/>
                                          <w:marTop w:val="0"/>
                                          <w:marBottom w:val="0"/>
                                          <w:divBdr>
                                            <w:top w:val="none" w:sz="0" w:space="0" w:color="auto"/>
                                            <w:left w:val="none" w:sz="0" w:space="0" w:color="auto"/>
                                            <w:bottom w:val="none" w:sz="0" w:space="0" w:color="auto"/>
                                            <w:right w:val="none" w:sz="0" w:space="0" w:color="auto"/>
                                          </w:divBdr>
                                          <w:divsChild>
                                            <w:div w:id="1923291387">
                                              <w:marLeft w:val="0"/>
                                              <w:marRight w:val="0"/>
                                              <w:marTop w:val="0"/>
                                              <w:marBottom w:val="0"/>
                                              <w:divBdr>
                                                <w:top w:val="none" w:sz="0" w:space="0" w:color="auto"/>
                                                <w:left w:val="none" w:sz="0" w:space="0" w:color="auto"/>
                                                <w:bottom w:val="none" w:sz="0" w:space="0" w:color="auto"/>
                                                <w:right w:val="none" w:sz="0" w:space="0" w:color="auto"/>
                                              </w:divBdr>
                                              <w:divsChild>
                                                <w:div w:id="1201359413">
                                                  <w:marLeft w:val="0"/>
                                                  <w:marRight w:val="0"/>
                                                  <w:marTop w:val="0"/>
                                                  <w:marBottom w:val="0"/>
                                                  <w:divBdr>
                                                    <w:top w:val="none" w:sz="0" w:space="0" w:color="auto"/>
                                                    <w:left w:val="none" w:sz="0" w:space="0" w:color="auto"/>
                                                    <w:bottom w:val="none" w:sz="0" w:space="0" w:color="auto"/>
                                                    <w:right w:val="none" w:sz="0" w:space="0" w:color="auto"/>
                                                  </w:divBdr>
                                                  <w:divsChild>
                                                    <w:div w:id="2021588997">
                                                      <w:marLeft w:val="0"/>
                                                      <w:marRight w:val="0"/>
                                                      <w:marTop w:val="0"/>
                                                      <w:marBottom w:val="0"/>
                                                      <w:divBdr>
                                                        <w:top w:val="none" w:sz="0" w:space="0" w:color="auto"/>
                                                        <w:left w:val="none" w:sz="0" w:space="0" w:color="auto"/>
                                                        <w:bottom w:val="none" w:sz="0" w:space="0" w:color="auto"/>
                                                        <w:right w:val="none" w:sz="0" w:space="0" w:color="auto"/>
                                                      </w:divBdr>
                                                      <w:divsChild>
                                                        <w:div w:id="422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116869">
      <w:bodyDiv w:val="1"/>
      <w:marLeft w:val="0"/>
      <w:marRight w:val="0"/>
      <w:marTop w:val="0"/>
      <w:marBottom w:val="0"/>
      <w:divBdr>
        <w:top w:val="none" w:sz="0" w:space="0" w:color="auto"/>
        <w:left w:val="none" w:sz="0" w:space="0" w:color="auto"/>
        <w:bottom w:val="none" w:sz="0" w:space="0" w:color="auto"/>
        <w:right w:val="none" w:sz="0" w:space="0" w:color="auto"/>
      </w:divBdr>
    </w:div>
    <w:div w:id="1061635231">
      <w:bodyDiv w:val="1"/>
      <w:marLeft w:val="0"/>
      <w:marRight w:val="0"/>
      <w:marTop w:val="0"/>
      <w:marBottom w:val="0"/>
      <w:divBdr>
        <w:top w:val="none" w:sz="0" w:space="0" w:color="auto"/>
        <w:left w:val="none" w:sz="0" w:space="0" w:color="auto"/>
        <w:bottom w:val="none" w:sz="0" w:space="0" w:color="auto"/>
        <w:right w:val="none" w:sz="0" w:space="0" w:color="auto"/>
      </w:divBdr>
      <w:divsChild>
        <w:div w:id="1732465468">
          <w:marLeft w:val="0"/>
          <w:marRight w:val="0"/>
          <w:marTop w:val="0"/>
          <w:marBottom w:val="0"/>
          <w:divBdr>
            <w:top w:val="none" w:sz="0" w:space="0" w:color="auto"/>
            <w:left w:val="none" w:sz="0" w:space="0" w:color="auto"/>
            <w:bottom w:val="none" w:sz="0" w:space="0" w:color="auto"/>
            <w:right w:val="none" w:sz="0" w:space="0" w:color="auto"/>
          </w:divBdr>
          <w:divsChild>
            <w:div w:id="1634410217">
              <w:marLeft w:val="0"/>
              <w:marRight w:val="0"/>
              <w:marTop w:val="0"/>
              <w:marBottom w:val="150"/>
              <w:divBdr>
                <w:top w:val="none" w:sz="0" w:space="0" w:color="auto"/>
                <w:left w:val="none" w:sz="0" w:space="0" w:color="auto"/>
                <w:bottom w:val="none" w:sz="0" w:space="0" w:color="auto"/>
                <w:right w:val="none" w:sz="0" w:space="0" w:color="auto"/>
              </w:divBdr>
              <w:divsChild>
                <w:div w:id="1598365430">
                  <w:marLeft w:val="0"/>
                  <w:marRight w:val="0"/>
                  <w:marTop w:val="0"/>
                  <w:marBottom w:val="0"/>
                  <w:divBdr>
                    <w:top w:val="none" w:sz="0" w:space="0" w:color="auto"/>
                    <w:left w:val="none" w:sz="0" w:space="0" w:color="auto"/>
                    <w:bottom w:val="none" w:sz="0" w:space="0" w:color="auto"/>
                    <w:right w:val="none" w:sz="0" w:space="0" w:color="auto"/>
                  </w:divBdr>
                  <w:divsChild>
                    <w:div w:id="422336400">
                      <w:marLeft w:val="0"/>
                      <w:marRight w:val="0"/>
                      <w:marTop w:val="0"/>
                      <w:marBottom w:val="0"/>
                      <w:divBdr>
                        <w:top w:val="none" w:sz="0" w:space="0" w:color="auto"/>
                        <w:left w:val="none" w:sz="0" w:space="0" w:color="auto"/>
                        <w:bottom w:val="none" w:sz="0" w:space="0" w:color="auto"/>
                        <w:right w:val="none" w:sz="0" w:space="0" w:color="auto"/>
                      </w:divBdr>
                      <w:divsChild>
                        <w:div w:id="1392537955">
                          <w:marLeft w:val="0"/>
                          <w:marRight w:val="0"/>
                          <w:marTop w:val="0"/>
                          <w:marBottom w:val="0"/>
                          <w:divBdr>
                            <w:top w:val="none" w:sz="0" w:space="0" w:color="auto"/>
                            <w:left w:val="none" w:sz="0" w:space="0" w:color="auto"/>
                            <w:bottom w:val="none" w:sz="0" w:space="0" w:color="auto"/>
                            <w:right w:val="none" w:sz="0" w:space="0" w:color="auto"/>
                          </w:divBdr>
                          <w:divsChild>
                            <w:div w:id="1583878954">
                              <w:marLeft w:val="0"/>
                              <w:marRight w:val="0"/>
                              <w:marTop w:val="0"/>
                              <w:marBottom w:val="0"/>
                              <w:divBdr>
                                <w:top w:val="none" w:sz="0" w:space="0" w:color="auto"/>
                                <w:left w:val="none" w:sz="0" w:space="0" w:color="auto"/>
                                <w:bottom w:val="none" w:sz="0" w:space="0" w:color="auto"/>
                                <w:right w:val="none" w:sz="0" w:space="0" w:color="auto"/>
                              </w:divBdr>
                              <w:divsChild>
                                <w:div w:id="651253905">
                                  <w:marLeft w:val="0"/>
                                  <w:marRight w:val="-3600"/>
                                  <w:marTop w:val="150"/>
                                  <w:marBottom w:val="0"/>
                                  <w:divBdr>
                                    <w:top w:val="none" w:sz="0" w:space="0" w:color="auto"/>
                                    <w:left w:val="none" w:sz="0" w:space="0" w:color="auto"/>
                                    <w:bottom w:val="none" w:sz="0" w:space="0" w:color="auto"/>
                                    <w:right w:val="none" w:sz="0" w:space="0" w:color="auto"/>
                                  </w:divBdr>
                                  <w:divsChild>
                                    <w:div w:id="970481595">
                                      <w:marLeft w:val="0"/>
                                      <w:marRight w:val="3600"/>
                                      <w:marTop w:val="0"/>
                                      <w:marBottom w:val="0"/>
                                      <w:divBdr>
                                        <w:top w:val="none" w:sz="0" w:space="0" w:color="auto"/>
                                        <w:left w:val="none" w:sz="0" w:space="0" w:color="auto"/>
                                        <w:bottom w:val="none" w:sz="0" w:space="0" w:color="auto"/>
                                        <w:right w:val="none" w:sz="0" w:space="0" w:color="auto"/>
                                      </w:divBdr>
                                      <w:divsChild>
                                        <w:div w:id="1921014592">
                                          <w:marLeft w:val="0"/>
                                          <w:marRight w:val="0"/>
                                          <w:marTop w:val="0"/>
                                          <w:marBottom w:val="0"/>
                                          <w:divBdr>
                                            <w:top w:val="none" w:sz="0" w:space="0" w:color="auto"/>
                                            <w:left w:val="none" w:sz="0" w:space="0" w:color="auto"/>
                                            <w:bottom w:val="none" w:sz="0" w:space="0" w:color="auto"/>
                                            <w:right w:val="none" w:sz="0" w:space="0" w:color="auto"/>
                                          </w:divBdr>
                                          <w:divsChild>
                                            <w:div w:id="1668357989">
                                              <w:marLeft w:val="0"/>
                                              <w:marRight w:val="0"/>
                                              <w:marTop w:val="0"/>
                                              <w:marBottom w:val="0"/>
                                              <w:divBdr>
                                                <w:top w:val="none" w:sz="0" w:space="0" w:color="auto"/>
                                                <w:left w:val="none" w:sz="0" w:space="0" w:color="auto"/>
                                                <w:bottom w:val="none" w:sz="0" w:space="0" w:color="auto"/>
                                                <w:right w:val="none" w:sz="0" w:space="0" w:color="auto"/>
                                              </w:divBdr>
                                              <w:divsChild>
                                                <w:div w:id="1432236735">
                                                  <w:marLeft w:val="0"/>
                                                  <w:marRight w:val="0"/>
                                                  <w:marTop w:val="0"/>
                                                  <w:marBottom w:val="0"/>
                                                  <w:divBdr>
                                                    <w:top w:val="none" w:sz="0" w:space="0" w:color="auto"/>
                                                    <w:left w:val="none" w:sz="0" w:space="0" w:color="auto"/>
                                                    <w:bottom w:val="none" w:sz="0" w:space="0" w:color="auto"/>
                                                    <w:right w:val="none" w:sz="0" w:space="0" w:color="auto"/>
                                                  </w:divBdr>
                                                  <w:divsChild>
                                                    <w:div w:id="1701011168">
                                                      <w:marLeft w:val="0"/>
                                                      <w:marRight w:val="0"/>
                                                      <w:marTop w:val="0"/>
                                                      <w:marBottom w:val="0"/>
                                                      <w:divBdr>
                                                        <w:top w:val="none" w:sz="0" w:space="0" w:color="auto"/>
                                                        <w:left w:val="none" w:sz="0" w:space="0" w:color="auto"/>
                                                        <w:bottom w:val="none" w:sz="0" w:space="0" w:color="auto"/>
                                                        <w:right w:val="none" w:sz="0" w:space="0" w:color="auto"/>
                                                      </w:divBdr>
                                                      <w:divsChild>
                                                        <w:div w:id="16820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874568">
      <w:bodyDiv w:val="1"/>
      <w:marLeft w:val="0"/>
      <w:marRight w:val="0"/>
      <w:marTop w:val="0"/>
      <w:marBottom w:val="0"/>
      <w:divBdr>
        <w:top w:val="none" w:sz="0" w:space="0" w:color="auto"/>
        <w:left w:val="none" w:sz="0" w:space="0" w:color="auto"/>
        <w:bottom w:val="none" w:sz="0" w:space="0" w:color="auto"/>
        <w:right w:val="none" w:sz="0" w:space="0" w:color="auto"/>
      </w:divBdr>
    </w:div>
    <w:div w:id="1886019672">
      <w:bodyDiv w:val="1"/>
      <w:marLeft w:val="0"/>
      <w:marRight w:val="0"/>
      <w:marTop w:val="0"/>
      <w:marBottom w:val="0"/>
      <w:divBdr>
        <w:top w:val="none" w:sz="0" w:space="0" w:color="auto"/>
        <w:left w:val="none" w:sz="0" w:space="0" w:color="auto"/>
        <w:bottom w:val="none" w:sz="0" w:space="0" w:color="auto"/>
        <w:right w:val="none" w:sz="0" w:space="0" w:color="auto"/>
      </w:divBdr>
    </w:div>
    <w:div w:id="2074545182">
      <w:bodyDiv w:val="1"/>
      <w:marLeft w:val="0"/>
      <w:marRight w:val="0"/>
      <w:marTop w:val="0"/>
      <w:marBottom w:val="0"/>
      <w:divBdr>
        <w:top w:val="none" w:sz="0" w:space="0" w:color="auto"/>
        <w:left w:val="none" w:sz="0" w:space="0" w:color="auto"/>
        <w:bottom w:val="none" w:sz="0" w:space="0" w:color="auto"/>
        <w:right w:val="none" w:sz="0" w:space="0" w:color="auto"/>
      </w:divBdr>
    </w:div>
    <w:div w:id="2093233368">
      <w:bodyDiv w:val="1"/>
      <w:marLeft w:val="0"/>
      <w:marRight w:val="0"/>
      <w:marTop w:val="0"/>
      <w:marBottom w:val="0"/>
      <w:divBdr>
        <w:top w:val="none" w:sz="0" w:space="0" w:color="auto"/>
        <w:left w:val="none" w:sz="0" w:space="0" w:color="auto"/>
        <w:bottom w:val="none" w:sz="0" w:space="0" w:color="auto"/>
        <w:right w:val="none" w:sz="0" w:space="0" w:color="auto"/>
      </w:divBdr>
    </w:div>
    <w:div w:id="21058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8C704B-D286-48A0-AFEB-23FBEE09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1181</Words>
  <Characters>6178</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2019-10-17T11:12:00Z</cp:lastPrinted>
  <dcterms:created xsi:type="dcterms:W3CDTF">2019-10-18T15:22:00Z</dcterms:created>
  <dcterms:modified xsi:type="dcterms:W3CDTF">2019-10-18T17:00:00Z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