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AF0626-3884-4FCA-A2EB-CDAEE1A419E5"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определяне на позицията, която да се заеме от името на Съюза в Съвместния комитет по Регионалната конвенция за паневросредиземноморските преференциални правила за произход („Съвместния комитет по Конвенцията“), във връзка с предвиденото приемане на решение на посочения комитет за изменение на Конвенцията</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Регионалната конвенция за паневросредиземноморските преференциални правила за произход</w:t>
      </w:r>
    </w:p>
    <w:p>
      <w:pPr>
        <w:rPr>
          <w:rFonts w:eastAsia="Times New Roman"/>
          <w:noProof/>
          <w:szCs w:val="24"/>
        </w:rPr>
      </w:pPr>
      <w:r>
        <w:rPr>
          <w:noProof/>
        </w:rPr>
        <w:t xml:space="preserve">В Регионалната конвенция за паневросредиземноморските преференциални правила за произход се въвеждат правила във връзка с произхода на стоките, които се търгуват по силата на съответните споразумения, сключени между договарящите страни. </w:t>
      </w:r>
    </w:p>
    <w:p>
      <w:pPr>
        <w:rPr>
          <w:rFonts w:eastAsia="Arial Unicode MS"/>
          <w:noProof/>
        </w:rPr>
      </w:pPr>
      <w:r>
        <w:rPr>
          <w:noProof/>
        </w:rPr>
        <w:t>Паневросредиземноморската система за кумулация на произход позволява прилагането на диагонална кумулация между 26-те договарящи страни по Конвенцията: Европейския съюз, Исландия, Лихтенщайн, Норвегия, Швейцария, Алжир, Египет, Израел, Йордания, Ливан, Мароко, Палестина</w:t>
      </w:r>
      <w:r>
        <w:rPr>
          <w:rStyle w:val="FootnoteReference"/>
          <w:noProof/>
        </w:rPr>
        <w:footnoteReference w:id="2"/>
      </w:r>
      <w:r>
        <w:rPr>
          <w:noProof/>
        </w:rPr>
        <w:t>, Сирия, Тунис, Турция, Албания, Босна и Херцеговина, Хърватия, Северна Македония, Черна гора, Сърбия, Косово</w:t>
      </w:r>
      <w:r>
        <w:rPr>
          <w:rStyle w:val="FootnoteReference"/>
          <w:noProof/>
        </w:rPr>
        <w:footnoteReference w:id="3"/>
      </w:r>
      <w:r>
        <w:rPr>
          <w:noProof/>
        </w:rPr>
        <w:t>, Фарьорските острови, Република Молдова, Грузия и Украйна. Тя въвежда многостранна система от правила за произход за мрежа от споразумения за свободна търговия и се прилага, без да се накърняват принципите, залегнали в тези споразумения. Конвенцията влезе в сила за Съюза на 1 май 2012 г</w:t>
      </w:r>
      <w:r>
        <w:t>.</w:t>
      </w:r>
    </w:p>
    <w:p>
      <w:pPr>
        <w:rPr>
          <w:rFonts w:eastAsia="Arial Unicode MS"/>
          <w:noProof/>
        </w:rPr>
      </w:pPr>
      <w:r>
        <w:rPr>
          <w:noProof/>
        </w:rPr>
        <w:t>Европейският съюз е страна по Конвенцията</w:t>
      </w:r>
      <w:r>
        <w:rPr>
          <w:rStyle w:val="FootnoteReference"/>
          <w:noProof/>
        </w:rPr>
        <w:footnoteReference w:id="4"/>
      </w:r>
      <w:r>
        <w:rPr>
          <w:noProof/>
        </w:rPr>
        <w:t>.</w:t>
      </w:r>
    </w:p>
    <w:p>
      <w:pPr>
        <w:pStyle w:val="ManualHeading2"/>
        <w:rPr>
          <w:noProof/>
        </w:rPr>
      </w:pPr>
      <w:r>
        <w:t>2.2.</w:t>
      </w:r>
      <w:r>
        <w:tab/>
      </w:r>
      <w:r>
        <w:rPr>
          <w:noProof/>
        </w:rPr>
        <w:t>Съвместният комитет по Конвенцията</w:t>
      </w:r>
    </w:p>
    <w:p>
      <w:pPr>
        <w:rPr>
          <w:rFonts w:eastAsia="Arial Unicode MS"/>
          <w:noProof/>
        </w:rPr>
      </w:pPr>
      <w:r>
        <w:rPr>
          <w:noProof/>
        </w:rPr>
        <w:t>Съвместният комитет, създаден по силата на член 3, параграф 1 от Конвенцията, приема изменения на Конвенцията и отговаря за нейното управление и правилно прилагане. Член 12 от процедурния правилник на Съвместния комитет по Конвенцията постановява, че решенията на комитета се приемат с единодушие на заседаващите — присъстващи или представени — договарящи страни, за които Конвенцията е влязла в сила.</w:t>
      </w:r>
    </w:p>
    <w:p>
      <w:pPr>
        <w:rPr>
          <w:rFonts w:eastAsia="Arial Unicode MS"/>
          <w:noProof/>
        </w:rPr>
      </w:pPr>
      <w:r>
        <w:rPr>
          <w:noProof/>
        </w:rPr>
        <w:t>Договарящите страни, за които Конвенцията е влязла в сила, имат право на глас. Всяка договаряща страна има право на един глас.</w:t>
      </w:r>
    </w:p>
    <w:p>
      <w:pPr>
        <w:pStyle w:val="ManualHeading2"/>
        <w:rPr>
          <w:noProof/>
        </w:rPr>
      </w:pPr>
      <w:r>
        <w:t>2.3.</w:t>
      </w:r>
      <w:r>
        <w:tab/>
      </w:r>
      <w:r>
        <w:rPr>
          <w:noProof/>
        </w:rPr>
        <w:t>Предвиденият акт на Съвместния комитет по Конвенцията</w:t>
      </w:r>
    </w:p>
    <w:p>
      <w:pPr>
        <w:rPr>
          <w:noProof/>
          <w:szCs w:val="24"/>
        </w:rPr>
      </w:pPr>
      <w:r>
        <w:rPr>
          <w:noProof/>
        </w:rPr>
        <w:t xml:space="preserve">Процесът по изменение на Конвенцията започна през 2012 г.; той протича в рамките на работна група, която заседава поне два пъти годишно. По време на този процес държавите членки активно участват чрез различни форуми (група на митническите </w:t>
      </w:r>
      <w:r>
        <w:rPr>
          <w:noProof/>
        </w:rPr>
        <w:lastRenderedPageBreak/>
        <w:t xml:space="preserve">експерти – секция „Произход“, работна група на Съвета „Митнически съюз“; комитет „Търговска политика“). </w:t>
      </w:r>
    </w:p>
    <w:p>
      <w:pPr>
        <w:rPr>
          <w:rFonts w:eastAsia="Arial Unicode MS"/>
          <w:noProof/>
        </w:rPr>
      </w:pPr>
      <w:r>
        <w:rPr>
          <w:noProof/>
        </w:rPr>
        <w:t>Очаква се на 9-ото си заседание</w:t>
      </w:r>
      <w:r>
        <w:t xml:space="preserve"> </w:t>
      </w:r>
      <w:r>
        <w:rPr>
          <w:noProof/>
        </w:rPr>
        <w:t>на 27 ноември 2019 г.</w:t>
      </w:r>
      <w:r>
        <w:t xml:space="preserve"> </w:t>
      </w:r>
      <w:r>
        <w:rPr>
          <w:noProof/>
        </w:rPr>
        <w:t xml:space="preserve"> Съвместният комитет по Конвенцията да приеме решениеза изменение на Конвенцията</w:t>
      </w:r>
      <w:r>
        <w:t xml:space="preserve"> </w:t>
      </w:r>
      <w:r>
        <w:rPr>
          <w:noProof/>
        </w:rPr>
        <w:t xml:space="preserve"> („предвидения акт“).</w:t>
      </w:r>
    </w:p>
    <w:p>
      <w:pPr>
        <w:rPr>
          <w:noProof/>
        </w:rPr>
      </w:pPr>
      <w:r>
        <w:rPr>
          <w:noProof/>
        </w:rPr>
        <w:t>Целта на предвидения акт е да се изменят правилата за произход, за да се отрази по-добре икономическата действителност.</w:t>
      </w:r>
      <w:r>
        <w:t xml:space="preserve"> </w:t>
      </w:r>
      <w:r>
        <w:rPr>
          <w:noProof/>
        </w:rPr>
        <w:t>Предвиденият акт ще има задължителен характер за страните по силата на член 4, параграф 3, буква а), където се предвижда, че: „Съвместният комитет приема с решение изменения на настоящата конвенция, включително изменения на допълненията“. Последното изречение на член 4, параграф 3, буква а) гласи: „Договарящите страни привеждат в действие решенията, посочени в настоящия параграф, в съответствие със своите собствени законодателства.“</w:t>
      </w:r>
    </w:p>
    <w:p>
      <w:pPr>
        <w:rPr>
          <w:rFonts w:eastAsia="Arial Unicode MS"/>
          <w:noProof/>
        </w:rPr>
      </w:pPr>
      <w:r>
        <w:rPr>
          <w:noProof/>
        </w:rPr>
        <w:t>Измененията на Конвенцията следва да започнат да се прилагат от 1 януари 2021 г. Може обаче да се наложи датата на ефективно прилагане на измененията да се промени, за да се вземат предвид необходимите вътрешни процедури, които други договарящи страни трябва да следват преди тази дата.</w:t>
      </w:r>
    </w:p>
    <w:p>
      <w:pPr>
        <w:pStyle w:val="ManualHeading1"/>
        <w:rPr>
          <w:rFonts w:eastAsia="Arial Unicode MS"/>
          <w:noProof/>
        </w:rPr>
      </w:pPr>
      <w:r>
        <w:t>3.</w:t>
      </w:r>
      <w:r>
        <w:tab/>
      </w:r>
      <w:r>
        <w:rPr>
          <w:noProof/>
        </w:rPr>
        <w:t>Позицията, която трябва да се заеме от името на Съюза</w:t>
      </w:r>
    </w:p>
    <w:p>
      <w:pPr>
        <w:pBdr>
          <w:top w:val="nil"/>
          <w:left w:val="nil"/>
          <w:bottom w:val="nil"/>
          <w:right w:val="nil"/>
          <w:between w:val="nil"/>
          <w:bar w:val="nil"/>
        </w:pBdr>
        <w:spacing w:before="0" w:after="240"/>
        <w:rPr>
          <w:noProof/>
        </w:rPr>
      </w:pPr>
      <w:r>
        <w:rPr>
          <w:noProof/>
        </w:rPr>
        <w:t xml:space="preserve">С предложените изменения на Конвенцията се въвеждат елементи на допълнителна гъвкавост и осъвременяване, които са съобразени с вече приетите такива от Съюза в някои други неотдавнашни споразумения (Всеобхватното икономическо и търговско споразумение между ЕС и Канада (ВИТС),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държавите от Южноафриканската общност за развитие) или преференциални схеми (Общата система за преференции — ОСП). Подобренията въвеждат като цяло по-гъвкави и опростени правила, които съответните субекти от ЕС ще могат да изпълняват по-лесно — като така ще повишат конкурентоспособността си при износ. Измененият текст не променя институционалните разпоредби на действащата Конвенция. </w:t>
      </w:r>
    </w:p>
    <w:p>
      <w:pPr>
        <w:pStyle w:val="ManualHeading2"/>
        <w:rPr>
          <w:noProof/>
        </w:rPr>
      </w:pPr>
      <w:r>
        <w:t>3.1.</w:t>
      </w:r>
      <w:r>
        <w:tab/>
      </w:r>
      <w:r>
        <w:rPr>
          <w:noProof/>
        </w:rPr>
        <w:t>Подробно представяне на изменените правила за произход</w:t>
      </w:r>
    </w:p>
    <w:p>
      <w:pPr>
        <w:pStyle w:val="Point0"/>
        <w:rPr>
          <w:noProof/>
        </w:rPr>
      </w:pPr>
      <w:r>
        <w:rPr>
          <w:noProof/>
        </w:rPr>
        <w:t>а)</w:t>
      </w:r>
      <w:r>
        <w:rPr>
          <w:noProof/>
        </w:rPr>
        <w:tab/>
        <w:t>Дерогации</w:t>
      </w:r>
    </w:p>
    <w:p>
      <w:pPr>
        <w:pBdr>
          <w:top w:val="nil"/>
          <w:left w:val="nil"/>
          <w:bottom w:val="nil"/>
          <w:right w:val="nil"/>
          <w:between w:val="nil"/>
          <w:bar w:val="nil"/>
        </w:pBdr>
        <w:spacing w:before="0" w:after="240"/>
        <w:rPr>
          <w:noProof/>
        </w:rPr>
      </w:pPr>
      <w:r>
        <w:rPr>
          <w:noProof/>
        </w:rPr>
        <w:t>Понастоящем договарящите страни могат двустранно да се договарят за правила, които дерогират от общите правила по Конвенцията. С изменената Конвенция се повишава прозрачността, тъй като се въвежда изискване за уведомяване за такива дерогации (член 1, параграф 3). Вече съществуващите дерогации ще останат в сила и няма да бъдат подчинени на задължението за уведомяване (член 1, параграф 2).</w:t>
      </w:r>
    </w:p>
    <w:p>
      <w:pPr>
        <w:pStyle w:val="Point0"/>
        <w:rPr>
          <w:noProof/>
        </w:rPr>
      </w:pPr>
      <w:r>
        <w:rPr>
          <w:noProof/>
        </w:rPr>
        <w:t>б)</w:t>
      </w:r>
      <w:r>
        <w:rPr>
          <w:noProof/>
        </w:rPr>
        <w:tab/>
        <w:t>Изцяло получени продукти — изисквания за плавателните съдове</w:t>
      </w:r>
    </w:p>
    <w:p>
      <w:pPr>
        <w:rPr>
          <w:noProof/>
        </w:rPr>
      </w:pPr>
      <w:r>
        <w:rPr>
          <w:noProof/>
        </w:rPr>
        <w:t>В изменения набор от правила изискванията за плавателните съдове са опростени и предоставят повече гъвкавост (член 3, параграф 2). В сравнение със сегашния текст бяха премахнати някои условия (напр. специалните изисквания за екипажа), а други бяха изменени, за да бъдат облекчени (например собствеността).</w:t>
      </w:r>
    </w:p>
    <w:p>
      <w:pPr>
        <w:pStyle w:val="Point0"/>
        <w:rPr>
          <w:noProof/>
        </w:rPr>
      </w:pPr>
      <w:r>
        <w:rPr>
          <w:noProof/>
        </w:rPr>
        <w:t>в)</w:t>
      </w:r>
      <w:r>
        <w:rPr>
          <w:noProof/>
        </w:rPr>
        <w:tab/>
        <w:t>Достатъчна обработка или преработка — усреднена стойност</w:t>
      </w:r>
    </w:p>
    <w:p>
      <w:pPr>
        <w:rPr>
          <w:noProof/>
        </w:rPr>
      </w:pPr>
      <w:r>
        <w:rPr>
          <w:noProof/>
        </w:rPr>
        <w:t xml:space="preserve">В изменения набор от правила, на износителя се позволява да поиска от митническите органи разрешение да изчислява цената франко завода и стойността на материалите без произход като усреднена стойност, така че да се вземат предвид колебанията в </w:t>
      </w:r>
      <w:r>
        <w:rPr>
          <w:noProof/>
        </w:rPr>
        <w:lastRenderedPageBreak/>
        <w:t>разходите и валутните курсове (член 4, параграфи 3—6). Това следва да осигури на износителите повече предвидимост.</w:t>
      </w:r>
    </w:p>
    <w:p>
      <w:pPr>
        <w:pStyle w:val="Point0"/>
        <w:rPr>
          <w:noProof/>
        </w:rPr>
      </w:pPr>
      <w:r>
        <w:rPr>
          <w:noProof/>
        </w:rPr>
        <w:t>г)</w:t>
      </w:r>
      <w:r>
        <w:rPr>
          <w:noProof/>
        </w:rPr>
        <w:tab/>
        <w:t>Допустимо отклонение</w:t>
      </w:r>
    </w:p>
    <w:p>
      <w:pPr>
        <w:rPr>
          <w:noProof/>
        </w:rPr>
      </w:pPr>
      <w:r>
        <w:rPr>
          <w:noProof/>
        </w:rPr>
        <w:t xml:space="preserve">Настоящото допустимо отклонение от стойността на цената на продукта франко завода е 10 % (член 5). </w:t>
      </w:r>
    </w:p>
    <w:p>
      <w:pPr>
        <w:rPr>
          <w:noProof/>
        </w:rPr>
      </w:pPr>
      <w:r>
        <w:rPr>
          <w:noProof/>
        </w:rPr>
        <w:t>В предложения текст,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 (член 5).</w:t>
      </w:r>
    </w:p>
    <w:p>
      <w:pPr>
        <w:rPr>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отчита отражението на международните колебания на стоковите цени върху произхода на селскостопанските продукти.</w:t>
      </w:r>
    </w:p>
    <w:p>
      <w:pPr>
        <w:pStyle w:val="Point0"/>
        <w:rPr>
          <w:noProof/>
        </w:rPr>
      </w:pPr>
      <w:r>
        <w:rPr>
          <w:noProof/>
        </w:rPr>
        <w:t>д)</w:t>
      </w:r>
      <w:r>
        <w:rPr>
          <w:noProof/>
        </w:rPr>
        <w:tab/>
        <w:t>Кумулация</w:t>
      </w:r>
    </w:p>
    <w:p>
      <w:pPr>
        <w:rPr>
          <w:noProof/>
        </w:rPr>
      </w:pPr>
      <w:r>
        <w:rPr>
          <w:noProof/>
        </w:rPr>
        <w:t xml:space="preserve">В предложения текст (член 7) се запазва диагоналната кумулация за всички продукти. Освен това, в него се предвижда обща пълна кумулация за всички продукти, с изключение на текстилните продукти и облеклата от глави 50—63 от Хармонизираната система (ХС). </w:t>
      </w:r>
    </w:p>
    <w:p>
      <w:pPr>
        <w:rPr>
          <w:noProof/>
        </w:rPr>
      </w:pPr>
      <w:r>
        <w:rPr>
          <w:noProof/>
        </w:rPr>
        <w:t>За продуктите в глави 50—63 от ХС се предвижда двустранна пълна кумулация. За отбелязване е също така, че договарящите страни ще разполагат с възможността да се договорят за включване в общата пълна кумулация и на продуктите в глави 50—63 от ХС.</w:t>
      </w:r>
    </w:p>
    <w:p>
      <w:pPr>
        <w:pStyle w:val="Point0"/>
        <w:rPr>
          <w:noProof/>
        </w:rPr>
      </w:pPr>
      <w:r>
        <w:rPr>
          <w:noProof/>
        </w:rPr>
        <w:t>е)</w:t>
      </w:r>
      <w:r>
        <w:rPr>
          <w:noProof/>
        </w:rPr>
        <w:tab/>
        <w:t>Счетоводно разделяне</w:t>
      </w:r>
    </w:p>
    <w:p>
      <w:pPr>
        <w:rPr>
          <w:noProof/>
        </w:rPr>
      </w:pPr>
      <w:r>
        <w:rPr>
          <w:noProof/>
        </w:rPr>
        <w:t>Настоящите правила (член 20)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По силата на изменените правила (член 12)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0"/>
        <w:rPr>
          <w:noProof/>
        </w:rPr>
      </w:pPr>
      <w:r>
        <w:rPr>
          <w:noProof/>
        </w:rPr>
        <w:t>ж)</w:t>
      </w:r>
      <w:r>
        <w:rPr>
          <w:noProof/>
        </w:rPr>
        <w:tab/>
        <w:t>Принцип на териториалност</w:t>
      </w:r>
    </w:p>
    <w:p>
      <w:pPr>
        <w:rPr>
          <w:noProof/>
        </w:rPr>
      </w:pPr>
      <w:r>
        <w:rPr>
          <w:noProof/>
        </w:rPr>
        <w:t>Настоящите правила (член 11) позволяват при определени условия някои обработки или преработки да бъдат извършвани извън територията — с изключение на продуктите в глави 50—63 от ХС. В предложените правила (член 13) текстилните продукти вече не се изключват.</w:t>
      </w:r>
    </w:p>
    <w:p>
      <w:pPr>
        <w:pStyle w:val="Point0"/>
        <w:rPr>
          <w:noProof/>
        </w:rPr>
      </w:pPr>
      <w:r>
        <w:rPr>
          <w:noProof/>
        </w:rPr>
        <w:t>з)</w:t>
      </w:r>
      <w:r>
        <w:rPr>
          <w:noProof/>
        </w:rPr>
        <w:tab/>
        <w:t>Забрана на промяната</w:t>
      </w:r>
    </w:p>
    <w:p>
      <w:pPr>
        <w:rPr>
          <w:noProof/>
        </w:rPr>
      </w:pPr>
      <w:r>
        <w:rPr>
          <w:noProof/>
        </w:rPr>
        <w:t xml:space="preserve">В предложеното правило за забрана на промяната (член 14) се предвижда повече толеранс за движението между договарящите страни на продукти с произход. По този начин би трябвало да се избегнат ситуациите, при които продукти, чийто статус на стоки с произход е безсъмнен, биват изключени от преференциалната ставка при внос, </w:t>
      </w:r>
      <w:r>
        <w:rPr>
          <w:noProof/>
        </w:rPr>
        <w:lastRenderedPageBreak/>
        <w:t>тъй като не удовлетворяват формалните изисквания на разпоредбата относно директното транспортиране.</w:t>
      </w:r>
    </w:p>
    <w:p>
      <w:pPr>
        <w:pStyle w:val="Point0"/>
        <w:rPr>
          <w:noProof/>
        </w:rPr>
      </w:pPr>
      <w:r>
        <w:rPr>
          <w:noProof/>
        </w:rPr>
        <w:t>и)</w:t>
      </w:r>
      <w:r>
        <w:rPr>
          <w:noProof/>
        </w:rPr>
        <w:tab/>
        <w:t>Забрана за възстановяване или освобождаване от мита</w:t>
      </w:r>
    </w:p>
    <w:p>
      <w:pPr>
        <w:rPr>
          <w:noProof/>
        </w:rPr>
      </w:pPr>
      <w:r>
        <w:rPr>
          <w:noProof/>
        </w:rPr>
        <w:t xml:space="preserve">Съгласно настоящите правила (член 14), спрямо използваните в производството на даден продукт материали се прилага общият принцип на забрана за възстановяване на мита. В изменените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(текстилни продукти и облекла). Този текст все пак предвижда и някои изключения от забраната за възстановяване на мита за тези продукти. </w:t>
      </w:r>
    </w:p>
    <w:p>
      <w:pPr>
        <w:pStyle w:val="Point0"/>
        <w:rPr>
          <w:noProof/>
        </w:rPr>
      </w:pPr>
      <w:r>
        <w:rPr>
          <w:noProof/>
        </w:rPr>
        <w:t>й)</w:t>
      </w:r>
      <w:r>
        <w:rPr>
          <w:noProof/>
        </w:rPr>
        <w:tab/>
        <w:t>Доказателство за произход</w:t>
      </w:r>
    </w:p>
    <w:p>
      <w:pPr>
        <w:rPr>
          <w:noProof/>
        </w:rPr>
      </w:pPr>
      <w:r>
        <w:rPr>
          <w:noProof/>
        </w:rPr>
        <w:t>С изменените правила (член 17, параграф 1) се въвежда само един вид доказателство за произход (сертификат за движение EUR.1 или декларация за произход), вместо настоящия двоен подход – EUR.1 и EUR-MED, което значително опростява системата. С измененията следва да се подобри спазването от страна на стопанските субекти, тъй като ще се избегнат грешките, дължащи се на сложните изисквания, и да се улесни управлението от страна на митническите органи. Това не би трябвало да се отрази на капацитета за проверка на доказателствата за произход — който ще остане същият.</w:t>
      </w:r>
    </w:p>
    <w:p>
      <w:pPr>
        <w:rPr>
          <w:noProof/>
        </w:rPr>
      </w:pPr>
      <w:r>
        <w:rPr>
          <w:noProof/>
        </w:rPr>
        <w:t>В изменените правила (член 17, параграф 3) се предвижда също така възможността за договаряне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 Изменените правила също така предвиждат възможността за въвеждане в бъдеще на издадени по електронен път сертификати за произход (член 17, параграф 4).</w:t>
      </w:r>
    </w:p>
    <w:p>
      <w:pPr>
        <w:pStyle w:val="Point0"/>
        <w:rPr>
          <w:noProof/>
        </w:rPr>
      </w:pPr>
      <w:r>
        <w:rPr>
          <w:noProof/>
        </w:rPr>
        <w:t>к)</w:t>
      </w:r>
      <w:r>
        <w:rPr>
          <w:noProof/>
        </w:rPr>
        <w:tab/>
        <w:t>Валидност на доказателството за произход</w:t>
      </w:r>
    </w:p>
    <w:p>
      <w:pPr>
        <w:rPr>
          <w:noProof/>
        </w:rPr>
      </w:pPr>
      <w:r>
        <w:rPr>
          <w:noProof/>
        </w:rPr>
        <w:t>Предлага се срокът на валидност на доказателството за произход да се удължи от 4 на 10 месеца (член 23).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t>3.2.</w:t>
      </w:r>
      <w:r>
        <w:tab/>
      </w:r>
      <w:r>
        <w:rPr>
          <w:noProof/>
        </w:rPr>
        <w:t>Подробно представяне на изменените правила за списъците</w:t>
      </w:r>
    </w:p>
    <w:p>
      <w:pPr>
        <w:pStyle w:val="ManualHeading3"/>
        <w:rPr>
          <w:noProof/>
        </w:rPr>
      </w:pPr>
      <w:r>
        <w:t>3.2.1.</w:t>
      </w:r>
      <w:r>
        <w:tab/>
      </w:r>
      <w:r>
        <w:rPr>
          <w:noProof/>
        </w:rPr>
        <w:t>Селскостопански продукти</w:t>
      </w:r>
    </w:p>
    <w:p>
      <w:pPr>
        <w:pStyle w:val="Point0"/>
        <w:rPr>
          <w:noProof/>
        </w:rPr>
      </w:pPr>
      <w:r>
        <w:rPr>
          <w:noProof/>
        </w:rPr>
        <w:t>а)</w:t>
      </w:r>
      <w:r>
        <w:rPr>
          <w:noProof/>
        </w:rPr>
        <w:tab/>
        <w:t>Стойност и тегло</w:t>
      </w:r>
    </w:p>
    <w:p>
      <w:pPr>
        <w:rPr>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премахнати някои ограничения за захарта (например глава 8 или позиция 2202 по ХС). </w:t>
      </w:r>
    </w:p>
    <w:p>
      <w:pPr>
        <w:rPr>
          <w:noProof/>
        </w:rPr>
      </w:pPr>
      <w:r>
        <w:rPr>
          <w:noProof/>
        </w:rPr>
        <w:t>В изменения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измененията глави и позиции по ХС са в частност следните: ex 1302, 1704 (избор между изразяване в стойност или в тегло), 18 (1806: избор между изразяване в стойност или в тегло), 1901.</w:t>
      </w:r>
    </w:p>
    <w:p>
      <w:pPr>
        <w:pStyle w:val="Point0"/>
        <w:rPr>
          <w:noProof/>
        </w:rPr>
      </w:pPr>
      <w:r>
        <w:rPr>
          <w:noProof/>
        </w:rPr>
        <w:t>б)</w:t>
      </w:r>
      <w:r>
        <w:rPr>
          <w:noProof/>
        </w:rPr>
        <w:tab/>
        <w:t>Взимане под внимание на моделите на снабдяване</w:t>
      </w:r>
    </w:p>
    <w:p>
      <w:pPr>
        <w:rPr>
          <w:noProof/>
        </w:rPr>
      </w:pPr>
      <w:r>
        <w:rPr>
          <w:noProof/>
        </w:rPr>
        <w:t xml:space="preserve">Правилата при други селскостопански продукти (например растителните масла, ядките, тютюна) са по-гъвкави и съобразени с икономическата действителност, в частност при </w:t>
      </w:r>
      <w:r>
        <w:rPr>
          <w:noProof/>
        </w:rPr>
        <w:lastRenderedPageBreak/>
        <w:t>глави 14, 15, 20 (в т.ч. позиция 2008), 23 и 24 по ХС. При изменения набор от правила се постига баланс между регионалните и глобалните източници (глави 9 и 12 по ХС). Правилата са опростени (намаляване на изключенията) и в глави 4, 5, 6, 8, 11 и ex глава 13 по ХС.</w:t>
      </w:r>
    </w:p>
    <w:p>
      <w:pPr>
        <w:pStyle w:val="ManualHeading3"/>
        <w:rPr>
          <w:noProof/>
        </w:rPr>
      </w:pPr>
      <w:r>
        <w:t>3.2.2.</w:t>
      </w:r>
      <w:r>
        <w:tab/>
      </w:r>
      <w:r>
        <w:rPr>
          <w:noProof/>
        </w:rPr>
        <w:t>Промишлени продукти (без текстил)</w:t>
      </w:r>
    </w:p>
    <w:p>
      <w:pPr>
        <w:rPr>
          <w:noProof/>
        </w:rPr>
      </w:pPr>
      <w:r>
        <w:rPr>
          <w:noProof/>
        </w:rPr>
        <w:t xml:space="preserve">В компромисното предложение се съдържат значителни изменения в сравнение с настоящите правила: </w:t>
      </w:r>
    </w:p>
    <w:p>
      <w:pPr>
        <w:rPr>
          <w:noProof/>
        </w:rPr>
      </w:pPr>
      <w:r>
        <w:rPr>
          <w:noProof/>
        </w:rPr>
        <w:t>— за редица продукти правилата в настоящата глава съдържат двойно кумулативно условие. С измененията условието става само едно (глави 74, 75, 76, 78 и 79 по ХС);</w:t>
      </w:r>
    </w:p>
    <w:p>
      <w:pPr>
        <w:rPr>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noProof/>
        </w:rPr>
      </w:pPr>
      <w:r>
        <w:rPr>
          <w:noProof/>
        </w:rPr>
        <w:t>— с включването в правилата на настоящата глава на алтернативни разпоредби износителите ще разполагат с по-широк избор за удовлетворяване на критерия за произход (глави 27, 40, 42, 44, 70, 83, 84 и 85).</w:t>
      </w:r>
    </w:p>
    <w:p>
      <w:pPr>
        <w:rPr>
          <w:noProof/>
        </w:rPr>
      </w:pPr>
      <w:r>
        <w:rPr>
          <w:noProof/>
        </w:rPr>
        <w:t>С всички тези изменения правилата за списъците се актуализират и осъвременяват, което на свой ред улеснява в общия случай удовлетворяването на критерия за получаване на статуса на продукт с произход. Освен това, гореспоменатата възможност за използване, в рамките на определен период, на усреднена стойност би могла още повече да опрости нещата за износителите.</w:t>
      </w:r>
    </w:p>
    <w:p>
      <w:pPr>
        <w:pStyle w:val="ManualHeading3"/>
        <w:rPr>
          <w:noProof/>
        </w:rPr>
      </w:pPr>
      <w:r>
        <w:t>3.2.3.</w:t>
      </w:r>
      <w:r>
        <w:tab/>
      </w:r>
      <w:r>
        <w:rPr>
          <w:noProof/>
        </w:rPr>
        <w:t>Текстилни продукти</w:t>
      </w:r>
    </w:p>
    <w:p>
      <w:pPr>
        <w:rPr>
          <w:noProof/>
        </w:rPr>
      </w:pPr>
      <w:r>
        <w:rPr>
          <w:noProof/>
        </w:rPr>
        <w:t>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 което ще улесни предлагането им. За отбелязване е също така, че пълната двустранна кумулация ще важи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(тъкане, предене и др.).</w:t>
      </w:r>
    </w:p>
    <w:p>
      <w:pPr>
        <w:spacing w:after="240"/>
        <w:rPr>
          <w:noProof/>
        </w:rPr>
      </w:pPr>
      <w:r>
        <w:rPr>
          <w:noProof/>
        </w:rPr>
        <w:t>Измененията на Конвенцията ще започнат да се прилагат на 1 януари 2021 г. (или на датата, която ще бъде договорена от Съвместния комитет по Конвенцията) за онези договарящи страни, които в протоколите си относно правилата за произход ще са въвели ефективно тези изменения на Конвенцията или препратки към тях.</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xml:space="preserve">“ включва актовете с правно действие по силата на нормите на международното право, които уреждат съответния орган. То включва и инструментите, които нямат задължителен характер съгласно международното право, </w:t>
      </w:r>
      <w:r>
        <w:rPr>
          <w:noProof/>
        </w:rPr>
        <w:lastRenderedPageBreak/>
        <w:t>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5"/>
      </w:r>
      <w:r>
        <w:rPr>
          <w:noProof/>
        </w:rPr>
        <w:t>.</w:t>
      </w:r>
    </w:p>
    <w:p>
      <w:pPr>
        <w:pStyle w:val="ManualHeading3"/>
        <w:rPr>
          <w:noProof/>
        </w:rPr>
      </w:pPr>
      <w:r>
        <w:t>4.1.2.</w:t>
      </w:r>
      <w:r>
        <w:tab/>
      </w:r>
      <w:r>
        <w:rPr>
          <w:noProof/>
        </w:rPr>
        <w:t>Приложение в конкретния случай</w:t>
      </w:r>
    </w:p>
    <w:p>
      <w:pPr>
        <w:rPr>
          <w:noProof/>
        </w:rPr>
      </w:pPr>
      <w:r>
        <w:rPr>
          <w:noProof/>
        </w:rPr>
        <w:t>Съвместният комитет по Конвенцията е орган, създаден по силата на споразумение — Регионалната конвенция за паневросредиземноморските преференциални правила за произход.</w:t>
      </w:r>
    </w:p>
    <w:p>
      <w:r>
        <w:rPr>
          <w:noProof/>
        </w:rPr>
        <w:t>Актът, който Съвместният комитет по Конвенцията има за задача да приеме, представлява акт с правно действие. По силата на член 4 от Регионалната конвенция за паневросредиземноморските преференциални правила за произход предвиденият акт ще има задължителен характер съгласно международното право.</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3 и член 207, параграф 4, първа алинея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3 и член 207, параграф 4, първа алинея от ДФЕС, във връзка с член 218, параграф 9 от ДФЕС.</w:t>
      </w:r>
    </w:p>
    <w:p>
      <w:pPr>
        <w:pStyle w:val="ManualHeading1"/>
        <w:rPr>
          <w:noProof/>
        </w:rPr>
      </w:pPr>
      <w:r>
        <w:t>5.</w:t>
      </w:r>
      <w:r>
        <w:tab/>
      </w:r>
      <w:r>
        <w:rPr>
          <w:noProof/>
        </w:rPr>
        <w:t>Отражение върху бюджета</w:t>
      </w:r>
    </w:p>
    <w:p>
      <w:pPr>
        <w:pStyle w:val="Text1"/>
        <w:ind w:left="0"/>
        <w:rPr>
          <w:noProof/>
        </w:rPr>
      </w:pPr>
      <w:r>
        <w:rPr>
          <w:noProof/>
        </w:rPr>
        <w:t>Измененията на Конвенцията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pStyle w:val="Tiret1"/>
        <w:numPr>
          <w:ilvl w:val="0"/>
          <w:numId w:val="11"/>
        </w:num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pStyle w:val="Tiret1"/>
        <w:rPr>
          <w:noProof/>
        </w:rPr>
      </w:pPr>
      <w:r>
        <w:rPr>
          <w:noProof/>
        </w:rPr>
        <w:lastRenderedPageBreak/>
        <w:t>доказателство за произход: то ще бъде опростено, тъй като ще се използва само един тип сертификат за произход — EUR1;</w:t>
      </w:r>
    </w:p>
    <w:p>
      <w:pPr>
        <w:pStyle w:val="Tiret1"/>
        <w:rPr>
          <w:noProof/>
        </w:rPr>
      </w:pPr>
      <w:r>
        <w:rPr>
          <w:noProof/>
        </w:rPr>
        <w:t>валидност на доказателствата за произход: увеличава се толерансът при движението на продукти с произход, като валидността се увеличава от 4 на 10 месеца.</w:t>
      </w:r>
    </w:p>
    <w:p>
      <w:pPr>
        <w:pStyle w:val="Text1"/>
        <w:ind w:left="0"/>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практиките на митническите органи. Те предвиждат незадължителни облекчения в областите, които остават в компетентността на органите, без да се засяга естеството на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осигурява по-голяма предвидимост, а при други — обхваща логистиката (такъв е случаят със забраната на промяната), без да засяга самата им същност.</w:t>
      </w:r>
    </w:p>
    <w:p>
      <w:pPr>
        <w:pStyle w:val="Text1"/>
        <w:ind w:left="0"/>
        <w:rPr>
          <w:noProof/>
        </w:rPr>
      </w:pPr>
      <w:r>
        <w:rPr>
          <w:noProof/>
        </w:rPr>
        <w:t>Въпреки изменението на правилата за възстановяване на мита, забраната за възстановяване на мита се запазва при текстилните продукти и облеклата, които все още са сред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ще се затвърдят съществуващите модели на търговия в зоната и тяхната комплементарност, като това няма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pStyle w:val="Text1"/>
        <w:ind w:left="0"/>
        <w:rPr>
          <w:noProof/>
        </w:rPr>
      </w:pPr>
      <w:r>
        <w:rPr>
          <w:noProof/>
        </w:rPr>
        <w:t>Измененията на правилата за списъците за селскостопанските и преработените селскостопански стоки са в основата си методически и не засягат същността на правилата. Съществуващите прагове ще бъдат изразени не в стойност, както досега, а в тегло. Този критерий е по-обективен и по-лесно се контролира от митническите органи. Опростяването на правилата за отделните промишлени продукти би трябвало да има ограничено отражение върху приходите от мита, тъй като в много случаи то по-скоро би довело до промени в снабдителната верига, отколкото до увеличаване на преференциалния внос от държавите от паневросредиземноморската зона, заменящ вноса, който по-рано е подлежал на вносно мито. Поради това отражението на тези промени върху приходите от вносни мита не може да се измери количествено.</w:t>
      </w:r>
    </w:p>
    <w:p>
      <w:pPr>
        <w:pStyle w:val="Text1"/>
        <w:rPr>
          <w:noProof/>
        </w:rPr>
      </w:pPr>
    </w:p>
    <w:p>
      <w:pPr>
        <w:pStyle w:val="Text1"/>
        <w:ind w:left="0"/>
        <w:rPr>
          <w:noProof/>
        </w:rPr>
      </w:pPr>
      <w:r>
        <w:rPr>
          <w:noProof/>
        </w:rPr>
        <w:t>От гледна точка на търговията и на отражението им върху използването на преференции, предвидените в новите правила облекчения акцентират върху икономическата интеграция в цялата зона — например при текстила, където преференциите са вече значителни.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осъществяван от държави извън зоната.</w:t>
      </w:r>
    </w:p>
    <w:p>
      <w:pPr>
        <w:pStyle w:val="ManualHeading1"/>
        <w:rPr>
          <w:noProof/>
        </w:rPr>
      </w:pPr>
      <w:r>
        <w:lastRenderedPageBreak/>
        <w:t>6.</w:t>
      </w:r>
      <w:r>
        <w:tab/>
      </w:r>
      <w:r>
        <w:rPr>
          <w:noProof/>
        </w:rPr>
        <w:t>Публикуване на предвидения акт</w:t>
      </w:r>
    </w:p>
    <w:p>
      <w:pPr>
        <w:rPr>
          <w:noProof/>
        </w:rPr>
      </w:pPr>
      <w:r>
        <w:rPr>
          <w:noProof/>
        </w:rPr>
        <w:t xml:space="preserve">Актът на Съвместния комитет по Конвенцията ще измени същата, поради което е целесъобразно след приемането му той да бъде публикуван в </w:t>
      </w:r>
      <w:r>
        <w:rPr>
          <w:i/>
          <w:iCs/>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Съвместния комитет, създаден по силата на Регионалната конвенция за паневросредиземноморските преференциални правила за произход, във връзка с изменението на Конвенцията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w:t>
      </w:r>
      <w:r>
        <w:t xml:space="preserve"> </w:t>
      </w:r>
      <w:r>
        <w:rPr>
          <w:noProof/>
        </w:rPr>
        <w:t>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2013/93/ЕС</w:t>
      </w:r>
      <w:r>
        <w:rPr>
          <w:rStyle w:val="FootnoteReference"/>
          <w:noProof/>
        </w:rPr>
        <w:footnoteReference w:id="6"/>
      </w:r>
      <w:r>
        <w:rPr>
          <w:noProof/>
        </w:rPr>
        <w:t xml:space="preserve"> на Съвета бе сключена Регионалната конвенция за паневросредиземноморските преференциални правила за произход („Конвенцията“), която за Съюза влезе в сила на 1 май 2012 г.</w:t>
      </w:r>
    </w:p>
    <w:p>
      <w:pPr>
        <w:pStyle w:val="ManualConsidrant"/>
        <w:rPr>
          <w:noProof/>
        </w:rPr>
      </w:pPr>
      <w:r>
        <w:t>(2)</w:t>
      </w:r>
      <w:r>
        <w:tab/>
      </w:r>
      <w:r>
        <w:rPr>
          <w:noProof/>
        </w:rPr>
        <w:t>Паневросредиземноморската система за кумулиране на произход позволява прилагането на диагонална кумулация между 26-те договарящи страни по Конвенцията: Европейския съюз, Исландия, Лихтенщайн, Норвегия, Швейцария, Алжир, Египет, Израел, Йордания, Ливан, Мароко, Палестина</w:t>
      </w:r>
      <w:r>
        <w:rPr>
          <w:rStyle w:val="FootnoteReference"/>
          <w:noProof/>
        </w:rPr>
        <w:footnoteReference w:id="7"/>
      </w:r>
      <w:r>
        <w:rPr>
          <w:noProof/>
        </w:rPr>
        <w:t>, Сирия, Тунис, Турция, Албания, Босна и Херцеговина, Хърватия, Северна Македония, Черна гора, Сърбия, Косово</w:t>
      </w:r>
      <w:r>
        <w:rPr>
          <w:rStyle w:val="FootnoteReference"/>
          <w:noProof/>
        </w:rPr>
        <w:footnoteReference w:id="8"/>
      </w:r>
      <w:r>
        <w:rPr>
          <w:noProof/>
        </w:rPr>
        <w:t>, Фарьорските острови, Молдова, Грузия и Украйна.</w:t>
      </w:r>
    </w:p>
    <w:p>
      <w:pPr>
        <w:pStyle w:val="ManualConsidrant"/>
        <w:rPr>
          <w:noProof/>
        </w:rPr>
      </w:pPr>
      <w:r>
        <w:t>(3)</w:t>
      </w:r>
      <w:r>
        <w:tab/>
      </w:r>
      <w:r>
        <w:rPr>
          <w:noProof/>
        </w:rPr>
        <w:t>В Конвенцията е заложено, че ще се налагат изменения на правилата за произход, за да се отразява по-добре икономическата действителност, и е предвидена процедура за изменението ѝ. Измененията на Конвенцията се приемат с единодушно решение на Съвместния комитет, създаден по силата на член 3, параграф 1 от Конвенцията („Съвместният комитет“).</w:t>
      </w:r>
    </w:p>
    <w:p>
      <w:pPr>
        <w:pStyle w:val="ManualConsidrant"/>
        <w:rPr>
          <w:noProof/>
        </w:rPr>
      </w:pPr>
      <w:r>
        <w:t>(4)</w:t>
      </w:r>
      <w:r>
        <w:tab/>
      </w:r>
      <w:r>
        <w:rPr>
          <w:noProof/>
        </w:rPr>
        <w:t xml:space="preserve">Започналият през 2012 г. процес по изменение на Конвенцията доведе до нов набор от осъвременени и по-гъвкави правила за произход, съобразени с вече приетите от Съюза в някои други неотдавнашни споразумения (Всеобхватното икономическо и търговско споразумение между ЕС и Канада (ВИТС), Споразумението за свободна търговия между ЕС и Виетнам, Споразумението за икономическо партньорство между ЕС и Япония, Споразумението за </w:t>
      </w:r>
      <w:r>
        <w:rPr>
          <w:noProof/>
        </w:rPr>
        <w:lastRenderedPageBreak/>
        <w:t xml:space="preserve">икономическо партньорство между ЕС и държавите от Южноафриканската общност за развитие) или преференциални схеми (Общата система на преференции — ОСП). </w:t>
      </w:r>
    </w:p>
    <w:p>
      <w:pPr>
        <w:pStyle w:val="ManualConsidrant"/>
        <w:rPr>
          <w:noProof/>
        </w:rPr>
      </w:pPr>
      <w:r>
        <w:t>(5)</w:t>
      </w:r>
      <w:r>
        <w:tab/>
      </w:r>
      <w:r>
        <w:rPr>
          <w:noProof/>
        </w:rPr>
        <w:t>Очаква се на заседанието си на 27 ноември 2019 г. или на по-късна дата Съвместният комитет да приеме решение за изменение на Конвенцията.</w:t>
      </w:r>
    </w:p>
    <w:p>
      <w:pPr>
        <w:pStyle w:val="ManualConsidrant"/>
        <w:rPr>
          <w:noProof/>
        </w:rPr>
      </w:pPr>
      <w:r>
        <w:t>(6)</w:t>
      </w:r>
      <w:r>
        <w:tab/>
      </w:r>
      <w:r>
        <w:rPr>
          <w:noProof/>
        </w:rPr>
        <w:t>Решението ще има задължителен характер за Съюза, поради което е целесъобразно да се определи позицията, която трябва да се заеме от името на Съюза в Съвместния комитет,</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Европейския съюз в Съвместния комитет, създаден по силата на Регионалната конвенция за паневросредиземноморските преференциални правила за произход, се основава на приложеното към настоящото решение проекторешение на Съвместния комитет.</w:t>
      </w:r>
    </w:p>
    <w:p>
      <w:pPr>
        <w:rPr>
          <w:i/>
          <w:noProof/>
        </w:rPr>
      </w:pP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Това название не може да се тълкува като признаване на държава Палестина и не засяга индивидуалните позиции на държавите членки по този въпрос.</w:t>
      </w:r>
    </w:p>
  </w:footnote>
  <w:footnote w:id="3">
    <w:p>
      <w:pPr>
        <w:pStyle w:val="FootnoteText"/>
      </w:pPr>
      <w:r>
        <w:rPr>
          <w:rStyle w:val="FootnoteReference"/>
        </w:rPr>
        <w:footnoteRef/>
      </w:r>
      <w:r>
        <w:tab/>
        <w:t>Това название не засяга позициите по отношение на статута и е съобразено с Резолюция 1244 на Съвета за сигурност на ООН и становището на Международния съд относно обявяването на независимост от страна на Косово.</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t xml:space="preserve">Решение на Съда на ЕС от 7 октомври 2014 г. по дело Германия/Съвет, C-399/12, ECLI:EU:C:2014:2258, т. 61—64. </w:t>
      </w:r>
    </w:p>
  </w:footnote>
  <w:footnote w:id="6">
    <w:p>
      <w:pPr>
        <w:pStyle w:val="FootnoteText"/>
      </w:pPr>
      <w:r>
        <w:rPr>
          <w:rStyle w:val="FootnoteReference"/>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 w:id="7">
    <w:p>
      <w:pPr>
        <w:pStyle w:val="FootnoteText"/>
      </w:pPr>
      <w:r>
        <w:rPr>
          <w:rStyle w:val="FootnoteReference"/>
        </w:rPr>
        <w:footnoteRef/>
      </w:r>
      <w:r>
        <w:tab/>
        <w:t>Това название не може да се тълкува като признаване на държава Палестина и не засяга индивидуалните позиции на държавите членки по този въпрос.</w:t>
      </w:r>
    </w:p>
  </w:footnote>
  <w:footnote w:id="8">
    <w:p>
      <w:pPr>
        <w:pStyle w:val="FootnoteText"/>
      </w:pPr>
      <w:r>
        <w:rPr>
          <w:rStyle w:val="FootnoteReference"/>
        </w:rPr>
        <w:footnoteRef/>
      </w:r>
      <w:r>
        <w:tab/>
        <w:t>Това название не засяга позициите по отношение на статута и е съобразено с Резолюция 1244 на Съвета за сигурност на ООН и становището на Международния съд относно обявяването на независимост от страна на Косово.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F68A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7E1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56CB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C4C1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761B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4C37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D8F702"/>
    <w:lvl w:ilvl="0">
      <w:start w:val="1"/>
      <w:numFmt w:val="decimal"/>
      <w:pStyle w:val="ListNumber"/>
      <w:lvlText w:val="%1."/>
      <w:lvlJc w:val="left"/>
      <w:pPr>
        <w:tabs>
          <w:tab w:val="num" w:pos="360"/>
        </w:tabs>
        <w:ind w:left="360" w:hanging="360"/>
      </w:pPr>
    </w:lvl>
  </w:abstractNum>
  <w:abstractNum w:abstractNumId="7">
    <w:nsid w:val="FFFFFF89"/>
    <w:multiLevelType w:val="singleLevel"/>
    <w:tmpl w:val="FF4A79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2 12:03: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AF0626-3884-4FCA-A2EB-CDAEE1A419E5"/>
    <w:docVar w:name="LW_COVERPAGE_TYPE" w:val="1"/>
    <w:docVar w:name="LW_CROSSREFERENCE" w:val="&lt;UNUSED&gt;"/>
    <w:docVar w:name="LW_DocType" w:val="COM"/>
    <w:docVar w:name="LW_EMISSION" w:val="14.10.2019"/>
    <w:docVar w:name="LW_EMISSION_ISODATE" w:val="2019-10-1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4"/>
    <w:docVar w:name="LW_REF.II.NEW.CP_YEAR" w:val="2019"/>
    <w:docVar w:name="LW_REF.INST.NEW" w:val="COM"/>
    <w:docVar w:name="LW_REF.INST.NEW_ADOPTED" w:val="final"/>
    <w:docVar w:name="LW_REF.INST.NEW_TEXT" w:val="(2019)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84?\u1077?\u1089?\u1090?\u1085?\u1080?\u1103? \u1082?\u1086?\u1084?\u1080?\u1090?\u1077?\u1090?, \u1089?\u1098?\u1079?\u1076?\u1072?\u1076?\u1077?\u1085? \u1087?\u1086? \u1089?\u1080?\u1083?\u1072?\u1090?\u1072? \u1085?\u1072?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u1074?\u1098?\u1074? \u1074?\u1088?\u1098?\u1079?\u1082?\u1072? \u1089? \u1080?\u1079?\u1084?\u1077?\u1085?\u1077?\u1085?\u1080?\u1077?\u1090?\u1086? \u1085?\u1072? \u1050?\u1086?\u1085?\u1074?\u1077?\u1085?\u1094?\u1080?\u1103?\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Znak">
    <w:name w:val="Znak"/>
    <w:basedOn w:val="Normal"/>
    <w:pPr>
      <w:spacing w:before="0" w:after="0"/>
      <w:jc w:val="left"/>
    </w:pPr>
    <w:rPr>
      <w:rFonts w:eastAsia="Times New Roman"/>
      <w:szCs w:val="24"/>
      <w:lang w:eastAsia="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Znak">
    <w:name w:val="Znak"/>
    <w:basedOn w:val="Normal"/>
    <w:pPr>
      <w:spacing w:before="0" w:after="0"/>
      <w:jc w:val="left"/>
    </w:pPr>
    <w:rPr>
      <w:rFonts w:eastAsia="Times New Roman"/>
      <w:szCs w:val="24"/>
      <w:lang w:eastAsia="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66F4-A371-42DA-9A88-77BB70C3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11</Pages>
  <Words>3245</Words>
  <Characters>19281</Characters>
  <Application>Microsoft Office Word</Application>
  <DocSecurity>0</DocSecurity>
  <Lines>357</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2019-09-20T12:00:00Z</cp:lastPrinted>
  <dcterms:created xsi:type="dcterms:W3CDTF">2019-10-21T07:00:00Z</dcterms:created>
  <dcterms:modified xsi:type="dcterms:W3CDTF">2019-10-22T10:03:00Z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