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D9716492-729A-4042-BFE9-5629819293EB" style="width:450.45pt;height:406.65pt">
            <v:imagedata r:id="rId8" o:title=""/>
          </v:shape>
        </w:pict>
      </w:r>
    </w:p>
    <w:bookmarkEnd w:id="0"/>
    <w:p>
      <w:pPr>
        <w:pStyle w:val="Heading1"/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Heading1"/>
        <w:numPr>
          <w:ilvl w:val="0"/>
          <w:numId w:val="0"/>
        </w:numPr>
        <w:spacing w:before="0" w:after="240"/>
        <w:jc w:val="center"/>
        <w:rPr>
          <w:rFonts w:asciiTheme="majorHAnsi" w:hAnsiTheme="majorHAnsi"/>
          <w:noProof/>
          <w:sz w:val="20"/>
        </w:rPr>
      </w:pPr>
      <w:bookmarkStart w:id="1" w:name="_GoBack"/>
      <w:bookmarkEnd w:id="1"/>
      <w:r>
        <w:rPr>
          <w:rFonts w:asciiTheme="majorHAnsi" w:hAnsiTheme="majorHAnsi"/>
          <w:noProof/>
          <w:sz w:val="20"/>
        </w:rPr>
        <w:lastRenderedPageBreak/>
        <w:t>ПРИЛОЖЕНИЕ 1 — Нередности, докладвани като измами през 2018 г.</w:t>
      </w:r>
    </w:p>
    <w:p>
      <w:pPr>
        <w:tabs>
          <w:tab w:val="left" w:pos="7470"/>
        </w:tabs>
        <w:jc w:val="center"/>
        <w:rPr>
          <w:rFonts w:asciiTheme="majorHAnsi" w:hAnsiTheme="majorHAnsi"/>
          <w:noProof/>
          <w:sz w:val="20"/>
          <w:highlight w:val="yellow"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tabs>
          <w:tab w:val="left" w:pos="7470"/>
        </w:tabs>
        <w:spacing w:before="0" w:after="240"/>
        <w:rPr>
          <w:rFonts w:asciiTheme="majorHAnsi" w:hAnsiTheme="majorHAnsi"/>
          <w:noProof/>
          <w:sz w:val="20"/>
        </w:rPr>
      </w:pPr>
      <w:r>
        <w:rPr>
          <w:rFonts w:asciiTheme="majorHAnsi" w:hAnsiTheme="majorHAnsi"/>
          <w:noProof/>
          <w:sz w:val="20"/>
        </w:rPr>
        <w:t>С броя на нередностите, докладвани като измами, се измерват резултатите от усилията на държавите членки да се справят с измамите и другите незаконни дейности, засягащи финансовите интереси на ЕС. Поради това стойностите не следва да се тълкуват като показващи равнището на измамите на територията на държавите членки. Приложение 1 не включва трети държави (предприсъединителна помощ) и преки разходи</w:t>
      </w:r>
    </w:p>
    <w:p>
      <w:pPr>
        <w:tabs>
          <w:tab w:val="left" w:pos="7470"/>
        </w:tabs>
        <w:spacing w:before="0" w:after="240"/>
        <w:rPr>
          <w:rFonts w:asciiTheme="majorHAnsi" w:hAnsiTheme="majorHAnsi"/>
          <w:noProof/>
          <w:sz w:val="20"/>
        </w:rPr>
      </w:pPr>
      <w:r>
        <w:rPr>
          <w:noProof/>
          <w:lang w:val="en-GB" w:eastAsia="en-GB"/>
        </w:rPr>
        <w:drawing>
          <wp:inline distT="0" distB="0" distL="0" distR="0">
            <wp:extent cx="8892540" cy="43331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33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470"/>
        </w:tabs>
        <w:jc w:val="center"/>
        <w:rPr>
          <w:rFonts w:asciiTheme="majorHAnsi" w:hAnsiTheme="majorHAnsi"/>
          <w:noProof/>
          <w:sz w:val="20"/>
        </w:rPr>
      </w:pPr>
    </w:p>
    <w:p>
      <w:pPr>
        <w:tabs>
          <w:tab w:val="left" w:pos="7470"/>
        </w:tabs>
        <w:rPr>
          <w:rFonts w:asciiTheme="majorHAnsi" w:hAnsiTheme="majorHAnsi"/>
          <w:noProof/>
          <w:sz w:val="20"/>
          <w:highlight w:val="yellow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spacing w:before="0" w:after="0"/>
        <w:jc w:val="left"/>
        <w:rPr>
          <w:rFonts w:asciiTheme="majorHAnsi" w:hAnsiTheme="majorHAnsi"/>
          <w:b/>
          <w:bCs/>
          <w:smallCaps/>
          <w:noProof/>
          <w:sz w:val="20"/>
          <w:szCs w:val="32"/>
        </w:rPr>
      </w:pPr>
    </w:p>
    <w:p>
      <w:pPr>
        <w:pStyle w:val="Heading1"/>
        <w:numPr>
          <w:ilvl w:val="0"/>
          <w:numId w:val="0"/>
        </w:numPr>
        <w:spacing w:before="0" w:after="240"/>
        <w:jc w:val="center"/>
        <w:rPr>
          <w:rFonts w:asciiTheme="majorHAnsi" w:hAnsiTheme="majorHAnsi"/>
          <w:noProof/>
          <w:sz w:val="20"/>
        </w:rPr>
      </w:pPr>
      <w:r>
        <w:rPr>
          <w:rFonts w:asciiTheme="majorHAnsi" w:hAnsiTheme="majorHAnsi"/>
          <w:noProof/>
          <w:sz w:val="20"/>
        </w:rPr>
        <w:t>ПРИЛОЖЕНИЕ 2 — Нередности, които не са докладвани като измами през 2018 г.</w:t>
      </w:r>
    </w:p>
    <w:p>
      <w:pPr>
        <w:ind w:hanging="22"/>
        <w:jc w:val="center"/>
        <w:rPr>
          <w:rFonts w:asciiTheme="majorHAnsi" w:eastAsia="MS Mincho" w:hAnsiTheme="majorHAnsi"/>
          <w:noProof/>
          <w:sz w:val="20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ind w:hanging="22"/>
        <w:jc w:val="center"/>
        <w:rPr>
          <w:rFonts w:asciiTheme="majorHAnsi" w:eastAsia="MS Mincho" w:hAnsiTheme="majorHAnsi"/>
          <w:noProof/>
          <w:sz w:val="20"/>
        </w:rPr>
      </w:pPr>
      <w:r>
        <w:rPr>
          <w:rFonts w:asciiTheme="majorHAnsi" w:hAnsiTheme="majorHAnsi"/>
          <w:noProof/>
          <w:sz w:val="20"/>
        </w:rPr>
        <w:t>Приложение 2 не включва трети държави (предприсъединителна помощ) и преки разходи</w:t>
      </w:r>
    </w:p>
    <w:p>
      <w:pPr>
        <w:ind w:hanging="22"/>
        <w:jc w:val="center"/>
        <w:rPr>
          <w:rFonts w:asciiTheme="majorHAnsi" w:eastAsia="MS Mincho" w:hAnsiTheme="majorHAnsi"/>
          <w:noProof/>
          <w:sz w:val="20"/>
        </w:rPr>
      </w:pPr>
      <w:r>
        <w:rPr>
          <w:rFonts w:eastAsia="MS Mincho"/>
          <w:noProof/>
          <w:lang w:val="en-GB" w:eastAsia="en-GB"/>
        </w:rPr>
        <w:drawing>
          <wp:inline distT="0" distB="0" distL="0" distR="0">
            <wp:extent cx="8892540" cy="434534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34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hanging="22"/>
        <w:jc w:val="center"/>
        <w:rPr>
          <w:rFonts w:asciiTheme="majorHAnsi" w:eastAsia="MS Mincho" w:hAnsiTheme="majorHAnsi"/>
          <w:noProof/>
          <w:sz w:val="20"/>
        </w:rPr>
        <w:sectPr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ind w:hanging="22"/>
        <w:jc w:val="center"/>
        <w:rPr>
          <w:rFonts w:asciiTheme="majorHAnsi" w:eastAsia="MS Mincho" w:hAnsiTheme="majorHAnsi"/>
          <w:noProof/>
          <w:sz w:val="20"/>
        </w:rPr>
        <w:sectPr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>
      <w:pPr>
        <w:pStyle w:val="Heading1"/>
        <w:numPr>
          <w:ilvl w:val="0"/>
          <w:numId w:val="0"/>
        </w:numPr>
        <w:spacing w:before="0" w:after="240"/>
        <w:jc w:val="center"/>
        <w:rPr>
          <w:rFonts w:asciiTheme="majorHAnsi" w:hAnsiTheme="majorHAnsi"/>
          <w:noProof/>
          <w:sz w:val="20"/>
        </w:rPr>
      </w:pPr>
      <w:r>
        <w:rPr>
          <w:rFonts w:asciiTheme="majorHAnsi" w:hAnsiTheme="majorHAnsi"/>
          <w:noProof/>
          <w:sz w:val="20"/>
        </w:rPr>
        <w:t>ПРИЛОЖЕНИЕ 3 — Списък на придружаващите работни документи на службите на Комисията</w:t>
      </w:r>
    </w:p>
    <w:p>
      <w:pPr>
        <w:pStyle w:val="ListParagraph"/>
        <w:numPr>
          <w:ilvl w:val="5"/>
          <w:numId w:val="2"/>
        </w:numPr>
        <w:tabs>
          <w:tab w:val="clear" w:pos="2160"/>
          <w:tab w:val="num" w:pos="426"/>
        </w:tabs>
        <w:spacing w:before="0" w:after="240"/>
        <w:ind w:left="425" w:hanging="357"/>
        <w:contextualSpacing w:val="0"/>
        <w:rPr>
          <w:rFonts w:eastAsia="MS Mincho"/>
          <w:noProof/>
          <w:sz w:val="20"/>
        </w:rPr>
      </w:pPr>
      <w:r>
        <w:rPr>
          <w:noProof/>
          <w:sz w:val="20"/>
        </w:rPr>
        <w:t>Прилагане на член 325 от държавите членки през 2018 г.</w:t>
      </w:r>
      <w:r>
        <w:rPr>
          <w:rFonts w:asciiTheme="majorHAnsi" w:hAnsiTheme="majorHAnsi"/>
          <w:noProof/>
          <w:sz w:val="20"/>
        </w:rPr>
        <w:t xml:space="preserve"> </w:t>
      </w:r>
      <w:r>
        <w:rPr>
          <w:noProof/>
          <w:sz w:val="20"/>
        </w:rPr>
        <w:t>(SWD(2019) 364)</w:t>
      </w:r>
    </w:p>
    <w:p>
      <w:pPr>
        <w:pStyle w:val="ListParagraph"/>
        <w:numPr>
          <w:ilvl w:val="5"/>
          <w:numId w:val="2"/>
        </w:numPr>
        <w:tabs>
          <w:tab w:val="clear" w:pos="2160"/>
          <w:tab w:val="num" w:pos="426"/>
        </w:tabs>
        <w:spacing w:before="0" w:after="240"/>
        <w:ind w:left="425" w:hanging="357"/>
        <w:contextualSpacing w:val="0"/>
        <w:rPr>
          <w:rFonts w:eastAsia="MS Mincho"/>
          <w:noProof/>
          <w:sz w:val="20"/>
        </w:rPr>
      </w:pPr>
      <w:r>
        <w:rPr>
          <w:noProof/>
          <w:sz w:val="20"/>
        </w:rPr>
        <w:t>Статистическа оценка на нередностите, докладвани за собствените ресурси, природните ресурси, политиката на сближаване и предприсъединителната помощ и</w:t>
      </w:r>
      <w:r>
        <w:rPr>
          <w:rFonts w:asciiTheme="majorHAnsi" w:hAnsiTheme="majorHAnsi"/>
          <w:noProof/>
          <w:sz w:val="20"/>
        </w:rPr>
        <w:t xml:space="preserve"> преките разходи</w:t>
      </w:r>
      <w:r>
        <w:rPr>
          <w:noProof/>
          <w:sz w:val="20"/>
        </w:rPr>
        <w:t xml:space="preserve"> (SWD(2019) 364 — части 1, 2 и 3)</w:t>
      </w:r>
    </w:p>
    <w:p>
      <w:pPr>
        <w:pStyle w:val="ListParagraph"/>
        <w:numPr>
          <w:ilvl w:val="5"/>
          <w:numId w:val="2"/>
        </w:numPr>
        <w:tabs>
          <w:tab w:val="clear" w:pos="2160"/>
          <w:tab w:val="num" w:pos="426"/>
        </w:tabs>
        <w:spacing w:before="0" w:after="240"/>
        <w:ind w:left="425" w:hanging="357"/>
        <w:contextualSpacing w:val="0"/>
        <w:rPr>
          <w:rFonts w:eastAsia="MS Mincho"/>
          <w:noProof/>
          <w:sz w:val="20"/>
        </w:rPr>
      </w:pPr>
      <w:r>
        <w:rPr>
          <w:noProof/>
          <w:sz w:val="20"/>
        </w:rPr>
        <w:t>Последващи действия във връзка с препоръките относно доклада на Комисията относно защитата на финансовите интереси на ЕС и борбата с измамите, 2017 г. (SWD(2019) 364)</w:t>
      </w:r>
    </w:p>
    <w:p>
      <w:pPr>
        <w:pStyle w:val="ListParagraph"/>
        <w:numPr>
          <w:ilvl w:val="5"/>
          <w:numId w:val="2"/>
        </w:numPr>
        <w:tabs>
          <w:tab w:val="clear" w:pos="2160"/>
          <w:tab w:val="num" w:pos="426"/>
        </w:tabs>
        <w:spacing w:before="0" w:after="240"/>
        <w:ind w:left="425" w:hanging="357"/>
        <w:contextualSpacing w:val="0"/>
        <w:rPr>
          <w:rFonts w:eastAsia="MS Mincho"/>
          <w:noProof/>
          <w:sz w:val="20"/>
        </w:rPr>
      </w:pPr>
      <w:r>
        <w:rPr>
          <w:noProof/>
          <w:sz w:val="20"/>
        </w:rPr>
        <w:t>Система за ранно откриване и отстраняване (EDES) — експертна комисия, посочена в член 108 от Финансовия регламент (SWD(2019) 364)</w:t>
      </w:r>
    </w:p>
    <w:p>
      <w:pPr>
        <w:pStyle w:val="ListParagraph"/>
        <w:numPr>
          <w:ilvl w:val="5"/>
          <w:numId w:val="2"/>
        </w:numPr>
        <w:tabs>
          <w:tab w:val="clear" w:pos="2160"/>
          <w:tab w:val="num" w:pos="426"/>
        </w:tabs>
        <w:spacing w:before="0" w:after="240"/>
        <w:ind w:left="425" w:hanging="357"/>
        <w:contextualSpacing w:val="0"/>
        <w:rPr>
          <w:rFonts w:asciiTheme="majorHAnsi" w:eastAsia="MS Mincho" w:hAnsiTheme="majorHAnsi"/>
          <w:noProof/>
          <w:sz w:val="20"/>
        </w:rPr>
      </w:pPr>
      <w:r>
        <w:rPr>
          <w:noProof/>
          <w:sz w:val="20"/>
        </w:rPr>
        <w:t>Годишен преглед, съдържащ информация за резултатите от програмата „Херкулес III“ през 2018 г. (SWD(2019) 364)</w:t>
      </w:r>
    </w:p>
    <w:p>
      <w:pPr>
        <w:ind w:hanging="22"/>
        <w:jc w:val="center"/>
        <w:rPr>
          <w:rFonts w:asciiTheme="majorHAnsi" w:eastAsia="MS Mincho" w:hAnsiTheme="majorHAnsi"/>
          <w:noProof/>
          <w:sz w:val="20"/>
        </w:rPr>
      </w:pPr>
    </w:p>
    <w:p>
      <w:pPr>
        <w:rPr>
          <w:noProof/>
        </w:rPr>
      </w:pPr>
    </w:p>
    <w:sectPr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center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fldChar w:fldCharType="begin"/>
    </w:r>
    <w:r>
      <w:rPr>
        <w:rFonts w:asciiTheme="majorHAnsi" w:hAnsiTheme="majorHAnsi"/>
        <w:sz w:val="20"/>
      </w:rPr>
      <w:instrText xml:space="preserve"> PAGE   \* MERGEFORMAT </w:instrText>
    </w:r>
    <w:r>
      <w:rPr>
        <w:rFonts w:asciiTheme="majorHAnsi" w:hAnsiTheme="majorHAnsi"/>
        <w:sz w:val="20"/>
      </w:rPr>
      <w:fldChar w:fldCharType="separate"/>
    </w:r>
    <w:r>
      <w:rPr>
        <w:rFonts w:asciiTheme="majorHAnsi" w:hAnsiTheme="majorHAnsi"/>
        <w:noProof/>
        <w:sz w:val="20"/>
      </w:rPr>
      <w:t>2</w:t>
    </w:r>
    <w:r>
      <w:rPr>
        <w:rFonts w:asciiTheme="majorHAnsi" w:hAnsiTheme="majorHAnsi"/>
        <w:sz w:val="20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32</w:t>
    </w:r>
    <w:r>
      <w:rPr>
        <w:sz w:val="20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noProof/>
        <w:sz w:val="20"/>
      </w:rPr>
      <w:t>3</w:t>
    </w:r>
    <w:r>
      <w:rPr>
        <w:sz w:val="20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center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fldChar w:fldCharType="begin"/>
    </w:r>
    <w:r>
      <w:rPr>
        <w:rFonts w:asciiTheme="majorHAnsi" w:hAnsiTheme="majorHAnsi"/>
        <w:sz w:val="20"/>
      </w:rPr>
      <w:instrText xml:space="preserve"> PAGE   \* MERGEFORMAT </w:instrText>
    </w:r>
    <w:r>
      <w:rPr>
        <w:rFonts w:asciiTheme="majorHAnsi" w:hAnsiTheme="majorHAnsi"/>
        <w:sz w:val="20"/>
      </w:rPr>
      <w:fldChar w:fldCharType="separate"/>
    </w:r>
    <w:r>
      <w:rPr>
        <w:rFonts w:asciiTheme="majorHAnsi" w:hAnsiTheme="majorHAnsi"/>
        <w:noProof/>
        <w:sz w:val="20"/>
      </w:rPr>
      <w:t>1</w:t>
    </w:r>
    <w:r>
      <w:rPr>
        <w:rFonts w:asciiTheme="majorHAnsi" w:hAnsiTheme="majorHAnsi"/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34</w:t>
    </w:r>
    <w:r>
      <w:fldChar w:fldCharType="end"/>
    </w:r>
  </w:p>
  <w:p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2E04"/>
    <w:multiLevelType w:val="multilevel"/>
    <w:tmpl w:val="D60ABDD2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1570"/>
        </w:tabs>
        <w:ind w:left="1570" w:hanging="85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991"/>
        </w:tabs>
        <w:ind w:left="991" w:hanging="85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0"/>
        </w:tabs>
        <w:ind w:left="181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3F903441"/>
    <w:multiLevelType w:val="multilevel"/>
    <w:tmpl w:val="E2321C64"/>
    <w:lvl w:ilvl="0">
      <w:start w:val="1"/>
      <w:numFmt w:val="decimal"/>
      <w:lvlRestart w:val="0"/>
      <w:lvlText w:val="%1."/>
      <w:lvlJc w:val="left"/>
      <w:pPr>
        <w:tabs>
          <w:tab w:val="num" w:pos="1570"/>
        </w:tabs>
        <w:ind w:left="1570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0"/>
        </w:tabs>
        <w:ind w:left="181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revisionView w:markup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3"/>
    <w:docVar w:name="LW_ANNEX_UNIQUE" w:val="0"/>
    <w:docVar w:name="LW_CORRIGENDUM" w:val="&lt;UNUSED&gt;"/>
    <w:docVar w:name="LW_COVERPAGE_EXISTS" w:val="True"/>
    <w:docVar w:name="LW_COVERPAGE_GUID" w:val="D9716492-729A-4042-BFE9-5629819293EB"/>
    <w:docVar w:name="LW_COVERPAGE_TYPE" w:val="1"/>
    <w:docVar w:name="LW_CROSSREFERENCE" w:val="{SWD(2019) 361 final} - {SWD(2019) 362 final} - {SWD(2019) 363 final} - {SWD(2019) 364 final} - {SWD(2019) 365 final}"/>
    <w:docVar w:name="LW_DocType" w:val="NORMAL"/>
    <w:docVar w:name="LW_EMISSION" w:val="11.10.2019"/>
    <w:docVar w:name="LW_EMISSION_ISODATE" w:val="2019-10-11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FMT:Bold&gt;30-\u1090?\u1080? \u1075?\u1086?\u1076?\u1080?\u1096?\u1077?\u1085? \u1076?\u1086?\u1082?\u1083?\u1072?\u1076? \u1086?\u1090?\u1085?\u1086?\u1089?\u1085?\u1086? \u1079?\u1072?\u1097?\u1080?\u1090?\u1072?\u1090?\u1072? \u1085?\u1072? \u1092?\u1080?\u1085?\u1072?\u1085?\u1089?\u1086?\u1074?\u1080?\u1090?\u1077? \u1080?\u1085?\u1090?\u1077?\u1088?\u1077?\u1089?\u1080? \u1085?\u1072? \u1045?\u1074?\u1088?\u1086?\u1087?\u1077?\u1081?\u1089?\u1082?\u1080?\u1103? \u1089?\u1098?\u1102?\u1079? \u1080? \u1073?\u1086?\u1088?\u1073?\u1072?\u1090?\u1072? \u1089? \u1080?\u1079?\u1084?\u1072?\u1084?\u1080?\u1090?\u1077? \u8212? 2018 \u1075?.&lt;/FMT&gt;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9) 44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71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outlineLvl w:val="1"/>
    </w:pPr>
    <w:rPr>
      <w:rFonts w:eastAsia="Calibri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mall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Calibri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Cs w:val="22"/>
      <w:lang w:eastAsia="en-GB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Heading1Char"/>
    <w:link w:val="FooterCoverPage"/>
    <w:rPr>
      <w:rFonts w:ascii="Times New Roman" w:eastAsia="Times New Roman" w:hAnsi="Times New Roman" w:cs="Times New Roman"/>
      <w:b w:val="0"/>
      <w:bCs w:val="0"/>
      <w:smallCaps w:val="0"/>
      <w:sz w:val="24"/>
      <w:szCs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Heading1Char"/>
    <w:link w:val="FooterSensitivity"/>
    <w:rPr>
      <w:rFonts w:ascii="Times New Roman" w:eastAsia="Times New Roman" w:hAnsi="Times New Roman" w:cs="Times New Roman"/>
      <w:b/>
      <w:bCs w:val="0"/>
      <w:smallCaps w:val="0"/>
      <w:sz w:val="32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Heading1Char"/>
    <w:link w:val="HeaderCoverPage"/>
    <w:rPr>
      <w:rFonts w:ascii="Times New Roman" w:eastAsia="Times New Roman" w:hAnsi="Times New Roman" w:cs="Times New Roman"/>
      <w:b w:val="0"/>
      <w:bCs w:val="0"/>
      <w:smallCaps w:val="0"/>
      <w:sz w:val="24"/>
      <w:szCs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Heading1Char"/>
    <w:link w:val="HeaderSensitivity"/>
    <w:rPr>
      <w:rFonts w:ascii="Times New Roman" w:eastAsia="Times New Roman" w:hAnsi="Times New Roman" w:cs="Times New Roman"/>
      <w:b/>
      <w:bCs w:val="0"/>
      <w:smallCaps w:val="0"/>
      <w:sz w:val="32"/>
      <w:szCs w:val="24"/>
    </w:r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rFonts w:eastAsiaTheme="minorHAnsi"/>
      <w:sz w:val="28"/>
      <w:szCs w:val="22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rFonts w:eastAsiaTheme="minorHAnsi"/>
      <w:i/>
      <w:sz w:val="28"/>
      <w:szCs w:val="22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rFonts w:eastAsiaTheme="minorHAnsi"/>
      <w:i/>
      <w:sz w:val="28"/>
      <w:szCs w:val="2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outlineLvl w:val="1"/>
    </w:pPr>
    <w:rPr>
      <w:rFonts w:eastAsia="Calibri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mall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Calibri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Cs w:val="22"/>
      <w:lang w:eastAsia="en-GB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Heading1Char"/>
    <w:link w:val="FooterCoverPage"/>
    <w:rPr>
      <w:rFonts w:ascii="Times New Roman" w:eastAsia="Times New Roman" w:hAnsi="Times New Roman" w:cs="Times New Roman"/>
      <w:b w:val="0"/>
      <w:bCs w:val="0"/>
      <w:smallCaps w:val="0"/>
      <w:sz w:val="24"/>
      <w:szCs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Heading1Char"/>
    <w:link w:val="FooterSensitivity"/>
    <w:rPr>
      <w:rFonts w:ascii="Times New Roman" w:eastAsia="Times New Roman" w:hAnsi="Times New Roman" w:cs="Times New Roman"/>
      <w:b/>
      <w:bCs w:val="0"/>
      <w:smallCaps w:val="0"/>
      <w:sz w:val="32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Heading1Char"/>
    <w:link w:val="HeaderCoverPage"/>
    <w:rPr>
      <w:rFonts w:ascii="Times New Roman" w:eastAsia="Times New Roman" w:hAnsi="Times New Roman" w:cs="Times New Roman"/>
      <w:b w:val="0"/>
      <w:bCs w:val="0"/>
      <w:smallCaps w:val="0"/>
      <w:sz w:val="24"/>
      <w:szCs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Heading1Char"/>
    <w:link w:val="HeaderSensitivity"/>
    <w:rPr>
      <w:rFonts w:ascii="Times New Roman" w:eastAsia="Times New Roman" w:hAnsi="Times New Roman" w:cs="Times New Roman"/>
      <w:b/>
      <w:bCs w:val="0"/>
      <w:smallCaps w:val="0"/>
      <w:sz w:val="32"/>
      <w:szCs w:val="24"/>
    </w:r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rFonts w:eastAsiaTheme="minorHAnsi"/>
      <w:sz w:val="28"/>
      <w:szCs w:val="22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rFonts w:eastAsiaTheme="minorHAnsi"/>
      <w:i/>
      <w:sz w:val="28"/>
      <w:szCs w:val="22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rFonts w:eastAsiaTheme="minorHAnsi"/>
      <w:i/>
      <w:sz w:val="28"/>
      <w:szCs w:val="2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9" Type="http://schemas.openxmlformats.org/officeDocument/2006/relationships/header" Target="header15.xml"/><Relationship Id="rId3" Type="http://schemas.microsoft.com/office/2007/relationships/stylesWithEffects" Target="stylesWithEffects.xml"/><Relationship Id="rId21" Type="http://schemas.openxmlformats.org/officeDocument/2006/relationships/image" Target="media/image2.emf"/><Relationship Id="rId34" Type="http://schemas.openxmlformats.org/officeDocument/2006/relationships/image" Target="media/image3.emf"/><Relationship Id="rId42" Type="http://schemas.openxmlformats.org/officeDocument/2006/relationships/header" Target="header17.xml"/><Relationship Id="rId47" Type="http://schemas.openxmlformats.org/officeDocument/2006/relationships/header" Target="header19.xml"/><Relationship Id="rId50" Type="http://schemas.openxmlformats.org/officeDocument/2006/relationships/footer" Target="footer20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footer" Target="footer14.xml"/><Relationship Id="rId46" Type="http://schemas.openxmlformats.org/officeDocument/2006/relationships/footer" Target="footer1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41" Type="http://schemas.openxmlformats.org/officeDocument/2006/relationships/header" Target="header16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3.xml"/><Relationship Id="rId40" Type="http://schemas.openxmlformats.org/officeDocument/2006/relationships/footer" Target="footer15.xml"/><Relationship Id="rId45" Type="http://schemas.openxmlformats.org/officeDocument/2006/relationships/header" Target="header18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49" Type="http://schemas.openxmlformats.org/officeDocument/2006/relationships/footer" Target="footer1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4" Type="http://schemas.openxmlformats.org/officeDocument/2006/relationships/footer" Target="footer17.xml"/><Relationship Id="rId52" Type="http://schemas.openxmlformats.org/officeDocument/2006/relationships/footer" Target="footer2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header" Target="header13.xml"/><Relationship Id="rId43" Type="http://schemas.openxmlformats.org/officeDocument/2006/relationships/footer" Target="footer16.xml"/><Relationship Id="rId48" Type="http://schemas.openxmlformats.org/officeDocument/2006/relationships/header" Target="header20.xml"/><Relationship Id="rId8" Type="http://schemas.openxmlformats.org/officeDocument/2006/relationships/image" Target="media/image1.emf"/><Relationship Id="rId51" Type="http://schemas.openxmlformats.org/officeDocument/2006/relationships/header" Target="header2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202</Words>
  <Characters>1194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BORDONI Andrea (OLAF)</dc:creator>
  <cp:lastModifiedBy>WES PDFC Administrator</cp:lastModifiedBy>
  <cp:revision>20</cp:revision>
  <dcterms:created xsi:type="dcterms:W3CDTF">2019-09-27T10:37:00Z</dcterms:created>
  <dcterms:modified xsi:type="dcterms:W3CDTF">2019-10-22T08:49:00Z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3</vt:lpwstr>
  </property>
  <property fmtid="{D5CDD505-2E9C-101B-9397-08002B2CF9AE}" pid="5" name="Unique annex">
    <vt:lpwstr>0</vt:lpwstr>
  </property>
  <property fmtid="{D5CDD505-2E9C-101B-9397-08002B2CF9AE}" pid="6" name="Part">
    <vt:lpwstr>&lt;UNUSED&gt;</vt:lpwstr>
  </property>
  <property fmtid="{D5CDD505-2E9C-101B-9397-08002B2CF9AE}" pid="7" name="Total parts">
    <vt:lpwstr>&lt;UNUSED&gt;</vt:lpwstr>
  </property>
  <property fmtid="{D5CDD505-2E9C-101B-9397-08002B2CF9AE}" pid="8" name="DocStatus">
    <vt:lpwstr>Green</vt:lpwstr>
  </property>
  <property fmtid="{D5CDD505-2E9C-101B-9397-08002B2CF9AE}" pid="9" name="Created using">
    <vt:lpwstr>LW 6.0.1, Build 20180503</vt:lpwstr>
  </property>
  <property fmtid="{D5CDD505-2E9C-101B-9397-08002B2CF9AE}" pid="10" name="Last edited using">
    <vt:lpwstr>LW 7.0, Build 20190717</vt:lpwstr>
  </property>
  <property fmtid="{D5CDD505-2E9C-101B-9397-08002B2CF9AE}" pid="11" name="CPTemplateID">
    <vt:lpwstr>CP-039</vt:lpwstr>
  </property>
</Properties>
</file>