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3D320244-DC45-4D1A-9620-C68B1C939772" style="width:450pt;height:424.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pStyle w:val="Titrearticle"/>
        <w:spacing w:before="0" w:after="240"/>
        <w:jc w:val="both"/>
        <w:rPr>
          <w:b/>
          <w:i w:val="0"/>
          <w:noProof/>
        </w:rPr>
      </w:pPr>
      <w:r>
        <w:rPr>
          <w:b/>
          <w:i w:val="0"/>
          <w:noProof/>
        </w:rPr>
        <w:t>Указания за водене на преговори по споразумение за партньорство в областта на устойчивото рибарство и протокол към него между Европейския съюз, правителството на Дания и автономното правителство на Гренландия</w:t>
      </w:r>
    </w:p>
    <w:p>
      <w:pPr>
        <w:pStyle w:val="Point0number"/>
        <w:numPr>
          <w:ilvl w:val="0"/>
          <w:numId w:val="11"/>
        </w:numPr>
        <w:rPr>
          <w:noProof/>
        </w:rPr>
      </w:pPr>
      <w:r>
        <w:rPr>
          <w:noProof/>
        </w:rPr>
        <w:t>Целта на преговорите е сключването на споразумение за партньорство в областта на устойчивото рибарство (СПОУР) между ЕС и Гренландия и на съответен протокол в съответствие с Регламент (ЕС) № 1380/2013 и със заключенията на Съвета от 19 март 2012 г. във връзка със Съобщението на Комисията относно външното измерение на общата политика в областта на рибарството.</w:t>
      </w:r>
    </w:p>
    <w:p>
      <w:pPr>
        <w:pStyle w:val="Point0number"/>
        <w:rPr>
          <w:noProof/>
        </w:rPr>
      </w:pPr>
      <w:r>
        <w:rPr>
          <w:noProof/>
        </w:rPr>
        <w:t xml:space="preserve">С посоченото СПОУР следва да се определят рамката и общите принципи и цели, които ще залегнат в основата на новото партньорство с Гренландия. Следователно споразумението трябва да съдържа клауза, с която се отменя действащото споразумение за партньорство в областта на рибарството между страните. </w:t>
      </w:r>
    </w:p>
    <w:p>
      <w:pPr>
        <w:pStyle w:val="Point0number"/>
        <w:rPr>
          <w:noProof/>
        </w:rPr>
      </w:pPr>
      <w:r>
        <w:rPr>
          <w:noProof/>
        </w:rPr>
        <w:t>Новото партньорство трябва да насърчи устойчиво и отговорно рибарство, като същевременно гарантира взаимни ползи за ЕС и за Гренландия.  По-конкретно, в хода на преговорите Комисията трябва да се стреми към постигане на следните конкретни цели:</w:t>
      </w:r>
    </w:p>
    <w:p>
      <w:pPr>
        <w:pStyle w:val="Bullet1"/>
        <w:numPr>
          <w:ilvl w:val="0"/>
          <w:numId w:val="1"/>
        </w:numPr>
        <w:spacing w:before="0"/>
        <w:ind w:left="1418"/>
        <w:rPr>
          <w:noProof/>
        </w:rPr>
      </w:pPr>
      <w:r>
        <w:rPr>
          <w:noProof/>
        </w:rPr>
        <w:t xml:space="preserve">осигуряване на достъп до риболовната зона на Гренландия, както и на необходимите разрешения за риболовния флот на ЕС да извършва риболов в тази зона;  </w:t>
      </w:r>
    </w:p>
    <w:p>
      <w:pPr>
        <w:pStyle w:val="Bullet1"/>
        <w:rPr>
          <w:noProof/>
          <w:sz w:val="22"/>
        </w:rPr>
      </w:pPr>
      <w:r>
        <w:rPr>
          <w:noProof/>
        </w:rPr>
        <w:t>гарантиране на екологичната устойчивост на риболовните дейности и насърчаване на международното управление на океаните, като същевременно се вземат предвид най-добрите налични научни становища и съответните планове за управление, приети от регионалните организации за управление на рибарството. Риболовните дейности следва да бъдат насочени изключително към наличните ресурси, като се отчита риболовният капацитет на местния флот и се отделя специално внимание на далекомигриращия характер на съответните запаси;</w:t>
      </w:r>
    </w:p>
    <w:p>
      <w:pPr>
        <w:pStyle w:val="Bullet1"/>
        <w:spacing w:before="0"/>
        <w:ind w:left="1418"/>
        <w:rPr>
          <w:noProof/>
        </w:rPr>
      </w:pPr>
      <w:r>
        <w:rPr>
          <w:noProof/>
        </w:rPr>
        <w:t>осигуряване на подходящ дял от излишъците от рибни ресурси, който да е изцяло съобразен с интересите на флота на ЕС, когато тези ресурси представляват интерес и за флотовете на трети държави;</w:t>
      </w:r>
    </w:p>
    <w:p>
      <w:pPr>
        <w:pStyle w:val="Bullet1"/>
        <w:rPr>
          <w:noProof/>
        </w:rPr>
      </w:pPr>
      <w:r>
        <w:rPr>
          <w:noProof/>
        </w:rPr>
        <w:t xml:space="preserve">прилагане на еднакви технически условия спрямо всички флотове на трети държави, като се отчита възможното прехвърляне на квоти, договорени за ЕС, към други скандинавски държави; </w:t>
      </w:r>
    </w:p>
    <w:p>
      <w:pPr>
        <w:pStyle w:val="Bullet1"/>
        <w:spacing w:before="0"/>
        <w:ind w:left="1418"/>
        <w:rPr>
          <w:noProof/>
        </w:rPr>
      </w:pPr>
      <w:r>
        <w:rPr>
          <w:noProof/>
        </w:rPr>
        <w:t>гарантиране, че финансовото участие на ЕС за достъп до рибните ресурси се основава на миналата и на очакваната бъдеща дейност на флота на ЕС в региона с оглед на най-добрите и най</w:t>
      </w:r>
      <w:r>
        <w:rPr>
          <w:noProof/>
        </w:rPr>
        <w:noBreakHyphen/>
        <w:t>актуалните научни оценки;</w:t>
      </w:r>
    </w:p>
    <w:p>
      <w:pPr>
        <w:pStyle w:val="Bullet1"/>
        <w:spacing w:before="0"/>
        <w:ind w:left="1418"/>
        <w:rPr>
          <w:noProof/>
        </w:rPr>
      </w:pPr>
      <w:r>
        <w:rPr>
          <w:noProof/>
        </w:rPr>
        <w:t>установяване на диалог за насърчаване на отговорната политика в областта на рибарството от страна на Гренландия във връзка с нейните цели за развитие, по-специално по отношение на управлението на рибарството, борбата с незаконния, недеклариран и нерегулиран риболов, както и контрола, наблюдението и надзора на риболовните дейности и предоставянето на научни становища;</w:t>
      </w:r>
    </w:p>
    <w:p>
      <w:pPr>
        <w:pStyle w:val="Bullet1"/>
        <w:rPr>
          <w:noProof/>
        </w:rPr>
      </w:pPr>
      <w:r>
        <w:rPr>
          <w:noProof/>
        </w:rPr>
        <w:t xml:space="preserve">включване на клауза относно последиците в случай на нарушаване на правата на човека и на демократичните принципи; </w:t>
      </w:r>
    </w:p>
    <w:p>
      <w:pPr>
        <w:pStyle w:val="Bullet1"/>
        <w:rPr>
          <w:noProof/>
        </w:rPr>
      </w:pPr>
      <w:r>
        <w:rPr>
          <w:noProof/>
        </w:rPr>
        <w:t>гарантиране, че протоколът ще помогне за насърчаването на растежа и достойните условия на труд в морския сектор, като се вземат предвид съответните конвенции на Международната организация на труда.</w:t>
      </w:r>
    </w:p>
    <w:p>
      <w:pPr>
        <w:pStyle w:val="Point0number"/>
        <w:rPr>
          <w:noProof/>
        </w:rPr>
      </w:pPr>
      <w:r>
        <w:rPr>
          <w:noProof/>
        </w:rPr>
        <w:t>По-конкретно в протокола следва да се определят:</w:t>
      </w:r>
    </w:p>
    <w:p>
      <w:pPr>
        <w:pStyle w:val="Bullet1"/>
        <w:spacing w:before="0"/>
        <w:rPr>
          <w:noProof/>
        </w:rPr>
      </w:pPr>
      <w:r>
        <w:rPr>
          <w:noProof/>
        </w:rPr>
        <w:t>възможностите за риболов (посочени по категории), които ще бъдат предоставени на флота на ЕС;</w:t>
      </w:r>
    </w:p>
    <w:p>
      <w:pPr>
        <w:pStyle w:val="Bullet1"/>
        <w:spacing w:before="0"/>
        <w:rPr>
          <w:noProof/>
        </w:rPr>
      </w:pPr>
      <w:r>
        <w:rPr>
          <w:noProof/>
        </w:rPr>
        <w:t>финансовата компенсация за Гренландия и съответните условия на плащане; както и</w:t>
      </w:r>
    </w:p>
    <w:p>
      <w:pPr>
        <w:pStyle w:val="Bullet1"/>
        <w:spacing w:before="0" w:after="240"/>
        <w:rPr>
          <w:noProof/>
        </w:rPr>
      </w:pPr>
      <w:r>
        <w:rPr>
          <w:noProof/>
        </w:rPr>
        <w:t>сумата, която ще бъде изплатена като секторна подкрепа, и механизмите за предоставянето ѝ.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FE2098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87EDB1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C3A5E3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08CB58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240CA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C5AF32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9CAB4E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C33E97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5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7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2"/>
  </w:num>
  <w:num w:numId="14">
    <w:abstractNumId w:val="21"/>
  </w:num>
  <w:num w:numId="15">
    <w:abstractNumId w:val="11"/>
  </w:num>
  <w:num w:numId="16">
    <w:abstractNumId w:val="13"/>
  </w:num>
  <w:num w:numId="17">
    <w:abstractNumId w:val="9"/>
  </w:num>
  <w:num w:numId="18">
    <w:abstractNumId w:val="20"/>
  </w:num>
  <w:num w:numId="19">
    <w:abstractNumId w:val="8"/>
  </w:num>
  <w:num w:numId="20">
    <w:abstractNumId w:val="15"/>
  </w:num>
  <w:num w:numId="21">
    <w:abstractNumId w:val="17"/>
  </w:num>
  <w:num w:numId="22">
    <w:abstractNumId w:val="18"/>
  </w:num>
  <w:num w:numId="23">
    <w:abstractNumId w:val="10"/>
  </w:num>
  <w:num w:numId="24">
    <w:abstractNumId w:val="16"/>
  </w:num>
  <w:num w:numId="2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10-23 10:34:4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3D320244-DC45-4D1A-9620-C68B1C939772"/>
    <w:docVar w:name="LW_COVERPAGE_TYPE" w:val="1"/>
    <w:docVar w:name="LW_CROSSREFERENCE" w:val="{SWD(2019) 385 final} - {SWD(2019) 386 final}"/>
    <w:docVar w:name="LW_DocType" w:val="ANNEX"/>
    <w:docVar w:name="LW_EMISSION" w:val="23.10.2019"/>
    <w:docVar w:name="LW_EMISSION_ISODATE" w:val="2019-10-23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&lt;FMT:Font=Calibri Cyr&gt;\u1079?\u1072? \u1056?\u1045?\u1064?\u1045?\u1053?\u1048?\u1045? \u1053?\u1040? \u1057?\u1066?\u1042?\u1045?\u1058?\u1040? \u1079?\u1072? \u1088?\u1072?\u1079?\u1088?\u1077?\u1096?\u1072?\u1074?\u1072?\u1085?\u1077? \u1085?\u1072? \u1079?\u1072?\u1087?\u1086?\u1095?\u1074?\u1072?\u1085?\u1077?\u1090?\u1086? \u1085?\u1072? \u1087?\u1088?\u1077?\u1075?\u1086?\u1074?\u1086?\u1088?\u1080? \u1087?\u1086? \u1089?\u1087?\u1086?\u1088?\u1072?\u1079?\u1091?\u1084?\u1077?\u1085?\u1080?\u1077? \u1079?\u1072? \u1087?\u1072?\u1088?\u1090?\u1085?\u1100?\u1086?\u1088?\u1089?\u1090?\u1074?\u1086? \u1074? \u1086?\u1073?\u1083?\u1072?\u1089?\u1090?\u1090?\u1072? \u1085?\u1072? \u1091?\u1089?\u1090?\u1086?\u1081?\u1095?\u1080?\u1074?\u1086?\u1090?\u1086? \u1088?\u1080?\u1073?\u1072?\u1088?\u1089?\u1090?\u1074?\u1086? \u1080? \u1089?\u1098?\u1086?\u1090?\u1074?\u1077?\u1090?\u1077?\u1085? \u1087?\u1088?\u1086?\u1090?\u1086?\u1082?\u1086?\u1083? \u1084?\u1077?\u1078?\u1076?\u1091? \u1045?\u1074?\u1088?\u1086?\u1087?\u1077?\u1081?\u1089?\u1082?\u1080?\u1103? \u1089?\u1098?\u1102?\u1079?, \u1087?\u1088?\u1072?\u1074?\u1080?\u1090?\u1077?\u1083?\u1089?\u1090?\u1074?\u1086?\u1090?\u1086? \u1085?\u1072? \u1044?\u1072?\u1085?\u1080?\u1103? \u1080? \u1072?\u1074?\u1090?\u1086?\u1085?\u1086?\u1084?\u1085?\u1086?\u1090?\u1086? \u1087?\u1088?\u1072?\u1074?\u1080?\u1090?\u1077?\u1083?\u1089?\u1090?\u1074?\u1086? \u1085?\u1072? \u1043?\u1088?\u1077?\u1085?\u1083?\u1072?\u1085?\u1076?\u1080?\u1103?&lt;/FMT&gt;"/>
    <w:docVar w:name="LW_OBJETACTEPRINCIPAL.CP" w:val="&lt;FMT:Font=Calibri Cyr&gt;\u1079?\u1072? \u1056?\u1045?\u1064?\u1045?\u1053?\u1048?\u1045? \u1053?\u1040? \u1057?\u1066?\u1042?\u1045?\u1058?\u1040? \u1079?\u1072? \u1088?\u1072?\u1079?\u1088?\u1077?\u1096?\u1072?\u1074?\u1072?\u1085?\u1077? \u1085?\u1072? \u1079?\u1072?\u1087?\u1086?\u1095?\u1074?\u1072?\u1085?\u1077?\u1090?\u1086? \u1085?\u1072? \u1087?\u1088?\u1077?\u1075?\u1086?\u1074?\u1086?\u1088?\u1080? \u1087?\u1086? \u1089?\u1087?\u1086?\u1088?\u1072?\u1079?\u1091?\u1084?\u1077?\u1085?\u1080?\u1077? \u1079?\u1072? \u1087?\u1072?\u1088?\u1090?\u1085?\u1100?\u1086?\u1088?\u1089?\u1090?\u1074?\u1086? \u1074? \u1086?\u1073?\u1083?\u1072?\u1089?\u1090?\u1090?\u1072? \u1085?\u1072? \u1091?\u1089?\u1090?\u1086?\u1081?\u1095?\u1080?\u1074?\u1086?\u1090?\u1086? \u1088?\u1080?\u1073?\u1072?\u1088?\u1089?\u1090?\u1074?\u1086? \u1080? \u1089?\u1098?\u1086?\u1090?\u1074?\u1077?\u1090?\u1077?\u1085? \u1087?\u1088?\u1086?\u1090?\u1086?\u1082?\u1086?\u1083? \u1084?\u1077?\u1078?\u1076?\u1091? \u1045?\u1074?\u1088?\u1086?\u1087?\u1077?\u1081?\u1089?\u1082?\u1080?\u1103? \u1089?\u1098?\u1102?\u1079?, \u1087?\u1088?\u1072?\u1074?\u1080?\u1090?\u1077?\u1083?\u1089?\u1090?\u1074?\u1086?\u1090?\u1086? \u1085?\u1072? \u1044?\u1072?\u1085?\u1080?\u1103? \u1080? \u1072?\u1074?\u1090?\u1086?\u1085?\u1086?\u1084?\u1085?\u1086?\u1090?\u1086? \u1087?\u1088?\u1072?\u1074?\u1080?\u1090?\u1077?\u1083?\u1089?\u1090?\u1074?\u1086? \u1085?\u1072? \u1043?\u1088?\u1077?\u1085?\u1083?\u1072?\u1085?\u1076?\u1080?\u1103?&lt;/FMT&gt;"/>
    <w:docVar w:name="LW_PART_NBR" w:val="1"/>
    <w:docVar w:name="LW_PART_NBR_TOTAL" w:val="1"/>
    <w:docVar w:name="LW_REF.INST.NEW" w:val="COM"/>
    <w:docVar w:name="LW_REF.INST.NEW_ADOPTED" w:val="final"/>
    <w:docVar w:name="LW_REF.INST.NEW_TEXT" w:val="(2019) 49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87?\u1086?\u1088?\u1098?\u1082?\u1072?"/>
    <w:docVar w:name="LW_TYPEACTEPRINCIPAL.CP" w:val="\u1055?\u1088?\u1077?\u1087?\u1086?\u1088?\u1098?\u1082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8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8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8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8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Dash2">
    <w:name w:val="Dash 2"/>
    <w:basedOn w:val="Normal"/>
    <w:pPr>
      <w:numPr>
        <w:numId w:val="10"/>
      </w:numPr>
      <w:spacing w:line="360" w:lineRule="auto"/>
      <w:jc w:val="left"/>
      <w:outlineLvl w:val="1"/>
    </w:pPr>
    <w:rPr>
      <w:rFonts w:eastAsia="Times New Roman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2"/>
      </w:numPr>
    </w:pPr>
  </w:style>
  <w:style w:type="paragraph" w:customStyle="1" w:styleId="Tiret1">
    <w:name w:val="Tiret 1"/>
    <w:basedOn w:val="Point1"/>
    <w:pPr>
      <w:numPr>
        <w:numId w:val="13"/>
      </w:numPr>
    </w:pPr>
  </w:style>
  <w:style w:type="paragraph" w:customStyle="1" w:styleId="Tiret2">
    <w:name w:val="Tiret 2"/>
    <w:basedOn w:val="Point2"/>
    <w:pPr>
      <w:numPr>
        <w:numId w:val="14"/>
      </w:numPr>
    </w:pPr>
  </w:style>
  <w:style w:type="paragraph" w:customStyle="1" w:styleId="Tiret3">
    <w:name w:val="Tiret 3"/>
    <w:basedOn w:val="Point3"/>
    <w:pPr>
      <w:numPr>
        <w:numId w:val="15"/>
      </w:numPr>
    </w:pPr>
  </w:style>
  <w:style w:type="paragraph" w:customStyle="1" w:styleId="Tiret4">
    <w:name w:val="Tiret 4"/>
    <w:basedOn w:val="Point4"/>
    <w:pPr>
      <w:numPr>
        <w:numId w:val="1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7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7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7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7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9"/>
      </w:numPr>
    </w:pPr>
  </w:style>
  <w:style w:type="paragraph" w:customStyle="1" w:styleId="Point1number">
    <w:name w:val="Point 1 (number)"/>
    <w:basedOn w:val="Normal"/>
    <w:pPr>
      <w:numPr>
        <w:ilvl w:val="2"/>
        <w:numId w:val="19"/>
      </w:numPr>
    </w:pPr>
  </w:style>
  <w:style w:type="paragraph" w:customStyle="1" w:styleId="Point2number">
    <w:name w:val="Point 2 (number)"/>
    <w:basedOn w:val="Normal"/>
    <w:pPr>
      <w:numPr>
        <w:ilvl w:val="4"/>
        <w:numId w:val="19"/>
      </w:numPr>
    </w:pPr>
  </w:style>
  <w:style w:type="paragraph" w:customStyle="1" w:styleId="Point3number">
    <w:name w:val="Point 3 (number)"/>
    <w:basedOn w:val="Normal"/>
    <w:pPr>
      <w:numPr>
        <w:ilvl w:val="6"/>
        <w:numId w:val="19"/>
      </w:numPr>
    </w:pPr>
  </w:style>
  <w:style w:type="paragraph" w:customStyle="1" w:styleId="Point0letter">
    <w:name w:val="Point 0 (letter)"/>
    <w:basedOn w:val="Normal"/>
    <w:pPr>
      <w:numPr>
        <w:ilvl w:val="1"/>
        <w:numId w:val="19"/>
      </w:numPr>
    </w:pPr>
  </w:style>
  <w:style w:type="paragraph" w:customStyle="1" w:styleId="Point1letter">
    <w:name w:val="Point 1 (letter)"/>
    <w:basedOn w:val="Normal"/>
    <w:pPr>
      <w:numPr>
        <w:ilvl w:val="3"/>
        <w:numId w:val="19"/>
      </w:numPr>
    </w:pPr>
  </w:style>
  <w:style w:type="paragraph" w:customStyle="1" w:styleId="Point2letter">
    <w:name w:val="Point 2 (letter)"/>
    <w:basedOn w:val="Normal"/>
    <w:pPr>
      <w:numPr>
        <w:ilvl w:val="5"/>
        <w:numId w:val="19"/>
      </w:numPr>
    </w:pPr>
  </w:style>
  <w:style w:type="paragraph" w:customStyle="1" w:styleId="Point3letter">
    <w:name w:val="Point 3 (letter)"/>
    <w:basedOn w:val="Normal"/>
    <w:pPr>
      <w:numPr>
        <w:ilvl w:val="7"/>
        <w:numId w:val="19"/>
      </w:numPr>
    </w:pPr>
  </w:style>
  <w:style w:type="paragraph" w:customStyle="1" w:styleId="Point4letter">
    <w:name w:val="Point 4 (letter)"/>
    <w:basedOn w:val="Normal"/>
    <w:pPr>
      <w:numPr>
        <w:ilvl w:val="8"/>
        <w:numId w:val="19"/>
      </w:numPr>
    </w:pPr>
  </w:style>
  <w:style w:type="paragraph" w:customStyle="1" w:styleId="Bullet0">
    <w:name w:val="Bullet 0"/>
    <w:basedOn w:val="Normal"/>
    <w:pPr>
      <w:numPr>
        <w:numId w:val="20"/>
      </w:numPr>
    </w:pPr>
  </w:style>
  <w:style w:type="paragraph" w:customStyle="1" w:styleId="Bullet1">
    <w:name w:val="Bullet 1"/>
    <w:basedOn w:val="Normal"/>
    <w:pPr>
      <w:numPr>
        <w:numId w:val="21"/>
      </w:numPr>
    </w:pPr>
  </w:style>
  <w:style w:type="paragraph" w:customStyle="1" w:styleId="Bullet2">
    <w:name w:val="Bullet 2"/>
    <w:basedOn w:val="Normal"/>
    <w:pPr>
      <w:numPr>
        <w:numId w:val="22"/>
      </w:numPr>
    </w:pPr>
  </w:style>
  <w:style w:type="paragraph" w:customStyle="1" w:styleId="Bullet3">
    <w:name w:val="Bullet 3"/>
    <w:basedOn w:val="Normal"/>
    <w:pPr>
      <w:numPr>
        <w:numId w:val="23"/>
      </w:numPr>
    </w:pPr>
  </w:style>
  <w:style w:type="paragraph" w:customStyle="1" w:styleId="Bullet4">
    <w:name w:val="Bullet 4"/>
    <w:basedOn w:val="Normal"/>
    <w:pPr>
      <w:numPr>
        <w:numId w:val="24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5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8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8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8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8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Dash2">
    <w:name w:val="Dash 2"/>
    <w:basedOn w:val="Normal"/>
    <w:pPr>
      <w:numPr>
        <w:numId w:val="10"/>
      </w:numPr>
      <w:spacing w:line="360" w:lineRule="auto"/>
      <w:jc w:val="left"/>
      <w:outlineLvl w:val="1"/>
    </w:pPr>
    <w:rPr>
      <w:rFonts w:eastAsia="Times New Roman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2"/>
      </w:numPr>
    </w:pPr>
  </w:style>
  <w:style w:type="paragraph" w:customStyle="1" w:styleId="Tiret1">
    <w:name w:val="Tiret 1"/>
    <w:basedOn w:val="Point1"/>
    <w:pPr>
      <w:numPr>
        <w:numId w:val="13"/>
      </w:numPr>
    </w:pPr>
  </w:style>
  <w:style w:type="paragraph" w:customStyle="1" w:styleId="Tiret2">
    <w:name w:val="Tiret 2"/>
    <w:basedOn w:val="Point2"/>
    <w:pPr>
      <w:numPr>
        <w:numId w:val="14"/>
      </w:numPr>
    </w:pPr>
  </w:style>
  <w:style w:type="paragraph" w:customStyle="1" w:styleId="Tiret3">
    <w:name w:val="Tiret 3"/>
    <w:basedOn w:val="Point3"/>
    <w:pPr>
      <w:numPr>
        <w:numId w:val="15"/>
      </w:numPr>
    </w:pPr>
  </w:style>
  <w:style w:type="paragraph" w:customStyle="1" w:styleId="Tiret4">
    <w:name w:val="Tiret 4"/>
    <w:basedOn w:val="Point4"/>
    <w:pPr>
      <w:numPr>
        <w:numId w:val="1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7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7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7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7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9"/>
      </w:numPr>
    </w:pPr>
  </w:style>
  <w:style w:type="paragraph" w:customStyle="1" w:styleId="Point1number">
    <w:name w:val="Point 1 (number)"/>
    <w:basedOn w:val="Normal"/>
    <w:pPr>
      <w:numPr>
        <w:ilvl w:val="2"/>
        <w:numId w:val="19"/>
      </w:numPr>
    </w:pPr>
  </w:style>
  <w:style w:type="paragraph" w:customStyle="1" w:styleId="Point2number">
    <w:name w:val="Point 2 (number)"/>
    <w:basedOn w:val="Normal"/>
    <w:pPr>
      <w:numPr>
        <w:ilvl w:val="4"/>
        <w:numId w:val="19"/>
      </w:numPr>
    </w:pPr>
  </w:style>
  <w:style w:type="paragraph" w:customStyle="1" w:styleId="Point3number">
    <w:name w:val="Point 3 (number)"/>
    <w:basedOn w:val="Normal"/>
    <w:pPr>
      <w:numPr>
        <w:ilvl w:val="6"/>
        <w:numId w:val="19"/>
      </w:numPr>
    </w:pPr>
  </w:style>
  <w:style w:type="paragraph" w:customStyle="1" w:styleId="Point0letter">
    <w:name w:val="Point 0 (letter)"/>
    <w:basedOn w:val="Normal"/>
    <w:pPr>
      <w:numPr>
        <w:ilvl w:val="1"/>
        <w:numId w:val="19"/>
      </w:numPr>
    </w:pPr>
  </w:style>
  <w:style w:type="paragraph" w:customStyle="1" w:styleId="Point1letter">
    <w:name w:val="Point 1 (letter)"/>
    <w:basedOn w:val="Normal"/>
    <w:pPr>
      <w:numPr>
        <w:ilvl w:val="3"/>
        <w:numId w:val="19"/>
      </w:numPr>
    </w:pPr>
  </w:style>
  <w:style w:type="paragraph" w:customStyle="1" w:styleId="Point2letter">
    <w:name w:val="Point 2 (letter)"/>
    <w:basedOn w:val="Normal"/>
    <w:pPr>
      <w:numPr>
        <w:ilvl w:val="5"/>
        <w:numId w:val="19"/>
      </w:numPr>
    </w:pPr>
  </w:style>
  <w:style w:type="paragraph" w:customStyle="1" w:styleId="Point3letter">
    <w:name w:val="Point 3 (letter)"/>
    <w:basedOn w:val="Normal"/>
    <w:pPr>
      <w:numPr>
        <w:ilvl w:val="7"/>
        <w:numId w:val="19"/>
      </w:numPr>
    </w:pPr>
  </w:style>
  <w:style w:type="paragraph" w:customStyle="1" w:styleId="Point4letter">
    <w:name w:val="Point 4 (letter)"/>
    <w:basedOn w:val="Normal"/>
    <w:pPr>
      <w:numPr>
        <w:ilvl w:val="8"/>
        <w:numId w:val="19"/>
      </w:numPr>
    </w:pPr>
  </w:style>
  <w:style w:type="paragraph" w:customStyle="1" w:styleId="Bullet0">
    <w:name w:val="Bullet 0"/>
    <w:basedOn w:val="Normal"/>
    <w:pPr>
      <w:numPr>
        <w:numId w:val="20"/>
      </w:numPr>
    </w:pPr>
  </w:style>
  <w:style w:type="paragraph" w:customStyle="1" w:styleId="Bullet1">
    <w:name w:val="Bullet 1"/>
    <w:basedOn w:val="Normal"/>
    <w:pPr>
      <w:numPr>
        <w:numId w:val="21"/>
      </w:numPr>
    </w:pPr>
  </w:style>
  <w:style w:type="paragraph" w:customStyle="1" w:styleId="Bullet2">
    <w:name w:val="Bullet 2"/>
    <w:basedOn w:val="Normal"/>
    <w:pPr>
      <w:numPr>
        <w:numId w:val="22"/>
      </w:numPr>
    </w:pPr>
  </w:style>
  <w:style w:type="paragraph" w:customStyle="1" w:styleId="Bullet3">
    <w:name w:val="Bullet 3"/>
    <w:basedOn w:val="Normal"/>
    <w:pPr>
      <w:numPr>
        <w:numId w:val="23"/>
      </w:numPr>
    </w:pPr>
  </w:style>
  <w:style w:type="paragraph" w:customStyle="1" w:styleId="Bullet4">
    <w:name w:val="Bullet 4"/>
    <w:basedOn w:val="Normal"/>
    <w:pPr>
      <w:numPr>
        <w:numId w:val="24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5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B148C-8163-45F9-9F93-F726FF1B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3</Pages>
  <Words>485</Words>
  <Characters>2882</Characters>
  <Application>Microsoft Office Word</Application>
  <DocSecurity>0</DocSecurity>
  <Lines>58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DEBIEUVRE Marie (MARE)</dc:creator>
  <cp:keywords/>
  <dc:description/>
  <cp:lastModifiedBy>WES PDFC Administrator</cp:lastModifiedBy>
  <cp:revision>10</cp:revision>
  <cp:lastPrinted>2019-05-20T12:37:00Z</cp:lastPrinted>
  <dcterms:created xsi:type="dcterms:W3CDTF">2019-10-17T10:35:00Z</dcterms:created>
  <dcterms:modified xsi:type="dcterms:W3CDTF">2019-10-23T08:34:00Z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5.8.86.0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5.8.4, Build 20141001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0</vt:lpwstr>
  </property>
  <property fmtid="{D5CDD505-2E9C-101B-9397-08002B2CF9AE}" pid="13" name="DQCStatus">
    <vt:lpwstr>Green (DQC version 03)</vt:lpwstr>
  </property>
</Properties>
</file>