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75CAFE0C-223F-4D82-A75F-E9B092D8BAAB" style="width:450.75pt;height:366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spacing w:before="0" w:after="240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b/>
          <w:noProof/>
        </w:rPr>
      </w:pPr>
      <w:r>
        <w:rPr>
          <w:b/>
          <w:noProof/>
        </w:rPr>
        <w:t>1.</w:t>
      </w:r>
      <w:r>
        <w:rPr>
          <w:b/>
          <w:noProof/>
        </w:rPr>
        <w:tab/>
        <w:t>КОНТЕКСТ НА ПРЕПОРЪКАТА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Основания и цели на предложението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>Комисията предлага да се проведат преговори за ново споразумение за партньорство в областта на устойчивото рибарство (СПОУР) с Гренландия и съответен протокол, като двата документа да отговарят на нуждите на риболовния флот на Съюза и да са в съответствие с Регламент (ЕС) № 1380/2013 относно общата политика в областта на рибарството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със заключенията на Съвета от 19 март 2012 г. във връзка със Съобщението на Комисията относно външното измерение на общата политика в областта на рибарството.</w:t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Действащото в момента Споразумение за партньорство в областта на рибарството между Европейския съюз и Гренландия (СПОР)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беше подписано на 28 юни 2007 г.</w:t>
      </w:r>
      <w:r>
        <w:rPr>
          <w:rStyle w:val="FootnoteReference"/>
          <w:noProof/>
        </w:rPr>
        <w:footnoteReference w:id="3"/>
      </w:r>
      <w:r>
        <w:rPr>
          <w:noProof/>
        </w:rPr>
        <w:t>. Предлага се да се договори ново СПОУР с цел да бъдат включени някои разпоредби от Регламент (ЕС) № 1380/2013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, които не са обхванати от действащото СПОР.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szCs w:val="24"/>
        </w:rPr>
      </w:pPr>
      <w:r>
        <w:rPr>
          <w:noProof/>
        </w:rPr>
        <w:t>Действащият понастоящем протокол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към СПОР, който е със срок на действие пет години, влезе в сила на 1 януари 2016 г.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и изтича на 31 декември 2020 г. В този протокол се определят възможностите за риболов, които се предоставят на флота на Съюза, и съответното финансово участие от страна на Съюза и корабособствениците от ЕС. </w:t>
      </w:r>
    </w:p>
    <w:p>
      <w:pPr>
        <w:spacing w:before="0" w:after="240"/>
        <w:rPr>
          <w:noProof/>
        </w:rPr>
      </w:pPr>
      <w:r>
        <w:rPr>
          <w:noProof/>
        </w:rPr>
        <w:t xml:space="preserve">Действащият протокол допуска флотът на ЕС да извършва улов в гренландски води на треска, дълбоководен морски костур, дънен морски костур, черна писия, скарида, гренадир и мойва при ориентировъчни годишни възможности за риболов в размер на 42 726 тона. В този улов участват корабите на осем държави членки (Дания, Естония, Франция, Германия, Латвия, Литва, Швеция и Обединеното кралство). ЕС също така прехвърля част от договорените квоти на Норвегия и на Фарьорските острови в замяна на достъпа на кораби на ЕС до техните води. Освен таксите, които риболовният флот на Съюза заплаща на Гренландия, ЕС плаща годишна компенсация в размер на 13 168 978 EUR (изчислена въз основа на референтни цени за всеки вид), в т.ч. финансов резерв от 1 700 000 EUR за евентуални допълнителни количества. В бюджета на ЕС са предвидени и 2 931 999 EUR за подпомагане на секторната политика в областта на рибарството на Гренландия.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lastRenderedPageBreak/>
        <w:t>Споразумението обхваща смесени видове. Разпределянето на квотите за държавите членки е предмет на разпоредбите за общия допустим улов и на регламента за квотите</w:t>
      </w:r>
      <w:r>
        <w:rPr>
          <w:rStyle w:val="FootnoteReference"/>
          <w:noProof/>
        </w:rPr>
        <w:footnoteReference w:id="7"/>
      </w:r>
      <w:r>
        <w:rPr>
          <w:noProof/>
        </w:rPr>
        <w:t>. СПОУР спомагат за утвърждаването в международен аспект на целите на общата политика в областта на рибарството, като гарантират, че риболовните дейности на Съюза извън неговите води се основават на същите принципи и стандарти като принципите и стандартите, прилагани съгласно правото на Съюза. Наред с това споразуменията стимулират научното сътрудничество между ЕС и неговите партньори, насърчават прозрачността и устойчивостта с оглед на по-доброто управление на рибните ресурси, както и управлението чрез подкрепа за наблюдението, контрола и надзора на дейностите на националните и чуждестранните флотове и чрез финансиране на борбата с незаконния, недеклариран и нерегулиран риболов. СПОУР допринасят за устойчивото развитие на риболовната промишленост на местно равнище и за насърчаване на растежа и достойните условия на труд в морския сектор. Те укрепват позициите на Европейския съюз в международните и регионалните риболовни организации (в конкретния случай на Гренландия тези организации са Международният съвет за изследване на морето и Организацията за риболова в северозападната част на Атлантическия океан (NAFO)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. 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Преговорите за ново споразумение и съответен протокол с Гренландия са съгласувани с външната дейност на ЕС, насочена към отвъдморските страни и територии, и по-конкретно с целите на Съюза по отношение на спазването на демократичните принципи и правата на човека. </w:t>
      </w:r>
    </w:p>
    <w:p>
      <w:pPr>
        <w:rPr>
          <w:b/>
          <w:noProof/>
        </w:rPr>
      </w:pPr>
      <w:r>
        <w:rPr>
          <w:b/>
          <w:noProof/>
        </w:rPr>
        <w:t>2.</w:t>
      </w:r>
      <w:r>
        <w:rPr>
          <w:b/>
          <w:noProof/>
        </w:rPr>
        <w:tab/>
        <w:t xml:space="preserve">ПРАВНИ ЕЛЕМЕНТИ НА ПРЕПОРЪКАТА </w:t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Правното основание за решението е член 218 от Договора за функционирането на Европейския съюз (ДФЕС), с който се определя процедурата за водене на преговори и сключване на международни споразумения.</w:t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 (изключителна компетентност).</w:t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Решението е пропорционално на целта.</w:t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Избор на инструменти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Инструментът е предвиден съгласно член 218, параграф 3 от ДФЕС.</w:t>
      </w:r>
    </w:p>
    <w:p>
      <w:pPr>
        <w:pStyle w:val="ManualHeading1"/>
        <w:spacing w:before="0" w:after="240"/>
        <w:rPr>
          <w:noProof/>
        </w:rPr>
      </w:pPr>
      <w:r>
        <w:rPr>
          <w:noProof/>
        </w:rPr>
        <w:lastRenderedPageBreak/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През 2019 г. Комисията извърши последваща оценка на действащото понастоящем СПОР с Гренландия и съответния протокол, както и предварителна оценка на тяхното евентуално подновяване. Заключенията са изложени в отделен работен документ на службите на Комисията.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В тях се посочва, че риболовният сектор на ЕС проявява силен интерес към извършването на риболов в Гренландия и че подновяването на споразумението и на протокола би допринесло за по-доброто управление на рибарството в региона.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За ЕС е важно да поддържа инструмент, позволяващ задълбочено секторно сътрудничество с държава, която — поради обхвата на риболовната зона под нейната юрисдикция — е водещ фактор в управлението на океаните в съответния подрегион. В съчетание с обмена на квоти с Норвегия и Фарьорските острови това ще позволи на ЕС да укрепи своята роля в риболова в скандинавския регион.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За корабите на ЕС това означава запазване на достъпа до риболовна зона, която е важна за използването на риболовни стратегии съгласно многогодишна международна правна рамка. 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Що се отнася до органите на Гренландия, тяхната цел е да поддържат отношенията си с ЕС с оглед укрепване на управлението на океаните, като се ползват от специална секторна подкрепа, предвиждаща възможности за многогодишно финансиране в подкрепа на управлението на рибарството. </w:t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В рамките на оценката Комисията проведе консултации с държавите членки, представители на сектора и международни организации на гражданското общество, както и с органа за управление на рибарството и представители на гражданското общество на Гренландия. </w:t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  <w:u w:color="000000"/>
          <w:bdr w:val="nil"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предложените указания за водене на преговори,  приложени към решението, се препоръчва Комисията да договори включването в новото СПОУР на клауза относно последиците в случай на нарушаване на правата на човека и демократичните принципи.</w:t>
      </w:r>
    </w:p>
    <w:p>
      <w:pPr>
        <w:rPr>
          <w:b/>
          <w:noProof/>
        </w:rPr>
      </w:pPr>
      <w:r>
        <w:rPr>
          <w:b/>
          <w:noProof/>
        </w:rPr>
        <w:t>4.</w:t>
      </w:r>
      <w:r>
        <w:rPr>
          <w:b/>
          <w:noProof/>
        </w:rPr>
        <w:tab/>
        <w:t>ОТРАЖЕНИЕ ВЪРХУ БЮДЖЕТА</w:t>
      </w:r>
    </w:p>
    <w:p>
      <w:pPr>
        <w:spacing w:before="0" w:after="240"/>
        <w:rPr>
          <w:noProof/>
        </w:rPr>
      </w:pPr>
      <w:r>
        <w:rPr>
          <w:noProof/>
        </w:rPr>
        <w:t>В новия протокол се предвижда плащането на Гренландия на финансово участие. Съответните бюджетни средства под формата на бюджетни кредити за поети задължения и бюджетни кредити за плащания ще бъдат включвани ежегодно в бюджетния ред за споразуменията за партньорство в областта на устойчивото рибарство (11 03 01) и трябва също така да са съвместими с финансовото програмиране на приложимата многогодишна финансова рамка. Сумите за поетите задължения и плащанията са установени в годишната бюджетна процедура, включително в бюджетен ред „Резерви“ по отношение на протоколите, които все още не са влезли в сила към началото на годината</w:t>
      </w:r>
      <w:r>
        <w:rPr>
          <w:rStyle w:val="FootnoteReference"/>
          <w:noProof/>
        </w:rPr>
        <w:footnoteReference w:id="9"/>
      </w:r>
      <w:r>
        <w:rPr>
          <w:noProof/>
        </w:rPr>
        <w:t>.</w:t>
      </w:r>
    </w:p>
    <w:p>
      <w:pPr>
        <w:rPr>
          <w:b/>
          <w:noProof/>
        </w:rPr>
      </w:pPr>
      <w:r>
        <w:rPr>
          <w:b/>
          <w:noProof/>
        </w:rPr>
        <w:t>5.</w:t>
      </w:r>
      <w:r>
        <w:rPr>
          <w:b/>
          <w:noProof/>
        </w:rPr>
        <w:tab/>
        <w:t>ДРУГИ ЕЛЕМЕНТИ</w:t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Планове за изпълнение и механизми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Очаква се преговорите да започнат през четвъртото тримесечие на 2019 г.</w:t>
      </w:r>
    </w:p>
    <w:p>
      <w:pPr>
        <w:spacing w:before="0" w:after="200" w:line="276" w:lineRule="auto"/>
        <w:jc w:val="left"/>
        <w:rPr>
          <w:rFonts w:eastAsia="Arial Unicode MS"/>
          <w:b/>
          <w:noProof/>
          <w:u w:color="000000"/>
          <w:bdr w:val="nil"/>
        </w:rPr>
      </w:pPr>
      <w:r>
        <w:rPr>
          <w:noProof/>
        </w:rPr>
        <w:br w:type="page"/>
      </w:r>
    </w:p>
    <w:p>
      <w:pPr>
        <w:pStyle w:val="ManualHeading2"/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  <w:u w:color="000000"/>
          <w:bdr w:val="nil"/>
        </w:rPr>
        <w:tab/>
        <w:t>Подробно разяснение на специфичните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eastAsia="Arial Unicode MS"/>
          <w:noProof/>
        </w:rPr>
      </w:pPr>
      <w:r>
        <w:rPr>
          <w:noProof/>
        </w:rPr>
        <w:t>Комисията препоръчва следното: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eastAsia="Arial Unicode MS"/>
          <w:noProof/>
        </w:rPr>
      </w:pPr>
      <w:r>
        <w:rPr>
          <w:noProof/>
        </w:rPr>
        <w:t>Съветът да упълномощи Комисията да започне и проведе преговори за сключването на ново споразумение за партньорство в областта на устойчивото рибарство с Гренландия и на съответен протокол;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eastAsia="Arial Unicode MS"/>
          <w:noProof/>
        </w:rPr>
      </w:pPr>
      <w:r>
        <w:rPr>
          <w:noProof/>
        </w:rPr>
        <w:t>преговорите да се провеждат в консултация със специалния комитет, в съответствие с ДФЕС; както 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Съветът да одобри указанията за водене на преговори, приложени към настоящата препоръка. 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spacing w:before="0" w:after="240"/>
        <w:rPr>
          <w:noProof/>
        </w:rPr>
      </w:pPr>
      <w:r>
        <w:rPr>
          <w:noProof/>
        </w:rPr>
        <w:lastRenderedPageBreak/>
        <w:t>Препоръка за</w:t>
      </w:r>
    </w:p>
    <w:p>
      <w:pPr>
        <w:pStyle w:val="Typedudocument"/>
        <w:spacing w:before="0" w:after="240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spacing w:before="0" w:after="240"/>
        <w:rPr>
          <w:noProof/>
        </w:rPr>
      </w:pPr>
      <w:r>
        <w:rPr>
          <w:noProof/>
        </w:rPr>
        <w:t>за разрешаване на започването на преговори по споразумение за партньорство в областта на устойчивото рибарство и съответен протокол между Европейския съюз, правителството на Дания и автономното правителство на Гренландия</w:t>
      </w:r>
    </w:p>
    <w:p>
      <w:pPr>
        <w:pStyle w:val="Institutionquiagit"/>
        <w:spacing w:before="0" w:after="240"/>
        <w:rPr>
          <w:noProof/>
        </w:rPr>
      </w:pPr>
      <w:r>
        <w:rPr>
          <w:noProof/>
        </w:rPr>
        <w:t>СЪВЕТЪТ НА ЕВРОПЕЙСКИЯ СЪЮЗ,</w:t>
      </w:r>
    </w:p>
    <w:p>
      <w:pPr>
        <w:spacing w:before="0" w:after="240"/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218, параграфи 3 и 4 от него,</w:t>
      </w:r>
    </w:p>
    <w:p>
      <w:pPr>
        <w:spacing w:before="0" w:after="240"/>
        <w:rPr>
          <w:noProof/>
        </w:rPr>
      </w:pPr>
      <w:r>
        <w:rPr>
          <w:noProof/>
        </w:rPr>
        <w:t>като взе предвид препоръката на Европейската комисия,</w:t>
      </w:r>
    </w:p>
    <w:p>
      <w:pPr>
        <w:spacing w:before="0" w:after="240"/>
        <w:rPr>
          <w:noProof/>
        </w:rPr>
      </w:pPr>
      <w:r>
        <w:rPr>
          <w:noProof/>
        </w:rPr>
        <w:t>като има предвид, че:</w:t>
      </w:r>
    </w:p>
    <w:p>
      <w:pPr>
        <w:spacing w:before="0" w:after="240"/>
        <w:rPr>
          <w:noProof/>
        </w:rPr>
      </w:pPr>
      <w:r>
        <w:rPr>
          <w:noProof/>
        </w:rPr>
        <w:t>Споразумението за партньорство в областта на рибарството между Европейския съюз, от една страна, и правителството на Дания и автономното правителство на Гренландия, от друга, и протоколът, уреждащ възможностите за риболов и финансовото участие, предвидени в споразумението</w:t>
      </w:r>
      <w:r>
        <w:rPr>
          <w:rStyle w:val="FootnoteReference"/>
          <w:noProof/>
        </w:rPr>
        <w:footnoteReference w:id="10"/>
      </w:r>
      <w:r>
        <w:rPr>
          <w:noProof/>
        </w:rPr>
        <w:t>, бяха подписани на 28 юни 2007 г.  След изтичането на срока на действие на посочения протокол беше подписан нов протокол, който започна да се прилага от 1 януари 2016 г.</w:t>
      </w:r>
      <w:r>
        <w:rPr>
          <w:rStyle w:val="FootnoteReference"/>
          <w:noProof/>
        </w:rPr>
        <w:footnoteReference w:id="11"/>
      </w:r>
      <w:r>
        <w:rPr>
          <w:noProof/>
        </w:rPr>
        <w:t>. Неговият срок изтича на 31 декември 2020 г.</w:t>
      </w:r>
    </w:p>
    <w:p>
      <w:pPr>
        <w:pStyle w:val="ListParagraph"/>
        <w:spacing w:before="0" w:after="240"/>
        <w:rPr>
          <w:noProof/>
        </w:rPr>
      </w:pPr>
    </w:p>
    <w:p>
      <w:pPr>
        <w:spacing w:before="0" w:after="240"/>
        <w:rPr>
          <w:noProof/>
        </w:rPr>
      </w:pPr>
      <w:r>
        <w:rPr>
          <w:noProof/>
        </w:rPr>
        <w:t>СПОР не обхваща някои разпоредби на Регламент (ЕС) № 1380/2013 на Европейския парламент и на Съвета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.    С оглед на предстоящото изтичане на срока на действащия протокол следва също така да се определят възможностите за риболов и финансовото участие, които да се прилагат от 1 януари 2021 г. Поради това Комисията предлага договаряне на ново споразумение и съответен протокол, които отговарят на нуждите на флота на Съюза и са в съответствие с разпоредбите на Регламент (ЕС) № 1380/2013. </w:t>
      </w:r>
    </w:p>
    <w:p>
      <w:pPr>
        <w:pStyle w:val="ListParagraph"/>
        <w:rPr>
          <w:noProof/>
        </w:rPr>
      </w:pPr>
    </w:p>
    <w:p>
      <w:pPr>
        <w:spacing w:before="0" w:after="240"/>
        <w:rPr>
          <w:noProof/>
        </w:rPr>
      </w:pPr>
      <w:r>
        <w:rPr>
          <w:noProof/>
        </w:rPr>
        <w:t xml:space="preserve">Поради това следва да започнат преговори с цел сключване на ново споразумение за партньорство в областта на устойчивото рибарство и съответен протокол с правителството на Дания и автономното правителство на Гренландия, </w:t>
      </w:r>
    </w:p>
    <w:p>
      <w:pPr>
        <w:pStyle w:val="Formuledadoption"/>
        <w:spacing w:before="0" w:after="240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spacing w:before="0" w:after="240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Комисията се упълномощава да преговаря, от името на Съюза, по сключването на ново споразумение за партньорство в областта на устойчивото рибарство и съответен протокол с правителството на Дания и автономното правителство на Гренландия.</w:t>
      </w:r>
    </w:p>
    <w:p>
      <w:pPr>
        <w:pStyle w:val="Titrearticle"/>
        <w:spacing w:before="0" w:after="240"/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i/>
          <w:noProof/>
        </w:rPr>
        <w:t>Член 2</w:t>
      </w:r>
    </w:p>
    <w:p>
      <w:pPr>
        <w:spacing w:before="0" w:after="240"/>
        <w:rPr>
          <w:noProof/>
        </w:rPr>
      </w:pPr>
      <w:r>
        <w:rPr>
          <w:noProof/>
        </w:rPr>
        <w:t>Преговорите се провеждат в консултация с Работната група на Съвета по външна политика на рибарството въз основа на указанията за водене на преговори, съдържащи се в приложението към настоящото решение.</w:t>
      </w:r>
    </w:p>
    <w:p>
      <w:pPr>
        <w:jc w:val="center"/>
        <w:rPr>
          <w:i/>
          <w:noProof/>
        </w:rPr>
      </w:pPr>
      <w:r>
        <w:rPr>
          <w:i/>
          <w:noProof/>
        </w:rPr>
        <w:t>Член 3</w:t>
      </w:r>
    </w:p>
    <w:p>
      <w:pPr>
        <w:spacing w:before="0" w:after="240"/>
        <w:rPr>
          <w:noProof/>
        </w:rPr>
      </w:pPr>
    </w:p>
    <w:p>
      <w:pPr>
        <w:spacing w:before="0" w:after="240"/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spacing w:before="0" w:after="240"/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 11 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2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ОВ L 172, 30.6.2007 г.</w:t>
      </w:r>
    </w:p>
  </w:footnote>
  <w:footnote w:id="3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https://www.consilium.europa.eu/bg/documents-publications/treaties-agreements/agreement/?id=2007046&amp;DocLanguage=en</w:t>
        </w:r>
      </w:hyperlink>
      <w:r>
        <w:t xml:space="preserve"> </w:t>
      </w:r>
    </w:p>
  </w:footnote>
  <w:footnote w:id="4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Регламент (ЕС) № 1380/2013, част VI, дял II.</w:t>
      </w:r>
    </w:p>
  </w:footnote>
  <w:footnote w:id="5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 xml:space="preserve">ОВ L 305, 21.11.2015 г., стр. 1. </w:t>
      </w:r>
    </w:p>
  </w:footnote>
  <w:footnote w:id="6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</w:r>
      <w:hyperlink r:id="rId2" w:history="1">
        <w:r>
          <w:rPr>
            <w:rStyle w:val="Hyperlink"/>
          </w:rPr>
          <w:t xml:space="preserve">https://www.consilium.europa.eu/bg/documents-publications/treaties-agreements/agreement/?id=2015055&amp;DocLanguage=en </w:t>
        </w:r>
      </w:hyperlink>
      <w:r>
        <w:t xml:space="preserve"> </w:t>
      </w:r>
    </w:p>
  </w:footnote>
  <w:footnote w:id="7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Регламент (ЕС) 2019/124 на Съвета от 30 януари 2019 г. за определяне за 2019 година на възможностите за риболов на определени рибни запаси и групи от рибни запаси, приложими във водите на Съюза, както и за риболовните кораби на Съюза в някои води извън Съюза (ОВ L 29, 31.1.2019 г., стр. 1).</w:t>
      </w:r>
    </w:p>
  </w:footnote>
  <w:footnote w:id="8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</w:r>
      <w:hyperlink r:id="rId3" w:history="1">
        <w:r>
          <w:rPr>
            <w:rStyle w:val="Hyperlink"/>
          </w:rPr>
          <w:t>https://www.nafo.int/</w:t>
        </w:r>
      </w:hyperlink>
      <w:r>
        <w:t xml:space="preserve"> </w:t>
      </w:r>
    </w:p>
  </w:footnote>
  <w:footnote w:id="9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Глава 40 (бюджетен ред 40 02 41 — „Резерви“) в съответствие с Междуинституционалното споразумение относно многогодишната финансова рамка (2013/C 373/01).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ОВ L 172, 30.6.2007 г.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https://www.consilium.europa.eu/bg/documents-publications/treaties-agreements/agreement/?id=2015055&amp;DocLanguage=en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 11 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3A49C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1AE58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9FAF5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A2C7E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C3E4A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F7CB8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5620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4BC2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19"/>
  </w:num>
  <w:num w:numId="11">
    <w:abstractNumId w:val="13"/>
  </w:num>
  <w:num w:numId="12">
    <w:abstractNumId w:val="21"/>
  </w:num>
  <w:num w:numId="13">
    <w:abstractNumId w:val="11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23 10:32:1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9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5CAFE0C-223F-4D82-A75F-E9B092D8BAAB"/>
    <w:docVar w:name="LW_COVERPAGE_TYPE" w:val="1"/>
    <w:docVar w:name="LW_CROSSREFERENCE" w:val="{SWD(2019) 385 final} - {SWD(2019) 386 final}"/>
    <w:docVar w:name="LW_DocType" w:val="COM"/>
    <w:docVar w:name="LW_EMISSION" w:val="23.10.2019"/>
    <w:docVar w:name="LW_EMISSION_ISODATE" w:val="2019-10-23"/>
    <w:docVar w:name="LW_EMISSION_LOCATION" w:val="BRX"/>
    <w:docVar w:name="LW_EMISSION_PREFIX" w:val="\u1041?\u1088?\u1102?\u1082?\u1089?\u1077?\u1083?, "/>
    <w:docVar w:name="LW_EMISSION_SUFFIX" w:val=" \u1075?."/>
    <w:docVar w:name="LW_ID_DOCMODEL" w:val="SG-001"/>
    <w:docVar w:name="LW_ID_DOCSIGNATURE" w:val="SG-001"/>
    <w:docVar w:name="LW_ID_DOCSTRUCTURE" w:val="COM/PL/ORG/NOEEA"/>
    <w:docVar w:name="LW_ID_DOCTYPE" w:val="SG-001"/>
    <w:docVar w:name="LW_ID_STATUT" w:val="SG-001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49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TATUT" w:val="\u1055?\u1088?\u1077?\u1087?\u1086?\u1088?\u1098?\u1082?\u1072? \u1079?\u1072?"/>
    <w:docVar w:name="LW_STATUT.CP" w:val="\u1055?\u1088?\u1077?\u1087?\u1086?\u1088?\u1098?\u1082?\u1072? \u1079?\u1072?"/>
    <w:docVar w:name="LW_SUPERTITRE" w:val="&lt;UNUSED&gt;"/>
    <w:docVar w:name="LW_TITRE.OBJ" w:val="&lt;FMT:Font=Calibri Cyr&gt;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9?\u1087?\u1086?\u1088?\u1072?\u1079?\u1091?\u1084?\u1077?\u1085?\u1080?\u1077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0? \u1089?\u1098?\u1086?\u1090?\u1074?\u1077?\u1090?\u1077?\u1085? \u1087?\u1088?\u1086?\u1090?\u1086?\u1082?\u1086?\u1083? \u1084?\u1077?\u1078?\u1076?\u1091? \u1045?\u1074?\u1088?\u1086?\u1087?\u1077?\u1081?\u1089?\u1082?\u1080?\u1103? \u1089?\u1098?\u1102?\u1079?, \u1087?\u1088?\u1072?\u1074?\u1080?\u1090?\u1077?\u1083?\u1089?\u1090?\u1074?\u1086?\u1090?\u1086? \u1085?\u1072? \u1044?\u1072?\u1085?\u1080?\u1103? \u1080? \u1072?\u1074?\u1090?\u1086?\u1085?\u1086?\u1084?\u1085?\u1086?\u1090?\u1086? \u1087?\u1088?\u1072?\u1074?\u1080?\u1090?\u1077?\u1083?\u1089?\u1090?\u1074?\u1086? \u1085?\u1072? \u1043?\u1088?\u1077?\u1085?\u1083?\u1072?\u1085?\u1076?\u1080?\u1103?&lt;/FMT&gt;"/>
    <w:docVar w:name="LW_TITRE.OBJ.CP" w:val="&lt;FMT:Font=Calibri Cyr&gt;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9?\u1087?\u1086?\u1088?\u1072?\u1079?\u1091?\u1084?\u1077?\u1085?\u1080?\u1077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0? \u1089?\u1098?\u1086?\u1090?\u1074?\u1077?\u1090?\u1077?\u1085? \u1087?\u1088?\u1086?\u1090?\u1086?\u1082?\u1086?\u1083? \u1084?\u1077?\u1078?\u1076?\u1091? \u1045?\u1074?\u1088?\u1086?\u1087?\u1077?\u1081?\u1089?\u1082?\u1080?\u1103? \u1089?\u1098?\u1102?\u1079?, \u1087?\u1088?\u1072?\u1074?\u1080?\u1090?\u1077?\u1083?\u1089?\u1090?\u1074?\u1086?\u1090?\u1086? \u1085?\u1072? \u1044?\u1072?\u1085?\u1080?\u1103? \u1080? \u1072?\u1074?\u1090?\u1086?\u1085?\u1086?\u1084?\u1085?\u1086?\u1090?\u1086? \u1087?\u1088?\u1072?\u1074?\u1080?\u1090?\u1077?\u1083?\u1089?\u1090?\u1074?\u1086? \u1085?\u1072? \u1043?\u1088?\u1077?\u1085?\u1083?\u1072?\u1085?\u1076?\u1080?\u1103?&lt;/FMT&gt;"/>
    <w:docVar w:name="LW_TYPE.DOC" w:val="\u1056?\u1045?\u1064?\u1045?\u1053?\u1048?\u1045? \u1053?\u1040? \u1057?\u1066?\u1042?\u1045?\u1058?\u104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LegalNumPar">
    <w:name w:val="LegalNumPar"/>
    <w:basedOn w:val="Normal"/>
    <w:pPr>
      <w:numPr>
        <w:numId w:val="9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9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9"/>
      </w:numPr>
      <w:spacing w:line="36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LegalNumPar">
    <w:name w:val="LegalNumPar"/>
    <w:basedOn w:val="Normal"/>
    <w:pPr>
      <w:numPr>
        <w:numId w:val="9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9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9"/>
      </w:numPr>
      <w:spacing w:line="36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fo.int/" TargetMode="External"/><Relationship Id="rId2" Type="http://schemas.openxmlformats.org/officeDocument/2006/relationships/hyperlink" Target="https://www.consilium.europa.eu/bg/documents-publications/treaties-agreements/agreement/?id=2015055&amp;DocLanguage=en" TargetMode="External"/><Relationship Id="rId1" Type="http://schemas.openxmlformats.org/officeDocument/2006/relationships/hyperlink" Target="https://www.consilium.europa.eu/bg/documents-publications/treaties-agreements/agreement/?id=2007046&amp;DocLanguage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BF4D-F5D3-4158-B79E-E665CE9D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8</Pages>
  <Words>1483</Words>
  <Characters>8590</Characters>
  <Application>Microsoft Office Word</Application>
  <DocSecurity>0</DocSecurity>
  <Lines>178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WES PDFC Administrator</cp:lastModifiedBy>
  <cp:revision>18</cp:revision>
  <cp:lastPrinted>2019-09-23T13:35:00Z</cp:lastPrinted>
  <dcterms:created xsi:type="dcterms:W3CDTF">2019-10-17T10:24:00Z</dcterms:created>
  <dcterms:modified xsi:type="dcterms:W3CDTF">2019-10-23T08:32:00Z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COM/PL/ORG/NOEEA</vt:lpwstr>
  </property>
  <property fmtid="{D5CDD505-2E9C-101B-9397-08002B2CF9AE}" pid="3" name="Version">
    <vt:lpwstr>5.84.2.0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SG-001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