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43127D8-0743-44C3-AE8C-A5394132484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EXPLANATORY MEMORANDUM</w:t>
      </w:r>
    </w:p>
    <w:p>
      <w:pPr>
        <w:rPr>
          <w:b/>
          <w:noProof/>
        </w:rPr>
      </w:pPr>
      <w:r>
        <w:rPr>
          <w:b/>
          <w:noProof/>
        </w:rPr>
        <w:t>1.</w:t>
      </w:r>
      <w:r>
        <w:rPr>
          <w:b/>
          <w:noProof/>
        </w:rPr>
        <w:tab/>
        <w:t>CONTEXT OF THE RECOMMENDATION</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rFonts w:eastAsia="Arial Unicode MS"/>
          <w:noProof/>
        </w:rPr>
      </w:pPr>
      <w:r>
        <w:rPr>
          <w:rFonts w:eastAsia="Arial Unicode MS"/>
          <w:noProof/>
        </w:rPr>
        <w:t>The Commission proposes negotiating a new sustainable fisheries partnership agreement (SFPA) and protocol with Greenland</w:t>
      </w:r>
      <w:r>
        <w:rPr>
          <w:noProof/>
          <w:szCs w:val="24"/>
        </w:rPr>
        <w:t xml:space="preserve"> </w:t>
      </w:r>
      <w:r>
        <w:rPr>
          <w:rFonts w:eastAsia="Arial Unicode MS"/>
          <w:noProof/>
        </w:rPr>
        <w:t>that meet the needs of the Union fleet and are in line with Regulation (EU) No 1380/2013</w:t>
      </w:r>
      <w:r>
        <w:rPr>
          <w:rStyle w:val="FootnoteReference"/>
          <w:rFonts w:eastAsia="Arial Unicode MS"/>
          <w:noProof/>
        </w:rPr>
        <w:footnoteReference w:id="1"/>
      </w:r>
      <w:r>
        <w:rPr>
          <w:rFonts w:eastAsia="Arial Unicode MS"/>
          <w:noProof/>
        </w:rPr>
        <w:t xml:space="preserve"> on the common fisheries policy (CFP) and the 19 March 2012 Council conclusions on the Commission’s Communication on the </w:t>
      </w:r>
      <w:r>
        <w:rPr>
          <w:rFonts w:eastAsia="Arial Unicode MS"/>
          <w:i/>
          <w:noProof/>
        </w:rPr>
        <w:t>External dimension of the common fisheries policy</w:t>
      </w:r>
      <w:r>
        <w:rPr>
          <w:rFonts w:eastAsia="Arial Unicode MS"/>
          <w:noProof/>
        </w:rPr>
        <w:t>.</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current EU</w:t>
      </w:r>
      <w:r>
        <w:rPr>
          <w:rFonts w:eastAsia="Arial Unicode MS"/>
          <w:noProof/>
        </w:rPr>
        <w:noBreakHyphen/>
        <w:t>Greenland fisheries partnership agreement (FPA)</w:t>
      </w:r>
      <w:r>
        <w:rPr>
          <w:rStyle w:val="FootnoteReference"/>
          <w:noProof/>
          <w:szCs w:val="24"/>
        </w:rPr>
        <w:footnoteReference w:id="2"/>
      </w:r>
      <w:r>
        <w:rPr>
          <w:noProof/>
          <w:szCs w:val="24"/>
        </w:rPr>
        <w:t xml:space="preserve"> </w:t>
      </w:r>
      <w:r>
        <w:rPr>
          <w:rFonts w:eastAsia="Arial Unicode MS"/>
          <w:noProof/>
        </w:rPr>
        <w:t>was signed on 28 June 2007</w:t>
      </w:r>
      <w:r>
        <w:rPr>
          <w:rStyle w:val="FootnoteReference"/>
          <w:rFonts w:eastAsia="Arial Unicode MS"/>
          <w:noProof/>
        </w:rPr>
        <w:footnoteReference w:id="3"/>
      </w:r>
      <w:r>
        <w:rPr>
          <w:rFonts w:eastAsia="Arial Unicode MS"/>
          <w:noProof/>
        </w:rPr>
        <w:t>. It is proposed that a new SFPA be negotiated to integrate certain provisions of Regulation (EU) No 1380/2013</w:t>
      </w:r>
      <w:r>
        <w:rPr>
          <w:rStyle w:val="FootnoteReference"/>
          <w:rFonts w:eastAsia="Arial Unicode MS"/>
          <w:noProof/>
        </w:rPr>
        <w:footnoteReference w:id="4"/>
      </w:r>
      <w:r>
        <w:rPr>
          <w:rFonts w:eastAsia="Arial Unicode MS"/>
          <w:noProof/>
        </w:rPr>
        <w:t xml:space="preserve"> that the FPA does not cover. </w:t>
      </w:r>
    </w:p>
    <w:p>
      <w:pPr>
        <w:pBdr>
          <w:top w:val="nil"/>
          <w:left w:val="nil"/>
          <w:bottom w:val="nil"/>
          <w:right w:val="nil"/>
          <w:between w:val="nil"/>
          <w:bar w:val="nil"/>
        </w:pBdr>
        <w:spacing w:before="0" w:after="240"/>
        <w:rPr>
          <w:rFonts w:eastAsia="Arial Unicode MS"/>
          <w:noProof/>
          <w:szCs w:val="24"/>
        </w:rPr>
      </w:pPr>
      <w:r>
        <w:rPr>
          <w:rFonts w:eastAsia="Arial Unicode MS"/>
          <w:noProof/>
        </w:rPr>
        <w:t>The current 5-year protocol</w:t>
      </w:r>
      <w:r>
        <w:rPr>
          <w:rStyle w:val="FootnoteReference"/>
          <w:rFonts w:eastAsia="Arial Unicode MS"/>
          <w:noProof/>
        </w:rPr>
        <w:footnoteReference w:id="5"/>
      </w:r>
      <w:r>
        <w:rPr>
          <w:rFonts w:eastAsia="Arial Unicode MS"/>
          <w:noProof/>
        </w:rPr>
        <w:t xml:space="preserve"> to the FPA entered into application on 1 January 2016</w:t>
      </w:r>
      <w:r>
        <w:rPr>
          <w:rStyle w:val="FootnoteReference"/>
          <w:rFonts w:eastAsia="Arial Unicode MS"/>
          <w:noProof/>
        </w:rPr>
        <w:footnoteReference w:id="6"/>
      </w:r>
      <w:r>
        <w:rPr>
          <w:rFonts w:eastAsia="Arial Unicode MS"/>
          <w:noProof/>
        </w:rPr>
        <w:t xml:space="preserve"> and will expire on 31 December 2020. It establishes fishing opportunities for the Union fleet and the corresponding financial contribution to be paid by the </w:t>
      </w:r>
      <w:r>
        <w:rPr>
          <w:rFonts w:eastAsia="Arial Unicode MS"/>
          <w:noProof/>
          <w:szCs w:val="24"/>
        </w:rPr>
        <w:t>Union and EU ship</w:t>
      </w:r>
      <w:r>
        <w:rPr>
          <w:rFonts w:eastAsia="Arial Unicode MS"/>
          <w:noProof/>
          <w:szCs w:val="24"/>
        </w:rPr>
        <w:noBreakHyphen/>
        <w:t xml:space="preserve">owners. </w:t>
      </w:r>
    </w:p>
    <w:p>
      <w:pPr>
        <w:spacing w:before="0" w:after="240"/>
        <w:rPr>
          <w:noProof/>
        </w:rPr>
      </w:pPr>
      <w:r>
        <w:rPr>
          <w:rFonts w:eastAsia="Calibri"/>
          <w:noProof/>
          <w:szCs w:val="24"/>
        </w:rPr>
        <w:t>The current protocol allows the EU fleet to fish in Greenlandic waters for cod, pelagic and demersal redfish, Greenland halibut, shrimp, grenadier and capelin, for indicative annual fishing opportunities of 42,726 tonnes. Vessels from eight Member States (</w:t>
      </w:r>
      <w:r>
        <w:rPr>
          <w:noProof/>
          <w:szCs w:val="24"/>
        </w:rPr>
        <w:t xml:space="preserve">Denmark, Estonia, France, </w:t>
      </w:r>
      <w:r>
        <w:rPr>
          <w:rFonts w:eastAsia="Calibri"/>
          <w:noProof/>
          <w:szCs w:val="24"/>
        </w:rPr>
        <w:t>Germany</w:t>
      </w:r>
      <w:r>
        <w:rPr>
          <w:noProof/>
          <w:szCs w:val="24"/>
        </w:rPr>
        <w:t xml:space="preserve">, Latvia, Lithuania, Sweden and the United Kingdom) are involved in the fisheries. </w:t>
      </w:r>
      <w:r>
        <w:rPr>
          <w:noProof/>
          <w:lang w:eastAsia="en-GB"/>
        </w:rPr>
        <w:t xml:space="preserve">The EU also transfers part of the agreed quota to Norway and the Faroe Islands, in exchange for EU vessels’ access to their waters. </w:t>
      </w:r>
      <w:r>
        <w:rPr>
          <w:rFonts w:eastAsia="Calibri"/>
          <w:noProof/>
          <w:szCs w:val="24"/>
        </w:rPr>
        <w:t xml:space="preserve">In addition to the fees paid to Greenland by the Union fleet, the EU pays annual compensation of EUR 13,168,978 (calculated on the basis of reference prices for each species), including a financial reserve of EUR 1,700,000 for possible additional quantities. The EU budget also provides for an amount of EUR 2,931,999 to support Greenland’s sectoral fisheries policy. </w:t>
      </w:r>
    </w:p>
    <w:p>
      <w:pPr>
        <w:pBdr>
          <w:top w:val="nil"/>
          <w:left w:val="nil"/>
          <w:bottom w:val="nil"/>
          <w:right w:val="nil"/>
          <w:between w:val="nil"/>
          <w:bar w:val="nil"/>
        </w:pBdr>
        <w:spacing w:before="0" w:after="240"/>
        <w:rPr>
          <w:rFonts w:eastAsia="Arial Unicode MS"/>
          <w:noProof/>
        </w:rPr>
      </w:pPr>
      <w:r>
        <w:rPr>
          <w:rFonts w:eastAsia="Arial Unicode MS"/>
          <w:noProof/>
          <w:szCs w:val="24"/>
        </w:rPr>
        <w:t>This is an agreement dealing with mixed species. The allocation of quotas to the Member States is subject to total allowable catch and quota regulation provisions</w:t>
      </w:r>
      <w:r>
        <w:rPr>
          <w:rStyle w:val="FootnoteReference"/>
          <w:rFonts w:eastAsia="Arial Unicode MS"/>
          <w:noProof/>
          <w:szCs w:val="24"/>
        </w:rPr>
        <w:footnoteReference w:id="7"/>
      </w:r>
      <w:r>
        <w:rPr>
          <w:rFonts w:eastAsia="Arial Unicode MS"/>
          <w:noProof/>
          <w:szCs w:val="24"/>
        </w:rPr>
        <w:t xml:space="preserve">. </w:t>
      </w:r>
      <w:r>
        <w:rPr>
          <w:rFonts w:eastAsia="Arial Unicode MS"/>
          <w:noProof/>
        </w:rPr>
        <w:t xml:space="preserve">SFPAs help to promote the CFP objectives internationally, ensuring that Union fishing activities outside Union waters are based on the same principles and standards as those applicable under Union law. In addition, they foster scientific cooperation between the EU and its partners, promote transparency and sustainability for better management of fishing resources and encourage </w:t>
      </w:r>
      <w:r>
        <w:rPr>
          <w:rFonts w:eastAsia="Arial Unicode MS"/>
          <w:noProof/>
        </w:rPr>
        <w:lastRenderedPageBreak/>
        <w:t>governance by supporting the monitoring, control and surveillance of national and foreign fleets’ activities and providing funding to fight illegal, unreported and unregulated fishing. SFPAs contribute to the sustainable development of local fishing industries and the promotion of growth and decent work linked to maritime activity. They strengthen the EU’s position in international and regional fishing organisations (in particular, in the case of Greenland, the International Council for the Exploration of the Sea and the Northwest Atlantic Fisheries Organisation)</w:t>
      </w:r>
      <w:r>
        <w:rPr>
          <w:rStyle w:val="FootnoteReference"/>
          <w:rFonts w:eastAsia="Arial Unicode MS"/>
          <w:noProof/>
        </w:rPr>
        <w:footnoteReference w:id="8"/>
      </w:r>
      <w:r>
        <w:rPr>
          <w:rFonts w:eastAsia="Arial Unicode MS"/>
          <w:noProof/>
        </w:rPr>
        <w:t xml:space="preserve">. </w:t>
      </w:r>
    </w:p>
    <w:p>
      <w:pPr>
        <w:pStyle w:val="ManualHeading2"/>
        <w:spacing w:before="0" w:after="240"/>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negotiation of a new agreement and protocol with Greenland is in line with the EU’s external action </w:t>
      </w:r>
      <w:r>
        <w:rPr>
          <w:rFonts w:eastAsia="Arial Unicode MS"/>
          <w:i/>
          <w:noProof/>
        </w:rPr>
        <w:t>vis-à-vis</w:t>
      </w:r>
      <w:r>
        <w:rPr>
          <w:rFonts w:eastAsia="Arial Unicode MS"/>
          <w:noProof/>
        </w:rPr>
        <w:t xml:space="preserve"> overseas countries and territories (OCTs), and in particular with its objectives as regards democratic principles and human rights. </w:t>
      </w:r>
    </w:p>
    <w:p>
      <w:pPr>
        <w:rPr>
          <w:b/>
          <w:noProof/>
        </w:rPr>
      </w:pPr>
      <w:r>
        <w:rPr>
          <w:b/>
          <w:noProof/>
        </w:rPr>
        <w:t>2.</w:t>
      </w:r>
      <w:r>
        <w:rPr>
          <w:b/>
          <w:noProof/>
        </w:rPr>
        <w:tab/>
        <w:t xml:space="preserve">LEGAL ELEMENTS OF THE RECOMMENDATION </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the Decision is Article 218 of the Treaty on the Functioning of the European Union (TFEU), which sets out the procedure for negotiating and concluding international agreements.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is provided for under Article 218(3) and (4) TFEU.</w:t>
      </w:r>
    </w:p>
    <w:p>
      <w:pPr>
        <w:pStyle w:val="ManualHeading1"/>
        <w:spacing w:before="0" w:after="240"/>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2019, the Commission has carried out an </w:t>
      </w:r>
      <w:r>
        <w:rPr>
          <w:rFonts w:eastAsia="Arial Unicode MS"/>
          <w:i/>
          <w:noProof/>
        </w:rPr>
        <w:t>ex post</w:t>
      </w:r>
      <w:r>
        <w:rPr>
          <w:rFonts w:eastAsia="Arial Unicode MS"/>
          <w:noProof/>
        </w:rPr>
        <w:t xml:space="preserve"> evaluation of the current FPA</w:t>
      </w:r>
      <w:r>
        <w:rPr>
          <w:noProof/>
          <w:szCs w:val="24"/>
        </w:rPr>
        <w:t xml:space="preserve"> and protocol with Greenland and</w:t>
      </w:r>
      <w:r>
        <w:rPr>
          <w:rFonts w:eastAsia="Arial Unicode MS"/>
          <w:noProof/>
        </w:rPr>
        <w:t xml:space="preserve"> an </w:t>
      </w:r>
      <w:r>
        <w:rPr>
          <w:rFonts w:eastAsia="Arial Unicode MS"/>
          <w:i/>
          <w:noProof/>
        </w:rPr>
        <w:t>ex ante</w:t>
      </w:r>
      <w:r>
        <w:rPr>
          <w:rFonts w:eastAsia="Arial Unicode MS"/>
          <w:noProof/>
        </w:rPr>
        <w:t xml:space="preserve"> evaluation of their possible renewal. Its conclusions are set out in a separate staff working document.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 concluded that the EU fishing sector has a clear interest in fishing in </w:t>
      </w:r>
      <w:r>
        <w:rPr>
          <w:noProof/>
          <w:szCs w:val="24"/>
        </w:rPr>
        <w:t xml:space="preserve">Greenland </w:t>
      </w:r>
      <w:r>
        <w:rPr>
          <w:rFonts w:eastAsia="Arial Unicode MS"/>
          <w:noProof/>
        </w:rPr>
        <w:t xml:space="preserve">and that renewal of the agreement and the protocol would contribute to improved governance of fisheries in the region.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For the EU, it is important to maintain an instrument allowing deep sectoral cooperation with a major player in ocean governance at sub-regional level, because of the extent of the fishing area under its jurisdiction. This will allow the EU to strengthen its role in the Nordic fisheries, thanks also to the exchanges of quotas with Norway and the Faroe Islands.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For EU vessels, this means maintaining access to an important fishing area for the deployment of harvesting strategies in a multiannual international legal framework.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For the Greenlandic authorities, the aim is to maintain relations with the EU with a view to strengthening ocean governance and benefiting from dedicated sectoral support that provides for multiannual funding support for fisheries management. </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Commission consulted the Member States, industry representatives, international civil society organisations and </w:t>
      </w:r>
      <w:r>
        <w:rPr>
          <w:noProof/>
          <w:szCs w:val="24"/>
        </w:rPr>
        <w:t>Greenland’</w:t>
      </w:r>
      <w:r>
        <w:rPr>
          <w:rFonts w:eastAsia="Arial Unicode MS"/>
          <w:noProof/>
        </w:rPr>
        <w:t xml:space="preserve">s </w:t>
      </w:r>
      <w:r>
        <w:rPr>
          <w:noProof/>
        </w:rPr>
        <w:t xml:space="preserve">fisheries administration and civil society as part of the evaluation. </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proposed negotiating directives (set out in an annex to the Decision) call for the Commission to negotiate the inclusion in the new SFPA of a clause on the consequences of violating human rights and democratic principles.</w:t>
      </w:r>
    </w:p>
    <w:p>
      <w:pPr>
        <w:rPr>
          <w:b/>
          <w:noProof/>
        </w:rPr>
      </w:pPr>
      <w:r>
        <w:rPr>
          <w:b/>
          <w:noProof/>
        </w:rPr>
        <w:t>4.</w:t>
      </w:r>
      <w:r>
        <w:rPr>
          <w:b/>
          <w:noProof/>
        </w:rPr>
        <w:tab/>
        <w:t>BUDGETARY IMPLICATIONS</w:t>
      </w:r>
    </w:p>
    <w:p>
      <w:pPr>
        <w:spacing w:before="0" w:after="240"/>
        <w:rPr>
          <w:noProof/>
        </w:rPr>
      </w:pPr>
      <w:r>
        <w:rPr>
          <w:noProof/>
        </w:rPr>
        <w:t>The new protocol provides for the payment of a financial contribution to Greenland. The relevant budgetary allocations in terms of commitment and payment appropriations will be included each year in the budget line for ‘sustainable fisheries partnership agreements’ (11 03 01) and be compatible with the financial programming of the relevant multiannual financial framework (MFF). The amounts for commitments and payments are established in the annual budgetary procedure, including the reserve line for protocols that have yet to enter into force at the beginning of the year</w:t>
      </w:r>
      <w:r>
        <w:rPr>
          <w:rStyle w:val="FootnoteReference"/>
          <w:noProof/>
        </w:rPr>
        <w:footnoteReference w:id="9"/>
      </w:r>
      <w:r>
        <w:rPr>
          <w:noProof/>
        </w:rPr>
        <w:t>.</w:t>
      </w:r>
    </w:p>
    <w:p>
      <w:pPr>
        <w:rPr>
          <w:b/>
          <w:noProof/>
        </w:rPr>
      </w:pPr>
      <w:r>
        <w:rPr>
          <w:b/>
          <w:noProof/>
        </w:rPr>
        <w:t>5.</w:t>
      </w:r>
      <w:r>
        <w:rPr>
          <w:b/>
          <w:noProof/>
        </w:rPr>
        <w:tab/>
        <w:t>OTHER ELEMENTS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Negotiations are expected to start in the fourth quarter of 2019.</w:t>
      </w:r>
    </w:p>
    <w:p>
      <w:pPr>
        <w:spacing w:before="0" w:after="200" w:line="276" w:lineRule="auto"/>
        <w:jc w:val="left"/>
        <w:rPr>
          <w:rFonts w:eastAsia="Arial Unicode MS"/>
          <w:b/>
          <w:noProof/>
          <w:u w:color="000000"/>
          <w:bdr w:val="nil"/>
          <w:lang w:eastAsia="en-GB"/>
        </w:rPr>
      </w:pPr>
      <w:r>
        <w:rPr>
          <w:rFonts w:eastAsia="Arial Unicode MS"/>
          <w:noProof/>
          <w:u w:color="000000"/>
          <w:bdr w:val="nil"/>
          <w:lang w:eastAsia="en-GB"/>
        </w:rPr>
        <w:br w:type="page"/>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rPr>
          <w:rFonts w:eastAsia="Arial Unicode MS"/>
          <w:noProof/>
        </w:rPr>
      </w:pPr>
      <w:r>
        <w:rPr>
          <w:rFonts w:eastAsia="Arial Unicode MS"/>
          <w:noProof/>
        </w:rPr>
        <w:t>The Commission recommends that:</w:t>
      </w:r>
    </w:p>
    <w:p>
      <w:pPr>
        <w:pBdr>
          <w:top w:val="nil"/>
          <w:left w:val="nil"/>
          <w:bottom w:val="nil"/>
          <w:right w:val="nil"/>
          <w:between w:val="nil"/>
          <w:bar w:val="nil"/>
        </w:pBdr>
        <w:spacing w:before="0"/>
        <w:rPr>
          <w:rFonts w:eastAsia="Arial Unicode MS"/>
          <w:noProof/>
        </w:rPr>
      </w:pPr>
      <w:r>
        <w:rPr>
          <w:rFonts w:eastAsia="Arial Unicode MS"/>
          <w:noProof/>
        </w:rPr>
        <w:t>the Council authorise it to open and conduct negotiations for the conclusion of a new SFPA and protocol with Greenland;</w:t>
      </w:r>
    </w:p>
    <w:p>
      <w:pPr>
        <w:pBdr>
          <w:top w:val="nil"/>
          <w:left w:val="nil"/>
          <w:bottom w:val="nil"/>
          <w:right w:val="nil"/>
          <w:between w:val="nil"/>
          <w:bar w:val="nil"/>
        </w:pBdr>
        <w:spacing w:before="0"/>
        <w:rPr>
          <w:rFonts w:eastAsia="Arial Unicode MS"/>
          <w:noProof/>
        </w:rPr>
      </w:pPr>
      <w:r>
        <w:rPr>
          <w:rFonts w:eastAsia="Arial Unicode MS"/>
          <w:noProof/>
        </w:rPr>
        <w:t>the negotiations be conducted in consultation with the special committee, in accordance with the TFEU; and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approve the negotiating directives annexed to this recommendation.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spacing w:before="0" w:after="240"/>
        <w:rPr>
          <w:noProof/>
        </w:rPr>
      </w:pPr>
      <w:r>
        <w:rPr>
          <w:noProof/>
        </w:rPr>
        <w:lastRenderedPageBreak/>
        <w:t>Recommendation for a</w:t>
      </w:r>
    </w:p>
    <w:p>
      <w:pPr>
        <w:pStyle w:val="Typedudocument"/>
        <w:spacing w:before="0" w:after="240"/>
        <w:rPr>
          <w:noProof/>
        </w:rPr>
      </w:pPr>
      <w:r>
        <w:rPr>
          <w:noProof/>
        </w:rPr>
        <w:t>COUNCIL DECISION</w:t>
      </w:r>
    </w:p>
    <w:p>
      <w:pPr>
        <w:pStyle w:val="Titreobjet"/>
        <w:spacing w:before="0" w:after="240"/>
        <w:rPr>
          <w:noProof/>
        </w:rPr>
      </w:pPr>
      <w:r>
        <w:rPr>
          <w:noProof/>
        </w:rPr>
        <w:t>authorising the opening of negotiations  on a Sustainable Fisheries Partnership Agreement and  Protocol between the European Union and the Government of Denmark and the Home Rule Government of Greenland</w:t>
      </w:r>
    </w:p>
    <w:p>
      <w:pPr>
        <w:pStyle w:val="Institutionquiagit"/>
        <w:spacing w:before="0" w:after="240"/>
        <w:rPr>
          <w:noProof/>
        </w:rPr>
      </w:pPr>
      <w:r>
        <w:rPr>
          <w:noProof/>
        </w:rPr>
        <w:t>THE COUNCIL OF THE EUROPEAN UNION,</w:t>
      </w:r>
    </w:p>
    <w:p>
      <w:pPr>
        <w:spacing w:before="0" w:after="240"/>
        <w:rPr>
          <w:noProof/>
        </w:rPr>
      </w:pPr>
      <w:r>
        <w:rPr>
          <w:noProof/>
        </w:rPr>
        <w:t>Having regard to the Treaty on the Functioning of the European Union, and in particular Article 218(3) and (4) thereof,</w:t>
      </w:r>
    </w:p>
    <w:p>
      <w:pPr>
        <w:spacing w:before="0" w:after="240"/>
        <w:rPr>
          <w:noProof/>
        </w:rPr>
      </w:pPr>
      <w:r>
        <w:rPr>
          <w:noProof/>
        </w:rPr>
        <w:t>Having regard to the recommendation from the European Commission,</w:t>
      </w:r>
    </w:p>
    <w:p>
      <w:pPr>
        <w:spacing w:before="0" w:after="240"/>
        <w:rPr>
          <w:noProof/>
        </w:rPr>
      </w:pPr>
      <w:r>
        <w:rPr>
          <w:noProof/>
        </w:rPr>
        <w:t>Whereas:</w:t>
      </w:r>
    </w:p>
    <w:p>
      <w:pPr>
        <w:spacing w:before="0" w:after="240"/>
        <w:rPr>
          <w:noProof/>
        </w:rPr>
      </w:pPr>
      <w:r>
        <w:rPr>
          <w:noProof/>
        </w:rPr>
        <w:t>A Fisheries Partnership Agreement between the European Community on the one hand, and the Government of Denmark and the Home Rule Government of Greenland, on the other hand (FPA) and a Protocol setting out the fishing opportunities and financial contribution provided for in the FPA</w:t>
      </w:r>
      <w:r>
        <w:rPr>
          <w:rStyle w:val="FootnoteReference"/>
          <w:noProof/>
        </w:rPr>
        <w:footnoteReference w:id="10"/>
      </w:r>
      <w:r>
        <w:rPr>
          <w:noProof/>
        </w:rPr>
        <w:t xml:space="preserve">  was signed on 28 June 2007.  Following the end of the validity of that Protocol, a new Protocol was signed and  entered into application on 1 January 2016</w:t>
      </w:r>
      <w:r>
        <w:rPr>
          <w:rStyle w:val="FootnoteReference"/>
          <w:noProof/>
        </w:rPr>
        <w:footnoteReference w:id="11"/>
      </w:r>
      <w:r>
        <w:rPr>
          <w:noProof/>
        </w:rPr>
        <w:t>. It will expire on 31 December 2020.</w:t>
      </w:r>
    </w:p>
    <w:p>
      <w:pPr>
        <w:pStyle w:val="ListParagraph"/>
        <w:spacing w:before="0" w:after="240"/>
        <w:rPr>
          <w:noProof/>
        </w:rPr>
      </w:pPr>
    </w:p>
    <w:p>
      <w:pPr>
        <w:spacing w:before="0" w:after="240"/>
        <w:rPr>
          <w:noProof/>
        </w:rPr>
      </w:pPr>
      <w:r>
        <w:rPr>
          <w:noProof/>
        </w:rPr>
        <w:t>The FPA does not cover certain provisions of Regulation (EU) 1380/2013 of the European Parliament and of the Council</w:t>
      </w:r>
      <w:r>
        <w:rPr>
          <w:rStyle w:val="FootnoteReference"/>
          <w:noProof/>
        </w:rPr>
        <w:footnoteReference w:id="12"/>
      </w:r>
      <w:r>
        <w:rPr>
          <w:noProof/>
        </w:rPr>
        <w:t xml:space="preserve">.   The fishing opportunities and financial contribution applicable as of 1 January 2021 should also be established following the impending expiry of the current Protocol. The Commission is therefore proposing the negotation of a new Agreement and Protocol that meets the needs of the Union fleet and is also in accordance with Regulation (EU) No 1380/2013. </w:t>
      </w:r>
    </w:p>
    <w:p>
      <w:pPr>
        <w:pStyle w:val="ListParagraph"/>
        <w:rPr>
          <w:noProof/>
        </w:rPr>
      </w:pPr>
    </w:p>
    <w:p>
      <w:pPr>
        <w:spacing w:before="0" w:after="240"/>
        <w:rPr>
          <w:noProof/>
        </w:rPr>
      </w:pPr>
      <w:r>
        <w:rPr>
          <w:noProof/>
        </w:rPr>
        <w:t xml:space="preserve">Negotiations should accordingly be opened with a view to concluding a new </w:t>
      </w:r>
      <w:r>
        <w:rPr>
          <w:noProof/>
          <w:lang w:val="mt-MT"/>
        </w:rPr>
        <w:t>S</w:t>
      </w:r>
      <w:r>
        <w:rPr>
          <w:noProof/>
        </w:rPr>
        <w:t xml:space="preserve">ustainable </w:t>
      </w:r>
      <w:r>
        <w:rPr>
          <w:noProof/>
          <w:lang w:val="mt-MT"/>
        </w:rPr>
        <w:t>F</w:t>
      </w:r>
      <w:r>
        <w:rPr>
          <w:noProof/>
        </w:rPr>
        <w:t xml:space="preserve">isheries </w:t>
      </w:r>
      <w:r>
        <w:rPr>
          <w:noProof/>
          <w:lang w:val="mt-MT"/>
        </w:rPr>
        <w:t>P</w:t>
      </w:r>
      <w:r>
        <w:rPr>
          <w:noProof/>
        </w:rPr>
        <w:t xml:space="preserve">artnership </w:t>
      </w:r>
      <w:r>
        <w:rPr>
          <w:noProof/>
          <w:lang w:val="mt-MT"/>
        </w:rPr>
        <w:t>A</w:t>
      </w:r>
      <w:r>
        <w:rPr>
          <w:noProof/>
        </w:rPr>
        <w:t>greement and Protocol with the Government of Denmark and the Home Rule Government of Greenland</w:t>
      </w:r>
      <w:r>
        <w:rPr>
          <w:noProof/>
          <w:szCs w:val="24"/>
        </w:rPr>
        <w:t xml:space="preserve">. </w:t>
      </w:r>
    </w:p>
    <w:p>
      <w:pPr>
        <w:pStyle w:val="Formuledadoption"/>
        <w:spacing w:before="0" w:after="240"/>
        <w:rPr>
          <w:noProof/>
        </w:rPr>
      </w:pPr>
      <w:r>
        <w:rPr>
          <w:noProof/>
        </w:rPr>
        <w:t xml:space="preserve">HAS ADOPTED THIS DECISION: </w:t>
      </w:r>
    </w:p>
    <w:p>
      <w:pPr>
        <w:pStyle w:val="Titrearticle"/>
        <w:spacing w:before="0" w:after="240"/>
        <w:rPr>
          <w:noProof/>
        </w:rPr>
      </w:pPr>
      <w:r>
        <w:rPr>
          <w:noProof/>
        </w:rPr>
        <w:t>Article 1</w:t>
      </w:r>
    </w:p>
    <w:p>
      <w:pPr>
        <w:rPr>
          <w:noProof/>
        </w:rPr>
      </w:pPr>
      <w:bookmarkStart w:id="1" w:name="_CopyToNewDocument_"/>
      <w:bookmarkEnd w:id="1"/>
      <w:r>
        <w:rPr>
          <w:noProof/>
        </w:rPr>
        <w:t>The Commission is hereby authorised to negotiate, on behalf of the Union, a new Sustainable Fisheries Partnership Agreement and Protocol with the Government of Denmark and the Home Rule Government of Greenland</w:t>
      </w:r>
      <w:r>
        <w:rPr>
          <w:noProof/>
          <w:szCs w:val="24"/>
        </w:rPr>
        <w:t>.</w:t>
      </w:r>
    </w:p>
    <w:p>
      <w:pPr>
        <w:pStyle w:val="Titrearticle"/>
        <w:spacing w:before="0" w:after="240"/>
        <w:rPr>
          <w:noProof/>
        </w:rPr>
      </w:pPr>
    </w:p>
    <w:p>
      <w:pPr>
        <w:rPr>
          <w:noProof/>
        </w:rPr>
      </w:pPr>
    </w:p>
    <w:p>
      <w:pPr>
        <w:rPr>
          <w:noProof/>
        </w:rPr>
      </w:pPr>
    </w:p>
    <w:p>
      <w:pPr>
        <w:jc w:val="center"/>
        <w:rPr>
          <w:noProof/>
        </w:rPr>
      </w:pPr>
      <w:r>
        <w:rPr>
          <w:i/>
          <w:noProof/>
        </w:rPr>
        <w:t>Article 2</w:t>
      </w:r>
    </w:p>
    <w:p>
      <w:pPr>
        <w:spacing w:before="0" w:after="240"/>
        <w:rPr>
          <w:noProof/>
        </w:rPr>
      </w:pPr>
      <w:r>
        <w:rPr>
          <w:noProof/>
        </w:rPr>
        <w:t>The  negotiations shall be conducted in consultation with the Council Working Party on External Fisheries Policy and on the basis of the negotiating directives set out in the Annex to this Decision.</w:t>
      </w:r>
    </w:p>
    <w:p>
      <w:pPr>
        <w:jc w:val="center"/>
        <w:rPr>
          <w:i/>
          <w:noProof/>
        </w:rPr>
      </w:pPr>
      <w:r>
        <w:rPr>
          <w:i/>
          <w:noProof/>
        </w:rPr>
        <w:t>Article 3</w:t>
      </w:r>
    </w:p>
    <w:p>
      <w:pPr>
        <w:spacing w:before="0" w:after="240"/>
        <w:rPr>
          <w:noProof/>
        </w:rPr>
      </w:pPr>
    </w:p>
    <w:p>
      <w:pPr>
        <w:spacing w:before="0" w:after="240"/>
        <w:rPr>
          <w:noProof/>
        </w:rPr>
      </w:pPr>
      <w:r>
        <w:rPr>
          <w:noProof/>
        </w:rPr>
        <w:t>This Decision is addressed to the Commission.</w:t>
      </w:r>
    </w:p>
    <w:p>
      <w:pPr>
        <w:spacing w:before="0" w:after="240"/>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ind w:left="284" w:hanging="284"/>
      </w:pPr>
      <w:r>
        <w:rPr>
          <w:rStyle w:val="FootnoteReference"/>
        </w:rPr>
        <w:footnoteRef/>
      </w:r>
      <w:r>
        <w:tab/>
        <w:t>OJ L 172, 30.6.2007.</w:t>
      </w:r>
    </w:p>
  </w:footnote>
  <w:footnote w:id="3">
    <w:p>
      <w:pPr>
        <w:pStyle w:val="FootnoteText"/>
        <w:ind w:left="284" w:hanging="284"/>
      </w:pPr>
      <w:r>
        <w:rPr>
          <w:rStyle w:val="FootnoteReference"/>
        </w:rPr>
        <w:footnoteRef/>
      </w:r>
      <w:r>
        <w:tab/>
      </w:r>
      <w:hyperlink r:id="rId1" w:history="1">
        <w:r>
          <w:rPr>
            <w:rStyle w:val="Hyperlink"/>
          </w:rPr>
          <w:t>https://www.consilium.europa.eu/en/documents-publications/treaties-agreements/agreement/?id=2007046&amp;DocLanguage=en</w:t>
        </w:r>
      </w:hyperlink>
      <w:r>
        <w:t xml:space="preserve"> </w:t>
      </w:r>
    </w:p>
  </w:footnote>
  <w:footnote w:id="4">
    <w:p>
      <w:pPr>
        <w:pStyle w:val="FootnoteText"/>
        <w:ind w:left="284" w:hanging="284"/>
      </w:pPr>
      <w:r>
        <w:rPr>
          <w:rStyle w:val="FootnoteReference"/>
        </w:rPr>
        <w:footnoteRef/>
      </w:r>
      <w:r>
        <w:tab/>
        <w:t>Part VI, Title II of Regulation (EU) No 1380/2013.</w:t>
      </w:r>
    </w:p>
  </w:footnote>
  <w:footnote w:id="5">
    <w:p>
      <w:pPr>
        <w:pStyle w:val="FootnoteText"/>
        <w:ind w:left="284" w:hanging="284"/>
      </w:pPr>
      <w:r>
        <w:rPr>
          <w:rStyle w:val="FootnoteReference"/>
        </w:rPr>
        <w:footnoteRef/>
      </w:r>
      <w:r>
        <w:tab/>
        <w:t xml:space="preserve">OJ L 305, 21.11.2015, p. 1. </w:t>
      </w:r>
    </w:p>
  </w:footnote>
  <w:footnote w:id="6">
    <w:p>
      <w:pPr>
        <w:pStyle w:val="FootnoteText"/>
        <w:ind w:left="284" w:hanging="284"/>
      </w:pPr>
      <w:r>
        <w:rPr>
          <w:rStyle w:val="FootnoteReference"/>
        </w:rPr>
        <w:footnoteRef/>
      </w:r>
      <w:r>
        <w:tab/>
      </w:r>
      <w:hyperlink r:id="rId2" w:history="1">
        <w:r>
          <w:rPr>
            <w:rStyle w:val="Hyperlink"/>
          </w:rPr>
          <w:t>https://www.consilium.europa.eu/en/documents-publications/treaties-agreements/agreement/?id=2015055&amp;DocLanguage=en</w:t>
        </w:r>
      </w:hyperlink>
      <w:r>
        <w:t xml:space="preserve"> </w:t>
      </w:r>
    </w:p>
  </w:footnote>
  <w:footnote w:id="7">
    <w:p>
      <w:pPr>
        <w:pStyle w:val="FootnoteText"/>
        <w:ind w:left="284" w:hanging="284"/>
      </w:pPr>
      <w:r>
        <w:rPr>
          <w:rStyle w:val="FootnoteReference"/>
        </w:rPr>
        <w:footnoteRef/>
      </w:r>
      <w:r>
        <w:tab/>
        <w:t>Council Regulation (EU) 2019/124 of 30 January 2019 fixing for 2019 the fishing opportunities for certain fish stocks and groups of fish stocks, applicable in Union waters and, for Union vessels, in certain non-Union waters (OJ L 29, 31.1.2019, p. 1).</w:t>
      </w:r>
    </w:p>
  </w:footnote>
  <w:footnote w:id="8">
    <w:p>
      <w:pPr>
        <w:pStyle w:val="FootnoteText"/>
        <w:ind w:left="284" w:hanging="284"/>
      </w:pPr>
      <w:r>
        <w:rPr>
          <w:rStyle w:val="FootnoteReference"/>
        </w:rPr>
        <w:footnoteRef/>
      </w:r>
      <w:r>
        <w:tab/>
      </w:r>
      <w:hyperlink r:id="rId3" w:history="1">
        <w:r>
          <w:rPr>
            <w:rStyle w:val="Hyperlink"/>
          </w:rPr>
          <w:t>https://www.nafo.int/</w:t>
        </w:r>
      </w:hyperlink>
      <w:r>
        <w:t xml:space="preserve"> </w:t>
      </w:r>
    </w:p>
  </w:footnote>
  <w:footnote w:id="9">
    <w:p>
      <w:pPr>
        <w:pStyle w:val="FootnoteText"/>
        <w:ind w:left="284" w:hanging="284"/>
      </w:pPr>
      <w:r>
        <w:rPr>
          <w:rStyle w:val="FootnoteReference"/>
        </w:rPr>
        <w:footnoteRef/>
      </w:r>
      <w:r>
        <w:tab/>
      </w:r>
      <w:r>
        <w:rPr>
          <w:rFonts w:eastAsia="Arial Unicode MS"/>
        </w:rPr>
        <w:t>Chapter 40 (reserve line 40 02 41), in line with the MFF interinstitutional agreement (2013/C 373/01).</w:t>
      </w:r>
    </w:p>
  </w:footnote>
  <w:footnote w:id="10">
    <w:p>
      <w:pPr>
        <w:pStyle w:val="FootnoteText"/>
      </w:pPr>
      <w:r>
        <w:rPr>
          <w:rStyle w:val="FootnoteReference"/>
        </w:rPr>
        <w:footnoteRef/>
      </w:r>
      <w:r>
        <w:tab/>
        <w:t>OJ L 172, 30.6.</w:t>
      </w:r>
      <w:r>
        <w:rPr>
          <w:rFonts w:eastAsia="Arial Unicode MS"/>
        </w:rPr>
        <w:t>2007</w:t>
      </w:r>
    </w:p>
  </w:footnote>
  <w:footnote w:id="11">
    <w:p>
      <w:pPr>
        <w:pStyle w:val="FootnoteText"/>
      </w:pPr>
      <w:r>
        <w:rPr>
          <w:rStyle w:val="FootnoteReference"/>
        </w:rPr>
        <w:footnoteRef/>
      </w:r>
      <w:r>
        <w:tab/>
        <w:t>https://www.consilium.europa.eu/en/documents-publications/treaties-agreements/agreement/?id=2015055&amp;DocLanguage=en.</w:t>
      </w:r>
    </w:p>
  </w:footnote>
  <w:footnote w:id="12">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A49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AE58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AF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2C7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3E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7CB8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56208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C2F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3 10:34: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043127D8-0743-44C3-AE8C-A53941324842"/>
    <w:docVar w:name="LW_COVERPAGE_TYPE" w:val="1"/>
    <w:docVar w:name="LW_CROSSREFERENCE" w:val="{SWD(2019) 385 final} - {SWD(2019) 386 final}"/>
    <w:docVar w:name="LW_DocType" w:val="COM"/>
    <w:docVar w:name="LW_EMISSION" w:val="23.10.2019"/>
    <w:docVar w:name="LW_EMISSION_ISODATE" w:val="2019-10-23"/>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Recommendation for a"/>
    <w:docVar w:name="LW_STATUT.CP" w:val="Recommendation for a"/>
    <w:docVar w:name="LW_SUPERTITRE" w:val="&lt;UNUSED&gt;"/>
    <w:docVar w:name="LW_TITRE.OBJ" w:val="authorising the opening of negotiations on behalf of the European Union for the conclusion of a  Sustainable Fisheries Partnership Agreement and a Protocol with the Government of Denmark and the Home Rule Government of Greenland"/>
    <w:docVar w:name="LW_TITRE.OBJ.CP" w:val="authorising the opening of negotiations on behalf of the European Union for the conclusion of a  Sustainable Fisheries Partnership Agreement and a Protocol with the Government of Denmark and the Home Rule Government of Greenland"/>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afo.int/" TargetMode="External"/><Relationship Id="rId2" Type="http://schemas.openxmlformats.org/officeDocument/2006/relationships/hyperlink" Target="https://www.consilium.europa.eu/en/documents-publications/treaties-agreements/agreement/?id=2015055&amp;DocLanguage=en" TargetMode="External"/><Relationship Id="rId1" Type="http://schemas.openxmlformats.org/officeDocument/2006/relationships/hyperlink" Target="https://www.consilium.europa.eu/en/documents-publications/treaties-agreements/agreement/?id=2007046&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79BB-CA93-4447-9F41-D914C255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1389</Words>
  <Characters>7793</Characters>
  <Application>Microsoft Office Word</Application>
  <DocSecurity>0</DocSecurity>
  <Lines>155</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2019-09-23T13:35:00Z</cp:lastPrinted>
  <dcterms:created xsi:type="dcterms:W3CDTF">2019-10-11T07:34:00Z</dcterms:created>
  <dcterms:modified xsi:type="dcterms:W3CDTF">2019-10-23T08:34:00Z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