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01FA80DA-F6A1-42BD-AFEF-24FBAFBD319A" style="width:450.8pt;height:426.1pt">
            <v:imagedata r:id="rId7" o:title=""/>
          </v:shape>
        </w:pict>
      </w:r>
    </w:p>
    <w:bookmarkEnd w:id="0"/>
    <w:p>
      <w:pPr>
        <w:rPr>
          <w:noProof/>
        </w:rPr>
        <w:sectPr>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134" w:left="1417" w:header="709" w:footer="709" w:gutter="0"/>
          <w:pgNumType w:start="0"/>
          <w:cols w:space="720"/>
          <w:docGrid w:linePitch="360"/>
        </w:sectPr>
      </w:pPr>
    </w:p>
    <w:p>
      <w:pPr>
        <w:spacing w:after="240" w:line="240" w:lineRule="auto"/>
        <w:jc w:val="both"/>
        <w:rPr>
          <w:rFonts w:ascii="Times New Roman" w:hAnsi="Times New Roman" w:cs="Times New Roman"/>
          <w:noProof/>
          <w:sz w:val="24"/>
          <w:szCs w:val="24"/>
        </w:rPr>
      </w:pPr>
      <w:bookmarkStart w:id="1" w:name="_GoBack"/>
      <w:bookmarkEnd w:id="1"/>
      <w:r>
        <w:rPr>
          <w:rFonts w:ascii="Times New Roman" w:eastAsia="Times New Roman" w:hAnsi="Times New Roman" w:cs="Times New Roman"/>
          <w:noProof/>
          <w:color w:val="222222"/>
          <w:sz w:val="24"/>
          <w:szCs w:val="24"/>
        </w:rPr>
        <w:lastRenderedPageBreak/>
        <w:t xml:space="preserve">The Council conclusions on the external dimension of the CFP (19 March 2012) call for the Commission (pursuant to Article 31(10) of the CFP Regulation) to carry out </w:t>
      </w:r>
      <w:r>
        <w:rPr>
          <w:rFonts w:ascii="Times New Roman" w:eastAsia="Times New Roman" w:hAnsi="Times New Roman" w:cs="Times New Roman"/>
          <w:i/>
          <w:noProof/>
          <w:color w:val="222222"/>
          <w:sz w:val="24"/>
          <w:szCs w:val="24"/>
        </w:rPr>
        <w:t>ex post</w:t>
      </w:r>
      <w:r>
        <w:rPr>
          <w:rFonts w:ascii="Times New Roman" w:eastAsia="Times New Roman" w:hAnsi="Times New Roman" w:cs="Times New Roman"/>
          <w:noProof/>
          <w:color w:val="222222"/>
          <w:sz w:val="24"/>
          <w:szCs w:val="24"/>
        </w:rPr>
        <w:t xml:space="preserve"> and </w:t>
      </w:r>
      <w:r>
        <w:rPr>
          <w:rFonts w:ascii="Times New Roman" w:eastAsia="Times New Roman" w:hAnsi="Times New Roman" w:cs="Times New Roman"/>
          <w:i/>
          <w:noProof/>
          <w:color w:val="222222"/>
          <w:sz w:val="24"/>
          <w:szCs w:val="24"/>
        </w:rPr>
        <w:t>ex ante</w:t>
      </w:r>
      <w:r>
        <w:rPr>
          <w:rFonts w:ascii="Times New Roman" w:eastAsia="Times New Roman" w:hAnsi="Times New Roman" w:cs="Times New Roman"/>
          <w:noProof/>
          <w:color w:val="222222"/>
          <w:sz w:val="24"/>
          <w:szCs w:val="24"/>
        </w:rPr>
        <w:t xml:space="preserve"> evaluations before negotiating a new protocol to a sustainable fisheries partnership agreement (SFPA)</w:t>
      </w:r>
      <w:r>
        <w:rPr>
          <w:rStyle w:val="FootnoteReference"/>
          <w:noProof/>
        </w:rPr>
        <w:footnoteReference w:id="1"/>
      </w:r>
      <w:r>
        <w:rPr>
          <w:rFonts w:ascii="Times New Roman" w:eastAsia="Times New Roman" w:hAnsi="Times New Roman" w:cs="Times New Roman"/>
          <w:noProof/>
          <w:color w:val="222222"/>
          <w:sz w:val="24"/>
          <w:szCs w:val="24"/>
        </w:rPr>
        <w:t xml:space="preserve">. The aim </w:t>
      </w:r>
      <w:r>
        <w:rPr>
          <w:rFonts w:ascii="Times New Roman" w:eastAsia="Times New Roman" w:hAnsi="Times New Roman" w:cs="Times New Roman"/>
          <w:noProof/>
          <w:sz w:val="24"/>
          <w:szCs w:val="24"/>
        </w:rPr>
        <w:t>is to inform decision</w:t>
      </w:r>
      <w:r>
        <w:rPr>
          <w:rFonts w:ascii="Times New Roman" w:eastAsia="Times New Roman" w:hAnsi="Times New Roman" w:cs="Times New Roman"/>
          <w:noProof/>
          <w:sz w:val="24"/>
          <w:szCs w:val="24"/>
        </w:rPr>
        <w:noBreakHyphen/>
        <w:t>makers before the Council adopts negotiation directives. T</w:t>
      </w:r>
      <w:r>
        <w:rPr>
          <w:rFonts w:ascii="Times New Roman" w:hAnsi="Times New Roman" w:cs="Times New Roman"/>
          <w:noProof/>
          <w:sz w:val="24"/>
          <w:szCs w:val="24"/>
        </w:rPr>
        <w:t>he fishing opportunities negotiated under SFPAs are in line with the best available scientific advice and there is no negative impact on fish stocks or competition with local artisanal or small</w:t>
      </w:r>
      <w:r>
        <w:rPr>
          <w:rFonts w:ascii="Times New Roman" w:hAnsi="Times New Roman" w:cs="Times New Roman"/>
          <w:noProof/>
          <w:sz w:val="24"/>
          <w:szCs w:val="24"/>
        </w:rPr>
        <w:noBreakHyphen/>
        <w:t>scale operators.</w:t>
      </w:r>
    </w:p>
    <w:p>
      <w:pPr>
        <w:spacing w:after="24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The current EU</w:t>
      </w:r>
      <w:r>
        <w:rPr>
          <w:rFonts w:ascii="Times New Roman" w:eastAsia="Calibri" w:hAnsi="Times New Roman" w:cs="Times New Roman"/>
          <w:noProof/>
          <w:sz w:val="24"/>
          <w:szCs w:val="24"/>
        </w:rPr>
        <w:noBreakHyphen/>
        <w:t>Greenland protocol (which expires on 31 December 2020 and thus has to be renegotiated) allows the EU fleet to fish in Greenlandic waters for cod, pelagic and demersal redfish, Greenland halibut, shrimp, grenadier and capelin, for indicative annual fishing opportunities of 42 726 tonnes. In addition to fees paid by the EU fleet, the EU pays Greenland annual financial compensation of EUR 13 168 978 from the EU budget as annual compensation (calculated on the basis of reference prices for each species), including a financial reserve of EUR 1 700 000 for potential additional quantities. The EU budget also provides for an amount of EUR 2 931 999 to support Greenland’s sectoral fisheries policy.</w:t>
      </w:r>
    </w:p>
    <w:p>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accordance with the ‘better regulation’ guidelines, the staff working document and executive summary present the results of an </w:t>
      </w:r>
      <w:r>
        <w:rPr>
          <w:rFonts w:ascii="Times New Roman" w:hAnsi="Times New Roman" w:cs="Times New Roman"/>
          <w:i/>
          <w:noProof/>
          <w:sz w:val="24"/>
          <w:szCs w:val="24"/>
        </w:rPr>
        <w:t>ex post</w:t>
      </w:r>
      <w:r>
        <w:rPr>
          <w:rFonts w:ascii="Times New Roman" w:hAnsi="Times New Roman" w:cs="Times New Roman"/>
          <w:noProof/>
          <w:sz w:val="24"/>
          <w:szCs w:val="24"/>
        </w:rPr>
        <w:t xml:space="preserve"> evaluation study by an independent contractor and an </w:t>
      </w:r>
      <w:r>
        <w:rPr>
          <w:rFonts w:ascii="Times New Roman" w:hAnsi="Times New Roman" w:cs="Times New Roman"/>
          <w:i/>
          <w:noProof/>
          <w:sz w:val="24"/>
          <w:szCs w:val="24"/>
        </w:rPr>
        <w:t>ex ante</w:t>
      </w:r>
      <w:r>
        <w:rPr>
          <w:rFonts w:ascii="Times New Roman" w:hAnsi="Times New Roman" w:cs="Times New Roman"/>
          <w:noProof/>
          <w:sz w:val="24"/>
          <w:szCs w:val="24"/>
        </w:rPr>
        <w:t xml:space="preserve"> study in view of the possible renewal of the agreement and protocol.</w:t>
      </w:r>
    </w:p>
    <w:p>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contractor fully addressed the evaluation questions and provided the Commission with concrete, reliable and credible results. It drew conclusions based on objective analysis and made specific and relevant recommendations for future negotiations. Consultations were held with all stakeholders involved. </w:t>
      </w:r>
    </w:p>
    <w:p>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protocol can be broadly described as a win-win arrangement, in that it addresses the identified needs of the various stakeholders. Renewal of the agreement and the protocol (at the end of its implementation period, i.e. 31 December 2020) emerges clearly as the preferred option. No other option, including that of not renewing the protocol, would bring the same benefits. The future agreement should take the form of a reviewed and updated SFPA. The future protocol should be based on a similar technical and financial approach, with some technical adaptations to improve the conditions for implementing its access and sectoral support components. </w:t>
      </w:r>
    </w:p>
    <w:p>
      <w:pPr>
        <w:spacing w:after="240" w:line="240" w:lineRule="auto"/>
        <w:jc w:val="both"/>
        <w:rPr>
          <w:rFonts w:ascii="Times New Roman" w:hAnsi="Times New Roman" w:cs="Times New Roman"/>
          <w:noProof/>
          <w:sz w:val="24"/>
          <w:szCs w:val="24"/>
        </w:rPr>
      </w:pPr>
    </w:p>
    <w:sectPr>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sz w:val="20"/>
        <w:szCs w:val="20"/>
      </w:rPr>
      <w:t>1</w:t>
    </w:r>
    <w:r>
      <w:tab/>
    </w:r>
    <w:r>
      <w:rPr>
        <w:rFonts w:ascii="Arial" w:hAnsi="Arial" w:cs="Arial"/>
        <w:b/>
        <w:sz w:val="48"/>
      </w:rPr>
      <w:t>EN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284" w:hanging="284"/>
        <w:jc w:val="both"/>
        <w:rPr>
          <w:rFonts w:ascii="Times New Roman" w:hAnsi="Times New Roman" w:cs="Times New Roman"/>
          <w:lang w:val="en-GB"/>
        </w:rPr>
      </w:pPr>
      <w:r>
        <w:rPr>
          <w:rFonts w:ascii="Times New Roman" w:hAnsi="Times New Roman" w:cs="Times New Roman"/>
          <w:vertAlign w:val="superscript"/>
          <w:lang w:val="en-GB"/>
        </w:rPr>
        <w:footnoteRef/>
      </w:r>
      <w:r>
        <w:rPr>
          <w:rFonts w:ascii="Times New Roman" w:hAnsi="Times New Roman" w:cs="Times New Roman"/>
          <w:lang w:val="en-GB"/>
        </w:rPr>
        <w:tab/>
        <w:t>Doc. 7086/12 PECHE 66.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revisionView w:markup="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
    <w:docVar w:name="LW_CORRIGENDUM" w:val="&lt;UNUSED&gt;"/>
    <w:docVar w:name="LW_COVERPAGE_EXISTS" w:val="True"/>
    <w:docVar w:name="LW_COVERPAGE_GUID" w:val="01FA80DA-F6A1-42BD-AFEF-24FBAFBD319A"/>
    <w:docVar w:name="LW_COVERPAGE_TYPE" w:val="1"/>
    <w:docVar w:name="LW_CROSSREFERENCE" w:val="{COM(2019) 491 final} - {SWD(2019) 386 final}"/>
    <w:docVar w:name="LW_DocType" w:val="NORMAL"/>
    <w:docVar w:name="LW_EMISSION" w:val="23.10.2019"/>
    <w:docVar w:name="LW_EMISSION_ISODATE" w:val="2019-10-23"/>
    <w:docVar w:name="LW_EMISSION_LOCATION" w:val="BRX"/>
    <w:docVar w:name="LW_EMISSION_PREFIX" w:val="Brussels, "/>
    <w:docVar w:name="LW_EMISSION_SUFFIX" w:val=" "/>
    <w:docVar w:name="LW_ID_DOCTYPE_NONLW" w:val="CP-025"/>
    <w:docVar w:name="LW_LANGUE" w:val="EN"/>
    <w:docVar w:name="LW_LEVEL_OF_SENSITIVITY" w:val="Standard treatment"/>
    <w:docVar w:name="LW_NOM.INST" w:val="EUROPEAN COMMISSION"/>
    <w:docVar w:name="LW_NOM.INST_JOINTDOC" w:val="&lt;EMPTY&gt;"/>
    <w:docVar w:name="LW_OBJETACTEPRINCIPAL.CP" w:val="&lt;UNUSED&gt;"/>
    <w:docVar w:name="LW_PART_NBR" w:val="1"/>
    <w:docVar w:name="LW_PART_NBR_TOTAL" w:val="1"/>
    <w:docVar w:name="LW_REF.INST.NEW" w:val="SWD"/>
    <w:docVar w:name="LW_REF.INST.NEW_ADOPTED" w:val="final"/>
    <w:docVar w:name="LW_REF.INST.NEW_TEXT" w:val="(2019) 38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XECUTIVE SUMMARY "/>
    <w:docVar w:name="LW_TYPE.DOC.CP" w:val="COMMISSION STAFF WORKING DOCUMENT"/>
    <w:docVar w:name="LW_TYPEACTEPRINCIPAL.CP" w:val="Recommendation for a Council Decision authorising the opening of negotiations on behalf of the European Union for the conclusion of a Sustainable Ficheries Partnership Agreement and a Protocol with the Government of Denmark and the Home Rule Government of Greenland_x000b__x000b_"/>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lang w:val="en-GB"/>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lang w:val="en-GB"/>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styleId="FootnoteText">
    <w:name w:val="footnote text"/>
    <w:basedOn w:val="Normal"/>
    <w:unhideWhenUsed/>
    <w:qFormat/>
    <w:pPr>
      <w:spacing w:after="0" w:line="240" w:lineRule="auto"/>
    </w:pPr>
    <w:rPr>
      <w:sz w:val="20"/>
      <w:szCs w:val="20"/>
      <w:lang w:val="fr-FR"/>
    </w:rPr>
  </w:style>
  <w:style w:type="character" w:customStyle="1" w:styleId="FootnoteTextChar">
    <w:name w:val="Footnote Text Char"/>
    <w:aliases w:val="FOOTNOTES Char,fn Char,single space Char,ALTS FOOTNOTE Char,BRS FOOTNOTE TEXT Char,Footnotes Char,Footnote ak Char,Footnote Text1 Char,Footnote Text Char2 Char Char,Footnote Text Char1 Char Char Char,footnote text Char"/>
    <w:basedOn w:val="DefaultParagraphFont"/>
    <w:rPr>
      <w:sz w:val="20"/>
      <w:szCs w:val="20"/>
      <w:lang w:val="fr-FR"/>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character" w:styleId="FootnoteReference">
    <w:name w:val="footnote reference"/>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lang w:val="en-GB"/>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lang w:val="en-GB"/>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styleId="FootnoteText">
    <w:name w:val="footnote text"/>
    <w:basedOn w:val="Normal"/>
    <w:unhideWhenUsed/>
    <w:qFormat/>
    <w:pPr>
      <w:spacing w:after="0" w:line="240" w:lineRule="auto"/>
    </w:pPr>
    <w:rPr>
      <w:sz w:val="20"/>
      <w:szCs w:val="20"/>
      <w:lang w:val="fr-FR"/>
    </w:rPr>
  </w:style>
  <w:style w:type="character" w:customStyle="1" w:styleId="FootnoteTextChar">
    <w:name w:val="Footnote Text Char"/>
    <w:aliases w:val="FOOTNOTES Char,fn Char,single space Char,ALTS FOOTNOTE Char,BRS FOOTNOTE TEXT Char,Footnotes Char,Footnote ak Char,Footnote Text1 Char,Footnote Text Char2 Char Char,Footnote Text Char1 Char Char Char,footnote text Char"/>
    <w:basedOn w:val="DefaultParagraphFont"/>
    <w:rPr>
      <w:sz w:val="20"/>
      <w:szCs w:val="20"/>
      <w:lang w:val="fr-FR"/>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character" w:styleId="FootnoteReference">
    <w:name w:val="footnote reference"/>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5.xml"/><Relationship Id="rId2" Type="http://schemas.microsoft.com/office/2007/relationships/stylesWithEffects" Target="stylesWithEffect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2142</Characters>
  <Application>Microsoft Office Word</Application>
  <DocSecurity>0</DocSecurity>
  <Lines>32</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15</cp:revision>
  <dcterms:created xsi:type="dcterms:W3CDTF">2019-10-08T09:35:00Z</dcterms:created>
  <dcterms:modified xsi:type="dcterms:W3CDTF">2019-10-23T08:32:00Z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 Build 20190717</vt:lpwstr>
  </property>
  <property fmtid="{D5CDD505-2E9C-101B-9397-08002B2CF9AE}" pid="7" name="Created using">
    <vt:lpwstr>LW 6.0.1, Build 20180503</vt:lpwstr>
  </property>
  <property fmtid="{D5CDD505-2E9C-101B-9397-08002B2CF9AE}" pid="8" name="CPTemplateID">
    <vt:lpwstr>CP-025</vt:lpwstr>
  </property>
</Properties>
</file>