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E11EF75F-8A28-4BB9-8D91-B8CAC5E259BC"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pStyle w:val="Titrearticle"/>
        <w:spacing w:before="0" w:after="240"/>
        <w:jc w:val="both"/>
        <w:rPr>
          <w:b/>
          <w:i w:val="0"/>
          <w:noProof/>
          <w:lang w:val="mt-MT"/>
        </w:rPr>
      </w:pPr>
      <w:r>
        <w:rPr>
          <w:b/>
          <w:i w:val="0"/>
          <w:noProof/>
          <w:lang w:val="mt-MT"/>
        </w:rPr>
        <w:t>Directives for the negotiation of a Sustainable Fisheries Partnership Agreement and Protocol between the European Union and  the Government of Denmark and the Home Rule Government of Greenland</w:t>
      </w:r>
    </w:p>
    <w:p>
      <w:pPr>
        <w:pStyle w:val="Point0number"/>
        <w:numPr>
          <w:ilvl w:val="0"/>
          <w:numId w:val="11"/>
        </w:numPr>
        <w:rPr>
          <w:noProof/>
          <w:lang w:val="mt-MT"/>
        </w:rPr>
      </w:pPr>
      <w:r>
        <w:rPr>
          <w:noProof/>
          <w:lang w:val="mt-MT"/>
        </w:rPr>
        <w:t>The objective of the negotiations is the conclusion of a Sustainable Fisheries</w:t>
      </w:r>
      <w:r>
        <w:rPr>
          <w:noProof/>
        </w:rPr>
        <w:t xml:space="preserve"> </w:t>
      </w:r>
      <w:r>
        <w:rPr>
          <w:noProof/>
          <w:lang w:val="mt-MT"/>
        </w:rPr>
        <w:t>P</w:t>
      </w:r>
      <w:r>
        <w:rPr>
          <w:noProof/>
        </w:rPr>
        <w:t xml:space="preserve">artnership </w:t>
      </w:r>
      <w:r>
        <w:rPr>
          <w:noProof/>
          <w:lang w:val="mt-MT"/>
        </w:rPr>
        <w:t>A</w:t>
      </w:r>
      <w:r>
        <w:rPr>
          <w:noProof/>
        </w:rPr>
        <w:t xml:space="preserve">greement (SFPA) and </w:t>
      </w:r>
      <w:r>
        <w:rPr>
          <w:noProof/>
          <w:lang w:val="mt-MT"/>
        </w:rPr>
        <w:t>P</w:t>
      </w:r>
      <w:r>
        <w:rPr>
          <w:noProof/>
        </w:rPr>
        <w:t xml:space="preserve">rotocol between the </w:t>
      </w:r>
      <w:r>
        <w:rPr>
          <w:noProof/>
          <w:lang w:val="mt-MT"/>
        </w:rPr>
        <w:t xml:space="preserve">EU and </w:t>
      </w:r>
      <w:r>
        <w:rPr>
          <w:noProof/>
        </w:rPr>
        <w:t xml:space="preserve">Greenland in line with Regulation (EU) No 1380/2013 and the Council </w:t>
      </w:r>
      <w:r>
        <w:rPr>
          <w:noProof/>
          <w:lang w:val="mt-MT"/>
        </w:rPr>
        <w:t>C</w:t>
      </w:r>
      <w:r>
        <w:rPr>
          <w:noProof/>
        </w:rPr>
        <w:t>onclusions of 19 March 2012</w:t>
      </w:r>
      <w:r>
        <w:rPr>
          <w:noProof/>
          <w:lang w:val="mt-MT"/>
        </w:rPr>
        <w:t xml:space="preserve"> on a Communication from the Commission on the external dimension of the Common Fisheries Policy.</w:t>
      </w:r>
    </w:p>
    <w:p>
      <w:pPr>
        <w:pStyle w:val="Point0number"/>
        <w:rPr>
          <w:noProof/>
        </w:rPr>
      </w:pPr>
      <w:r>
        <w:rPr>
          <w:noProof/>
        </w:rPr>
        <w:t xml:space="preserve">The SFPA should lay down the framework, general principles and objectives that will form the basis of the </w:t>
      </w:r>
      <w:r>
        <w:rPr>
          <w:noProof/>
          <w:lang w:val="mt-MT"/>
        </w:rPr>
        <w:t xml:space="preserve">new </w:t>
      </w:r>
      <w:r>
        <w:rPr>
          <w:noProof/>
        </w:rPr>
        <w:t xml:space="preserve">partnership with Greenland. It should </w:t>
      </w:r>
      <w:r>
        <w:rPr>
          <w:noProof/>
          <w:lang w:val="mt-MT"/>
        </w:rPr>
        <w:t xml:space="preserve">therefore </w:t>
      </w:r>
      <w:r>
        <w:rPr>
          <w:noProof/>
        </w:rPr>
        <w:t>contain a clause repealing the current fisheries partnership agreement between the parties.</w:t>
      </w:r>
      <w:r>
        <w:rPr>
          <w:noProof/>
          <w:lang w:val="mt-MT"/>
        </w:rPr>
        <w:t xml:space="preserve"> </w:t>
      </w:r>
    </w:p>
    <w:p>
      <w:pPr>
        <w:pStyle w:val="Point0number"/>
        <w:rPr>
          <w:noProof/>
        </w:rPr>
      </w:pPr>
      <w:r>
        <w:rPr>
          <w:noProof/>
        </w:rPr>
        <w:t>The</w:t>
      </w:r>
      <w:r>
        <w:rPr>
          <w:noProof/>
          <w:lang w:val="mt-MT"/>
        </w:rPr>
        <w:t xml:space="preserve"> new partnership should </w:t>
      </w:r>
      <w:r>
        <w:rPr>
          <w:noProof/>
        </w:rPr>
        <w:t>promote sustainable and responsible fishing while ensuring mutual benefits for the EU and Greenland</w:t>
      </w:r>
      <w:r>
        <w:rPr>
          <w:noProof/>
          <w:lang w:val="mt-MT"/>
        </w:rPr>
        <w:t>.  In particular,</w:t>
      </w:r>
      <w:r>
        <w:rPr>
          <w:noProof/>
        </w:rPr>
        <w:t xml:space="preserve"> </w:t>
      </w:r>
      <w:r>
        <w:rPr>
          <w:noProof/>
          <w:lang w:val="mt-MT"/>
        </w:rPr>
        <w:t>i</w:t>
      </w:r>
      <w:r>
        <w:rPr>
          <w:noProof/>
        </w:rPr>
        <w:t>n the course of the negot</w:t>
      </w:r>
      <w:r>
        <w:rPr>
          <w:noProof/>
          <w:lang w:val="mt-MT"/>
        </w:rPr>
        <w:t>i</w:t>
      </w:r>
      <w:r>
        <w:rPr>
          <w:noProof/>
        </w:rPr>
        <w:t>ations</w:t>
      </w:r>
      <w:r>
        <w:rPr>
          <w:noProof/>
          <w:lang w:val="mt-MT"/>
        </w:rPr>
        <w:t>,</w:t>
      </w:r>
      <w:r>
        <w:rPr>
          <w:noProof/>
        </w:rPr>
        <w:t xml:space="preserve"> the Commission should aim to achieve the objectives set out in detail below</w:t>
      </w:r>
      <w:r>
        <w:rPr>
          <w:noProof/>
          <w:lang w:val="mt-MT"/>
        </w:rPr>
        <w:t>:</w:t>
      </w:r>
    </w:p>
    <w:p>
      <w:pPr>
        <w:pStyle w:val="Bullet1"/>
        <w:numPr>
          <w:ilvl w:val="0"/>
          <w:numId w:val="1"/>
        </w:numPr>
        <w:spacing w:before="0"/>
        <w:ind w:left="1418"/>
        <w:rPr>
          <w:noProof/>
        </w:rPr>
      </w:pPr>
      <w:r>
        <w:rPr>
          <w:noProof/>
        </w:rPr>
        <w:t xml:space="preserve">ensuring access to Greenland’s fishing zone and the necessary authorisations for  the EU fishing fleet to fish in that zone ;  </w:t>
      </w:r>
    </w:p>
    <w:p>
      <w:pPr>
        <w:pStyle w:val="Bullet1"/>
        <w:rPr>
          <w:noProof/>
          <w:sz w:val="22"/>
        </w:rPr>
      </w:pPr>
      <w:r>
        <w:rPr>
          <w:noProof/>
        </w:rPr>
        <w:t>ensuring the environmental sustainability of fishing activities and promoting ocean governance at the international level, whilst taking into account the best available scientific advice and relevant management plans adopted by Regional Fisheries Management Organisations (RFMOs). Fishing activities should target only available resources, taking into account  the local fleet’s fishing capacity and paying special attention to the highly migratory nature of the stocks concerned;</w:t>
      </w:r>
    </w:p>
    <w:p>
      <w:pPr>
        <w:pStyle w:val="Bullet1"/>
        <w:spacing w:before="0"/>
        <w:ind w:left="1418"/>
        <w:rPr>
          <w:noProof/>
        </w:rPr>
      </w:pPr>
      <w:r>
        <w:rPr>
          <w:noProof/>
        </w:rPr>
        <w:t>seeking an appropriate share of surplus fisheries resources fully commensurate with the interests of the EU fleet, where these resources are also of interest to third country  fleets;</w:t>
      </w:r>
    </w:p>
    <w:p>
      <w:pPr>
        <w:pStyle w:val="Bullet1"/>
        <w:rPr>
          <w:noProof/>
        </w:rPr>
      </w:pPr>
      <w:r>
        <w:rPr>
          <w:noProof/>
        </w:rPr>
        <w:t xml:space="preserve">applying the same technical conditions to all third country fleets, taking into account the possible transfer to other Nordic countries of part of the agreed EU quotas; </w:t>
      </w:r>
    </w:p>
    <w:p>
      <w:pPr>
        <w:pStyle w:val="Bullet1"/>
        <w:spacing w:before="0"/>
        <w:ind w:left="1418"/>
        <w:rPr>
          <w:noProof/>
        </w:rPr>
      </w:pPr>
      <w:r>
        <w:rPr>
          <w:noProof/>
        </w:rPr>
        <w:t>ensuring that the EU’s financial contribution for access to fisheries is based on the historical and expected future activity of the EU fleet in the region, in the light of the best and most up</w:t>
      </w:r>
      <w:r>
        <w:rPr>
          <w:noProof/>
        </w:rPr>
        <w:noBreakHyphen/>
        <w:t>to</w:t>
      </w:r>
      <w:r>
        <w:rPr>
          <w:noProof/>
        </w:rPr>
        <w:noBreakHyphen/>
        <w:t>date scientific assessments;</w:t>
      </w:r>
    </w:p>
    <w:p>
      <w:pPr>
        <w:pStyle w:val="Bullet1"/>
        <w:spacing w:before="0"/>
        <w:ind w:left="1418"/>
        <w:rPr>
          <w:noProof/>
        </w:rPr>
      </w:pPr>
      <w:r>
        <w:rPr>
          <w:noProof/>
        </w:rPr>
        <w:t>establishing a dialogue to reinforce implementation of a responsible fisheries policy by Greenland, linked to its development objectives, in particular as regards fisheries governance, the fight against illegal, unreported and unregulated fishing, the control, monitoring and surveillance of fishing activities and the provision of scientific advice;</w:t>
      </w:r>
    </w:p>
    <w:p>
      <w:pPr>
        <w:pStyle w:val="Bullet1"/>
        <w:rPr>
          <w:noProof/>
        </w:rPr>
      </w:pPr>
      <w:r>
        <w:rPr>
          <w:noProof/>
        </w:rPr>
        <w:t xml:space="preserve">including a clause on the consequences of violating human rights and democratic principles. </w:t>
      </w:r>
    </w:p>
    <w:p>
      <w:pPr>
        <w:pStyle w:val="Bullet1"/>
        <w:rPr>
          <w:noProof/>
        </w:rPr>
      </w:pPr>
      <w:r>
        <w:rPr>
          <w:noProof/>
        </w:rPr>
        <w:t>ensuring that the Protocol will contribute to the promotion of growth and decent work linked to maritime activity, taking into account relevant International Labour Organisation (ILO) conventions.</w:t>
      </w:r>
    </w:p>
    <w:p>
      <w:pPr>
        <w:pStyle w:val="Point0number"/>
        <w:rPr>
          <w:noProof/>
        </w:rPr>
      </w:pPr>
      <w:r>
        <w:rPr>
          <w:noProof/>
        </w:rPr>
        <w:t>In particular, the protocol should lay down:</w:t>
      </w:r>
    </w:p>
    <w:p>
      <w:pPr>
        <w:pStyle w:val="Bullet1"/>
        <w:spacing w:before="0"/>
        <w:rPr>
          <w:noProof/>
        </w:rPr>
      </w:pPr>
      <w:r>
        <w:rPr>
          <w:noProof/>
        </w:rPr>
        <w:t>the fishing opportunities, by category, to be granted to the EU fleet;</w:t>
      </w:r>
    </w:p>
    <w:p>
      <w:pPr>
        <w:pStyle w:val="Bullet1"/>
        <w:spacing w:before="0"/>
        <w:rPr>
          <w:noProof/>
        </w:rPr>
      </w:pPr>
      <w:r>
        <w:rPr>
          <w:noProof/>
        </w:rPr>
        <w:t>the financial compensation  established for Greenland and the relevant payment conditions; and</w:t>
      </w:r>
    </w:p>
    <w:p>
      <w:pPr>
        <w:pStyle w:val="Bullet1"/>
        <w:spacing w:before="0" w:after="240"/>
        <w:rPr>
          <w:noProof/>
        </w:rPr>
      </w:pPr>
      <w:r>
        <w:rPr>
          <w:noProof/>
        </w:rPr>
        <w:t>the amount to be paid in sectoral support and the mechanisms for implementing it.</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FE2098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87EDB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C3A5E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8CB58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240CA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C5AF3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CAB4E0"/>
    <w:lvl w:ilvl="0">
      <w:start w:val="1"/>
      <w:numFmt w:val="decimal"/>
      <w:pStyle w:val="ListNumber"/>
      <w:lvlText w:val="%1."/>
      <w:lvlJc w:val="left"/>
      <w:pPr>
        <w:tabs>
          <w:tab w:val="num" w:pos="360"/>
        </w:tabs>
        <w:ind w:left="360" w:hanging="360"/>
      </w:pPr>
    </w:lvl>
  </w:abstractNum>
  <w:abstractNum w:abstractNumId="7">
    <w:nsid w:val="FFFFFF89"/>
    <w:multiLevelType w:val="singleLevel"/>
    <w:tmpl w:val="C33E97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2"/>
  </w:num>
  <w:num w:numId="14">
    <w:abstractNumId w:val="21"/>
  </w:num>
  <w:num w:numId="15">
    <w:abstractNumId w:val="11"/>
  </w:num>
  <w:num w:numId="16">
    <w:abstractNumId w:val="13"/>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 w:numId="26">
    <w:abstractNumId w:val="19"/>
  </w:num>
  <w:num w:numId="27">
    <w:abstractNumId w:val="12"/>
  </w:num>
  <w:num w:numId="28">
    <w:abstractNumId w:val="21"/>
  </w:num>
  <w:num w:numId="29">
    <w:abstractNumId w:val="11"/>
  </w:num>
  <w:num w:numId="30">
    <w:abstractNumId w:val="13"/>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3 10:34:0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0"/>
    <w:docVar w:name="LW_CORRIGENDUM" w:val="&lt;UNUSED&gt;"/>
    <w:docVar w:name="LW_COVERPAGE_EXISTS" w:val="True"/>
    <w:docVar w:name="LW_COVERPAGE_GUID" w:val="E11EF75F-8A28-4BB9-8D91-B8CAC5E259BC"/>
    <w:docVar w:name="LW_COVERPAGE_TYPE" w:val="1"/>
    <w:docVar w:name="LW_CROSSREFERENCE" w:val="{SWD(2019) 385 final} - {SWD(2019) 386 final}"/>
    <w:docVar w:name="LW_DocType" w:val="ANNEX"/>
    <w:docVar w:name="LW_EMISSION" w:val="23.10.2019"/>
    <w:docVar w:name="LW_EMISSION_ISODATE" w:val="2019-10-23"/>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for a COUNCIL DECISION authorising the opening of negotiations on behalf of the European Union for the conclusion of  a Sustainable Ficheries Partnership Agreement and a Protocol with the Government of Denmark and the Home Rule Government of Greenland"/>
    <w:docVar w:name="LW_OBJETACTEPRINCIPAL.CP" w:val="for a COUNCIL DECISION authorising the opening of negotiations on behalf of the European Union for the conclusion of  a Sustainable Ficheries Partnership Agreement and a Protocol with the Government of Denmark and the Home Rule Government of Greenland"/>
    <w:docVar w:name="LW_PART_NBR" w:val="1"/>
    <w:docVar w:name="LW_PART_NBR_TOTAL" w:val="1"/>
    <w:docVar w:name="LW_REF.INST.NEW" w:val="COM"/>
    <w:docVar w:name="LW_REF.INST.NEW_ADOPTED" w:val="final"/>
    <w:docVar w:name="LW_REF.INST.NEW_TEXT" w:val="(2019) 4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Recommendation "/>
    <w:docVar w:name="LW_TYPEACTEPRINCIPAL.CP" w:val="Recommendation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Dash2">
    <w:name w:val="Dash 2"/>
    <w:basedOn w:val="Normal"/>
    <w:pPr>
      <w:numPr>
        <w:numId w:val="10"/>
      </w:numPr>
      <w:spacing w:line="360" w:lineRule="auto"/>
      <w:jc w:val="left"/>
      <w:outlineLvl w:val="1"/>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Dash2">
    <w:name w:val="Dash 2"/>
    <w:basedOn w:val="Normal"/>
    <w:pPr>
      <w:numPr>
        <w:numId w:val="10"/>
      </w:numPr>
      <w:spacing w:line="360" w:lineRule="auto"/>
      <w:jc w:val="left"/>
      <w:outlineLvl w:val="1"/>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BE1F6-8F65-4C81-A03D-4B53E39A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Pages>
  <Words>466</Words>
  <Characters>2701</Characters>
  <Application>Microsoft Office Word</Application>
  <DocSecurity>0</DocSecurity>
  <Lines>51</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DEBIEUVRE Marie (MARE)</dc:creator>
  <cp:keywords/>
  <dc:description/>
  <cp:lastModifiedBy>DIGIT/C6</cp:lastModifiedBy>
  <cp:revision>10</cp:revision>
  <cp:lastPrinted>2019-05-20T12:37:00Z</cp:lastPrinted>
  <dcterms:created xsi:type="dcterms:W3CDTF">2019-10-14T15:04:00Z</dcterms:created>
  <dcterms:modified xsi:type="dcterms:W3CDTF">2019-10-23T08:34:00Z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20141001</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0</vt:lpwstr>
  </property>
  <property fmtid="{D5CDD505-2E9C-101B-9397-08002B2CF9AE}" pid="13" name="DQCStatus">
    <vt:lpwstr>Green (DQC version 03)</vt:lpwstr>
  </property>
</Properties>
</file>