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D88BC61-ED86-44EF-B717-501B4F6616F6" style="width:450.75pt;height:351.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Subject matter of the proposal</w:t>
      </w:r>
    </w:p>
    <w:p>
      <w:pPr>
        <w:rPr>
          <w:rFonts w:eastAsia="Arial Unicode MS"/>
          <w:noProof/>
        </w:rPr>
      </w:pPr>
      <w:r>
        <w:rPr>
          <w:rFonts w:eastAsia="Arial Unicode MS"/>
          <w:noProof/>
        </w:rPr>
        <w:t>This proposal concerns the decision establishing the position to be taken on the Union’s behalf in the Executive Body of the Convention on Long-Range Transboundary Air Pollution (the Air Convention) in connection with the decision on proposed amendments of Article 3bis and Annex VII to the Air Convention Protocol to Abate Acidification, Eutrophication and Ground-level Ozone (as amended 2012).</w:t>
      </w:r>
    </w:p>
    <w:p>
      <w:pPr>
        <w:pStyle w:val="ManualHeading1"/>
        <w:rPr>
          <w:noProof/>
        </w:rPr>
      </w:pPr>
      <w:r>
        <w:t>2.</w:t>
      </w:r>
      <w:r>
        <w:tab/>
      </w:r>
      <w:r>
        <w:rPr>
          <w:noProof/>
        </w:rPr>
        <w:t>Context of the proposal</w:t>
      </w:r>
    </w:p>
    <w:p>
      <w:pPr>
        <w:pStyle w:val="ManualHeading2"/>
        <w:rPr>
          <w:noProof/>
        </w:rPr>
      </w:pPr>
      <w:r>
        <w:t>2.1.</w:t>
      </w:r>
      <w:r>
        <w:tab/>
      </w:r>
      <w:r>
        <w:rPr>
          <w:noProof/>
        </w:rPr>
        <w:t>The Air Convention and its Protocol to Abate Acidification, Eutrophication and Ground-level Ozone (as amended 2012)</w:t>
      </w:r>
    </w:p>
    <w:p>
      <w:pPr>
        <w:spacing w:before="60" w:after="60"/>
        <w:rPr>
          <w:noProof/>
          <w:szCs w:val="24"/>
        </w:rPr>
      </w:pPr>
      <w:r>
        <w:rPr>
          <w:rFonts w:eastAsia="Arial Unicode MS"/>
          <w:noProof/>
        </w:rPr>
        <w:t xml:space="preserve">The </w:t>
      </w:r>
      <w:r>
        <w:rPr>
          <w:noProof/>
          <w:szCs w:val="24"/>
        </w:rPr>
        <w:t>UNECE Convention on Long-Range Transboundary Air Pollution (the ‘Air Convention’), adopted in 1979, is the most advanced regional environmental agreement addressing clean air policy.</w:t>
      </w:r>
    </w:p>
    <w:p>
      <w:pPr>
        <w:spacing w:before="60" w:after="60"/>
        <w:rPr>
          <w:noProof/>
          <w:szCs w:val="24"/>
        </w:rPr>
      </w:pPr>
      <w:r>
        <w:rPr>
          <w:noProof/>
          <w:szCs w:val="24"/>
        </w:rPr>
        <w:t>Under the Air Convention, the Protocol to Abate Acidification, Eutrophication and Ground-level Ozone (the ‘Gothenburg Protocol’) was agreed in November 1999. It forms the basis for  Directive (EC) 2016/2284</w:t>
      </w:r>
      <w:r>
        <w:rPr>
          <w:rStyle w:val="FootnoteReference"/>
          <w:noProof/>
          <w:szCs w:val="24"/>
        </w:rPr>
        <w:footnoteReference w:id="1"/>
      </w:r>
      <w:r>
        <w:rPr>
          <w:noProof/>
          <w:szCs w:val="24"/>
        </w:rPr>
        <w:t xml:space="preserve"> on the reduction of national emissions of certain atmospheric pollutants that repealed Directive 2001/81/EC</w:t>
      </w:r>
      <w:r>
        <w:rPr>
          <w:rStyle w:val="FootnoteReference"/>
          <w:noProof/>
          <w:szCs w:val="24"/>
        </w:rPr>
        <w:footnoteReference w:id="2"/>
      </w:r>
      <w:r>
        <w:rPr>
          <w:noProof/>
          <w:szCs w:val="24"/>
        </w:rPr>
        <w:t xml:space="preserve"> on national emission ceilings. The Gothenburg Protocol was amended in 2012. The amended version entered into force on 7 October 2019.</w:t>
      </w:r>
    </w:p>
    <w:p>
      <w:pPr>
        <w:rPr>
          <w:rFonts w:eastAsia="Arial Unicode MS"/>
          <w:noProof/>
        </w:rPr>
      </w:pPr>
      <w:r>
        <w:rPr>
          <w:rFonts w:eastAsia="Arial Unicode MS"/>
          <w:noProof/>
        </w:rPr>
        <w:t>The European Union is a Party to the Air Convention</w:t>
      </w:r>
      <w:r>
        <w:rPr>
          <w:rStyle w:val="FootnoteReference"/>
          <w:rFonts w:eastAsia="Arial Unicode MS"/>
          <w:noProof/>
        </w:rPr>
        <w:footnoteReference w:id="3"/>
      </w:r>
      <w:r>
        <w:rPr>
          <w:rFonts w:eastAsia="Arial Unicode MS"/>
          <w:noProof/>
        </w:rPr>
        <w:t xml:space="preserve"> and to the Gothenburg Protocol as amended in 2012</w:t>
      </w:r>
      <w:r>
        <w:rPr>
          <w:rStyle w:val="FootnoteReference"/>
          <w:rFonts w:eastAsia="Arial Unicode MS"/>
          <w:noProof/>
        </w:rPr>
        <w:footnoteReference w:id="4"/>
      </w:r>
      <w:r>
        <w:rPr>
          <w:rFonts w:eastAsia="Arial Unicode MS"/>
          <w:noProof/>
        </w:rPr>
        <w:t>. All Member States are Parties to the Air Convention; 21 Member States are Parties to the Gothenburg Protocol</w:t>
      </w:r>
      <w:r>
        <w:rPr>
          <w:rStyle w:val="FootnoteReference"/>
          <w:rFonts w:eastAsia="Arial Unicode MS"/>
          <w:noProof/>
        </w:rPr>
        <w:footnoteReference w:id="5"/>
      </w:r>
      <w:r>
        <w:rPr>
          <w:rFonts w:eastAsia="Arial Unicode MS"/>
          <w:noProof/>
        </w:rPr>
        <w:t xml:space="preserve"> and 15 Member States have so far accepted the 2012 amendment to the Gothenburg Protocol</w:t>
      </w:r>
      <w:r>
        <w:rPr>
          <w:rStyle w:val="FootnoteReference"/>
          <w:rFonts w:eastAsia="Arial Unicode MS"/>
          <w:noProof/>
        </w:rPr>
        <w:footnoteReference w:id="6"/>
      </w:r>
      <w:r>
        <w:rPr>
          <w:rFonts w:eastAsia="Arial Unicode MS"/>
          <w:noProof/>
        </w:rPr>
        <w:t xml:space="preserve">. </w:t>
      </w:r>
    </w:p>
    <w:p>
      <w:pPr>
        <w:pStyle w:val="ManualHeading2"/>
        <w:rPr>
          <w:noProof/>
        </w:rPr>
      </w:pPr>
      <w:r>
        <w:t>2.2.</w:t>
      </w:r>
      <w:r>
        <w:tab/>
      </w:r>
      <w:r>
        <w:rPr>
          <w:noProof/>
        </w:rPr>
        <w:t>The Executive Body</w:t>
      </w:r>
    </w:p>
    <w:p>
      <w:r>
        <w:rPr>
          <w:rFonts w:eastAsia="Arial Unicode MS"/>
          <w:noProof/>
        </w:rPr>
        <w:t>The Executive Body is the governing body of the Air Convention and is composed of representatives of Parties to the Convention. Pursuant to Article 10 of the Air Convention, the Executive Body shall review the implementation and development of the Air Convention and its Protocols.</w:t>
      </w:r>
      <w:r>
        <w:t xml:space="preserve"> </w:t>
      </w:r>
    </w:p>
    <w:p>
      <w:pPr>
        <w:rPr>
          <w:noProof/>
        </w:rPr>
      </w:pPr>
      <w:r>
        <w:rPr>
          <w:noProof/>
        </w:rPr>
        <w:lastRenderedPageBreak/>
        <w:t>The Executive Body aims to reach its decisions by consensus.</w:t>
      </w:r>
      <w:r>
        <w:rPr>
          <w:rStyle w:val="FootnoteReference"/>
          <w:rFonts w:eastAsia="Arial Unicode MS"/>
          <w:noProof/>
        </w:rPr>
        <w:footnoteReference w:id="7"/>
      </w:r>
    </w:p>
    <w:p>
      <w:pPr>
        <w:rPr>
          <w:noProof/>
        </w:rPr>
      </w:pPr>
      <w:r>
        <w:rPr>
          <w:noProof/>
        </w:rPr>
        <w:t>Amendments to the Gothenburg Protocol shall be adopted by consensus of the Parties present at a session of the Executive Body.</w:t>
      </w:r>
      <w:r>
        <w:rPr>
          <w:rStyle w:val="FootnoteReference"/>
          <w:rFonts w:eastAsia="Arial Unicode MS"/>
          <w:noProof/>
        </w:rPr>
        <w:footnoteReference w:id="8"/>
      </w:r>
    </w:p>
    <w:p>
      <w:pPr>
        <w:pStyle w:val="ManualHeading2"/>
        <w:rPr>
          <w:noProof/>
        </w:rPr>
      </w:pPr>
      <w:r>
        <w:t>2.3.</w:t>
      </w:r>
      <w:r>
        <w:tab/>
      </w:r>
      <w:r>
        <w:rPr>
          <w:noProof/>
        </w:rPr>
        <w:t>The envisaged decision of the Executive Body</w:t>
      </w:r>
    </w:p>
    <w:p>
      <w:pPr>
        <w:rPr>
          <w:rFonts w:eastAsia="Arial Unicode MS"/>
          <w:noProof/>
        </w:rPr>
      </w:pPr>
      <w:r>
        <w:rPr>
          <w:rFonts w:eastAsia="Arial Unicode MS"/>
          <w:noProof/>
        </w:rPr>
        <w:t>On 9-13 December 2019</w:t>
      </w:r>
      <w:r>
        <w:rPr>
          <w:noProof/>
        </w:rPr>
        <w:t xml:space="preserve">, </w:t>
      </w:r>
      <w:r>
        <w:rPr>
          <w:rFonts w:eastAsia="Arial Unicode MS"/>
          <w:noProof/>
        </w:rPr>
        <w:t>during its 39</w:t>
      </w:r>
      <w:r>
        <w:rPr>
          <w:rFonts w:eastAsia="Arial Unicode MS"/>
          <w:noProof/>
          <w:vertAlign w:val="superscript"/>
        </w:rPr>
        <w:t>th</w:t>
      </w:r>
      <w:r>
        <w:rPr>
          <w:rFonts w:eastAsia="Arial Unicode MS"/>
          <w:noProof/>
        </w:rPr>
        <w:t xml:space="preserve"> session, the Executive Body</w:t>
      </w:r>
      <w:r>
        <w:rPr>
          <w:noProof/>
        </w:rPr>
        <w:t xml:space="preserve"> will </w:t>
      </w:r>
      <w:r>
        <w:rPr>
          <w:rFonts w:eastAsia="Arial Unicode MS"/>
          <w:noProof/>
        </w:rPr>
        <w:t>discuss and potentially adopt amendments proposed by the USA to Article 3bis and Annex VII of the amended</w:t>
      </w:r>
      <w:r>
        <w:rPr>
          <w:noProof/>
        </w:rPr>
        <w:t xml:space="preserve"> </w:t>
      </w:r>
      <w:r>
        <w:rPr>
          <w:noProof/>
          <w:szCs w:val="24"/>
        </w:rPr>
        <w:t xml:space="preserve">Gothenburg Protocol </w:t>
      </w:r>
      <w:r>
        <w:rPr>
          <w:rFonts w:eastAsia="Arial Unicode MS"/>
          <w:noProof/>
        </w:rPr>
        <w:t>(‘the envisaged act’).</w:t>
      </w:r>
    </w:p>
    <w:p>
      <w:pPr>
        <w:rPr>
          <w:rFonts w:eastAsia="Arial Unicode MS"/>
          <w:noProof/>
        </w:rPr>
      </w:pPr>
      <w:r>
        <w:rPr>
          <w:rFonts w:eastAsia="Arial Unicode MS"/>
          <w:noProof/>
        </w:rPr>
        <w:t xml:space="preserve">The purpose of the envisaged act is to extend the possibility for countries in the Eastern European, Caucasus and Central Asian (EECCA) region to apply a flexible timescale for meeting certain obligations, to facilitate their ratification of the Gothenburg Protocol. </w:t>
      </w:r>
    </w:p>
    <w:p>
      <w:pPr>
        <w:spacing w:before="60" w:after="60"/>
        <w:rPr>
          <w:rFonts w:eastAsia="Arial Unicode MS"/>
          <w:noProof/>
        </w:rPr>
      </w:pPr>
      <w:r>
        <w:rPr>
          <w:rFonts w:eastAsia="Arial Unicode MS"/>
          <w:noProof/>
        </w:rPr>
        <w:t>The envisaged act will become binding for the Parties:</w:t>
      </w:r>
    </w:p>
    <w:p>
      <w:pPr>
        <w:spacing w:before="60" w:after="60"/>
        <w:rPr>
          <w:noProof/>
        </w:rPr>
      </w:pPr>
      <w:r>
        <w:rPr>
          <w:rFonts w:eastAsia="Arial Unicode MS"/>
          <w:noProof/>
        </w:rPr>
        <w:t xml:space="preserve">- in accordance with Article 13bis of the Gothenburg Protocol, which provides that amendments to the Protocol </w:t>
      </w:r>
      <w:r>
        <w:rPr>
          <w:noProof/>
        </w:rPr>
        <w:t>shall enter into force for the Parties, which have accepted them on the ninetieth day after the date on which two thirds of those that were Parties at the time of the adoption have deposited their acceptance instruments.</w:t>
      </w:r>
      <w:r>
        <w:rPr>
          <w:rStyle w:val="FootnoteReference"/>
          <w:rFonts w:eastAsia="Arial Unicode MS"/>
          <w:noProof/>
        </w:rPr>
        <w:footnoteReference w:id="9"/>
      </w:r>
    </w:p>
    <w:p>
      <w:pPr>
        <w:rPr>
          <w:noProof/>
        </w:rPr>
      </w:pPr>
      <w:r>
        <w:rPr>
          <w:noProof/>
        </w:rPr>
        <w:t>- For those Parties having accepted it, a different procedure is foreseen in respect of amendments to annexes IV to XI of the Gothenburg Protocol: such amendments shall become effective one year from the date of communication of the decision to all Parties, except for those Parties that notify the depositary that they are unable to approve the amendment. In the case of 16 or more Parties submitting such a notification, the amendment shall not enter into force</w:t>
      </w:r>
      <w:r>
        <w:rPr>
          <w:rStyle w:val="FootnoteReference"/>
          <w:rFonts w:eastAsia="Arial Unicode MS"/>
          <w:noProof/>
        </w:rPr>
        <w:footnoteReference w:id="10"/>
      </w:r>
      <w:r>
        <w:rPr>
          <w:noProof/>
        </w:rPr>
        <w:t>.</w:t>
      </w:r>
    </w:p>
    <w:p>
      <w:pPr>
        <w:rPr>
          <w:rFonts w:eastAsia="Arial Unicode MS"/>
          <w:noProof/>
        </w:rPr>
      </w:pPr>
      <w:r>
        <w:rPr>
          <w:noProof/>
        </w:rPr>
        <w:t>In practice, the proposed amendments will not affect the obligations for Member States since the obligations in question are already part of the EU acquis and applied by Member States. The proposed amendments would however provide a possibility for non-EU Parties, notably in the EECCA region, to continue to use the flexibility already negotiated and agreed as part of the 2012 amendment of the Gothenburg Protocol, for a prolonged period.</w:t>
      </w:r>
    </w:p>
    <w:p>
      <w:pPr>
        <w:pStyle w:val="ManualHeading1"/>
        <w:rPr>
          <w:noProof/>
        </w:rPr>
      </w:pPr>
      <w:r>
        <w:t>3.</w:t>
      </w:r>
      <w:r>
        <w:tab/>
      </w:r>
      <w:r>
        <w:rPr>
          <w:noProof/>
        </w:rPr>
        <w:t>Position to be taken on the Union's behalf</w:t>
      </w:r>
    </w:p>
    <w:p>
      <w:pPr>
        <w:rPr>
          <w:rFonts w:eastAsia="Arial Unicode MS"/>
          <w:noProof/>
        </w:rPr>
      </w:pPr>
      <w:r>
        <w:rPr>
          <w:rFonts w:eastAsia="Arial Unicode MS"/>
          <w:noProof/>
        </w:rPr>
        <w:t xml:space="preserve">The flexible timescales in Article 3bis and Annex VII of the amended Gothenburg Protocol were agreed and adopted in 2012 with the purpose of providing a simplified entry mechanism to encourage ratification by more Parties. By August 2019, no single EECCA country had yet managed to make use of this flexibility. Following discussions about existing ratification barriers for EECCA countries, the Air Convention Parties at the Working Group on Strategy and Review meeting on 20-24 May 2019 therefore voiced their interest in addressing and extending these flexible timescales. </w:t>
      </w:r>
    </w:p>
    <w:p>
      <w:pPr>
        <w:rPr>
          <w:rFonts w:eastAsia="Arial Unicode MS"/>
          <w:noProof/>
        </w:rPr>
      </w:pPr>
      <w:r>
        <w:rPr>
          <w:rFonts w:eastAsia="Arial Unicode MS"/>
          <w:noProof/>
        </w:rPr>
        <w:t xml:space="preserve">Without the extension of the flexibility, it is deemed unlikely that EECCA countries will ratify the Protocol in the near future. It is in the interest of the EU that neighbourhood countries ratify the Gothenburg Protocol to help decrease the transboundary air pollution coming from EECCA countries to the EU Member States. </w:t>
      </w:r>
    </w:p>
    <w:p>
      <w:pPr>
        <w:rPr>
          <w:rFonts w:eastAsia="Arial Unicode MS"/>
          <w:noProof/>
        </w:rPr>
      </w:pPr>
      <w:r>
        <w:rPr>
          <w:rFonts w:eastAsia="Arial Unicode MS"/>
          <w:noProof/>
        </w:rPr>
        <w:t xml:space="preserve">The </w:t>
      </w:r>
      <w:r>
        <w:rPr>
          <w:noProof/>
          <w:szCs w:val="24"/>
        </w:rPr>
        <w:t>Directive (EU) 2016/2284 provisions</w:t>
      </w:r>
      <w:r>
        <w:rPr>
          <w:rFonts w:eastAsia="Arial Unicode MS"/>
          <w:noProof/>
        </w:rPr>
        <w:t xml:space="preserve"> mirror the obligations of the Gothenburg Protocol</w:t>
      </w:r>
      <w:r>
        <w:rPr>
          <w:noProof/>
          <w:szCs w:val="24"/>
        </w:rPr>
        <w:t>.</w:t>
      </w:r>
    </w:p>
    <w:p>
      <w:pPr>
        <w:pStyle w:val="ManualHeading1"/>
        <w:rPr>
          <w:noProof/>
        </w:rPr>
      </w:pPr>
      <w:r>
        <w:lastRenderedPageBreak/>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11"/>
      </w:r>
      <w:r>
        <w:rPr>
          <w:noProof/>
        </w:rPr>
        <w:t>.</w:t>
      </w:r>
    </w:p>
    <w:p>
      <w:pPr>
        <w:pStyle w:val="ManualHeading3"/>
        <w:rPr>
          <w:noProof/>
        </w:rPr>
      </w:pPr>
      <w:r>
        <w:t>4.1.2.</w:t>
      </w:r>
      <w:r>
        <w:tab/>
      </w:r>
      <w:r>
        <w:rPr>
          <w:noProof/>
        </w:rPr>
        <w:t>Application to the present case</w:t>
      </w:r>
    </w:p>
    <w:p>
      <w:pPr>
        <w:rPr>
          <w:noProof/>
        </w:rPr>
      </w:pPr>
      <w:r>
        <w:rPr>
          <w:noProof/>
        </w:rPr>
        <w:t>The Executive Body is a body set up by an agreement, namely the Air Convention.</w:t>
      </w:r>
    </w:p>
    <w:p>
      <w:r>
        <w:rPr>
          <w:noProof/>
        </w:rPr>
        <w:t xml:space="preserve">The act, which the Executive Body is called upon to adopt, constitutes an act having legal effects. The envisaged act will be binding under international law in accordance with Article 13bis of the </w:t>
      </w:r>
      <w:r>
        <w:rPr>
          <w:rFonts w:eastAsia="Arial Unicode MS"/>
          <w:noProof/>
        </w:rPr>
        <w:t>Gothenburg Protocol.</w:t>
      </w:r>
    </w:p>
    <w:p>
      <w:pPr>
        <w:rPr>
          <w:noProof/>
        </w:rPr>
      </w:pPr>
      <w:r>
        <w:rPr>
          <w:noProof/>
        </w:rPr>
        <w:t>The envisaged act does not supplement or amend the institutional framework of the Air Convention or of the Gothenburg Protocol.</w:t>
      </w:r>
    </w:p>
    <w:p>
      <w:pPr>
        <w:rPr>
          <w:noProof/>
        </w:rPr>
      </w:pPr>
      <w:r>
        <w:rPr>
          <w:noProof/>
        </w:rPr>
        <w:t>Therefore, the procedural legal basis for the proposed decision is Article 218(9) TFEU.</w:t>
      </w: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noProof/>
        </w:rPr>
      </w:pPr>
      <w:r>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t>4.2.2.</w:t>
      </w:r>
      <w:r>
        <w:tab/>
      </w:r>
      <w:r>
        <w:rPr>
          <w:noProof/>
        </w:rPr>
        <w:t>Application to the present case</w:t>
      </w:r>
    </w:p>
    <w:p>
      <w:r>
        <w:rPr>
          <w:noProof/>
        </w:rPr>
        <w:t>The main objective and content of the envisaged act relate to the environment.</w:t>
      </w:r>
    </w:p>
    <w:p>
      <w:pPr>
        <w:rPr>
          <w:i/>
          <w:noProof/>
        </w:rPr>
      </w:pPr>
      <w:r>
        <w:rPr>
          <w:noProof/>
        </w:rPr>
        <w:t>Therefore, the substantive legal basis of the proposed decision is Article 191 TFEU</w:t>
      </w:r>
      <w:r>
        <w:t>.</w:t>
      </w:r>
    </w:p>
    <w:p>
      <w:pPr>
        <w:pStyle w:val="ManualHeading2"/>
        <w:rPr>
          <w:noProof/>
        </w:rPr>
      </w:pPr>
      <w:r>
        <w:t>4.3.</w:t>
      </w:r>
      <w:r>
        <w:tab/>
      </w:r>
      <w:r>
        <w:rPr>
          <w:noProof/>
        </w:rPr>
        <w:t>Conclusion</w:t>
      </w:r>
    </w:p>
    <w:p>
      <w:pPr>
        <w:rPr>
          <w:noProof/>
        </w:rPr>
      </w:pPr>
      <w:r>
        <w:rPr>
          <w:noProof/>
        </w:rPr>
        <w:t>The legal basis of the proposed decision should be Article 191 TFEU in conjunction with Article 218(9) TFEU.</w:t>
      </w:r>
    </w:p>
    <w:p>
      <w:pPr>
        <w:pStyle w:val="ManualHeading1"/>
        <w:rPr>
          <w:noProof/>
        </w:rPr>
      </w:pPr>
      <w:r>
        <w:t>5.</w:t>
      </w:r>
      <w:r>
        <w:tab/>
      </w:r>
      <w:r>
        <w:rPr>
          <w:noProof/>
        </w:rPr>
        <w:t>Publication of the envisaged act</w:t>
      </w:r>
    </w:p>
    <w:p>
      <w:pPr>
        <w:rPr>
          <w:noProof/>
        </w:rPr>
      </w:pPr>
      <w:r>
        <w:rPr>
          <w:noProof/>
        </w:rPr>
        <w:t xml:space="preserve">As the act of the Executive Body will amend the Gothenburg Protocol under the Air Convention, it is appropriate to publish it in the </w:t>
      </w:r>
      <w:r>
        <w:rPr>
          <w:i/>
          <w:noProof/>
        </w:rPr>
        <w:t xml:space="preserve">Official Journal of the European Union </w:t>
      </w:r>
      <w:r>
        <w:rPr>
          <w:noProof/>
        </w:rPr>
        <w:t>after its adoption.</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2019/0238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at the 39th session of the Executive Body under the Convention on Long-Range Transboundary Air Pollution</w:t>
      </w:r>
    </w:p>
    <w:p>
      <w:pPr>
        <w:pStyle w:val="Institutionquiagit"/>
        <w:rPr>
          <w:b/>
          <w:noProof/>
        </w:rPr>
      </w:pPr>
      <w:r>
        <w:rPr>
          <w:b/>
          <w:noProof/>
        </w:rPr>
        <w:t>THE COUNCIL OF THE EUROPEAN UNION,</w:t>
      </w:r>
    </w:p>
    <w:p>
      <w:pPr>
        <w:rPr>
          <w:noProof/>
        </w:rPr>
      </w:pPr>
      <w:r>
        <w:rPr>
          <w:noProof/>
        </w:rPr>
        <w:t xml:space="preserve">Having regard to the Treaty on the Functioning of the European Union, and in particular Article </w:t>
      </w:r>
      <w:r>
        <w:rPr>
          <w:noProof/>
          <w:szCs w:val="24"/>
        </w:rPr>
        <w:t xml:space="preserve">191, </w:t>
      </w:r>
      <w:r>
        <w:rPr>
          <w:noProof/>
        </w:rPr>
        <w:t>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The Protocol to Abate Acidification, Eutrophication and Ground-level Ozone in amended version adopted 2012 (‘the Protocol’) under the Convention on Long</w:t>
      </w:r>
      <w:r>
        <w:rPr>
          <w:noProof/>
        </w:rPr>
        <w:noBreakHyphen/>
        <w:t>Range Transboundary Air Pollution was approved by the Union by Council Decision (EU) 2017/1757 (</w:t>
      </w:r>
      <w:r>
        <w:rPr>
          <w:rStyle w:val="FootnoteReference"/>
          <w:noProof/>
        </w:rPr>
        <w:footnoteReference w:id="12"/>
      </w:r>
      <w:r>
        <w:rPr>
          <w:noProof/>
        </w:rPr>
        <w:t xml:space="preserve">) and entered into force on 7 October 2019. </w:t>
      </w:r>
    </w:p>
    <w:p>
      <w:pPr>
        <w:pStyle w:val="ManualConsidrant"/>
        <w:rPr>
          <w:noProof/>
        </w:rPr>
      </w:pPr>
      <w:r>
        <w:t>(2)</w:t>
      </w:r>
      <w:r>
        <w:tab/>
      </w:r>
      <w:r>
        <w:rPr>
          <w:noProof/>
        </w:rPr>
        <w:t>Pursuant to Article 13bis</w:t>
      </w:r>
      <w:r>
        <w:t xml:space="preserve"> </w:t>
      </w:r>
      <w:r>
        <w:rPr>
          <w:noProof/>
        </w:rPr>
        <w:t>of the Protocol, the Executive Body may adopt amendments to the Protocol and its annexes</w:t>
      </w:r>
      <w:r>
        <w:t>.</w:t>
      </w:r>
    </w:p>
    <w:p>
      <w:pPr>
        <w:pStyle w:val="ManualConsidrant"/>
        <w:rPr>
          <w:noProof/>
        </w:rPr>
      </w:pPr>
      <w:r>
        <w:t>(3)</w:t>
      </w:r>
      <w:r>
        <w:tab/>
      </w:r>
      <w:r>
        <w:rPr>
          <w:noProof/>
        </w:rPr>
        <w:t>The Executive Body</w:t>
      </w:r>
      <w:r>
        <w:t>,</w:t>
      </w:r>
      <w:r>
        <w:rPr>
          <w:noProof/>
        </w:rPr>
        <w:t xml:space="preserve"> during its 39th</w:t>
      </w:r>
      <w:r>
        <w:t xml:space="preserve"> </w:t>
      </w:r>
      <w:r>
        <w:rPr>
          <w:noProof/>
        </w:rPr>
        <w:t>session on 9-13 December, is to adopt amendments</w:t>
      </w:r>
      <w:r>
        <w:rPr>
          <w:i/>
          <w:noProof/>
        </w:rPr>
        <w:t xml:space="preserve"> </w:t>
      </w:r>
      <w:r>
        <w:rPr>
          <w:noProof/>
        </w:rPr>
        <w:t>to the Protocol (Article 3bis) and its annexes (Annex VII) with the aim to facilitate ratification of the Protocol by non-EU Parties.</w:t>
      </w:r>
    </w:p>
    <w:p>
      <w:pPr>
        <w:pStyle w:val="ManualConsidrant"/>
        <w:rPr>
          <w:noProof/>
        </w:rPr>
      </w:pPr>
      <w:r>
        <w:t>(4)</w:t>
      </w:r>
      <w:r>
        <w:tab/>
      </w:r>
      <w:r>
        <w:rPr>
          <w:noProof/>
        </w:rPr>
        <w:t xml:space="preserve"> It is appropriate to establish the position to be taken on the Union’s behalf in the Executive Body, as the subject and content of the Protocol to be amended is covered by the EU acquis and notably </w:t>
      </w:r>
      <w:r>
        <w:rPr>
          <w:noProof/>
          <w:szCs w:val="24"/>
        </w:rPr>
        <w:t>Directive (EU) 2016/2284 of the European Parliament and Council (</w:t>
      </w:r>
      <w:r>
        <w:rPr>
          <w:rStyle w:val="FootnoteReference"/>
          <w:noProof/>
        </w:rPr>
        <w:footnoteReference w:id="13"/>
      </w:r>
      <w:r>
        <w:rPr>
          <w:noProof/>
          <w:szCs w:val="24"/>
        </w:rPr>
        <w:t>)</w:t>
      </w:r>
      <w:r>
        <w:rPr>
          <w:noProof/>
        </w:rPr>
        <w:t>.</w:t>
      </w:r>
    </w:p>
    <w:p>
      <w:pPr>
        <w:pStyle w:val="Formuledadoption"/>
        <w:rPr>
          <w:noProof/>
        </w:rPr>
      </w:pPr>
      <w:r>
        <w:rPr>
          <w:noProof/>
        </w:rPr>
        <w:t>HAS ADOPTED THIS DECISION:</w:t>
      </w:r>
    </w:p>
    <w:p>
      <w:pPr>
        <w:pStyle w:val="Titrearticle"/>
        <w:rPr>
          <w:noProof/>
        </w:rPr>
      </w:pPr>
      <w:r>
        <w:rPr>
          <w:noProof/>
        </w:rPr>
        <w:t>Article 1</w:t>
      </w:r>
    </w:p>
    <w:p>
      <w:pPr>
        <w:rPr>
          <w:noProof/>
          <w:lang w:val="cs-CZ"/>
        </w:rPr>
      </w:pPr>
      <w:r>
        <w:rPr>
          <w:noProof/>
        </w:rPr>
        <w:t>The position to be taken on the Union’s behalf in the 39</w:t>
      </w:r>
      <w:r>
        <w:rPr>
          <w:noProof/>
          <w:vertAlign w:val="superscript"/>
        </w:rPr>
        <w:t>th</w:t>
      </w:r>
      <w:r>
        <w:rPr>
          <w:noProof/>
        </w:rPr>
        <w:t xml:space="preserve"> session of the Executive Body of the </w:t>
      </w:r>
      <w:r>
        <w:rPr>
          <w:noProof/>
          <w:szCs w:val="24"/>
        </w:rPr>
        <w:t>Convention on Long-Range Transboundary Air Pollution</w:t>
      </w:r>
      <w:r>
        <w:rPr>
          <w:noProof/>
        </w:rPr>
        <w:t xml:space="preserve"> shall be the following:</w:t>
      </w:r>
    </w:p>
    <w:p>
      <w:pPr>
        <w:rPr>
          <w:noProof/>
        </w:rPr>
      </w:pPr>
      <w:r>
        <w:rPr>
          <w:noProof/>
        </w:rPr>
        <w:t>The proposal tabled by the United States of America to amend Article 3bis and Annex VII of the Protocol to extend the flexibility timescales from 2019 to 2024 and from 2022 to 2028 shall be supported.</w:t>
      </w:r>
    </w:p>
    <w:p>
      <w:pPr>
        <w:pStyle w:val="Titrearticle"/>
        <w:rPr>
          <w:noProof/>
        </w:rPr>
      </w:pPr>
      <w:r>
        <w:rPr>
          <w:noProof/>
        </w:rPr>
        <w:lastRenderedPageBreak/>
        <w:t>Article 2</w:t>
      </w:r>
    </w:p>
    <w:p>
      <w:pPr>
        <w:rPr>
          <w:noProof/>
        </w:rPr>
      </w:pPr>
      <w:r>
        <w:rPr>
          <w:noProof/>
        </w:rPr>
        <w:t xml:space="preserve">Refinement to the position referred to in Article 1 may be agreed to, in the light of developments at the 39th session of the Executive Body of the Convention on Long-Range Transboundary Air Pollution, by representatives of the Union, in consultation with the Member States, during on-the-spot coordination meetings, without a further decision of the Council. </w:t>
      </w:r>
    </w:p>
    <w:p>
      <w:pPr>
        <w:pStyle w:val="Titrearticle"/>
        <w:rPr>
          <w:noProof/>
        </w:rPr>
      </w:pPr>
      <w:r>
        <w:rPr>
          <w:noProof/>
        </w:rPr>
        <w:t>Article 3</w:t>
      </w:r>
    </w:p>
    <w:p>
      <w:pPr>
        <w:rPr>
          <w:noProof/>
        </w:rPr>
      </w:pPr>
      <w:r>
        <w:rPr>
          <w:noProof/>
        </w:rPr>
        <w:t>This Decision is addressed to the Commission.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Directive (EU) 2016/2284 of the European Parliament and of the Council of 14 December 2016 on the reduction of national emissions of certain atmospheric pollutants, amending Directive 2003/35/EC and repealing Directive 2001/81/EC, OJ L 344, 17.12.2016, p. 1–31.</w:t>
      </w:r>
    </w:p>
  </w:footnote>
  <w:footnote w:id="2">
    <w:p>
      <w:pPr>
        <w:pStyle w:val="FootnoteText"/>
      </w:pPr>
      <w:r>
        <w:rPr>
          <w:rStyle w:val="FootnoteReference"/>
        </w:rPr>
        <w:footnoteRef/>
      </w:r>
      <w:r>
        <w:tab/>
        <w:t>Directive 2001/81/EC of the European Parliament and of the Council of 23 October 2001 on national emission ceilings for certain atmospheric pollutants, OJ L 309, 27.11.2001, p. 22–30.</w:t>
      </w:r>
    </w:p>
  </w:footnote>
  <w:footnote w:id="3">
    <w:p>
      <w:pPr>
        <w:pStyle w:val="FootnoteText"/>
      </w:pPr>
      <w:r>
        <w:rPr>
          <w:rStyle w:val="FootnoteReference"/>
        </w:rPr>
        <w:footnoteRef/>
      </w:r>
      <w:r>
        <w:tab/>
        <w:t>81/462/EEC: Council Decision of 11 June 1981 on the conclusion of the Convention on long-range transboundary air pollution, OJ L 171, 27.6.1981, p. 11–24.</w:t>
      </w:r>
    </w:p>
  </w:footnote>
  <w:footnote w:id="4">
    <w:p>
      <w:pPr>
        <w:pStyle w:val="FootnoteText"/>
      </w:pPr>
      <w:r>
        <w:rPr>
          <w:rStyle w:val="FootnoteReference"/>
        </w:rPr>
        <w:footnoteRef/>
      </w:r>
      <w:r>
        <w:tab/>
        <w:t>2003/507/EC: Council Decision of 13 June 2003 on the accession of the European Community, to the Protocol to the 1979 Convention on Long-Range Transboundary Air Pollution to Abate Acidification, Eutrophication and Ground-Level Ozone, OJ L 179 , 17/07/2003 P. 0001 – 0002; Council Decision (EU) 2017/1757 of 17 July 2017 on the acceptance on behalf of the European Union of an Amendment to the 1999 Protocol to the 1979 Convention on Long-Range Transboundary Air Pollution to Abate Acidification, Eutrophication and Ground-Level Ozone, OJ L 248, 27.9.2017, p. 3–75.</w:t>
      </w:r>
    </w:p>
  </w:footnote>
  <w:footnote w:id="5">
    <w:p>
      <w:pPr>
        <w:pStyle w:val="FootnoteText"/>
      </w:pPr>
      <w:r>
        <w:rPr>
          <w:rStyle w:val="FootnoteReference"/>
        </w:rPr>
        <w:footnoteRef/>
      </w:r>
      <w:r>
        <w:tab/>
        <w:t>Belgium, Bulgaria, Croatia, Cyprus, Czech Republic, Denmark, Finland, France, Germany, Hungary, Latvia, Lithuania, Luxembourg, the Netherlands, Portugal, Romania, Slovakia, Slovenia, Spain, Sweden and the United Kingdom (status of ratifications on 12 August 2019).</w:t>
      </w:r>
    </w:p>
  </w:footnote>
  <w:footnote w:id="6">
    <w:p>
      <w:pPr>
        <w:pStyle w:val="FootnoteText"/>
      </w:pPr>
      <w:r>
        <w:rPr>
          <w:rStyle w:val="FootnoteReference"/>
        </w:rPr>
        <w:footnoteRef/>
      </w:r>
      <w:r>
        <w:tab/>
        <w:t>Bulgaria, Croatia, Cyprus, Czech Republic, Finland, Germany, Latvia, Luxembourg, the Netherlands, Portugal, Romania, Slovakia, Spain, Sweden, and the United Kingdom (status of ratifications on 12 August 2019).</w:t>
      </w:r>
    </w:p>
  </w:footnote>
  <w:footnote w:id="7">
    <w:p>
      <w:pPr>
        <w:pStyle w:val="FootnoteText"/>
      </w:pPr>
      <w:r>
        <w:rPr>
          <w:rStyle w:val="FootnoteReference"/>
        </w:rPr>
        <w:footnoteRef/>
      </w:r>
      <w:r>
        <w:tab/>
        <w:t>Rules of procedure for sessions of the Executive Body for the Convention on Long-range Transboundary Air Pollution as adopted by decision 2010/9 and amended by decision 2013/1, Rule 29.</w:t>
      </w:r>
    </w:p>
  </w:footnote>
  <w:footnote w:id="8">
    <w:p>
      <w:pPr>
        <w:pStyle w:val="FootnoteText"/>
      </w:pPr>
      <w:r>
        <w:rPr>
          <w:rStyle w:val="FootnoteReference"/>
        </w:rPr>
        <w:footnoteRef/>
      </w:r>
      <w:r>
        <w:tab/>
        <w:t>Gothenburg Protocol (amended 2012), Article 13bis, paragraph 3</w:t>
      </w:r>
    </w:p>
  </w:footnote>
  <w:footnote w:id="9">
    <w:p>
      <w:pPr>
        <w:pStyle w:val="FootnoteText"/>
      </w:pPr>
      <w:r>
        <w:rPr>
          <w:rStyle w:val="FootnoteReference"/>
        </w:rPr>
        <w:footnoteRef/>
      </w:r>
      <w:r>
        <w:tab/>
        <w:t>Gothenburg Protocol (amended 2012), Article 13bis, paragraph 3</w:t>
      </w:r>
    </w:p>
  </w:footnote>
  <w:footnote w:id="10">
    <w:p>
      <w:pPr>
        <w:pStyle w:val="FootnoteText"/>
      </w:pPr>
      <w:r>
        <w:rPr>
          <w:rStyle w:val="FootnoteReference"/>
        </w:rPr>
        <w:footnoteRef/>
      </w:r>
      <w:r>
        <w:tab/>
        <w:t>Gothenburg Protocol (amended 2012), Article 13bis, paragraph 7</w:t>
      </w:r>
    </w:p>
  </w:footnote>
  <w:footnote w:id="11">
    <w:p>
      <w:pPr>
        <w:pStyle w:val="FootnoteText"/>
      </w:pPr>
      <w:r>
        <w:rPr>
          <w:rStyle w:val="FootnoteReference"/>
        </w:rPr>
        <w:footnoteRef/>
      </w:r>
      <w:r>
        <w:tab/>
        <w:t>Judgment of the Court of Justice of 7 October 2014, Germany v Council, C-399/12, ECLI:EU:C:2014:2258, paragraphs 61 to 64.</w:t>
      </w:r>
    </w:p>
  </w:footnote>
  <w:footnote w:id="12">
    <w:p>
      <w:pPr>
        <w:pStyle w:val="FootnoteText"/>
      </w:pPr>
      <w:r>
        <w:rPr>
          <w:rStyle w:val="FootnoteReference"/>
        </w:rPr>
        <w:footnoteRef/>
      </w:r>
      <w:r>
        <w:tab/>
        <w:t>Council Decision (EU) 2017/1757 of 17 July 2017 on the acceptance on behalf of the European Union of an Amendment to the 1999 Protocol to the 1979 Convention on Long-Range Transboundary Air Pollution to Abate Acidification, Eutrophication and Ground-Level Ozone, OJ L 248, 27.9.2017, p. 3–75.</w:t>
      </w:r>
    </w:p>
  </w:footnote>
  <w:footnote w:id="13">
    <w:p>
      <w:pPr>
        <w:pStyle w:val="FootnoteText"/>
      </w:pPr>
      <w:r>
        <w:rPr>
          <w:rStyle w:val="FootnoteReference"/>
        </w:rPr>
        <w:footnoteRef/>
      </w:r>
      <w:r>
        <w:tab/>
        <w:t>Directive (EU) 2016/2284 of the European Parliament and of the Council of 14 December 2016 on the reduction of national emissions of certain atmospheric pollutants, amending Directive 2003/35/EC and repealing Directive 2001/81/EC, OJ L 344, 17.12.2016, p. 1–31.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9984F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246A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2ADB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1BAFB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F3C1B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24C0B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D847B1C"/>
    <w:lvl w:ilvl="0">
      <w:start w:val="1"/>
      <w:numFmt w:val="decimal"/>
      <w:pStyle w:val="ListNumber"/>
      <w:lvlText w:val="%1."/>
      <w:lvlJc w:val="left"/>
      <w:pPr>
        <w:tabs>
          <w:tab w:val="num" w:pos="360"/>
        </w:tabs>
        <w:ind w:left="360" w:hanging="360"/>
      </w:pPr>
    </w:lvl>
  </w:abstractNum>
  <w:abstractNum w:abstractNumId="7">
    <w:nsid w:val="FFFFFF89"/>
    <w:multiLevelType w:val="singleLevel"/>
    <w:tmpl w:val="802A50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8"/>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0-11 10:25:5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ED88BC61-ED86-44EF-B717-501B4F6616F6"/>
    <w:docVar w:name="LW_COVERPAGE_TYPE" w:val="1"/>
    <w:docVar w:name="LW_CROSSREFERENCE" w:val="&lt;UNUSED&gt;"/>
    <w:docVar w:name="LW_DocType" w:val="COM"/>
    <w:docVar w:name="LW_EMISSION" w:val="23.10.2019"/>
    <w:docVar w:name="LW_EMISSION_ISODATE" w:val="2019-10-23"/>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38"/>
    <w:docVar w:name="LW_REF.II.NEW.CP_YEAR" w:val="2019"/>
    <w:docVar w:name="LW_REF.INST.NEW" w:val="COM"/>
    <w:docVar w:name="LW_REF.INST.NEW_ADOPTED" w:val="final"/>
    <w:docVar w:name="LW_REF.INST.NEW_TEXT" w:val="(2019) 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at the 39th session of the Executive Body under the Convention on Long-Range Transboundary Air Pollut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6</Pages>
  <Words>1546</Words>
  <Characters>8105</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dcterms:created xsi:type="dcterms:W3CDTF">2019-10-11T08:39:00Z</dcterms:created>
  <dcterms:modified xsi:type="dcterms:W3CDTF">2019-10-18T13:33:00Z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Yellow (DQC version 03)</vt:lpwstr>
  </property>
</Properties>
</file>