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en-IE"/>
        </w:rPr>
      </w:pPr>
      <w:bookmarkStart w:id="0" w:name="LW_BM_COVERPAGE"/>
      <w:r>
        <w:rPr>
          <w:noProof/>
          <w:lang w:val="en-I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7D48E2A0-50ED-4C0A-85DB-C71FFB42F5D5" style="width:450.8pt;height:334.35pt">
            <v:imagedata r:id="rId9" o:title=""/>
          </v:shape>
        </w:pict>
      </w:r>
    </w:p>
    <w:bookmarkEnd w:id="0"/>
    <w:p>
      <w:pPr>
        <w:pStyle w:val="Pagedecouverture"/>
        <w:rPr>
          <w:noProof/>
          <w:lang w:val="en-IE"/>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rPr>
          <w:noProof/>
          <w:lang w:val="en-IE"/>
        </w:rPr>
      </w:pPr>
      <w:bookmarkStart w:id="1" w:name="_GoBack"/>
      <w:bookmarkEnd w:id="1"/>
    </w:p>
    <w:p>
      <w:pPr>
        <w:pStyle w:val="TOCHeading"/>
        <w:rPr>
          <w:noProof/>
          <w:lang w:val="en-IE"/>
        </w:rPr>
      </w:pPr>
      <w:r>
        <w:rPr>
          <w:noProof/>
          <w:lang w:val="en-IE"/>
        </w:rPr>
        <w:t>Table of Contents</w:t>
      </w:r>
    </w:p>
    <w:p>
      <w:pPr>
        <w:pStyle w:val="TOC1"/>
        <w:rPr>
          <w:rFonts w:asciiTheme="minorHAnsi" w:eastAsiaTheme="minorEastAsia" w:hAnsiTheme="minorHAnsi" w:cstheme="minorBidi"/>
          <w:noProof/>
          <w:sz w:val="22"/>
          <w:szCs w:val="22"/>
          <w:lang w:val="en-IE" w:eastAsia="fr-BE"/>
        </w:rPr>
      </w:pPr>
      <w:r>
        <w:rPr>
          <w:noProof/>
          <w:lang w:val="en-IE"/>
        </w:rPr>
        <w:fldChar w:fldCharType="begin"/>
      </w:r>
      <w:r>
        <w:rPr>
          <w:noProof/>
          <w:lang w:val="en-IE"/>
        </w:rPr>
        <w:instrText xml:space="preserve"> TOC \o "1-3" \h \z \u </w:instrText>
      </w:r>
      <w:r>
        <w:rPr>
          <w:noProof/>
          <w:lang w:val="en-IE"/>
        </w:rPr>
        <w:fldChar w:fldCharType="separate"/>
      </w:r>
      <w:hyperlink w:anchor="_Toc18597219" w:history="1">
        <w:r>
          <w:rPr>
            <w:rStyle w:val="Hyperlink"/>
            <w:noProof/>
            <w:lang w:val="en-IE"/>
          </w:rPr>
          <w:t>1.</w:t>
        </w:r>
        <w:r>
          <w:rPr>
            <w:rFonts w:asciiTheme="minorHAnsi" w:eastAsiaTheme="minorEastAsia" w:hAnsiTheme="minorHAnsi" w:cstheme="minorBidi"/>
            <w:noProof/>
            <w:sz w:val="22"/>
            <w:szCs w:val="22"/>
            <w:lang w:val="en-IE" w:eastAsia="fr-BE"/>
          </w:rPr>
          <w:tab/>
        </w:r>
        <w:r>
          <w:rPr>
            <w:rStyle w:val="Hyperlink"/>
            <w:noProof/>
            <w:lang w:val="en-IE"/>
          </w:rPr>
          <w:t>Introduction</w:t>
        </w:r>
        <w:r>
          <w:rPr>
            <w:noProof/>
            <w:webHidden/>
            <w:lang w:val="en-IE"/>
          </w:rPr>
          <w:tab/>
        </w:r>
        <w:r>
          <w:rPr>
            <w:noProof/>
            <w:webHidden/>
            <w:lang w:val="en-IE"/>
          </w:rPr>
          <w:fldChar w:fldCharType="begin"/>
        </w:r>
        <w:r>
          <w:rPr>
            <w:noProof/>
            <w:webHidden/>
            <w:lang w:val="en-IE"/>
          </w:rPr>
          <w:instrText xml:space="preserve"> PAGEREF _Toc18597219 \h </w:instrText>
        </w:r>
        <w:r>
          <w:rPr>
            <w:noProof/>
            <w:webHidden/>
            <w:lang w:val="en-IE"/>
          </w:rPr>
        </w:r>
        <w:r>
          <w:rPr>
            <w:noProof/>
            <w:webHidden/>
            <w:lang w:val="en-IE"/>
          </w:rPr>
          <w:fldChar w:fldCharType="separate"/>
        </w:r>
        <w:r>
          <w:rPr>
            <w:noProof/>
            <w:webHidden/>
            <w:lang w:val="en-IE"/>
          </w:rPr>
          <w:t>3</w:t>
        </w:r>
        <w:r>
          <w:rPr>
            <w:noProof/>
            <w:webHidden/>
            <w:lang w:val="en-IE"/>
          </w:rPr>
          <w:fldChar w:fldCharType="end"/>
        </w:r>
      </w:hyperlink>
    </w:p>
    <w:p>
      <w:pPr>
        <w:pStyle w:val="TOC1"/>
        <w:rPr>
          <w:rFonts w:asciiTheme="minorHAnsi" w:eastAsiaTheme="minorEastAsia" w:hAnsiTheme="minorHAnsi" w:cstheme="minorBidi"/>
          <w:noProof/>
          <w:sz w:val="22"/>
          <w:szCs w:val="22"/>
          <w:lang w:val="en-IE" w:eastAsia="fr-BE"/>
        </w:rPr>
      </w:pPr>
      <w:hyperlink w:anchor="_Toc18597220" w:history="1">
        <w:r>
          <w:rPr>
            <w:rStyle w:val="Hyperlink"/>
            <w:noProof/>
            <w:lang w:val="en-IE"/>
          </w:rPr>
          <w:t>2.</w:t>
        </w:r>
        <w:r>
          <w:rPr>
            <w:rFonts w:asciiTheme="minorHAnsi" w:eastAsiaTheme="minorEastAsia" w:hAnsiTheme="minorHAnsi" w:cstheme="minorBidi"/>
            <w:noProof/>
            <w:sz w:val="22"/>
            <w:szCs w:val="22"/>
            <w:lang w:val="en-IE" w:eastAsia="fr-BE"/>
          </w:rPr>
          <w:tab/>
        </w:r>
        <w:r>
          <w:rPr>
            <w:rStyle w:val="Hyperlink"/>
            <w:noProof/>
            <w:lang w:val="en-IE"/>
          </w:rPr>
          <w:t>Operations guaranteed by the EU budget and crisis mechanisms of the euro-area not covered by the EU budget</w:t>
        </w:r>
        <w:r>
          <w:rPr>
            <w:noProof/>
            <w:webHidden/>
            <w:lang w:val="en-IE"/>
          </w:rPr>
          <w:tab/>
        </w:r>
        <w:r>
          <w:rPr>
            <w:noProof/>
            <w:webHidden/>
            <w:lang w:val="en-IE"/>
          </w:rPr>
          <w:fldChar w:fldCharType="begin"/>
        </w:r>
        <w:r>
          <w:rPr>
            <w:noProof/>
            <w:webHidden/>
            <w:lang w:val="en-IE"/>
          </w:rPr>
          <w:instrText xml:space="preserve"> PAGEREF _Toc18597220 \h </w:instrText>
        </w:r>
        <w:r>
          <w:rPr>
            <w:noProof/>
            <w:webHidden/>
            <w:lang w:val="en-IE"/>
          </w:rPr>
        </w:r>
        <w:r>
          <w:rPr>
            <w:noProof/>
            <w:webHidden/>
            <w:lang w:val="en-IE"/>
          </w:rPr>
          <w:fldChar w:fldCharType="separate"/>
        </w:r>
        <w:r>
          <w:rPr>
            <w:noProof/>
            <w:webHidden/>
            <w:lang w:val="en-IE"/>
          </w:rPr>
          <w:t>3</w:t>
        </w:r>
        <w:r>
          <w:rPr>
            <w:noProof/>
            <w:webHidden/>
            <w:lang w:val="en-IE"/>
          </w:rPr>
          <w:fldChar w:fldCharType="end"/>
        </w:r>
      </w:hyperlink>
    </w:p>
    <w:p>
      <w:pPr>
        <w:pStyle w:val="TOC2"/>
        <w:rPr>
          <w:rFonts w:asciiTheme="minorHAnsi" w:eastAsiaTheme="minorEastAsia" w:hAnsiTheme="minorHAnsi" w:cstheme="minorBidi"/>
          <w:noProof/>
          <w:sz w:val="22"/>
          <w:szCs w:val="22"/>
          <w:lang w:val="en-IE" w:eastAsia="fr-BE"/>
        </w:rPr>
      </w:pPr>
      <w:hyperlink w:anchor="_Toc18597221" w:history="1">
        <w:r>
          <w:rPr>
            <w:rStyle w:val="Hyperlink"/>
            <w:noProof/>
            <w:lang w:val="en-IE"/>
          </w:rPr>
          <w:t>2.1</w:t>
        </w:r>
        <w:r>
          <w:rPr>
            <w:rFonts w:asciiTheme="minorHAnsi" w:eastAsiaTheme="minorEastAsia" w:hAnsiTheme="minorHAnsi" w:cstheme="minorBidi"/>
            <w:noProof/>
            <w:sz w:val="22"/>
            <w:szCs w:val="22"/>
            <w:lang w:val="en-IE" w:eastAsia="fr-BE"/>
          </w:rPr>
          <w:tab/>
        </w:r>
        <w:r>
          <w:rPr>
            <w:rStyle w:val="Hyperlink"/>
            <w:noProof/>
            <w:lang w:val="en-IE"/>
          </w:rPr>
          <w:t>Loans granted by the European Union with macroeconomic objectives</w:t>
        </w:r>
        <w:r>
          <w:rPr>
            <w:noProof/>
            <w:webHidden/>
            <w:lang w:val="en-IE"/>
          </w:rPr>
          <w:tab/>
        </w:r>
        <w:r>
          <w:rPr>
            <w:noProof/>
            <w:webHidden/>
            <w:lang w:val="en-IE"/>
          </w:rPr>
          <w:fldChar w:fldCharType="begin"/>
        </w:r>
        <w:r>
          <w:rPr>
            <w:noProof/>
            <w:webHidden/>
            <w:lang w:val="en-IE"/>
          </w:rPr>
          <w:instrText xml:space="preserve"> PAGEREF _Toc18597221 \h </w:instrText>
        </w:r>
        <w:r>
          <w:rPr>
            <w:noProof/>
            <w:webHidden/>
            <w:lang w:val="en-IE"/>
          </w:rPr>
        </w:r>
        <w:r>
          <w:rPr>
            <w:noProof/>
            <w:webHidden/>
            <w:lang w:val="en-IE"/>
          </w:rPr>
          <w:fldChar w:fldCharType="separate"/>
        </w:r>
        <w:r>
          <w:rPr>
            <w:noProof/>
            <w:webHidden/>
            <w:lang w:val="en-IE"/>
          </w:rPr>
          <w:t>4</w:t>
        </w:r>
        <w:r>
          <w:rPr>
            <w:noProof/>
            <w:webHidden/>
            <w:lang w:val="en-IE"/>
          </w:rPr>
          <w:fldChar w:fldCharType="end"/>
        </w:r>
      </w:hyperlink>
    </w:p>
    <w:p>
      <w:pPr>
        <w:pStyle w:val="TOC2"/>
        <w:rPr>
          <w:rFonts w:asciiTheme="minorHAnsi" w:eastAsiaTheme="minorEastAsia" w:hAnsiTheme="minorHAnsi" w:cstheme="minorBidi"/>
          <w:noProof/>
          <w:sz w:val="22"/>
          <w:szCs w:val="22"/>
          <w:lang w:val="en-IE" w:eastAsia="fr-BE"/>
        </w:rPr>
      </w:pPr>
      <w:hyperlink w:anchor="_Toc18597222" w:history="1">
        <w:r>
          <w:rPr>
            <w:rStyle w:val="Hyperlink"/>
            <w:noProof/>
            <w:lang w:val="en-IE"/>
          </w:rPr>
          <w:t>2.2</w:t>
        </w:r>
        <w:r>
          <w:rPr>
            <w:rFonts w:asciiTheme="minorHAnsi" w:eastAsiaTheme="minorEastAsia" w:hAnsiTheme="minorHAnsi" w:cstheme="minorBidi"/>
            <w:noProof/>
            <w:sz w:val="22"/>
            <w:szCs w:val="22"/>
            <w:lang w:val="en-IE" w:eastAsia="fr-BE"/>
          </w:rPr>
          <w:tab/>
        </w:r>
        <w:r>
          <w:rPr>
            <w:rStyle w:val="Hyperlink"/>
            <w:noProof/>
            <w:lang w:val="en-IE"/>
          </w:rPr>
          <w:t>Loans with microeconomic objectives</w:t>
        </w:r>
        <w:r>
          <w:rPr>
            <w:noProof/>
            <w:webHidden/>
            <w:lang w:val="en-IE"/>
          </w:rPr>
          <w:tab/>
        </w:r>
        <w:r>
          <w:rPr>
            <w:noProof/>
            <w:webHidden/>
            <w:lang w:val="en-IE"/>
          </w:rPr>
          <w:fldChar w:fldCharType="begin"/>
        </w:r>
        <w:r>
          <w:rPr>
            <w:noProof/>
            <w:webHidden/>
            <w:lang w:val="en-IE"/>
          </w:rPr>
          <w:instrText xml:space="preserve"> PAGEREF _Toc18597222 \h </w:instrText>
        </w:r>
        <w:r>
          <w:rPr>
            <w:noProof/>
            <w:webHidden/>
            <w:lang w:val="en-IE"/>
          </w:rPr>
        </w:r>
        <w:r>
          <w:rPr>
            <w:noProof/>
            <w:webHidden/>
            <w:lang w:val="en-IE"/>
          </w:rPr>
          <w:fldChar w:fldCharType="separate"/>
        </w:r>
        <w:r>
          <w:rPr>
            <w:noProof/>
            <w:webHidden/>
            <w:lang w:val="en-IE"/>
          </w:rPr>
          <w:t>4</w:t>
        </w:r>
        <w:r>
          <w:rPr>
            <w:noProof/>
            <w:webHidden/>
            <w:lang w:val="en-IE"/>
          </w:rPr>
          <w:fldChar w:fldCharType="end"/>
        </w:r>
      </w:hyperlink>
    </w:p>
    <w:p>
      <w:pPr>
        <w:pStyle w:val="TOC2"/>
        <w:rPr>
          <w:rFonts w:asciiTheme="minorHAnsi" w:eastAsiaTheme="minorEastAsia" w:hAnsiTheme="minorHAnsi" w:cstheme="minorBidi"/>
          <w:noProof/>
          <w:sz w:val="22"/>
          <w:szCs w:val="22"/>
          <w:lang w:val="en-IE" w:eastAsia="fr-BE"/>
        </w:rPr>
      </w:pPr>
      <w:hyperlink w:anchor="_Toc18597223" w:history="1">
        <w:r>
          <w:rPr>
            <w:rStyle w:val="Hyperlink"/>
            <w:noProof/>
            <w:lang w:val="en-IE"/>
          </w:rPr>
          <w:t>2.3</w:t>
        </w:r>
        <w:r>
          <w:rPr>
            <w:rFonts w:asciiTheme="minorHAnsi" w:eastAsiaTheme="minorEastAsia" w:hAnsiTheme="minorHAnsi" w:cstheme="minorBidi"/>
            <w:noProof/>
            <w:sz w:val="22"/>
            <w:szCs w:val="22"/>
            <w:lang w:val="en-IE" w:eastAsia="fr-BE"/>
          </w:rPr>
          <w:tab/>
        </w:r>
        <w:r>
          <w:rPr>
            <w:rStyle w:val="Hyperlink"/>
            <w:noProof/>
            <w:lang w:val="en-IE"/>
          </w:rPr>
          <w:t>European Investment Bank ("EIB") financing of operations in non-Member States ("EIB external financing") covered by EU guarantees (ELM).</w:t>
        </w:r>
        <w:r>
          <w:rPr>
            <w:noProof/>
            <w:webHidden/>
            <w:lang w:val="en-IE"/>
          </w:rPr>
          <w:tab/>
        </w:r>
        <w:r>
          <w:rPr>
            <w:noProof/>
            <w:webHidden/>
            <w:lang w:val="en-IE"/>
          </w:rPr>
          <w:fldChar w:fldCharType="begin"/>
        </w:r>
        <w:r>
          <w:rPr>
            <w:noProof/>
            <w:webHidden/>
            <w:lang w:val="en-IE"/>
          </w:rPr>
          <w:instrText xml:space="preserve"> PAGEREF _Toc18597223 \h </w:instrText>
        </w:r>
        <w:r>
          <w:rPr>
            <w:noProof/>
            <w:webHidden/>
            <w:lang w:val="en-IE"/>
          </w:rPr>
        </w:r>
        <w:r>
          <w:rPr>
            <w:noProof/>
            <w:webHidden/>
            <w:lang w:val="en-IE"/>
          </w:rPr>
          <w:fldChar w:fldCharType="separate"/>
        </w:r>
        <w:r>
          <w:rPr>
            <w:noProof/>
            <w:webHidden/>
            <w:lang w:val="en-IE"/>
          </w:rPr>
          <w:t>4</w:t>
        </w:r>
        <w:r>
          <w:rPr>
            <w:noProof/>
            <w:webHidden/>
            <w:lang w:val="en-IE"/>
          </w:rPr>
          <w:fldChar w:fldCharType="end"/>
        </w:r>
      </w:hyperlink>
    </w:p>
    <w:p>
      <w:pPr>
        <w:pStyle w:val="TOC2"/>
        <w:rPr>
          <w:rFonts w:asciiTheme="minorHAnsi" w:eastAsiaTheme="minorEastAsia" w:hAnsiTheme="minorHAnsi" w:cstheme="minorBidi"/>
          <w:noProof/>
          <w:sz w:val="22"/>
          <w:szCs w:val="22"/>
          <w:lang w:val="en-IE" w:eastAsia="fr-BE"/>
        </w:rPr>
      </w:pPr>
      <w:hyperlink w:anchor="_Toc18597224" w:history="1">
        <w:r>
          <w:rPr>
            <w:rStyle w:val="Hyperlink"/>
            <w:noProof/>
            <w:lang w:val="en-IE"/>
          </w:rPr>
          <w:t>2.4</w:t>
        </w:r>
        <w:r>
          <w:rPr>
            <w:rFonts w:asciiTheme="minorHAnsi" w:eastAsiaTheme="minorEastAsia" w:hAnsiTheme="minorHAnsi" w:cstheme="minorBidi"/>
            <w:noProof/>
            <w:sz w:val="22"/>
            <w:szCs w:val="22"/>
            <w:lang w:val="en-IE" w:eastAsia="fr-BE"/>
          </w:rPr>
          <w:tab/>
        </w:r>
        <w:r>
          <w:rPr>
            <w:rStyle w:val="Hyperlink"/>
            <w:noProof/>
            <w:lang w:val="en-IE"/>
          </w:rPr>
          <w:t>European Investment Bank ("EIB") and European Investment Fund ("EIF") financing of operations in Member States covered by EU guarantees - The European Fund for Strategic Investments (EFSI)</w:t>
        </w:r>
        <w:r>
          <w:rPr>
            <w:noProof/>
            <w:webHidden/>
            <w:lang w:val="en-IE"/>
          </w:rPr>
          <w:tab/>
        </w:r>
        <w:r>
          <w:rPr>
            <w:noProof/>
            <w:webHidden/>
            <w:lang w:val="en-IE"/>
          </w:rPr>
          <w:fldChar w:fldCharType="begin"/>
        </w:r>
        <w:r>
          <w:rPr>
            <w:noProof/>
            <w:webHidden/>
            <w:lang w:val="en-IE"/>
          </w:rPr>
          <w:instrText xml:space="preserve"> PAGEREF _Toc18597224 \h </w:instrText>
        </w:r>
        <w:r>
          <w:rPr>
            <w:noProof/>
            <w:webHidden/>
            <w:lang w:val="en-IE"/>
          </w:rPr>
        </w:r>
        <w:r>
          <w:rPr>
            <w:noProof/>
            <w:webHidden/>
            <w:lang w:val="en-IE"/>
          </w:rPr>
          <w:fldChar w:fldCharType="separate"/>
        </w:r>
        <w:r>
          <w:rPr>
            <w:noProof/>
            <w:webHidden/>
            <w:lang w:val="en-IE"/>
          </w:rPr>
          <w:t>5</w:t>
        </w:r>
        <w:r>
          <w:rPr>
            <w:noProof/>
            <w:webHidden/>
            <w:lang w:val="en-IE"/>
          </w:rPr>
          <w:fldChar w:fldCharType="end"/>
        </w:r>
      </w:hyperlink>
    </w:p>
    <w:p>
      <w:pPr>
        <w:pStyle w:val="TOC2"/>
        <w:rPr>
          <w:rFonts w:asciiTheme="minorHAnsi" w:eastAsiaTheme="minorEastAsia" w:hAnsiTheme="minorHAnsi" w:cstheme="minorBidi"/>
          <w:noProof/>
          <w:sz w:val="22"/>
          <w:szCs w:val="22"/>
          <w:lang w:val="en-IE" w:eastAsia="fr-BE"/>
        </w:rPr>
      </w:pPr>
      <w:hyperlink w:anchor="_Toc18597225" w:history="1">
        <w:r>
          <w:rPr>
            <w:rStyle w:val="Hyperlink"/>
            <w:noProof/>
            <w:lang w:val="en-IE"/>
          </w:rPr>
          <w:t>2.5</w:t>
        </w:r>
        <w:r>
          <w:rPr>
            <w:rFonts w:asciiTheme="minorHAnsi" w:eastAsiaTheme="minorEastAsia" w:hAnsiTheme="minorHAnsi" w:cstheme="minorBidi"/>
            <w:noProof/>
            <w:sz w:val="22"/>
            <w:szCs w:val="22"/>
            <w:lang w:val="en-IE" w:eastAsia="fr-BE"/>
          </w:rPr>
          <w:tab/>
        </w:r>
        <w:r>
          <w:rPr>
            <w:rStyle w:val="Hyperlink"/>
            <w:noProof/>
            <w:lang w:val="en-IE"/>
          </w:rPr>
          <w:t>Crisis management mechanisms which are not covered by the EU budget</w:t>
        </w:r>
        <w:r>
          <w:rPr>
            <w:noProof/>
            <w:webHidden/>
            <w:lang w:val="en-IE"/>
          </w:rPr>
          <w:tab/>
        </w:r>
        <w:r>
          <w:rPr>
            <w:noProof/>
            <w:webHidden/>
            <w:lang w:val="en-IE"/>
          </w:rPr>
          <w:fldChar w:fldCharType="begin"/>
        </w:r>
        <w:r>
          <w:rPr>
            <w:noProof/>
            <w:webHidden/>
            <w:lang w:val="en-IE"/>
          </w:rPr>
          <w:instrText xml:space="preserve"> PAGEREF _Toc18597225 \h </w:instrText>
        </w:r>
        <w:r>
          <w:rPr>
            <w:noProof/>
            <w:webHidden/>
            <w:lang w:val="en-IE"/>
          </w:rPr>
        </w:r>
        <w:r>
          <w:rPr>
            <w:noProof/>
            <w:webHidden/>
            <w:lang w:val="en-IE"/>
          </w:rPr>
          <w:fldChar w:fldCharType="separate"/>
        </w:r>
        <w:r>
          <w:rPr>
            <w:noProof/>
            <w:webHidden/>
            <w:lang w:val="en-IE"/>
          </w:rPr>
          <w:t>7</w:t>
        </w:r>
        <w:r>
          <w:rPr>
            <w:noProof/>
            <w:webHidden/>
            <w:lang w:val="en-IE"/>
          </w:rPr>
          <w:fldChar w:fldCharType="end"/>
        </w:r>
      </w:hyperlink>
    </w:p>
    <w:p>
      <w:pPr>
        <w:pStyle w:val="TOC1"/>
        <w:rPr>
          <w:rFonts w:asciiTheme="minorHAnsi" w:eastAsiaTheme="minorEastAsia" w:hAnsiTheme="minorHAnsi" w:cstheme="minorBidi"/>
          <w:noProof/>
          <w:sz w:val="22"/>
          <w:szCs w:val="22"/>
          <w:lang w:val="en-IE" w:eastAsia="fr-BE"/>
        </w:rPr>
      </w:pPr>
      <w:hyperlink w:anchor="_Toc18597226" w:history="1">
        <w:r>
          <w:rPr>
            <w:rStyle w:val="Hyperlink"/>
            <w:noProof/>
            <w:lang w:val="en-IE"/>
          </w:rPr>
          <w:t>3.</w:t>
        </w:r>
        <w:r>
          <w:rPr>
            <w:rFonts w:asciiTheme="minorHAnsi" w:eastAsiaTheme="minorEastAsia" w:hAnsiTheme="minorHAnsi" w:cstheme="minorBidi"/>
            <w:noProof/>
            <w:sz w:val="22"/>
            <w:szCs w:val="22"/>
            <w:lang w:val="en-IE" w:eastAsia="fr-BE"/>
          </w:rPr>
          <w:tab/>
        </w:r>
        <w:r>
          <w:rPr>
            <w:rStyle w:val="Hyperlink"/>
            <w:noProof/>
            <w:lang w:val="en-IE"/>
          </w:rPr>
          <w:t>Evolutions of guaranteed operations</w:t>
        </w:r>
        <w:r>
          <w:rPr>
            <w:noProof/>
            <w:webHidden/>
            <w:lang w:val="en-IE"/>
          </w:rPr>
          <w:tab/>
        </w:r>
        <w:r>
          <w:rPr>
            <w:noProof/>
            <w:webHidden/>
            <w:lang w:val="en-IE"/>
          </w:rPr>
          <w:fldChar w:fldCharType="begin"/>
        </w:r>
        <w:r>
          <w:rPr>
            <w:noProof/>
            <w:webHidden/>
            <w:lang w:val="en-IE"/>
          </w:rPr>
          <w:instrText xml:space="preserve"> PAGEREF _Toc18597226 \h </w:instrText>
        </w:r>
        <w:r>
          <w:rPr>
            <w:noProof/>
            <w:webHidden/>
            <w:lang w:val="en-IE"/>
          </w:rPr>
        </w:r>
        <w:r>
          <w:rPr>
            <w:noProof/>
            <w:webHidden/>
            <w:lang w:val="en-IE"/>
          </w:rPr>
          <w:fldChar w:fldCharType="separate"/>
        </w:r>
        <w:r>
          <w:rPr>
            <w:noProof/>
            <w:webHidden/>
            <w:lang w:val="en-IE"/>
          </w:rPr>
          <w:t>7</w:t>
        </w:r>
        <w:r>
          <w:rPr>
            <w:noProof/>
            <w:webHidden/>
            <w:lang w:val="en-IE"/>
          </w:rPr>
          <w:fldChar w:fldCharType="end"/>
        </w:r>
      </w:hyperlink>
    </w:p>
    <w:p>
      <w:pPr>
        <w:pStyle w:val="TOC2"/>
        <w:rPr>
          <w:rFonts w:asciiTheme="minorHAnsi" w:eastAsiaTheme="minorEastAsia" w:hAnsiTheme="minorHAnsi" w:cstheme="minorBidi"/>
          <w:noProof/>
          <w:sz w:val="22"/>
          <w:szCs w:val="22"/>
          <w:lang w:val="en-IE" w:eastAsia="fr-BE"/>
        </w:rPr>
      </w:pPr>
      <w:hyperlink w:anchor="_Toc18597227" w:history="1">
        <w:r>
          <w:rPr>
            <w:rStyle w:val="Hyperlink"/>
            <w:noProof/>
            <w:lang w:val="en-IE"/>
          </w:rPr>
          <w:t>3.1</w:t>
        </w:r>
        <w:r>
          <w:rPr>
            <w:rFonts w:asciiTheme="minorHAnsi" w:eastAsiaTheme="minorEastAsia" w:hAnsiTheme="minorHAnsi" w:cstheme="minorBidi"/>
            <w:noProof/>
            <w:sz w:val="22"/>
            <w:szCs w:val="22"/>
            <w:lang w:val="en-IE" w:eastAsia="fr-BE"/>
          </w:rPr>
          <w:tab/>
        </w:r>
        <w:r>
          <w:rPr>
            <w:rStyle w:val="Hyperlink"/>
            <w:noProof/>
            <w:lang w:val="en-IE"/>
          </w:rPr>
          <w:t>Operations managed directly by the Commission</w:t>
        </w:r>
        <w:r>
          <w:rPr>
            <w:noProof/>
            <w:webHidden/>
            <w:lang w:val="en-IE"/>
          </w:rPr>
          <w:tab/>
        </w:r>
        <w:r>
          <w:rPr>
            <w:noProof/>
            <w:webHidden/>
            <w:lang w:val="en-IE"/>
          </w:rPr>
          <w:fldChar w:fldCharType="begin"/>
        </w:r>
        <w:r>
          <w:rPr>
            <w:noProof/>
            <w:webHidden/>
            <w:lang w:val="en-IE"/>
          </w:rPr>
          <w:instrText xml:space="preserve"> PAGEREF _Toc18597227 \h </w:instrText>
        </w:r>
        <w:r>
          <w:rPr>
            <w:noProof/>
            <w:webHidden/>
            <w:lang w:val="en-IE"/>
          </w:rPr>
        </w:r>
        <w:r>
          <w:rPr>
            <w:noProof/>
            <w:webHidden/>
            <w:lang w:val="en-IE"/>
          </w:rPr>
          <w:fldChar w:fldCharType="separate"/>
        </w:r>
        <w:r>
          <w:rPr>
            <w:noProof/>
            <w:webHidden/>
            <w:lang w:val="en-IE"/>
          </w:rPr>
          <w:t>8</w:t>
        </w:r>
        <w:r>
          <w:rPr>
            <w:noProof/>
            <w:webHidden/>
            <w:lang w:val="en-IE"/>
          </w:rPr>
          <w:fldChar w:fldCharType="end"/>
        </w:r>
      </w:hyperlink>
    </w:p>
    <w:p>
      <w:pPr>
        <w:pStyle w:val="TOC3"/>
        <w:rPr>
          <w:rFonts w:asciiTheme="minorHAnsi" w:eastAsiaTheme="minorEastAsia" w:hAnsiTheme="minorHAnsi" w:cstheme="minorBidi"/>
          <w:noProof/>
          <w:sz w:val="22"/>
          <w:szCs w:val="22"/>
          <w:lang w:val="en-IE" w:eastAsia="fr-BE"/>
        </w:rPr>
      </w:pPr>
      <w:hyperlink w:anchor="_Toc18597228" w:history="1">
        <w:r>
          <w:rPr>
            <w:rStyle w:val="Hyperlink"/>
            <w:noProof/>
            <w:lang w:val="en-IE"/>
          </w:rPr>
          <w:t>3.1.1</w:t>
        </w:r>
        <w:r>
          <w:rPr>
            <w:rFonts w:asciiTheme="minorHAnsi" w:eastAsiaTheme="minorEastAsia" w:hAnsiTheme="minorHAnsi" w:cstheme="minorBidi"/>
            <w:noProof/>
            <w:sz w:val="22"/>
            <w:szCs w:val="22"/>
            <w:lang w:val="en-IE" w:eastAsia="fr-BE"/>
          </w:rPr>
          <w:tab/>
        </w:r>
        <w:r>
          <w:rPr>
            <w:rStyle w:val="Hyperlink"/>
            <w:noProof/>
            <w:lang w:val="en-IE"/>
          </w:rPr>
          <w:t>European Financial Stabilisation Mechanism (EFSM)</w:t>
        </w:r>
        <w:r>
          <w:rPr>
            <w:noProof/>
            <w:webHidden/>
            <w:lang w:val="en-IE"/>
          </w:rPr>
          <w:tab/>
        </w:r>
        <w:r>
          <w:rPr>
            <w:noProof/>
            <w:webHidden/>
            <w:lang w:val="en-IE"/>
          </w:rPr>
          <w:fldChar w:fldCharType="begin"/>
        </w:r>
        <w:r>
          <w:rPr>
            <w:noProof/>
            <w:webHidden/>
            <w:lang w:val="en-IE"/>
          </w:rPr>
          <w:instrText xml:space="preserve"> PAGEREF _Toc18597228 \h </w:instrText>
        </w:r>
        <w:r>
          <w:rPr>
            <w:noProof/>
            <w:webHidden/>
            <w:lang w:val="en-IE"/>
          </w:rPr>
        </w:r>
        <w:r>
          <w:rPr>
            <w:noProof/>
            <w:webHidden/>
            <w:lang w:val="en-IE"/>
          </w:rPr>
          <w:fldChar w:fldCharType="separate"/>
        </w:r>
        <w:r>
          <w:rPr>
            <w:noProof/>
            <w:webHidden/>
            <w:lang w:val="en-IE"/>
          </w:rPr>
          <w:t>9</w:t>
        </w:r>
        <w:r>
          <w:rPr>
            <w:noProof/>
            <w:webHidden/>
            <w:lang w:val="en-IE"/>
          </w:rPr>
          <w:fldChar w:fldCharType="end"/>
        </w:r>
      </w:hyperlink>
    </w:p>
    <w:p>
      <w:pPr>
        <w:pStyle w:val="TOC3"/>
        <w:rPr>
          <w:rFonts w:asciiTheme="minorHAnsi" w:eastAsiaTheme="minorEastAsia" w:hAnsiTheme="minorHAnsi" w:cstheme="minorBidi"/>
          <w:noProof/>
          <w:sz w:val="22"/>
          <w:szCs w:val="22"/>
          <w:lang w:val="en-IE" w:eastAsia="fr-BE"/>
        </w:rPr>
      </w:pPr>
      <w:hyperlink w:anchor="_Toc18597229" w:history="1">
        <w:r>
          <w:rPr>
            <w:rStyle w:val="Hyperlink"/>
            <w:noProof/>
            <w:lang w:val="en-IE"/>
          </w:rPr>
          <w:t>3.1.2</w:t>
        </w:r>
        <w:r>
          <w:rPr>
            <w:rFonts w:asciiTheme="minorHAnsi" w:eastAsiaTheme="minorEastAsia" w:hAnsiTheme="minorHAnsi" w:cstheme="minorBidi"/>
            <w:noProof/>
            <w:sz w:val="22"/>
            <w:szCs w:val="22"/>
            <w:lang w:val="en-IE" w:eastAsia="fr-BE"/>
          </w:rPr>
          <w:tab/>
        </w:r>
        <w:r>
          <w:rPr>
            <w:rStyle w:val="Hyperlink"/>
            <w:noProof/>
            <w:lang w:val="en-IE"/>
          </w:rPr>
          <w:t>Balance of Payments facility (BOP)</w:t>
        </w:r>
        <w:r>
          <w:rPr>
            <w:noProof/>
            <w:webHidden/>
            <w:lang w:val="en-IE"/>
          </w:rPr>
          <w:tab/>
        </w:r>
        <w:r>
          <w:rPr>
            <w:noProof/>
            <w:webHidden/>
            <w:lang w:val="en-IE"/>
          </w:rPr>
          <w:fldChar w:fldCharType="begin"/>
        </w:r>
        <w:r>
          <w:rPr>
            <w:noProof/>
            <w:webHidden/>
            <w:lang w:val="en-IE"/>
          </w:rPr>
          <w:instrText xml:space="preserve"> PAGEREF _Toc18597229 \h </w:instrText>
        </w:r>
        <w:r>
          <w:rPr>
            <w:noProof/>
            <w:webHidden/>
            <w:lang w:val="en-IE"/>
          </w:rPr>
        </w:r>
        <w:r>
          <w:rPr>
            <w:noProof/>
            <w:webHidden/>
            <w:lang w:val="en-IE"/>
          </w:rPr>
          <w:fldChar w:fldCharType="separate"/>
        </w:r>
        <w:r>
          <w:rPr>
            <w:noProof/>
            <w:webHidden/>
            <w:lang w:val="en-IE"/>
          </w:rPr>
          <w:t>10</w:t>
        </w:r>
        <w:r>
          <w:rPr>
            <w:noProof/>
            <w:webHidden/>
            <w:lang w:val="en-IE"/>
          </w:rPr>
          <w:fldChar w:fldCharType="end"/>
        </w:r>
      </w:hyperlink>
    </w:p>
    <w:p>
      <w:pPr>
        <w:pStyle w:val="TOC3"/>
        <w:rPr>
          <w:rFonts w:asciiTheme="minorHAnsi" w:eastAsiaTheme="minorEastAsia" w:hAnsiTheme="minorHAnsi" w:cstheme="minorBidi"/>
          <w:noProof/>
          <w:sz w:val="22"/>
          <w:szCs w:val="22"/>
          <w:lang w:val="en-IE" w:eastAsia="fr-BE"/>
        </w:rPr>
      </w:pPr>
      <w:hyperlink w:anchor="_Toc18597230" w:history="1">
        <w:r>
          <w:rPr>
            <w:rStyle w:val="Hyperlink"/>
            <w:noProof/>
            <w:lang w:val="en-IE"/>
          </w:rPr>
          <w:t>3.1.3</w:t>
        </w:r>
        <w:r>
          <w:rPr>
            <w:rFonts w:asciiTheme="minorHAnsi" w:eastAsiaTheme="minorEastAsia" w:hAnsiTheme="minorHAnsi" w:cstheme="minorBidi"/>
            <w:noProof/>
            <w:sz w:val="22"/>
            <w:szCs w:val="22"/>
            <w:lang w:val="en-IE" w:eastAsia="fr-BE"/>
          </w:rPr>
          <w:tab/>
        </w:r>
        <w:r>
          <w:rPr>
            <w:rStyle w:val="Hyperlink"/>
            <w:noProof/>
            <w:lang w:val="en-IE"/>
          </w:rPr>
          <w:t>Macro-Financial Assistance loans (MFA)</w:t>
        </w:r>
        <w:r>
          <w:rPr>
            <w:noProof/>
            <w:webHidden/>
            <w:lang w:val="en-IE"/>
          </w:rPr>
          <w:tab/>
        </w:r>
        <w:r>
          <w:rPr>
            <w:noProof/>
            <w:webHidden/>
            <w:lang w:val="en-IE"/>
          </w:rPr>
          <w:fldChar w:fldCharType="begin"/>
        </w:r>
        <w:r>
          <w:rPr>
            <w:noProof/>
            <w:webHidden/>
            <w:lang w:val="en-IE"/>
          </w:rPr>
          <w:instrText xml:space="preserve"> PAGEREF _Toc18597230 \h </w:instrText>
        </w:r>
        <w:r>
          <w:rPr>
            <w:noProof/>
            <w:webHidden/>
            <w:lang w:val="en-IE"/>
          </w:rPr>
        </w:r>
        <w:r>
          <w:rPr>
            <w:noProof/>
            <w:webHidden/>
            <w:lang w:val="en-IE"/>
          </w:rPr>
          <w:fldChar w:fldCharType="separate"/>
        </w:r>
        <w:r>
          <w:rPr>
            <w:noProof/>
            <w:webHidden/>
            <w:lang w:val="en-IE"/>
          </w:rPr>
          <w:t>11</w:t>
        </w:r>
        <w:r>
          <w:rPr>
            <w:noProof/>
            <w:webHidden/>
            <w:lang w:val="en-IE"/>
          </w:rPr>
          <w:fldChar w:fldCharType="end"/>
        </w:r>
      </w:hyperlink>
    </w:p>
    <w:p>
      <w:pPr>
        <w:pStyle w:val="TOC3"/>
        <w:rPr>
          <w:rFonts w:asciiTheme="minorHAnsi" w:eastAsiaTheme="minorEastAsia" w:hAnsiTheme="minorHAnsi" w:cstheme="minorBidi"/>
          <w:noProof/>
          <w:sz w:val="22"/>
          <w:szCs w:val="22"/>
          <w:lang w:val="en-IE" w:eastAsia="fr-BE"/>
        </w:rPr>
      </w:pPr>
      <w:hyperlink w:anchor="_Toc18597231" w:history="1">
        <w:r>
          <w:rPr>
            <w:rStyle w:val="Hyperlink"/>
            <w:noProof/>
            <w:lang w:val="en-IE"/>
          </w:rPr>
          <w:t>3.1.4</w:t>
        </w:r>
        <w:r>
          <w:rPr>
            <w:rFonts w:asciiTheme="minorHAnsi" w:eastAsiaTheme="minorEastAsia" w:hAnsiTheme="minorHAnsi" w:cstheme="minorBidi"/>
            <w:noProof/>
            <w:sz w:val="22"/>
            <w:szCs w:val="22"/>
            <w:lang w:val="en-IE" w:eastAsia="fr-BE"/>
          </w:rPr>
          <w:tab/>
        </w:r>
        <w:r>
          <w:rPr>
            <w:rStyle w:val="Hyperlink"/>
            <w:noProof/>
            <w:lang w:val="en-IE"/>
          </w:rPr>
          <w:t>Euratom loans</w:t>
        </w:r>
        <w:r>
          <w:rPr>
            <w:noProof/>
            <w:webHidden/>
            <w:lang w:val="en-IE"/>
          </w:rPr>
          <w:tab/>
        </w:r>
        <w:r>
          <w:rPr>
            <w:noProof/>
            <w:webHidden/>
            <w:lang w:val="en-IE"/>
          </w:rPr>
          <w:fldChar w:fldCharType="begin"/>
        </w:r>
        <w:r>
          <w:rPr>
            <w:noProof/>
            <w:webHidden/>
            <w:lang w:val="en-IE"/>
          </w:rPr>
          <w:instrText xml:space="preserve"> PAGEREF _Toc18597231 \h </w:instrText>
        </w:r>
        <w:r>
          <w:rPr>
            <w:noProof/>
            <w:webHidden/>
            <w:lang w:val="en-IE"/>
          </w:rPr>
        </w:r>
        <w:r>
          <w:rPr>
            <w:noProof/>
            <w:webHidden/>
            <w:lang w:val="en-IE"/>
          </w:rPr>
          <w:fldChar w:fldCharType="separate"/>
        </w:r>
        <w:r>
          <w:rPr>
            <w:noProof/>
            <w:webHidden/>
            <w:lang w:val="en-IE"/>
          </w:rPr>
          <w:t>12</w:t>
        </w:r>
        <w:r>
          <w:rPr>
            <w:noProof/>
            <w:webHidden/>
            <w:lang w:val="en-IE"/>
          </w:rPr>
          <w:fldChar w:fldCharType="end"/>
        </w:r>
      </w:hyperlink>
    </w:p>
    <w:p>
      <w:pPr>
        <w:pStyle w:val="TOC2"/>
        <w:rPr>
          <w:rFonts w:asciiTheme="minorHAnsi" w:eastAsiaTheme="minorEastAsia" w:hAnsiTheme="minorHAnsi" w:cstheme="minorBidi"/>
          <w:noProof/>
          <w:sz w:val="22"/>
          <w:szCs w:val="22"/>
          <w:lang w:val="en-IE" w:eastAsia="fr-BE"/>
        </w:rPr>
      </w:pPr>
      <w:hyperlink w:anchor="_Toc18597232" w:history="1">
        <w:r>
          <w:rPr>
            <w:rStyle w:val="Hyperlink"/>
            <w:noProof/>
            <w:lang w:val="en-IE"/>
          </w:rPr>
          <w:t>3.2</w:t>
        </w:r>
        <w:r>
          <w:rPr>
            <w:rFonts w:asciiTheme="minorHAnsi" w:eastAsiaTheme="minorEastAsia" w:hAnsiTheme="minorHAnsi" w:cstheme="minorBidi"/>
            <w:noProof/>
            <w:sz w:val="22"/>
            <w:szCs w:val="22"/>
            <w:lang w:val="en-IE" w:eastAsia="fr-BE"/>
          </w:rPr>
          <w:tab/>
        </w:r>
        <w:r>
          <w:rPr>
            <w:rStyle w:val="Hyperlink"/>
            <w:noProof/>
            <w:lang w:val="en-IE"/>
          </w:rPr>
          <w:t>Evolution of the EIB external financing operations</w:t>
        </w:r>
        <w:r>
          <w:rPr>
            <w:noProof/>
            <w:webHidden/>
            <w:lang w:val="en-IE"/>
          </w:rPr>
          <w:tab/>
        </w:r>
        <w:r>
          <w:rPr>
            <w:noProof/>
            <w:webHidden/>
            <w:lang w:val="en-IE"/>
          </w:rPr>
          <w:fldChar w:fldCharType="begin"/>
        </w:r>
        <w:r>
          <w:rPr>
            <w:noProof/>
            <w:webHidden/>
            <w:lang w:val="en-IE"/>
          </w:rPr>
          <w:instrText xml:space="preserve"> PAGEREF _Toc18597232 \h </w:instrText>
        </w:r>
        <w:r>
          <w:rPr>
            <w:noProof/>
            <w:webHidden/>
            <w:lang w:val="en-IE"/>
          </w:rPr>
        </w:r>
        <w:r>
          <w:rPr>
            <w:noProof/>
            <w:webHidden/>
            <w:lang w:val="en-IE"/>
          </w:rPr>
          <w:fldChar w:fldCharType="separate"/>
        </w:r>
        <w:r>
          <w:rPr>
            <w:noProof/>
            <w:webHidden/>
            <w:lang w:val="en-IE"/>
          </w:rPr>
          <w:t>12</w:t>
        </w:r>
        <w:r>
          <w:rPr>
            <w:noProof/>
            <w:webHidden/>
            <w:lang w:val="en-IE"/>
          </w:rPr>
          <w:fldChar w:fldCharType="end"/>
        </w:r>
      </w:hyperlink>
    </w:p>
    <w:p>
      <w:pPr>
        <w:pStyle w:val="TOC1"/>
        <w:rPr>
          <w:rFonts w:asciiTheme="minorHAnsi" w:eastAsiaTheme="minorEastAsia" w:hAnsiTheme="minorHAnsi" w:cstheme="minorBidi"/>
          <w:noProof/>
          <w:sz w:val="22"/>
          <w:szCs w:val="22"/>
          <w:lang w:val="en-IE" w:eastAsia="fr-BE"/>
        </w:rPr>
      </w:pPr>
      <w:hyperlink w:anchor="_Toc18597233" w:history="1">
        <w:r>
          <w:rPr>
            <w:rStyle w:val="Hyperlink"/>
            <w:noProof/>
            <w:lang w:val="en-IE"/>
          </w:rPr>
          <w:t>4.</w:t>
        </w:r>
        <w:r>
          <w:rPr>
            <w:rFonts w:asciiTheme="minorHAnsi" w:eastAsiaTheme="minorEastAsia" w:hAnsiTheme="minorHAnsi" w:cstheme="minorBidi"/>
            <w:noProof/>
            <w:sz w:val="22"/>
            <w:szCs w:val="22"/>
            <w:lang w:val="en-IE" w:eastAsia="fr-BE"/>
          </w:rPr>
          <w:tab/>
        </w:r>
        <w:r>
          <w:rPr>
            <w:rStyle w:val="Hyperlink"/>
            <w:noProof/>
            <w:lang w:val="en-IE"/>
          </w:rPr>
          <w:t>Risks covered by the EU budget</w:t>
        </w:r>
        <w:r>
          <w:rPr>
            <w:noProof/>
            <w:webHidden/>
            <w:lang w:val="en-IE"/>
          </w:rPr>
          <w:tab/>
        </w:r>
        <w:r>
          <w:rPr>
            <w:noProof/>
            <w:webHidden/>
            <w:lang w:val="en-IE"/>
          </w:rPr>
          <w:fldChar w:fldCharType="begin"/>
        </w:r>
        <w:r>
          <w:rPr>
            <w:noProof/>
            <w:webHidden/>
            <w:lang w:val="en-IE"/>
          </w:rPr>
          <w:instrText xml:space="preserve"> PAGEREF _Toc18597233 \h </w:instrText>
        </w:r>
        <w:r>
          <w:rPr>
            <w:noProof/>
            <w:webHidden/>
            <w:lang w:val="en-IE"/>
          </w:rPr>
        </w:r>
        <w:r>
          <w:rPr>
            <w:noProof/>
            <w:webHidden/>
            <w:lang w:val="en-IE"/>
          </w:rPr>
          <w:fldChar w:fldCharType="separate"/>
        </w:r>
        <w:r>
          <w:rPr>
            <w:noProof/>
            <w:webHidden/>
            <w:lang w:val="en-IE"/>
          </w:rPr>
          <w:t>13</w:t>
        </w:r>
        <w:r>
          <w:rPr>
            <w:noProof/>
            <w:webHidden/>
            <w:lang w:val="en-IE"/>
          </w:rPr>
          <w:fldChar w:fldCharType="end"/>
        </w:r>
      </w:hyperlink>
    </w:p>
    <w:p>
      <w:pPr>
        <w:pStyle w:val="TOC2"/>
        <w:rPr>
          <w:rFonts w:asciiTheme="minorHAnsi" w:eastAsiaTheme="minorEastAsia" w:hAnsiTheme="minorHAnsi" w:cstheme="minorBidi"/>
          <w:noProof/>
          <w:sz w:val="22"/>
          <w:szCs w:val="22"/>
          <w:lang w:val="en-IE" w:eastAsia="fr-BE"/>
        </w:rPr>
      </w:pPr>
      <w:hyperlink w:anchor="_Toc18597234" w:history="1">
        <w:r>
          <w:rPr>
            <w:rStyle w:val="Hyperlink"/>
            <w:noProof/>
            <w:lang w:val="en-IE"/>
          </w:rPr>
          <w:t>4.1</w:t>
        </w:r>
        <w:r>
          <w:rPr>
            <w:rFonts w:asciiTheme="minorHAnsi" w:eastAsiaTheme="minorEastAsia" w:hAnsiTheme="minorHAnsi" w:cstheme="minorBidi"/>
            <w:noProof/>
            <w:sz w:val="22"/>
            <w:szCs w:val="22"/>
            <w:lang w:val="en-IE" w:eastAsia="fr-BE"/>
          </w:rPr>
          <w:tab/>
        </w:r>
        <w:r>
          <w:rPr>
            <w:rStyle w:val="Hyperlink"/>
            <w:noProof/>
            <w:lang w:val="en-IE"/>
          </w:rPr>
          <w:t>Definition of risk</w:t>
        </w:r>
        <w:r>
          <w:rPr>
            <w:noProof/>
            <w:webHidden/>
            <w:lang w:val="en-IE"/>
          </w:rPr>
          <w:tab/>
        </w:r>
        <w:r>
          <w:rPr>
            <w:noProof/>
            <w:webHidden/>
            <w:lang w:val="en-IE"/>
          </w:rPr>
          <w:fldChar w:fldCharType="begin"/>
        </w:r>
        <w:r>
          <w:rPr>
            <w:noProof/>
            <w:webHidden/>
            <w:lang w:val="en-IE"/>
          </w:rPr>
          <w:instrText xml:space="preserve"> PAGEREF _Toc18597234 \h </w:instrText>
        </w:r>
        <w:r>
          <w:rPr>
            <w:noProof/>
            <w:webHidden/>
            <w:lang w:val="en-IE"/>
          </w:rPr>
        </w:r>
        <w:r>
          <w:rPr>
            <w:noProof/>
            <w:webHidden/>
            <w:lang w:val="en-IE"/>
          </w:rPr>
          <w:fldChar w:fldCharType="separate"/>
        </w:r>
        <w:r>
          <w:rPr>
            <w:noProof/>
            <w:webHidden/>
            <w:lang w:val="en-IE"/>
          </w:rPr>
          <w:t>13</w:t>
        </w:r>
        <w:r>
          <w:rPr>
            <w:noProof/>
            <w:webHidden/>
            <w:lang w:val="en-IE"/>
          </w:rPr>
          <w:fldChar w:fldCharType="end"/>
        </w:r>
      </w:hyperlink>
    </w:p>
    <w:p>
      <w:pPr>
        <w:pStyle w:val="TOC2"/>
        <w:rPr>
          <w:rFonts w:asciiTheme="minorHAnsi" w:eastAsiaTheme="minorEastAsia" w:hAnsiTheme="minorHAnsi" w:cstheme="minorBidi"/>
          <w:noProof/>
          <w:sz w:val="22"/>
          <w:szCs w:val="22"/>
          <w:lang w:val="en-IE" w:eastAsia="fr-BE"/>
        </w:rPr>
      </w:pPr>
      <w:hyperlink w:anchor="_Toc18597235" w:history="1">
        <w:r>
          <w:rPr>
            <w:rStyle w:val="Hyperlink"/>
            <w:noProof/>
            <w:lang w:val="en-IE"/>
          </w:rPr>
          <w:t>4.2</w:t>
        </w:r>
        <w:r>
          <w:rPr>
            <w:rFonts w:asciiTheme="minorHAnsi" w:eastAsiaTheme="minorEastAsia" w:hAnsiTheme="minorHAnsi" w:cstheme="minorBidi"/>
            <w:noProof/>
            <w:sz w:val="22"/>
            <w:szCs w:val="22"/>
            <w:lang w:val="en-IE" w:eastAsia="fr-BE"/>
          </w:rPr>
          <w:tab/>
        </w:r>
        <w:r>
          <w:rPr>
            <w:rStyle w:val="Hyperlink"/>
            <w:noProof/>
            <w:lang w:val="en-IE"/>
          </w:rPr>
          <w:t>Total risk composition</w:t>
        </w:r>
        <w:r>
          <w:rPr>
            <w:noProof/>
            <w:webHidden/>
            <w:lang w:val="en-IE"/>
          </w:rPr>
          <w:tab/>
        </w:r>
        <w:r>
          <w:rPr>
            <w:noProof/>
            <w:webHidden/>
            <w:lang w:val="en-IE"/>
          </w:rPr>
          <w:fldChar w:fldCharType="begin"/>
        </w:r>
        <w:r>
          <w:rPr>
            <w:noProof/>
            <w:webHidden/>
            <w:lang w:val="en-IE"/>
          </w:rPr>
          <w:instrText xml:space="preserve"> PAGEREF _Toc18597235 \h </w:instrText>
        </w:r>
        <w:r>
          <w:rPr>
            <w:noProof/>
            <w:webHidden/>
            <w:lang w:val="en-IE"/>
          </w:rPr>
        </w:r>
        <w:r>
          <w:rPr>
            <w:noProof/>
            <w:webHidden/>
            <w:lang w:val="en-IE"/>
          </w:rPr>
          <w:fldChar w:fldCharType="separate"/>
        </w:r>
        <w:r>
          <w:rPr>
            <w:noProof/>
            <w:webHidden/>
            <w:lang w:val="en-IE"/>
          </w:rPr>
          <w:t>13</w:t>
        </w:r>
        <w:r>
          <w:rPr>
            <w:noProof/>
            <w:webHidden/>
            <w:lang w:val="en-IE"/>
          </w:rPr>
          <w:fldChar w:fldCharType="end"/>
        </w:r>
      </w:hyperlink>
    </w:p>
    <w:p>
      <w:pPr>
        <w:pStyle w:val="TOC2"/>
        <w:rPr>
          <w:rFonts w:asciiTheme="minorHAnsi" w:eastAsiaTheme="minorEastAsia" w:hAnsiTheme="minorHAnsi" w:cstheme="minorBidi"/>
          <w:noProof/>
          <w:sz w:val="22"/>
          <w:szCs w:val="22"/>
          <w:lang w:val="en-IE" w:eastAsia="fr-BE"/>
        </w:rPr>
      </w:pPr>
      <w:hyperlink w:anchor="_Toc18597236" w:history="1">
        <w:r>
          <w:rPr>
            <w:rStyle w:val="Hyperlink"/>
            <w:noProof/>
            <w:lang w:val="en-IE"/>
          </w:rPr>
          <w:t>4.3</w:t>
        </w:r>
        <w:r>
          <w:rPr>
            <w:rFonts w:asciiTheme="minorHAnsi" w:eastAsiaTheme="minorEastAsia" w:hAnsiTheme="minorHAnsi" w:cstheme="minorBidi"/>
            <w:noProof/>
            <w:sz w:val="22"/>
            <w:szCs w:val="22"/>
            <w:lang w:val="en-IE" w:eastAsia="fr-BE"/>
          </w:rPr>
          <w:tab/>
        </w:r>
        <w:r>
          <w:rPr>
            <w:rStyle w:val="Hyperlink"/>
            <w:noProof/>
            <w:lang w:val="en-IE"/>
          </w:rPr>
          <w:t>Annual risk covered by the EU budget</w:t>
        </w:r>
        <w:r>
          <w:rPr>
            <w:noProof/>
            <w:webHidden/>
            <w:lang w:val="en-IE"/>
          </w:rPr>
          <w:tab/>
        </w:r>
        <w:r>
          <w:rPr>
            <w:noProof/>
            <w:webHidden/>
            <w:lang w:val="en-IE"/>
          </w:rPr>
          <w:fldChar w:fldCharType="begin"/>
        </w:r>
        <w:r>
          <w:rPr>
            <w:noProof/>
            <w:webHidden/>
            <w:lang w:val="en-IE"/>
          </w:rPr>
          <w:instrText xml:space="preserve"> PAGEREF _Toc18597236 \h </w:instrText>
        </w:r>
        <w:r>
          <w:rPr>
            <w:noProof/>
            <w:webHidden/>
            <w:lang w:val="en-IE"/>
          </w:rPr>
        </w:r>
        <w:r>
          <w:rPr>
            <w:noProof/>
            <w:webHidden/>
            <w:lang w:val="en-IE"/>
          </w:rPr>
          <w:fldChar w:fldCharType="separate"/>
        </w:r>
        <w:r>
          <w:rPr>
            <w:noProof/>
            <w:webHidden/>
            <w:lang w:val="en-IE"/>
          </w:rPr>
          <w:t>14</w:t>
        </w:r>
        <w:r>
          <w:rPr>
            <w:noProof/>
            <w:webHidden/>
            <w:lang w:val="en-IE"/>
          </w:rPr>
          <w:fldChar w:fldCharType="end"/>
        </w:r>
      </w:hyperlink>
    </w:p>
    <w:p>
      <w:pPr>
        <w:pStyle w:val="TOC3"/>
        <w:rPr>
          <w:rFonts w:asciiTheme="minorHAnsi" w:eastAsiaTheme="minorEastAsia" w:hAnsiTheme="minorHAnsi" w:cstheme="minorBidi"/>
          <w:noProof/>
          <w:sz w:val="22"/>
          <w:szCs w:val="22"/>
          <w:lang w:val="en-IE" w:eastAsia="fr-BE"/>
        </w:rPr>
      </w:pPr>
      <w:hyperlink w:anchor="_Toc18597237" w:history="1">
        <w:r>
          <w:rPr>
            <w:rStyle w:val="Hyperlink"/>
            <w:noProof/>
            <w:lang w:val="en-IE"/>
          </w:rPr>
          <w:t>4.3.1</w:t>
        </w:r>
        <w:r>
          <w:rPr>
            <w:rFonts w:asciiTheme="minorHAnsi" w:eastAsiaTheme="minorEastAsia" w:hAnsiTheme="minorHAnsi" w:cstheme="minorBidi"/>
            <w:noProof/>
            <w:sz w:val="22"/>
            <w:szCs w:val="22"/>
            <w:lang w:val="en-IE" w:eastAsia="fr-BE"/>
          </w:rPr>
          <w:tab/>
        </w:r>
        <w:r>
          <w:rPr>
            <w:rStyle w:val="Hyperlink"/>
            <w:noProof/>
            <w:lang w:val="en-IE"/>
          </w:rPr>
          <w:t>Member State exposure</w:t>
        </w:r>
        <w:r>
          <w:rPr>
            <w:noProof/>
            <w:webHidden/>
            <w:lang w:val="en-IE"/>
          </w:rPr>
          <w:tab/>
        </w:r>
        <w:r>
          <w:rPr>
            <w:noProof/>
            <w:webHidden/>
            <w:lang w:val="en-IE"/>
          </w:rPr>
          <w:fldChar w:fldCharType="begin"/>
        </w:r>
        <w:r>
          <w:rPr>
            <w:noProof/>
            <w:webHidden/>
            <w:lang w:val="en-IE"/>
          </w:rPr>
          <w:instrText xml:space="preserve"> PAGEREF _Toc18597237 \h </w:instrText>
        </w:r>
        <w:r>
          <w:rPr>
            <w:noProof/>
            <w:webHidden/>
            <w:lang w:val="en-IE"/>
          </w:rPr>
        </w:r>
        <w:r>
          <w:rPr>
            <w:noProof/>
            <w:webHidden/>
            <w:lang w:val="en-IE"/>
          </w:rPr>
          <w:fldChar w:fldCharType="separate"/>
        </w:r>
        <w:r>
          <w:rPr>
            <w:noProof/>
            <w:webHidden/>
            <w:lang w:val="en-IE"/>
          </w:rPr>
          <w:t>14</w:t>
        </w:r>
        <w:r>
          <w:rPr>
            <w:noProof/>
            <w:webHidden/>
            <w:lang w:val="en-IE"/>
          </w:rPr>
          <w:fldChar w:fldCharType="end"/>
        </w:r>
      </w:hyperlink>
    </w:p>
    <w:p>
      <w:pPr>
        <w:pStyle w:val="TOC3"/>
        <w:rPr>
          <w:rFonts w:asciiTheme="minorHAnsi" w:eastAsiaTheme="minorEastAsia" w:hAnsiTheme="minorHAnsi" w:cstheme="minorBidi"/>
          <w:noProof/>
          <w:sz w:val="22"/>
          <w:szCs w:val="22"/>
          <w:lang w:val="en-IE" w:eastAsia="fr-BE"/>
        </w:rPr>
      </w:pPr>
      <w:hyperlink w:anchor="_Toc18597238" w:history="1">
        <w:r>
          <w:rPr>
            <w:rStyle w:val="Hyperlink"/>
            <w:noProof/>
            <w:lang w:val="en-IE"/>
          </w:rPr>
          <w:t>4.3.2</w:t>
        </w:r>
        <w:r>
          <w:rPr>
            <w:rFonts w:asciiTheme="minorHAnsi" w:eastAsiaTheme="minorEastAsia" w:hAnsiTheme="minorHAnsi" w:cstheme="minorBidi"/>
            <w:noProof/>
            <w:sz w:val="22"/>
            <w:szCs w:val="22"/>
            <w:lang w:val="en-IE" w:eastAsia="fr-BE"/>
          </w:rPr>
          <w:tab/>
        </w:r>
        <w:r>
          <w:rPr>
            <w:rStyle w:val="Hyperlink"/>
            <w:noProof/>
            <w:lang w:val="en-IE"/>
          </w:rPr>
          <w:t>Third country exposure</w:t>
        </w:r>
        <w:r>
          <w:rPr>
            <w:noProof/>
            <w:webHidden/>
            <w:lang w:val="en-IE"/>
          </w:rPr>
          <w:tab/>
        </w:r>
        <w:r>
          <w:rPr>
            <w:noProof/>
            <w:webHidden/>
            <w:lang w:val="en-IE"/>
          </w:rPr>
          <w:fldChar w:fldCharType="begin"/>
        </w:r>
        <w:r>
          <w:rPr>
            <w:noProof/>
            <w:webHidden/>
            <w:lang w:val="en-IE"/>
          </w:rPr>
          <w:instrText xml:space="preserve"> PAGEREF _Toc18597238 \h </w:instrText>
        </w:r>
        <w:r>
          <w:rPr>
            <w:noProof/>
            <w:webHidden/>
            <w:lang w:val="en-IE"/>
          </w:rPr>
        </w:r>
        <w:r>
          <w:rPr>
            <w:noProof/>
            <w:webHidden/>
            <w:lang w:val="en-IE"/>
          </w:rPr>
          <w:fldChar w:fldCharType="separate"/>
        </w:r>
        <w:r>
          <w:rPr>
            <w:noProof/>
            <w:webHidden/>
            <w:lang w:val="en-IE"/>
          </w:rPr>
          <w:t>15</w:t>
        </w:r>
        <w:r>
          <w:rPr>
            <w:noProof/>
            <w:webHidden/>
            <w:lang w:val="en-IE"/>
          </w:rPr>
          <w:fldChar w:fldCharType="end"/>
        </w:r>
      </w:hyperlink>
    </w:p>
    <w:p>
      <w:pPr>
        <w:pStyle w:val="TOC1"/>
        <w:rPr>
          <w:rFonts w:asciiTheme="minorHAnsi" w:eastAsiaTheme="minorEastAsia" w:hAnsiTheme="minorHAnsi" w:cstheme="minorBidi"/>
          <w:noProof/>
          <w:sz w:val="22"/>
          <w:szCs w:val="22"/>
          <w:lang w:val="en-IE" w:eastAsia="fr-BE"/>
        </w:rPr>
      </w:pPr>
      <w:hyperlink w:anchor="_Toc18597239" w:history="1">
        <w:r>
          <w:rPr>
            <w:rStyle w:val="Hyperlink"/>
            <w:noProof/>
            <w:lang w:val="en-IE"/>
          </w:rPr>
          <w:t>5.</w:t>
        </w:r>
        <w:r>
          <w:rPr>
            <w:rFonts w:asciiTheme="minorHAnsi" w:eastAsiaTheme="minorEastAsia" w:hAnsiTheme="minorHAnsi" w:cstheme="minorBidi"/>
            <w:noProof/>
            <w:sz w:val="22"/>
            <w:szCs w:val="22"/>
            <w:lang w:val="en-IE" w:eastAsia="fr-BE"/>
          </w:rPr>
          <w:tab/>
        </w:r>
        <w:r>
          <w:rPr>
            <w:rStyle w:val="Hyperlink"/>
            <w:noProof/>
            <w:lang w:val="en-IE"/>
          </w:rPr>
          <w:t>Activation and payment of guarantees</w:t>
        </w:r>
        <w:r>
          <w:rPr>
            <w:noProof/>
            <w:webHidden/>
            <w:lang w:val="en-IE"/>
          </w:rPr>
          <w:tab/>
        </w:r>
        <w:r>
          <w:rPr>
            <w:noProof/>
            <w:webHidden/>
            <w:lang w:val="en-IE"/>
          </w:rPr>
          <w:fldChar w:fldCharType="begin"/>
        </w:r>
        <w:r>
          <w:rPr>
            <w:noProof/>
            <w:webHidden/>
            <w:lang w:val="en-IE"/>
          </w:rPr>
          <w:instrText xml:space="preserve"> PAGEREF _Toc18597239 \h </w:instrText>
        </w:r>
        <w:r>
          <w:rPr>
            <w:noProof/>
            <w:webHidden/>
            <w:lang w:val="en-IE"/>
          </w:rPr>
        </w:r>
        <w:r>
          <w:rPr>
            <w:noProof/>
            <w:webHidden/>
            <w:lang w:val="en-IE"/>
          </w:rPr>
          <w:fldChar w:fldCharType="separate"/>
        </w:r>
        <w:r>
          <w:rPr>
            <w:noProof/>
            <w:webHidden/>
            <w:lang w:val="en-IE"/>
          </w:rPr>
          <w:t>16</w:t>
        </w:r>
        <w:r>
          <w:rPr>
            <w:noProof/>
            <w:webHidden/>
            <w:lang w:val="en-IE"/>
          </w:rPr>
          <w:fldChar w:fldCharType="end"/>
        </w:r>
      </w:hyperlink>
    </w:p>
    <w:p>
      <w:pPr>
        <w:pStyle w:val="TOC2"/>
        <w:rPr>
          <w:rFonts w:asciiTheme="minorHAnsi" w:eastAsiaTheme="minorEastAsia" w:hAnsiTheme="minorHAnsi" w:cstheme="minorBidi"/>
          <w:noProof/>
          <w:sz w:val="22"/>
          <w:szCs w:val="22"/>
          <w:lang w:val="en-IE" w:eastAsia="fr-BE"/>
        </w:rPr>
      </w:pPr>
      <w:hyperlink w:anchor="_Toc18597240" w:history="1">
        <w:r>
          <w:rPr>
            <w:rStyle w:val="Hyperlink"/>
            <w:noProof/>
            <w:lang w:val="en-IE"/>
          </w:rPr>
          <w:t>5.1</w:t>
        </w:r>
        <w:r>
          <w:rPr>
            <w:rFonts w:asciiTheme="minorHAnsi" w:eastAsiaTheme="minorEastAsia" w:hAnsiTheme="minorHAnsi" w:cstheme="minorBidi"/>
            <w:noProof/>
            <w:sz w:val="22"/>
            <w:szCs w:val="22"/>
            <w:lang w:val="en-IE" w:eastAsia="fr-BE"/>
          </w:rPr>
          <w:tab/>
        </w:r>
        <w:r>
          <w:rPr>
            <w:rStyle w:val="Hyperlink"/>
            <w:noProof/>
            <w:lang w:val="en-IE"/>
          </w:rPr>
          <w:t>Debt service not covered by the Guarantee Fund for External Action (Euratom loans to Member States, EFSM and BoP)</w:t>
        </w:r>
        <w:r>
          <w:rPr>
            <w:noProof/>
            <w:webHidden/>
            <w:lang w:val="en-IE"/>
          </w:rPr>
          <w:tab/>
        </w:r>
        <w:r>
          <w:rPr>
            <w:noProof/>
            <w:webHidden/>
            <w:lang w:val="en-IE"/>
          </w:rPr>
          <w:fldChar w:fldCharType="begin"/>
        </w:r>
        <w:r>
          <w:rPr>
            <w:noProof/>
            <w:webHidden/>
            <w:lang w:val="en-IE"/>
          </w:rPr>
          <w:instrText xml:space="preserve"> PAGEREF _Toc18597240 \h </w:instrText>
        </w:r>
        <w:r>
          <w:rPr>
            <w:noProof/>
            <w:webHidden/>
            <w:lang w:val="en-IE"/>
          </w:rPr>
        </w:r>
        <w:r>
          <w:rPr>
            <w:noProof/>
            <w:webHidden/>
            <w:lang w:val="en-IE"/>
          </w:rPr>
          <w:fldChar w:fldCharType="separate"/>
        </w:r>
        <w:r>
          <w:rPr>
            <w:noProof/>
            <w:webHidden/>
            <w:lang w:val="en-IE"/>
          </w:rPr>
          <w:t>16</w:t>
        </w:r>
        <w:r>
          <w:rPr>
            <w:noProof/>
            <w:webHidden/>
            <w:lang w:val="en-IE"/>
          </w:rPr>
          <w:fldChar w:fldCharType="end"/>
        </w:r>
      </w:hyperlink>
    </w:p>
    <w:p>
      <w:pPr>
        <w:pStyle w:val="TOC3"/>
        <w:rPr>
          <w:rFonts w:asciiTheme="minorHAnsi" w:eastAsiaTheme="minorEastAsia" w:hAnsiTheme="minorHAnsi" w:cstheme="minorBidi"/>
          <w:noProof/>
          <w:sz w:val="22"/>
          <w:szCs w:val="22"/>
          <w:lang w:val="en-IE" w:eastAsia="fr-BE"/>
        </w:rPr>
      </w:pPr>
      <w:hyperlink w:anchor="_Toc18597241" w:history="1">
        <w:r>
          <w:rPr>
            <w:rStyle w:val="Hyperlink"/>
            <w:noProof/>
            <w:lang w:val="en-IE"/>
          </w:rPr>
          <w:t>5.1.1</w:t>
        </w:r>
        <w:r>
          <w:rPr>
            <w:rFonts w:asciiTheme="minorHAnsi" w:eastAsiaTheme="minorEastAsia" w:hAnsiTheme="minorHAnsi" w:cstheme="minorBidi"/>
            <w:noProof/>
            <w:sz w:val="22"/>
            <w:szCs w:val="22"/>
            <w:lang w:val="en-IE" w:eastAsia="fr-BE"/>
          </w:rPr>
          <w:tab/>
        </w:r>
        <w:r>
          <w:rPr>
            <w:rStyle w:val="Hyperlink"/>
            <w:noProof/>
            <w:lang w:val="en-IE"/>
          </w:rPr>
          <w:t>Payments from cash resources</w:t>
        </w:r>
        <w:r>
          <w:rPr>
            <w:noProof/>
            <w:webHidden/>
            <w:lang w:val="en-IE"/>
          </w:rPr>
          <w:tab/>
        </w:r>
        <w:r>
          <w:rPr>
            <w:noProof/>
            <w:webHidden/>
            <w:lang w:val="en-IE"/>
          </w:rPr>
          <w:fldChar w:fldCharType="begin"/>
        </w:r>
        <w:r>
          <w:rPr>
            <w:noProof/>
            <w:webHidden/>
            <w:lang w:val="en-IE"/>
          </w:rPr>
          <w:instrText xml:space="preserve"> PAGEREF _Toc18597241 \h </w:instrText>
        </w:r>
        <w:r>
          <w:rPr>
            <w:noProof/>
            <w:webHidden/>
            <w:lang w:val="en-IE"/>
          </w:rPr>
        </w:r>
        <w:r>
          <w:rPr>
            <w:noProof/>
            <w:webHidden/>
            <w:lang w:val="en-IE"/>
          </w:rPr>
          <w:fldChar w:fldCharType="separate"/>
        </w:r>
        <w:r>
          <w:rPr>
            <w:noProof/>
            <w:webHidden/>
            <w:lang w:val="en-IE"/>
          </w:rPr>
          <w:t>17</w:t>
        </w:r>
        <w:r>
          <w:rPr>
            <w:noProof/>
            <w:webHidden/>
            <w:lang w:val="en-IE"/>
          </w:rPr>
          <w:fldChar w:fldCharType="end"/>
        </w:r>
      </w:hyperlink>
    </w:p>
    <w:p>
      <w:pPr>
        <w:pStyle w:val="TOC3"/>
        <w:rPr>
          <w:rFonts w:asciiTheme="minorHAnsi" w:eastAsiaTheme="minorEastAsia" w:hAnsiTheme="minorHAnsi" w:cstheme="minorBidi"/>
          <w:noProof/>
          <w:sz w:val="22"/>
          <w:szCs w:val="22"/>
          <w:lang w:val="en-IE" w:eastAsia="fr-BE"/>
        </w:rPr>
      </w:pPr>
      <w:hyperlink w:anchor="_Toc18597242" w:history="1">
        <w:r>
          <w:rPr>
            <w:rStyle w:val="Hyperlink"/>
            <w:noProof/>
            <w:lang w:val="en-IE"/>
          </w:rPr>
          <w:t>5.1.2</w:t>
        </w:r>
        <w:r>
          <w:rPr>
            <w:rFonts w:asciiTheme="minorHAnsi" w:eastAsiaTheme="minorEastAsia" w:hAnsiTheme="minorHAnsi" w:cstheme="minorBidi"/>
            <w:noProof/>
            <w:sz w:val="22"/>
            <w:szCs w:val="22"/>
            <w:lang w:val="en-IE" w:eastAsia="fr-BE"/>
          </w:rPr>
          <w:tab/>
        </w:r>
        <w:r>
          <w:rPr>
            <w:rStyle w:val="Hyperlink"/>
            <w:noProof/>
            <w:lang w:val="en-IE"/>
          </w:rPr>
          <w:t>Payments from the EU budget</w:t>
        </w:r>
        <w:r>
          <w:rPr>
            <w:noProof/>
            <w:webHidden/>
            <w:lang w:val="en-IE"/>
          </w:rPr>
          <w:tab/>
        </w:r>
        <w:r>
          <w:rPr>
            <w:noProof/>
            <w:webHidden/>
            <w:lang w:val="en-IE"/>
          </w:rPr>
          <w:fldChar w:fldCharType="begin"/>
        </w:r>
        <w:r>
          <w:rPr>
            <w:noProof/>
            <w:webHidden/>
            <w:lang w:val="en-IE"/>
          </w:rPr>
          <w:instrText xml:space="preserve"> PAGEREF _Toc18597242 \h </w:instrText>
        </w:r>
        <w:r>
          <w:rPr>
            <w:noProof/>
            <w:webHidden/>
            <w:lang w:val="en-IE"/>
          </w:rPr>
        </w:r>
        <w:r>
          <w:rPr>
            <w:noProof/>
            <w:webHidden/>
            <w:lang w:val="en-IE"/>
          </w:rPr>
          <w:fldChar w:fldCharType="separate"/>
        </w:r>
        <w:r>
          <w:rPr>
            <w:noProof/>
            <w:webHidden/>
            <w:lang w:val="en-IE"/>
          </w:rPr>
          <w:t>17</w:t>
        </w:r>
        <w:r>
          <w:rPr>
            <w:noProof/>
            <w:webHidden/>
            <w:lang w:val="en-IE"/>
          </w:rPr>
          <w:fldChar w:fldCharType="end"/>
        </w:r>
      </w:hyperlink>
    </w:p>
    <w:p>
      <w:pPr>
        <w:pStyle w:val="TOC3"/>
        <w:rPr>
          <w:rFonts w:asciiTheme="minorHAnsi" w:eastAsiaTheme="minorEastAsia" w:hAnsiTheme="minorHAnsi" w:cstheme="minorBidi"/>
          <w:noProof/>
          <w:sz w:val="22"/>
          <w:szCs w:val="22"/>
          <w:lang w:val="en-IE" w:eastAsia="fr-BE"/>
        </w:rPr>
      </w:pPr>
      <w:hyperlink w:anchor="_Toc18597243" w:history="1">
        <w:r>
          <w:rPr>
            <w:rStyle w:val="Hyperlink"/>
            <w:b/>
            <w:noProof/>
            <w:lang w:val="en-IE"/>
          </w:rPr>
          <w:t>5.2</w:t>
        </w:r>
        <w:r>
          <w:rPr>
            <w:rFonts w:asciiTheme="minorHAnsi" w:eastAsiaTheme="minorEastAsia" w:hAnsiTheme="minorHAnsi" w:cstheme="minorBidi"/>
            <w:noProof/>
            <w:sz w:val="22"/>
            <w:szCs w:val="22"/>
            <w:lang w:val="en-IE" w:eastAsia="fr-BE"/>
          </w:rPr>
          <w:tab/>
        </w:r>
        <w:r>
          <w:rPr>
            <w:rStyle w:val="Hyperlink"/>
            <w:b/>
            <w:noProof/>
            <w:lang w:val="en-IE"/>
          </w:rPr>
          <w:t>Calls on the Guarantee Fund for External Actions and recoveries (ELM, MFA and Euratom loans to Third countries)</w:t>
        </w:r>
        <w:r>
          <w:rPr>
            <w:noProof/>
            <w:webHidden/>
            <w:lang w:val="en-IE"/>
          </w:rPr>
          <w:tab/>
        </w:r>
        <w:r>
          <w:rPr>
            <w:noProof/>
            <w:webHidden/>
            <w:lang w:val="en-IE"/>
          </w:rPr>
          <w:fldChar w:fldCharType="begin"/>
        </w:r>
        <w:r>
          <w:rPr>
            <w:noProof/>
            <w:webHidden/>
            <w:lang w:val="en-IE"/>
          </w:rPr>
          <w:instrText xml:space="preserve"> PAGEREF _Toc18597243 \h </w:instrText>
        </w:r>
        <w:r>
          <w:rPr>
            <w:noProof/>
            <w:webHidden/>
            <w:lang w:val="en-IE"/>
          </w:rPr>
        </w:r>
        <w:r>
          <w:rPr>
            <w:noProof/>
            <w:webHidden/>
            <w:lang w:val="en-IE"/>
          </w:rPr>
          <w:fldChar w:fldCharType="separate"/>
        </w:r>
        <w:r>
          <w:rPr>
            <w:noProof/>
            <w:webHidden/>
            <w:lang w:val="en-IE"/>
          </w:rPr>
          <w:t>17</w:t>
        </w:r>
        <w:r>
          <w:rPr>
            <w:noProof/>
            <w:webHidden/>
            <w:lang w:val="en-IE"/>
          </w:rPr>
          <w:fldChar w:fldCharType="end"/>
        </w:r>
      </w:hyperlink>
    </w:p>
    <w:p>
      <w:pPr>
        <w:pStyle w:val="TOC2"/>
        <w:rPr>
          <w:rFonts w:asciiTheme="minorHAnsi" w:eastAsiaTheme="minorEastAsia" w:hAnsiTheme="minorHAnsi" w:cstheme="minorBidi"/>
          <w:noProof/>
          <w:sz w:val="22"/>
          <w:szCs w:val="22"/>
          <w:lang w:val="en-IE" w:eastAsia="fr-BE"/>
        </w:rPr>
      </w:pPr>
      <w:hyperlink w:anchor="_Toc18597244" w:history="1">
        <w:r>
          <w:rPr>
            <w:rStyle w:val="Hyperlink"/>
            <w:noProof/>
            <w:lang w:val="en-IE"/>
          </w:rPr>
          <w:t>5.3</w:t>
        </w:r>
        <w:r>
          <w:rPr>
            <w:rFonts w:asciiTheme="minorHAnsi" w:eastAsiaTheme="minorEastAsia" w:hAnsiTheme="minorHAnsi" w:cstheme="minorBidi"/>
            <w:noProof/>
            <w:sz w:val="22"/>
            <w:szCs w:val="22"/>
            <w:lang w:val="en-IE" w:eastAsia="fr-BE"/>
          </w:rPr>
          <w:tab/>
        </w:r>
        <w:r>
          <w:rPr>
            <w:rStyle w:val="Hyperlink"/>
            <w:noProof/>
            <w:lang w:val="en-IE"/>
          </w:rPr>
          <w:t>Evolution of the Fund</w:t>
        </w:r>
        <w:r>
          <w:rPr>
            <w:noProof/>
            <w:webHidden/>
            <w:lang w:val="en-IE"/>
          </w:rPr>
          <w:tab/>
        </w:r>
        <w:r>
          <w:rPr>
            <w:noProof/>
            <w:webHidden/>
            <w:lang w:val="en-IE"/>
          </w:rPr>
          <w:fldChar w:fldCharType="begin"/>
        </w:r>
        <w:r>
          <w:rPr>
            <w:noProof/>
            <w:webHidden/>
            <w:lang w:val="en-IE"/>
          </w:rPr>
          <w:instrText xml:space="preserve"> PAGEREF _Toc18597244 \h </w:instrText>
        </w:r>
        <w:r>
          <w:rPr>
            <w:noProof/>
            <w:webHidden/>
            <w:lang w:val="en-IE"/>
          </w:rPr>
        </w:r>
        <w:r>
          <w:rPr>
            <w:noProof/>
            <w:webHidden/>
            <w:lang w:val="en-IE"/>
          </w:rPr>
          <w:fldChar w:fldCharType="separate"/>
        </w:r>
        <w:r>
          <w:rPr>
            <w:noProof/>
            <w:webHidden/>
            <w:lang w:val="en-IE"/>
          </w:rPr>
          <w:t>19</w:t>
        </w:r>
        <w:r>
          <w:rPr>
            <w:noProof/>
            <w:webHidden/>
            <w:lang w:val="en-IE"/>
          </w:rPr>
          <w:fldChar w:fldCharType="end"/>
        </w:r>
      </w:hyperlink>
    </w:p>
    <w:p>
      <w:pPr>
        <w:pStyle w:val="TOC1"/>
        <w:rPr>
          <w:rFonts w:asciiTheme="minorHAnsi" w:eastAsiaTheme="minorEastAsia" w:hAnsiTheme="minorHAnsi" w:cstheme="minorBidi"/>
          <w:noProof/>
          <w:sz w:val="22"/>
          <w:szCs w:val="22"/>
          <w:lang w:val="en-IE" w:eastAsia="fr-BE"/>
        </w:rPr>
      </w:pPr>
      <w:hyperlink w:anchor="_Toc18597245" w:history="1">
        <w:r>
          <w:rPr>
            <w:rStyle w:val="Hyperlink"/>
            <w:noProof/>
            <w:lang w:val="en-IE"/>
          </w:rPr>
          <w:t>6.</w:t>
        </w:r>
        <w:r>
          <w:rPr>
            <w:rFonts w:asciiTheme="minorHAnsi" w:eastAsiaTheme="minorEastAsia" w:hAnsiTheme="minorHAnsi" w:cstheme="minorBidi"/>
            <w:noProof/>
            <w:sz w:val="22"/>
            <w:szCs w:val="22"/>
            <w:lang w:val="en-IE" w:eastAsia="fr-BE"/>
          </w:rPr>
          <w:tab/>
        </w:r>
        <w:r>
          <w:rPr>
            <w:rStyle w:val="Hyperlink"/>
            <w:noProof/>
            <w:lang w:val="en-IE"/>
          </w:rPr>
          <w:t>The European Fund for Strategic Investments (EFSI)</w:t>
        </w:r>
        <w:r>
          <w:rPr>
            <w:noProof/>
            <w:webHidden/>
            <w:lang w:val="en-IE"/>
          </w:rPr>
          <w:tab/>
        </w:r>
        <w:r>
          <w:rPr>
            <w:noProof/>
            <w:webHidden/>
            <w:lang w:val="en-IE"/>
          </w:rPr>
          <w:fldChar w:fldCharType="begin"/>
        </w:r>
        <w:r>
          <w:rPr>
            <w:noProof/>
            <w:webHidden/>
            <w:lang w:val="en-IE"/>
          </w:rPr>
          <w:instrText xml:space="preserve"> PAGEREF _Toc18597245 \h </w:instrText>
        </w:r>
        <w:r>
          <w:rPr>
            <w:noProof/>
            <w:webHidden/>
            <w:lang w:val="en-IE"/>
          </w:rPr>
        </w:r>
        <w:r>
          <w:rPr>
            <w:noProof/>
            <w:webHidden/>
            <w:lang w:val="en-IE"/>
          </w:rPr>
          <w:fldChar w:fldCharType="separate"/>
        </w:r>
        <w:r>
          <w:rPr>
            <w:noProof/>
            <w:webHidden/>
            <w:lang w:val="en-IE"/>
          </w:rPr>
          <w:t>20</w:t>
        </w:r>
        <w:r>
          <w:rPr>
            <w:noProof/>
            <w:webHidden/>
            <w:lang w:val="en-IE"/>
          </w:rPr>
          <w:fldChar w:fldCharType="end"/>
        </w:r>
      </w:hyperlink>
    </w:p>
    <w:p>
      <w:pPr>
        <w:pStyle w:val="TOC1"/>
        <w:rPr>
          <w:rFonts w:asciiTheme="minorHAnsi" w:eastAsiaTheme="minorEastAsia" w:hAnsiTheme="minorHAnsi" w:cstheme="minorBidi"/>
          <w:noProof/>
          <w:sz w:val="22"/>
          <w:szCs w:val="22"/>
          <w:lang w:val="en-IE" w:eastAsia="fr-BE"/>
        </w:rPr>
      </w:pPr>
      <w:hyperlink w:anchor="_Toc18597246" w:history="1">
        <w:r>
          <w:rPr>
            <w:rStyle w:val="Hyperlink"/>
            <w:noProof/>
            <w:lang w:val="en-IE"/>
          </w:rPr>
          <w:t>7.</w:t>
        </w:r>
        <w:r>
          <w:rPr>
            <w:rFonts w:asciiTheme="minorHAnsi" w:eastAsiaTheme="minorEastAsia" w:hAnsiTheme="minorHAnsi" w:cstheme="minorBidi"/>
            <w:noProof/>
            <w:sz w:val="22"/>
            <w:szCs w:val="22"/>
            <w:lang w:val="en-IE" w:eastAsia="fr-BE"/>
          </w:rPr>
          <w:tab/>
        </w:r>
        <w:r>
          <w:rPr>
            <w:rStyle w:val="Hyperlink"/>
            <w:noProof/>
            <w:lang w:val="en-IE"/>
          </w:rPr>
          <w:t>European Fund for Sustainable Development (EFSD)</w:t>
        </w:r>
        <w:r>
          <w:rPr>
            <w:rStyle w:val="Hyperlink"/>
            <w:noProof/>
            <w:vertAlign w:val="superscript"/>
            <w:lang w:val="en-IE" w:eastAsia="en-GB"/>
          </w:rPr>
          <w:t xml:space="preserve"> </w:t>
        </w:r>
        <w:r>
          <w:rPr>
            <w:noProof/>
            <w:webHidden/>
            <w:lang w:val="en-IE"/>
          </w:rPr>
          <w:tab/>
        </w:r>
        <w:r>
          <w:rPr>
            <w:noProof/>
            <w:webHidden/>
            <w:lang w:val="en-IE"/>
          </w:rPr>
          <w:fldChar w:fldCharType="begin"/>
        </w:r>
        <w:r>
          <w:rPr>
            <w:noProof/>
            <w:webHidden/>
            <w:lang w:val="en-IE"/>
          </w:rPr>
          <w:instrText xml:space="preserve"> PAGEREF _Toc18597246 \h </w:instrText>
        </w:r>
        <w:r>
          <w:rPr>
            <w:noProof/>
            <w:webHidden/>
            <w:lang w:val="en-IE"/>
          </w:rPr>
        </w:r>
        <w:r>
          <w:rPr>
            <w:noProof/>
            <w:webHidden/>
            <w:lang w:val="en-IE"/>
          </w:rPr>
          <w:fldChar w:fldCharType="separate"/>
        </w:r>
        <w:r>
          <w:rPr>
            <w:noProof/>
            <w:webHidden/>
            <w:lang w:val="en-IE"/>
          </w:rPr>
          <w:t>22</w:t>
        </w:r>
        <w:r>
          <w:rPr>
            <w:noProof/>
            <w:webHidden/>
            <w:lang w:val="en-IE"/>
          </w:rPr>
          <w:fldChar w:fldCharType="end"/>
        </w:r>
      </w:hyperlink>
    </w:p>
    <w:p>
      <w:pPr>
        <w:pStyle w:val="TOC2"/>
        <w:rPr>
          <w:rFonts w:asciiTheme="minorHAnsi" w:eastAsiaTheme="minorEastAsia" w:hAnsiTheme="minorHAnsi" w:cstheme="minorBidi"/>
          <w:noProof/>
          <w:sz w:val="22"/>
          <w:szCs w:val="22"/>
          <w:lang w:val="en-IE" w:eastAsia="fr-BE"/>
        </w:rPr>
      </w:pPr>
      <w:hyperlink w:anchor="_Toc18597247" w:history="1">
        <w:r>
          <w:rPr>
            <w:rStyle w:val="Hyperlink"/>
            <w:noProof/>
            <w:lang w:val="en-IE"/>
          </w:rPr>
          <w:t>7.1</w:t>
        </w:r>
        <w:r>
          <w:rPr>
            <w:rFonts w:asciiTheme="minorHAnsi" w:eastAsiaTheme="minorEastAsia" w:hAnsiTheme="minorHAnsi" w:cstheme="minorBidi"/>
            <w:noProof/>
            <w:sz w:val="22"/>
            <w:szCs w:val="22"/>
            <w:lang w:val="en-IE" w:eastAsia="fr-BE"/>
          </w:rPr>
          <w:tab/>
        </w:r>
        <w:r>
          <w:rPr>
            <w:rStyle w:val="Hyperlink"/>
            <w:noProof/>
            <w:lang w:val="en-IE"/>
          </w:rPr>
          <w:t>About the EFSD Guarantee</w:t>
        </w:r>
        <w:r>
          <w:rPr>
            <w:noProof/>
            <w:webHidden/>
            <w:lang w:val="en-IE"/>
          </w:rPr>
          <w:tab/>
        </w:r>
        <w:r>
          <w:rPr>
            <w:noProof/>
            <w:webHidden/>
            <w:lang w:val="en-IE"/>
          </w:rPr>
          <w:fldChar w:fldCharType="begin"/>
        </w:r>
        <w:r>
          <w:rPr>
            <w:noProof/>
            <w:webHidden/>
            <w:lang w:val="en-IE"/>
          </w:rPr>
          <w:instrText xml:space="preserve"> PAGEREF _Toc18597247 \h </w:instrText>
        </w:r>
        <w:r>
          <w:rPr>
            <w:noProof/>
            <w:webHidden/>
            <w:lang w:val="en-IE"/>
          </w:rPr>
        </w:r>
        <w:r>
          <w:rPr>
            <w:noProof/>
            <w:webHidden/>
            <w:lang w:val="en-IE"/>
          </w:rPr>
          <w:fldChar w:fldCharType="separate"/>
        </w:r>
        <w:r>
          <w:rPr>
            <w:noProof/>
            <w:webHidden/>
            <w:lang w:val="en-IE"/>
          </w:rPr>
          <w:t>23</w:t>
        </w:r>
        <w:r>
          <w:rPr>
            <w:noProof/>
            <w:webHidden/>
            <w:lang w:val="en-IE"/>
          </w:rPr>
          <w:fldChar w:fldCharType="end"/>
        </w:r>
      </w:hyperlink>
    </w:p>
    <w:p>
      <w:pPr>
        <w:pStyle w:val="TOC2"/>
        <w:rPr>
          <w:rFonts w:asciiTheme="minorHAnsi" w:eastAsiaTheme="minorEastAsia" w:hAnsiTheme="minorHAnsi" w:cstheme="minorBidi"/>
          <w:noProof/>
          <w:sz w:val="22"/>
          <w:szCs w:val="22"/>
          <w:lang w:val="en-IE" w:eastAsia="fr-BE"/>
        </w:rPr>
      </w:pPr>
      <w:hyperlink w:anchor="_Toc18597248" w:history="1">
        <w:r>
          <w:rPr>
            <w:rStyle w:val="Hyperlink"/>
            <w:noProof/>
            <w:lang w:val="en-IE"/>
          </w:rPr>
          <w:t>7.2</w:t>
        </w:r>
        <w:r>
          <w:rPr>
            <w:rFonts w:asciiTheme="minorHAnsi" w:eastAsiaTheme="minorEastAsia" w:hAnsiTheme="minorHAnsi" w:cstheme="minorBidi"/>
            <w:noProof/>
            <w:sz w:val="22"/>
            <w:szCs w:val="22"/>
            <w:lang w:val="en-IE" w:eastAsia="fr-BE"/>
          </w:rPr>
          <w:tab/>
        </w:r>
        <w:r>
          <w:rPr>
            <w:rStyle w:val="Hyperlink"/>
            <w:noProof/>
            <w:lang w:val="en-IE"/>
          </w:rPr>
          <w:t>The EFSD Guarantee Fund</w:t>
        </w:r>
        <w:r>
          <w:rPr>
            <w:noProof/>
            <w:webHidden/>
            <w:lang w:val="en-IE"/>
          </w:rPr>
          <w:tab/>
        </w:r>
        <w:r>
          <w:rPr>
            <w:noProof/>
            <w:webHidden/>
            <w:lang w:val="en-IE"/>
          </w:rPr>
          <w:fldChar w:fldCharType="begin"/>
        </w:r>
        <w:r>
          <w:rPr>
            <w:noProof/>
            <w:webHidden/>
            <w:lang w:val="en-IE"/>
          </w:rPr>
          <w:instrText xml:space="preserve"> PAGEREF _Toc18597248 \h </w:instrText>
        </w:r>
        <w:r>
          <w:rPr>
            <w:noProof/>
            <w:webHidden/>
            <w:lang w:val="en-IE"/>
          </w:rPr>
        </w:r>
        <w:r>
          <w:rPr>
            <w:noProof/>
            <w:webHidden/>
            <w:lang w:val="en-IE"/>
          </w:rPr>
          <w:fldChar w:fldCharType="separate"/>
        </w:r>
        <w:r>
          <w:rPr>
            <w:noProof/>
            <w:webHidden/>
            <w:lang w:val="en-IE"/>
          </w:rPr>
          <w:t>23</w:t>
        </w:r>
        <w:r>
          <w:rPr>
            <w:noProof/>
            <w:webHidden/>
            <w:lang w:val="en-IE"/>
          </w:rPr>
          <w:fldChar w:fldCharType="end"/>
        </w:r>
      </w:hyperlink>
    </w:p>
    <w:p>
      <w:pPr>
        <w:rPr>
          <w:noProof/>
          <w:lang w:val="en-IE"/>
        </w:rPr>
      </w:pPr>
      <w:r>
        <w:rPr>
          <w:b/>
          <w:noProof/>
          <w:color w:val="00B050"/>
          <w:lang w:val="en-IE"/>
        </w:rPr>
        <w:fldChar w:fldCharType="end"/>
      </w:r>
    </w:p>
    <w:p>
      <w:pPr>
        <w:rPr>
          <w:noProof/>
          <w:lang w:val="en-IE"/>
        </w:rPr>
      </w:pPr>
    </w:p>
    <w:p>
      <w:pPr>
        <w:rPr>
          <w:noProof/>
          <w:lang w:val="en-IE"/>
        </w:rPr>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pgNumType w:start="1"/>
          <w:cols w:space="708"/>
          <w:docGrid w:linePitch="360"/>
        </w:sectPr>
      </w:pPr>
    </w:p>
    <w:p>
      <w:pPr>
        <w:pStyle w:val="ManualHeading1"/>
        <w:tabs>
          <w:tab w:val="clear" w:pos="850"/>
          <w:tab w:val="left" w:pos="567"/>
        </w:tabs>
        <w:ind w:left="851" w:hanging="851"/>
        <w:rPr>
          <w:noProof/>
          <w:lang w:val="en-IE"/>
        </w:rPr>
      </w:pPr>
      <w:bookmarkStart w:id="2" w:name="_Toc309831354"/>
      <w:bookmarkStart w:id="3" w:name="_Toc329261054"/>
      <w:bookmarkStart w:id="4" w:name="_Toc329855616"/>
      <w:bookmarkStart w:id="5" w:name="_Toc330551221"/>
      <w:bookmarkStart w:id="6" w:name="_Toc342470144"/>
      <w:bookmarkStart w:id="7" w:name="_Toc345073694"/>
      <w:bookmarkStart w:id="8" w:name="_Toc365986211"/>
      <w:bookmarkStart w:id="9" w:name="_Toc367869464"/>
      <w:bookmarkStart w:id="10" w:name="_Toc367869991"/>
      <w:bookmarkStart w:id="11" w:name="_Toc388973009"/>
      <w:bookmarkStart w:id="12" w:name="_Toc389474742"/>
      <w:bookmarkStart w:id="13" w:name="_Toc390944385"/>
      <w:bookmarkStart w:id="14" w:name="_Toc393969956"/>
      <w:bookmarkStart w:id="15" w:name="_Toc417461963"/>
      <w:bookmarkStart w:id="16" w:name="_Toc417998597"/>
      <w:bookmarkStart w:id="17" w:name="_Toc418157623"/>
      <w:bookmarkStart w:id="18" w:name="_Toc418160304"/>
      <w:bookmarkStart w:id="19" w:name="_Toc446577171"/>
      <w:bookmarkStart w:id="20" w:name="_Toc452646717"/>
      <w:bookmarkStart w:id="21" w:name="_Toc453161356"/>
      <w:bookmarkStart w:id="22" w:name="_Toc486601259"/>
      <w:bookmarkStart w:id="23" w:name="_Toc18597219"/>
      <w:r>
        <w:rPr>
          <w:noProof/>
          <w:lang w:val="en-IE"/>
        </w:rPr>
        <w:lastRenderedPageBreak/>
        <w:t>1.</w:t>
      </w:r>
      <w:r>
        <w:rPr>
          <w:noProof/>
          <w:lang w:val="en-IE"/>
        </w:rPr>
        <w:tab/>
        <w:t>Introduction</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pPr>
        <w:rPr>
          <w:noProof/>
          <w:lang w:val="en-IE"/>
        </w:rPr>
      </w:pPr>
      <w:r>
        <w:rPr>
          <w:noProof/>
          <w:lang w:val="en-IE"/>
        </w:rPr>
        <w:t>The objective of this report is to monitor the credit risks borne by the EU budget resulting from the guarantees given for lending operations implemented directly by the European Union or indirectly through the guarantee granted for EIB financing projects outside the Union.</w:t>
      </w:r>
    </w:p>
    <w:p>
      <w:pPr>
        <w:rPr>
          <w:noProof/>
          <w:lang w:val="en-IE"/>
        </w:rPr>
      </w:pPr>
      <w:r>
        <w:rPr>
          <w:noProof/>
          <w:lang w:val="en-IE"/>
        </w:rPr>
        <w:t>This report is submitted pursuant to Article 149 of the previous Financial Regulation</w:t>
      </w:r>
      <w:r>
        <w:rPr>
          <w:noProof/>
          <w:vertAlign w:val="superscript"/>
          <w:lang w:val="en-IE"/>
        </w:rPr>
        <w:footnoteReference w:id="2"/>
      </w:r>
      <w:r>
        <w:rPr>
          <w:noProof/>
          <w:lang w:val="en-IE"/>
        </w:rPr>
        <w:t xml:space="preserve"> which was still applicable for part of 2018. Hence, this report on EU budget guarantees and the corresponding risks for the year 2018 is submitted for the last time and will be replaced by the future reporting scheme foreseen in the new Financial Regulation. </w:t>
      </w:r>
    </w:p>
    <w:p>
      <w:pPr>
        <w:rPr>
          <w:noProof/>
          <w:lang w:val="en-IE"/>
        </w:rPr>
      </w:pPr>
      <w:r>
        <w:rPr>
          <w:noProof/>
          <w:lang w:val="en-IE"/>
        </w:rPr>
        <w:t>The report is structured as follows: Section 2 recalls the key features of the operations guaranteed by the EU budget; several other additional crisis management mechanisms, which do not imply any risk for the EU budget, are also presented. Section 3 lays out the evolution of the guaranteed operations. Section 4 highlights the main risks covered by the EU budget. Section 5 outlines the activation of the guarantees and the evolution of the Guarantee Fund for external actions ("the Fund")</w:t>
      </w:r>
      <w:r>
        <w:rPr>
          <w:noProof/>
          <w:vertAlign w:val="superscript"/>
          <w:lang w:val="en-IE"/>
        </w:rPr>
        <w:footnoteReference w:id="3"/>
      </w:r>
      <w:r>
        <w:rPr>
          <w:noProof/>
          <w:lang w:val="en-IE"/>
        </w:rPr>
        <w:t xml:space="preserve"> while section 6 outlines the evolution of the European Fund for Strategic Investments (EFSI)</w:t>
      </w:r>
      <w:r>
        <w:rPr>
          <w:rStyle w:val="FootnoteReference"/>
          <w:noProof/>
          <w:lang w:val="en-IE"/>
        </w:rPr>
        <w:footnoteReference w:id="4"/>
      </w:r>
      <w:r>
        <w:rPr>
          <w:noProof/>
          <w:lang w:val="en-IE"/>
        </w:rPr>
        <w:t>.</w:t>
      </w:r>
    </w:p>
    <w:p>
      <w:pPr>
        <w:rPr>
          <w:noProof/>
          <w:lang w:val="en-IE"/>
        </w:rPr>
      </w:pPr>
      <w:r>
        <w:rPr>
          <w:noProof/>
          <w:lang w:val="en-IE"/>
        </w:rPr>
        <w:t>A Commission Staff Working Document (SWD) complements this report with a set of detailed tables and explanatory notes. It also provides a macroeconomic analysis of the countries benefitting from EU loans and/or guarantees, representing the bulk of the exposure of the Fund.</w:t>
      </w:r>
    </w:p>
    <w:p>
      <w:pPr>
        <w:pStyle w:val="ManualHeading1"/>
        <w:tabs>
          <w:tab w:val="clear" w:pos="850"/>
        </w:tabs>
        <w:ind w:left="567" w:hanging="567"/>
        <w:rPr>
          <w:noProof/>
          <w:lang w:val="en-IE"/>
        </w:rPr>
      </w:pPr>
      <w:bookmarkStart w:id="24" w:name="_Toc309831355"/>
      <w:bookmarkStart w:id="25" w:name="_Toc329261055"/>
      <w:bookmarkStart w:id="26" w:name="_Toc329855617"/>
      <w:bookmarkStart w:id="27" w:name="_Toc330551222"/>
      <w:bookmarkStart w:id="28" w:name="_Toc342470145"/>
      <w:bookmarkStart w:id="29" w:name="_Toc345073695"/>
      <w:bookmarkStart w:id="30" w:name="_Toc365986212"/>
      <w:bookmarkStart w:id="31" w:name="_Toc367869465"/>
      <w:bookmarkStart w:id="32" w:name="_Toc367869992"/>
      <w:bookmarkStart w:id="33" w:name="_Toc388973010"/>
      <w:bookmarkStart w:id="34" w:name="_Toc389474743"/>
      <w:bookmarkStart w:id="35" w:name="_Toc390944386"/>
      <w:bookmarkStart w:id="36" w:name="_Toc393969957"/>
      <w:bookmarkStart w:id="37" w:name="_Toc417461964"/>
      <w:bookmarkStart w:id="38" w:name="_Toc417998598"/>
      <w:bookmarkStart w:id="39" w:name="_Toc418157624"/>
      <w:bookmarkStart w:id="40" w:name="_Toc418160305"/>
      <w:bookmarkStart w:id="41" w:name="_Toc446577172"/>
      <w:bookmarkStart w:id="42" w:name="_Toc452646718"/>
      <w:bookmarkStart w:id="43" w:name="_Toc453161357"/>
      <w:bookmarkStart w:id="44" w:name="_Toc486601260"/>
      <w:bookmarkStart w:id="45" w:name="_Toc18597220"/>
      <w:r>
        <w:rPr>
          <w:noProof/>
          <w:lang w:val="en-IE"/>
        </w:rPr>
        <w:t>2.</w:t>
      </w:r>
      <w:r>
        <w:rPr>
          <w:noProof/>
          <w:lang w:val="en-IE"/>
        </w:rPr>
        <w:tab/>
        <w:t xml:space="preserve">Operations guaranteed by the </w:t>
      </w:r>
      <w:bookmarkEnd w:id="24"/>
      <w:bookmarkEnd w:id="25"/>
      <w:bookmarkEnd w:id="26"/>
      <w:bookmarkEnd w:id="27"/>
      <w:bookmarkEnd w:id="28"/>
      <w:bookmarkEnd w:id="29"/>
      <w:bookmarkEnd w:id="30"/>
      <w:bookmarkEnd w:id="31"/>
      <w:bookmarkEnd w:id="32"/>
      <w:bookmarkEnd w:id="33"/>
      <w:bookmarkEnd w:id="34"/>
      <w:r>
        <w:rPr>
          <w:noProof/>
          <w:lang w:val="en-IE"/>
        </w:rPr>
        <w:t>EU budget</w:t>
      </w:r>
      <w:bookmarkEnd w:id="35"/>
      <w:bookmarkEnd w:id="36"/>
      <w:bookmarkEnd w:id="37"/>
      <w:bookmarkEnd w:id="38"/>
      <w:bookmarkEnd w:id="39"/>
      <w:bookmarkEnd w:id="40"/>
      <w:bookmarkEnd w:id="41"/>
      <w:bookmarkEnd w:id="42"/>
      <w:bookmarkEnd w:id="43"/>
      <w:bookmarkEnd w:id="44"/>
      <w:r>
        <w:rPr>
          <w:noProof/>
          <w:lang w:val="en-IE"/>
        </w:rPr>
        <w:t xml:space="preserve"> and crisis mechanisms of the euro-area not covered by the EU budget</w:t>
      </w:r>
      <w:bookmarkEnd w:id="45"/>
      <w:r>
        <w:rPr>
          <w:noProof/>
          <w:lang w:val="en-IE"/>
        </w:rPr>
        <w:t xml:space="preserve"> </w:t>
      </w:r>
    </w:p>
    <w:p>
      <w:pPr>
        <w:autoSpaceDE w:val="0"/>
        <w:rPr>
          <w:noProof/>
          <w:lang w:val="en-IE"/>
        </w:rPr>
      </w:pPr>
      <w:r>
        <w:rPr>
          <w:noProof/>
          <w:lang w:val="en-IE"/>
        </w:rPr>
        <w:t xml:space="preserve">The risks covered by the EU budget derive from a variety of lending and guarantee operations which can be divided into four categories: </w:t>
      </w:r>
    </w:p>
    <w:p>
      <w:pPr>
        <w:pStyle w:val="ManualHeading2"/>
        <w:ind w:left="567" w:hanging="567"/>
        <w:rPr>
          <w:b w:val="0"/>
          <w:noProof/>
          <w:lang w:val="en-IE"/>
        </w:rPr>
      </w:pPr>
      <w:bookmarkStart w:id="46" w:name="_Toc18597221"/>
      <w:r>
        <w:rPr>
          <w:noProof/>
          <w:lang w:val="en-IE"/>
        </w:rPr>
        <w:t>2.1</w:t>
      </w:r>
      <w:r>
        <w:rPr>
          <w:noProof/>
          <w:lang w:val="en-IE"/>
        </w:rPr>
        <w:tab/>
        <w:t>Loans granted by the European Union with macroeconomic objectives</w:t>
      </w:r>
      <w:bookmarkEnd w:id="46"/>
      <w:r>
        <w:rPr>
          <w:noProof/>
          <w:lang w:val="en-IE"/>
        </w:rPr>
        <w:t xml:space="preserve"> </w:t>
      </w:r>
    </w:p>
    <w:p>
      <w:pPr>
        <w:keepNext/>
        <w:keepLines/>
        <w:autoSpaceDE w:val="0"/>
        <w:rPr>
          <w:noProof/>
          <w:lang w:val="en-IE"/>
        </w:rPr>
      </w:pPr>
      <w:r>
        <w:rPr>
          <w:noProof/>
          <w:lang w:val="en-IE"/>
        </w:rPr>
        <w:t>Such loans comprise (1) Macro-Financial Assistance</w:t>
      </w:r>
      <w:r>
        <w:rPr>
          <w:rStyle w:val="Funotenzeichen"/>
          <w:noProof/>
          <w:lang w:val="en-IE"/>
        </w:rPr>
        <w:footnoteReference w:id="5"/>
      </w:r>
      <w:r>
        <w:rPr>
          <w:noProof/>
          <w:lang w:val="en-IE"/>
        </w:rPr>
        <w:t xml:space="preserve"> ("MFA") loans to third countries, (2) Balance-of-Payments</w:t>
      </w:r>
      <w:r>
        <w:rPr>
          <w:rStyle w:val="FootnoteReference"/>
          <w:noProof/>
          <w:lang w:val="en-IE"/>
        </w:rPr>
        <w:footnoteReference w:id="6"/>
      </w:r>
      <w:r>
        <w:rPr>
          <w:noProof/>
          <w:lang w:val="en-IE"/>
        </w:rPr>
        <w:t xml:space="preserve"> ("BOP") loans granting support to non-euro Member States experiencing balance-of-payments difficulties and (3) loans under the European Financial Stabilisation Mechanism ("EFSM")</w:t>
      </w:r>
      <w:r>
        <w:rPr>
          <w:rStyle w:val="Funotenzeichen"/>
          <w:noProof/>
          <w:lang w:val="en-IE"/>
        </w:rPr>
        <w:footnoteReference w:id="7"/>
      </w:r>
      <w:r>
        <w:rPr>
          <w:noProof/>
          <w:lang w:val="en-IE"/>
        </w:rPr>
        <w:t xml:space="preserve"> granting support to all Member States experiencing or seriously threatened with a severe economic financial disturbance caused by exceptional occurrences beyond their control. They are activated in conjunction with financial support by the International Monetary Fund (IMF).</w:t>
      </w:r>
    </w:p>
    <w:p>
      <w:pPr>
        <w:pStyle w:val="ManualHeading2"/>
        <w:ind w:left="567" w:hanging="567"/>
        <w:rPr>
          <w:b w:val="0"/>
          <w:noProof/>
          <w:lang w:val="en-IE"/>
        </w:rPr>
      </w:pPr>
      <w:bookmarkStart w:id="47" w:name="_Toc18597222"/>
      <w:r>
        <w:rPr>
          <w:noProof/>
          <w:lang w:val="en-IE"/>
        </w:rPr>
        <w:t>2.2</w:t>
      </w:r>
      <w:r>
        <w:rPr>
          <w:noProof/>
          <w:lang w:val="en-IE"/>
        </w:rPr>
        <w:tab/>
        <w:t>Loans with microeconomic objectives</w:t>
      </w:r>
      <w:bookmarkEnd w:id="47"/>
      <w:r>
        <w:rPr>
          <w:noProof/>
          <w:lang w:val="en-IE"/>
        </w:rPr>
        <w:t xml:space="preserve"> </w:t>
      </w:r>
    </w:p>
    <w:p>
      <w:pPr>
        <w:autoSpaceDE w:val="0"/>
        <w:rPr>
          <w:noProof/>
          <w:lang w:val="en-IE"/>
        </w:rPr>
      </w:pPr>
      <w:r>
        <w:rPr>
          <w:noProof/>
          <w:lang w:val="en-IE"/>
        </w:rPr>
        <w:t>This heading refers to Euratom loans</w:t>
      </w:r>
      <w:r>
        <w:rPr>
          <w:rStyle w:val="Funotenzeichen"/>
          <w:noProof/>
          <w:lang w:val="en-IE"/>
        </w:rPr>
        <w:footnoteReference w:id="8"/>
      </w:r>
      <w:r>
        <w:rPr>
          <w:noProof/>
          <w:lang w:val="en-IE"/>
        </w:rPr>
        <w:t>. The Euratom loan facility may be used:</w:t>
      </w:r>
    </w:p>
    <w:p>
      <w:pPr>
        <w:autoSpaceDE w:val="0"/>
        <w:ind w:left="426" w:hanging="426"/>
        <w:rPr>
          <w:noProof/>
          <w:lang w:val="en-IE"/>
        </w:rPr>
      </w:pPr>
      <w:r>
        <w:rPr>
          <w:i/>
          <w:noProof/>
          <w:lang w:val="en-IE"/>
        </w:rPr>
        <w:t>•</w:t>
      </w:r>
      <w:r>
        <w:rPr>
          <w:i/>
          <w:noProof/>
          <w:lang w:val="en-IE"/>
        </w:rPr>
        <w:tab/>
        <w:t>[in Member States]:</w:t>
      </w:r>
      <w:r>
        <w:rPr>
          <w:noProof/>
          <w:lang w:val="en-IE"/>
        </w:rPr>
        <w:t xml:space="preserve"> investments in nuclear power stations and in industrial installations in the nuclear fuel cycle </w:t>
      </w:r>
      <w:r>
        <w:rPr>
          <w:rStyle w:val="Funotenzeichen"/>
          <w:noProof/>
          <w:lang w:val="en-IE"/>
        </w:rPr>
        <w:footnoteReference w:id="9"/>
      </w:r>
      <w:r>
        <w:rPr>
          <w:noProof/>
          <w:lang w:val="en-IE"/>
        </w:rPr>
        <w:t xml:space="preserve"> and </w:t>
      </w:r>
    </w:p>
    <w:p>
      <w:pPr>
        <w:autoSpaceDE w:val="0"/>
        <w:ind w:left="426" w:hanging="426"/>
        <w:rPr>
          <w:noProof/>
          <w:lang w:val="en-IE"/>
        </w:rPr>
      </w:pPr>
      <w:r>
        <w:rPr>
          <w:noProof/>
          <w:lang w:val="en-IE"/>
        </w:rPr>
        <w:t>•</w:t>
      </w:r>
      <w:r>
        <w:rPr>
          <w:noProof/>
          <w:lang w:val="en-IE"/>
        </w:rPr>
        <w:tab/>
      </w:r>
      <w:r>
        <w:rPr>
          <w:i/>
          <w:noProof/>
          <w:lang w:val="en-IE"/>
        </w:rPr>
        <w:t>[in certain non-member countries]:</w:t>
      </w:r>
      <w:r>
        <w:rPr>
          <w:noProof/>
          <w:lang w:val="en-IE"/>
        </w:rPr>
        <w:t xml:space="preserve"> investments to improve the safety and efficiency of nuclear power stations that exist or are under construction, as well as decommissioning projects</w:t>
      </w:r>
      <w:r>
        <w:rPr>
          <w:rStyle w:val="Funotenzeichen"/>
          <w:noProof/>
          <w:lang w:val="en-IE"/>
        </w:rPr>
        <w:footnoteReference w:id="10"/>
      </w:r>
      <w:r>
        <w:rPr>
          <w:noProof/>
          <w:lang w:val="en-IE"/>
        </w:rPr>
        <w:t>.</w:t>
      </w:r>
    </w:p>
    <w:p>
      <w:pPr>
        <w:pStyle w:val="ManualHeading2"/>
        <w:ind w:left="567" w:hanging="567"/>
        <w:rPr>
          <w:noProof/>
          <w:lang w:val="en-IE"/>
        </w:rPr>
      </w:pPr>
      <w:bookmarkStart w:id="48" w:name="_Toc18597223"/>
      <w:r>
        <w:rPr>
          <w:noProof/>
          <w:lang w:val="en-IE"/>
        </w:rPr>
        <w:t>2.3</w:t>
      </w:r>
      <w:r>
        <w:rPr>
          <w:noProof/>
          <w:lang w:val="en-IE"/>
        </w:rPr>
        <w:tab/>
        <w:t>European Investment Bank ("EIB") financing of operations in non-Member States ("EIB external financing") covered by EU guarantees</w:t>
      </w:r>
      <w:r>
        <w:rPr>
          <w:rStyle w:val="Funotenzeichen"/>
          <w:noProof/>
          <w:lang w:val="en-IE"/>
        </w:rPr>
        <w:footnoteReference w:id="11"/>
      </w:r>
      <w:r>
        <w:rPr>
          <w:noProof/>
          <w:lang w:val="en-IE"/>
        </w:rPr>
        <w:t xml:space="preserve"> (ELM).</w:t>
      </w:r>
      <w:bookmarkEnd w:id="48"/>
    </w:p>
    <w:p>
      <w:pPr>
        <w:autoSpaceDE w:val="0"/>
        <w:rPr>
          <w:noProof/>
          <w:lang w:val="en-IE"/>
        </w:rPr>
      </w:pPr>
      <w:r>
        <w:rPr>
          <w:noProof/>
          <w:lang w:val="en-IE"/>
        </w:rPr>
        <w:t>Under the External Lending Mandate (ELM), the EU provides a guarantee from the EU budget to enable the EIB to increase its lending outside the EU in support of EU policies. The ELM supports EIB activity in the pre-accession countries, the Eastern and Southern Neighbourhood, Asia, Latin America and South Africa. Under the current ELM period (2014-2020), the EU budget guarantees up to EUR 32.3 billion of EIB operations. On 14 March 2018, the European Parliament and the Council adopted the Decision (EU) 2018/412 amending Decision No 466/2014/EU in the context of the mid-term review of the ELM notably increasing the maximum ceiling for the current ELM from EUR 27 billion to EUR 32.3 billion. This review adds a new objective of the long-term economic resilience of refugees, migrants, host and transit communities, and communities of origin as a strategic response to addressing root causes of migration.</w:t>
      </w:r>
    </w:p>
    <w:p>
      <w:pPr>
        <w:autoSpaceDE w:val="0"/>
        <w:rPr>
          <w:noProof/>
          <w:lang w:val="en-IE"/>
        </w:rPr>
      </w:pPr>
      <w:r>
        <w:rPr>
          <w:noProof/>
          <w:lang w:val="en-IE"/>
        </w:rPr>
        <w:t>The EU guarantee to the EIB covers risks of a sovereign and political nature in connection with its financing operations carried out outside the Union in support of the Union's external policy objectives. In addition, the EIB finances investment operations outside the Union at its own risk, as well as activities under specific mandates such as in ACP countries.</w:t>
      </w:r>
      <w:r>
        <w:rPr>
          <w:rStyle w:val="FootnoteReference"/>
          <w:noProof/>
          <w:lang w:val="en-IE"/>
        </w:rPr>
        <w:footnoteReference w:id="12"/>
      </w:r>
    </w:p>
    <w:p>
      <w:pPr>
        <w:autoSpaceDE w:val="0"/>
        <w:rPr>
          <w:noProof/>
          <w:lang w:val="en-IE"/>
        </w:rPr>
      </w:pPr>
      <w:r>
        <w:rPr>
          <w:noProof/>
          <w:lang w:val="en-IE"/>
        </w:rPr>
        <w:t xml:space="preserve">With a view to supporting Union external action, and in order to enable the EIB to finance investments outside the Union without affecting the credit standing of the EIB, the majority of its operations outside the Union benefit from an EU budgetary guarantee. </w:t>
      </w:r>
    </w:p>
    <w:p>
      <w:pPr>
        <w:rPr>
          <w:b/>
          <w:noProof/>
          <w:u w:val="single"/>
          <w:lang w:val="en-IE"/>
        </w:rPr>
      </w:pPr>
      <w:r>
        <w:rPr>
          <w:b/>
          <w:noProof/>
          <w:u w:val="single"/>
          <w:lang w:val="en-IE"/>
        </w:rPr>
        <w:t>Guarantee Fund for External Actions</w:t>
      </w:r>
      <w:r>
        <w:rPr>
          <w:noProof/>
          <w:vertAlign w:val="superscript"/>
          <w:lang w:val="en-IE"/>
        </w:rPr>
        <w:footnoteReference w:id="13"/>
      </w:r>
    </w:p>
    <w:p>
      <w:pPr>
        <w:rPr>
          <w:noProof/>
          <w:lang w:val="en-IE"/>
        </w:rPr>
      </w:pPr>
      <w:r>
        <w:rPr>
          <w:noProof/>
          <w:lang w:val="en-IE"/>
        </w:rPr>
        <w:t>The guaranteed EIB external financing, MFA and Euratom loans to third countries have since 1994 been covered by the Guarantee Fund for External Actions ("the Fund"), while BOP, EFSM and Euratom loans to Member States are directly covered by the EU budget.</w:t>
      </w:r>
    </w:p>
    <w:p>
      <w:pPr>
        <w:rPr>
          <w:noProof/>
          <w:lang w:val="en-IE"/>
        </w:rPr>
      </w:pPr>
      <w:r>
        <w:rPr>
          <w:noProof/>
          <w:lang w:val="en-IE"/>
        </w:rPr>
        <w:t>The Fund covers defaults on loans and loan guarantees granted to non-Member States or for projects in non-Member States. It was established:</w:t>
      </w:r>
    </w:p>
    <w:p>
      <w:pPr>
        <w:pStyle w:val="ListDash"/>
        <w:numPr>
          <w:ilvl w:val="0"/>
          <w:numId w:val="36"/>
        </w:numPr>
        <w:ind w:left="851"/>
        <w:rPr>
          <w:noProof/>
          <w:lang w:val="en-IE"/>
        </w:rPr>
      </w:pPr>
      <w:r>
        <w:rPr>
          <w:noProof/>
          <w:lang w:val="en-IE"/>
        </w:rPr>
        <w:tab/>
        <w:t>to provide a 'liquidity cushion' in order to avoid calling on the EU budget every time a default or late payment on a guaranteed loan arises; and</w:t>
      </w:r>
    </w:p>
    <w:p>
      <w:pPr>
        <w:pStyle w:val="ListDash"/>
        <w:numPr>
          <w:ilvl w:val="0"/>
          <w:numId w:val="36"/>
        </w:numPr>
        <w:ind w:left="851"/>
        <w:rPr>
          <w:noProof/>
          <w:lang w:val="en-IE"/>
        </w:rPr>
      </w:pPr>
      <w:r>
        <w:rPr>
          <w:noProof/>
          <w:lang w:val="en-IE"/>
        </w:rPr>
        <w:tab/>
        <w:t>to create an instrument of budgetary discipline by laying down a financial framework for the development of the EU policy on guarantees for EU and EIB loans to third countries</w:t>
      </w:r>
      <w:r>
        <w:rPr>
          <w:rStyle w:val="Funotenzeichen"/>
          <w:noProof/>
          <w:lang w:val="en-IE"/>
        </w:rPr>
        <w:footnoteReference w:id="14"/>
      </w:r>
      <w:r>
        <w:rPr>
          <w:noProof/>
          <w:lang w:val="en-IE"/>
        </w:rPr>
        <w:t>.</w:t>
      </w:r>
    </w:p>
    <w:p>
      <w:pPr>
        <w:rPr>
          <w:noProof/>
          <w:lang w:val="en-IE"/>
        </w:rPr>
      </w:pPr>
      <w:r>
        <w:rPr>
          <w:noProof/>
          <w:lang w:val="en-IE"/>
        </w:rPr>
        <w:t>If third countries become Member States, loans relating to such countries are no longer covered by the Fund and the risk has to be directly borne by the EU budget. The Fund is provisioned from the EU budget and has to be maintained at a certain percentage of the outstanding amount of the loans and loan guarantees covered by the Fund. This percentage, known as the target rate, is currently 9%</w:t>
      </w:r>
      <w:r>
        <w:rPr>
          <w:rStyle w:val="FootnoteReference"/>
          <w:noProof/>
          <w:lang w:val="en-IE"/>
        </w:rPr>
        <w:footnoteReference w:id="15"/>
      </w:r>
      <w:r>
        <w:rPr>
          <w:noProof/>
          <w:lang w:val="en-IE"/>
        </w:rPr>
        <w:t xml:space="preserve">. If resources of the Fund are not sufficient, the EU budget will provide the necessary funds. The assets of the Fund are managed by the EIB. </w:t>
      </w:r>
    </w:p>
    <w:p>
      <w:pPr>
        <w:pStyle w:val="ManualHeading2"/>
        <w:ind w:left="567" w:hanging="567"/>
        <w:rPr>
          <w:b w:val="0"/>
          <w:noProof/>
          <w:lang w:val="en-IE"/>
        </w:rPr>
      </w:pPr>
      <w:bookmarkStart w:id="49" w:name="_Toc18597224"/>
      <w:r>
        <w:rPr>
          <w:noProof/>
          <w:lang w:val="en-IE"/>
        </w:rPr>
        <w:t>2.4</w:t>
      </w:r>
      <w:r>
        <w:rPr>
          <w:noProof/>
          <w:lang w:val="en-IE"/>
        </w:rPr>
        <w:tab/>
        <w:t>European Investment Bank ("EIB") and European Investment Fund ("EIF") financing of operations in Member States covered by EU guarantees - The European Fund for Strategic Investments (EFSI)</w:t>
      </w:r>
      <w:bookmarkEnd w:id="49"/>
    </w:p>
    <w:p>
      <w:pPr>
        <w:rPr>
          <w:noProof/>
          <w:lang w:val="en-IE"/>
        </w:rPr>
      </w:pPr>
      <w:r>
        <w:rPr>
          <w:noProof/>
          <w:lang w:val="en-IE"/>
        </w:rPr>
        <w:t>The European Fund for Strategic Investments (EFSI) is the core of the investment plan for Europe, aimed at boosting long-term economic growth and competitiveness in the European Union.</w:t>
      </w:r>
    </w:p>
    <w:p>
      <w:pPr>
        <w:rPr>
          <w:noProof/>
          <w:lang w:val="en-IE"/>
        </w:rPr>
      </w:pPr>
      <w:r>
        <w:rPr>
          <w:noProof/>
          <w:lang w:val="en-IE"/>
        </w:rPr>
        <w:t>The EU Guarantee</w:t>
      </w:r>
      <w:r>
        <w:rPr>
          <w:rStyle w:val="FootnoteReference"/>
          <w:noProof/>
          <w:lang w:val="en-IE"/>
        </w:rPr>
        <w:footnoteReference w:id="16"/>
      </w:r>
      <w:r>
        <w:rPr>
          <w:rStyle w:val="FootnoteReference"/>
          <w:noProof/>
          <w:lang w:val="en-IE"/>
        </w:rPr>
        <w:t xml:space="preserve"> </w:t>
      </w:r>
      <w:r>
        <w:rPr>
          <w:noProof/>
          <w:lang w:val="en-IE"/>
        </w:rPr>
        <w:t>covers financing and investment operations signed by the EIB under the main part of the Infrastructure and Innovation Window ("IIW"), and by the EIF under the SME Window ("SMEW") and the SME / MidCap fund investment sub-window of IIW. Part of the overall EFSI operations is covered by the EU Guarantee while a part is carried out at the own risk of the EIB Group</w:t>
      </w:r>
      <w:r>
        <w:rPr>
          <w:rStyle w:val="FootnoteReference"/>
          <w:noProof/>
          <w:lang w:val="en-IE"/>
        </w:rPr>
        <w:footnoteReference w:id="17"/>
      </w:r>
      <w:r>
        <w:rPr>
          <w:noProof/>
          <w:lang w:val="en-IE"/>
        </w:rPr>
        <w:t>.</w:t>
      </w:r>
    </w:p>
    <w:p>
      <w:pPr>
        <w:rPr>
          <w:noProof/>
          <w:lang w:val="en-IE"/>
        </w:rPr>
      </w:pPr>
      <w:r>
        <w:rPr>
          <w:noProof/>
          <w:lang w:val="en-IE"/>
        </w:rPr>
        <w:t>The EIB and the EIF are responsible for assessing and monitoring the risk of the individual operations and report back to the Commission and the European Court of Auditors.</w:t>
      </w:r>
    </w:p>
    <w:p>
      <w:pPr>
        <w:rPr>
          <w:noProof/>
          <w:lang w:val="en-IE"/>
        </w:rPr>
      </w:pPr>
      <w:r>
        <w:rPr>
          <w:noProof/>
          <w:u w:val="single"/>
          <w:lang w:val="en-IE"/>
        </w:rPr>
        <w:t>Guarantee Fund of the European Fund for Strategic Investments (EFSI GF)</w:t>
      </w:r>
      <w:r>
        <w:rPr>
          <w:rStyle w:val="FootnoteReference"/>
          <w:noProof/>
          <w:lang w:val="en-IE"/>
        </w:rPr>
        <w:footnoteReference w:id="18"/>
      </w:r>
    </w:p>
    <w:p>
      <w:pPr>
        <w:rPr>
          <w:noProof/>
          <w:lang w:val="en-IE"/>
        </w:rPr>
      </w:pPr>
      <w:r>
        <w:rPr>
          <w:noProof/>
          <w:lang w:val="en-IE"/>
        </w:rPr>
        <w:t xml:space="preserve">According to Article 12 of the EFSI Regulation, the EFSI GF shall constitute a liquidity cushion from which the EIB shall be paid in the event of a call on the EU Guarantee. In accordance with the EFSI Agreement between the EU and the EIB, calls are paid by the EFSI GF if their amount is in excess of the funds at the disposal of the EIB on the EFSI Account. The EFSI Account, managed by the EIB, has been established for the purposes of collecting the EU revenues and recovered amounts resulting from EFSI operations under the EU Guarantee and, to the extent of the available balance, for the payment of calls under the EU Guarantee. </w:t>
      </w:r>
    </w:p>
    <w:p>
      <w:pPr>
        <w:rPr>
          <w:noProof/>
          <w:lang w:val="en-IE"/>
        </w:rPr>
      </w:pPr>
      <w:r>
        <w:rPr>
          <w:noProof/>
          <w:lang w:val="en-IE"/>
        </w:rPr>
        <w:t>The Guarantee Fund has to be maintained at a certain percentage</w:t>
      </w:r>
      <w:r>
        <w:rPr>
          <w:rStyle w:val="FootnoteReference"/>
          <w:noProof/>
          <w:lang w:val="en-IE"/>
        </w:rPr>
        <w:footnoteReference w:id="19"/>
      </w:r>
      <w:r>
        <w:rPr>
          <w:noProof/>
          <w:lang w:val="en-IE"/>
        </w:rPr>
        <w:t xml:space="preserve"> (the Target Amount) of the total amount of the obligations under the EU Guarantee, currently 35%. Thus, the liquidity cushion is intended to provide an appropriate safety margin avoiding exposing the Union budget to sudden guarantee calls, which could entail spending cuts or budget amendments. Therefore, it contributes to the predictability of the budgetary framework.</w:t>
      </w:r>
    </w:p>
    <w:p>
      <w:pPr>
        <w:rPr>
          <w:noProof/>
          <w:lang w:val="en-IE"/>
        </w:rPr>
      </w:pPr>
      <w:r>
        <w:rPr>
          <w:noProof/>
          <w:lang w:val="en-IE"/>
        </w:rPr>
        <w:t>The EFSI GF is provisioned progressively taking into account the increase in exposure borne by the EU Guarantee.</w:t>
      </w:r>
    </w:p>
    <w:p>
      <w:pPr>
        <w:rPr>
          <w:noProof/>
          <w:lang w:val="en-IE"/>
        </w:rPr>
      </w:pPr>
      <w:r>
        <w:rPr>
          <w:noProof/>
          <w:lang w:val="en-IE"/>
        </w:rPr>
        <w:t>According to Article 12(4) of the EFSI Regulation, the resources of the EFSI GF are directly managed by the Commission and invested in accordance with the principle of sound financial management following appropriate prudential rules.</w:t>
      </w:r>
    </w:p>
    <w:p>
      <w:pPr>
        <w:rPr>
          <w:noProof/>
          <w:lang w:val="en-IE"/>
        </w:rPr>
      </w:pPr>
      <w:r>
        <w:rPr>
          <w:noProof/>
          <w:lang w:val="en-IE"/>
        </w:rPr>
        <w:t>The EIB and the EIF are responsible for assessing and monitoring the risk of the individual operations backed by the EU Guarantee. On the basis of this reporting and of coherent and prudent assumptions on future activity, the Commission ensures the adequacy of the target amount and the level of the EFSI GF under review. In line with Article 16(3) of the EFSI Regulation, the EIB and the EIF reported back to the Commission and the European Court of Auditors in March 2019.</w:t>
      </w:r>
    </w:p>
    <w:p>
      <w:pPr>
        <w:rPr>
          <w:noProof/>
          <w:lang w:val="en-IE"/>
        </w:rPr>
      </w:pPr>
      <w:r>
        <w:rPr>
          <w:noProof/>
          <w:lang w:val="en-IE"/>
        </w:rPr>
        <w:t>Pursuant to Article 16(2) of the EFSI Regulation, the annual report of the EIB to the European Parliament and Council shall contain specific information on the aggregate risk associated with the financing and investment operations carried out under the EFSI as well as on the guarantee calls.</w:t>
      </w:r>
    </w:p>
    <w:p>
      <w:pPr>
        <w:pStyle w:val="ManualHeading2"/>
        <w:ind w:left="567" w:hanging="567"/>
        <w:rPr>
          <w:b w:val="0"/>
          <w:noProof/>
          <w:lang w:val="en-IE"/>
        </w:rPr>
      </w:pPr>
      <w:bookmarkStart w:id="50" w:name="_Toc18597225"/>
      <w:r>
        <w:rPr>
          <w:noProof/>
          <w:lang w:val="en-IE"/>
        </w:rPr>
        <w:t>2.5</w:t>
      </w:r>
      <w:r>
        <w:rPr>
          <w:noProof/>
          <w:lang w:val="en-IE"/>
        </w:rPr>
        <w:tab/>
        <w:t xml:space="preserve">Crisis management mechanisms which are </w:t>
      </w:r>
      <w:r>
        <w:rPr>
          <w:noProof/>
          <w:u w:val="single"/>
          <w:lang w:val="en-IE"/>
        </w:rPr>
        <w:t>not</w:t>
      </w:r>
      <w:r>
        <w:rPr>
          <w:noProof/>
          <w:lang w:val="en-IE"/>
        </w:rPr>
        <w:t xml:space="preserve"> covered by the EU budget</w:t>
      </w:r>
      <w:bookmarkEnd w:id="50"/>
    </w:p>
    <w:p>
      <w:pPr>
        <w:rPr>
          <w:noProof/>
          <w:lang w:val="en-IE" w:eastAsia="en-GB"/>
        </w:rPr>
      </w:pPr>
      <w:r>
        <w:rPr>
          <w:noProof/>
          <w:lang w:val="en-IE" w:eastAsia="en-GB"/>
        </w:rPr>
        <w:t xml:space="preserve">As part of the response to the crisis, several other mechanisms have been established which, however, do </w:t>
      </w:r>
      <w:r>
        <w:rPr>
          <w:b/>
          <w:i/>
          <w:noProof/>
          <w:lang w:val="en-IE" w:eastAsia="en-GB"/>
        </w:rPr>
        <w:t>not</w:t>
      </w:r>
      <w:r>
        <w:rPr>
          <w:noProof/>
          <w:lang w:val="en-IE" w:eastAsia="en-GB"/>
        </w:rPr>
        <w:t xml:space="preserve"> imply any risk to the EU budget and they are only mentioned below for the sake of completeness:</w:t>
      </w:r>
    </w:p>
    <w:p>
      <w:pPr>
        <w:pStyle w:val="NormalWeb"/>
        <w:jc w:val="both"/>
        <w:rPr>
          <w:noProof/>
          <w:lang w:val="en-IE"/>
        </w:rPr>
      </w:pPr>
      <w:r>
        <w:rPr>
          <w:noProof/>
          <w:lang w:val="en-IE"/>
        </w:rPr>
        <w:t xml:space="preserve">- </w:t>
      </w:r>
      <w:r>
        <w:rPr>
          <w:i/>
          <w:noProof/>
          <w:lang w:val="en-IE"/>
        </w:rPr>
        <w:t>the Greek Loan Facility (GLF)</w:t>
      </w:r>
      <w:r>
        <w:rPr>
          <w:rStyle w:val="FootnoteReference"/>
          <w:i/>
          <w:noProof/>
          <w:lang w:val="en-IE"/>
        </w:rPr>
        <w:footnoteReference w:id="20"/>
      </w:r>
      <w:r>
        <w:rPr>
          <w:noProof/>
          <w:lang w:val="en-IE"/>
        </w:rPr>
        <w:t xml:space="preserve"> which is financed via bilateral loans from other euro area Member States to Greece, centrally administered by the Commission.</w:t>
      </w:r>
    </w:p>
    <w:p>
      <w:pPr>
        <w:pStyle w:val="NormalWeb"/>
        <w:jc w:val="both"/>
        <w:rPr>
          <w:noProof/>
          <w:lang w:val="en-IE"/>
        </w:rPr>
      </w:pPr>
      <w:r>
        <w:rPr>
          <w:i/>
          <w:noProof/>
          <w:lang w:val="en-IE"/>
        </w:rPr>
        <w:t>- European Financial Stability Facility (EFSF)</w:t>
      </w:r>
      <w:r>
        <w:rPr>
          <w:rStyle w:val="FootnoteReference"/>
          <w:i/>
          <w:noProof/>
          <w:lang w:val="en-IE"/>
        </w:rPr>
        <w:footnoteReference w:id="21"/>
      </w:r>
      <w:r>
        <w:rPr>
          <w:noProof/>
          <w:lang w:val="en-IE"/>
        </w:rPr>
        <w:t>: The EFSF was created by the euro area Member States as a temporary rescue mechanism in June 2010 to provide financial assistance to euro area Member States within the framework of a macroeconomic adjustment programme. The Treaty establishing a permanent rescue mechanism, the European Stability Mechanism</w:t>
      </w:r>
      <w:r>
        <w:rPr>
          <w:noProof/>
          <w:color w:val="333333"/>
          <w:lang w:val="en-IE"/>
        </w:rPr>
        <w:t xml:space="preserve"> (ESM), </w:t>
      </w:r>
      <w:r>
        <w:rPr>
          <w:noProof/>
          <w:lang w:val="en-IE"/>
        </w:rPr>
        <w:t xml:space="preserve">entered into force on 27 September 2012. Since </w:t>
      </w:r>
      <w:r>
        <w:rPr>
          <w:rStyle w:val="Strong"/>
          <w:b w:val="0"/>
          <w:noProof/>
          <w:lang w:val="en-IE"/>
        </w:rPr>
        <w:t>1 July 2013</w:t>
      </w:r>
      <w:r>
        <w:rPr>
          <w:noProof/>
          <w:lang w:val="en-IE"/>
        </w:rPr>
        <w:t>, the EFSF continues with its ongoing programmes to Greece (together with the IMF and some Member States) as well as to Ireland and Portugal (together with the IMF, some Member States and EU/EFSM)</w:t>
      </w:r>
      <w:r>
        <w:rPr>
          <w:rStyle w:val="FootnoteReference"/>
          <w:noProof/>
          <w:lang w:val="en-IE"/>
        </w:rPr>
        <w:footnoteReference w:id="22"/>
      </w:r>
      <w:r>
        <w:rPr>
          <w:noProof/>
          <w:lang w:val="en-IE"/>
        </w:rPr>
        <w:t xml:space="preserve"> but is no longer engaged in new financing programmes or loan facility agreements. </w:t>
      </w:r>
    </w:p>
    <w:p>
      <w:pPr>
        <w:pStyle w:val="NormalWeb"/>
        <w:jc w:val="both"/>
        <w:rPr>
          <w:noProof/>
          <w:lang w:val="en-IE"/>
        </w:rPr>
      </w:pPr>
      <w:r>
        <w:rPr>
          <w:i/>
          <w:noProof/>
          <w:lang w:val="en-IE"/>
        </w:rPr>
        <w:t>- European Stability Mechanism (ESM)</w:t>
      </w:r>
      <w:r>
        <w:rPr>
          <w:rStyle w:val="FootnoteReference"/>
          <w:i/>
          <w:noProof/>
          <w:lang w:val="en-IE"/>
        </w:rPr>
        <w:footnoteReference w:id="23"/>
      </w:r>
      <w:r>
        <w:rPr>
          <w:noProof/>
          <w:lang w:val="en-IE"/>
        </w:rPr>
        <w:t>: The ESM is an important component of the comprehensive EU strategy designed to safeguard financial stability within the euro area by</w:t>
      </w:r>
      <w:r>
        <w:rPr>
          <w:rStyle w:val="Strong"/>
          <w:noProof/>
          <w:lang w:val="en-IE"/>
        </w:rPr>
        <w:t xml:space="preserve"> </w:t>
      </w:r>
      <w:r>
        <w:rPr>
          <w:rStyle w:val="Strong"/>
          <w:b w:val="0"/>
          <w:noProof/>
          <w:lang w:val="en-IE"/>
        </w:rPr>
        <w:t xml:space="preserve">providing financial assistance to euro area Member States experiencing or threatened by financing difficulties. </w:t>
      </w:r>
      <w:r>
        <w:rPr>
          <w:noProof/>
          <w:lang w:val="en-IE"/>
        </w:rPr>
        <w:t>It is an intergovernmental organization under public international law, based in Luxembourg, with an effective lending capacity of EUR 500 billion.</w:t>
      </w:r>
    </w:p>
    <w:p>
      <w:pPr>
        <w:pStyle w:val="ManualHeading1"/>
        <w:tabs>
          <w:tab w:val="clear" w:pos="850"/>
          <w:tab w:val="left" w:pos="567"/>
        </w:tabs>
        <w:ind w:left="567" w:hanging="567"/>
        <w:rPr>
          <w:noProof/>
          <w:lang w:val="en-IE"/>
        </w:rPr>
      </w:pPr>
      <w:bookmarkStart w:id="51" w:name="_Toc390944387"/>
      <w:bookmarkStart w:id="52" w:name="_Toc393969958"/>
      <w:bookmarkStart w:id="53" w:name="_Toc417461965"/>
      <w:bookmarkStart w:id="54" w:name="_Toc417998599"/>
      <w:bookmarkStart w:id="55" w:name="_Toc418157625"/>
      <w:bookmarkStart w:id="56" w:name="_Toc418160306"/>
      <w:bookmarkStart w:id="57" w:name="_Toc446577173"/>
      <w:bookmarkStart w:id="58" w:name="_Toc452646719"/>
      <w:bookmarkStart w:id="59" w:name="_Toc453161358"/>
      <w:bookmarkStart w:id="60" w:name="_Toc486601261"/>
      <w:bookmarkStart w:id="61" w:name="_Toc18597226"/>
      <w:bookmarkStart w:id="62" w:name="_Toc309831356"/>
      <w:bookmarkStart w:id="63" w:name="_Toc329261056"/>
      <w:bookmarkStart w:id="64" w:name="_Toc329855618"/>
      <w:bookmarkStart w:id="65" w:name="_Toc330551223"/>
      <w:bookmarkStart w:id="66" w:name="_Toc342470146"/>
      <w:bookmarkStart w:id="67" w:name="_Toc345073696"/>
      <w:bookmarkStart w:id="68" w:name="_Toc365986213"/>
      <w:bookmarkStart w:id="69" w:name="_Toc367869466"/>
      <w:bookmarkStart w:id="70" w:name="_Toc367869993"/>
      <w:bookmarkStart w:id="71" w:name="_Toc388973011"/>
      <w:bookmarkStart w:id="72" w:name="_Toc389474744"/>
      <w:r>
        <w:rPr>
          <w:noProof/>
          <w:lang w:val="en-IE"/>
        </w:rPr>
        <w:t>3.</w:t>
      </w:r>
      <w:r>
        <w:rPr>
          <w:noProof/>
          <w:lang w:val="en-IE"/>
        </w:rPr>
        <w:tab/>
        <w:t>Evolutions of guaranteed operations</w:t>
      </w:r>
      <w:bookmarkEnd w:id="51"/>
      <w:bookmarkEnd w:id="52"/>
      <w:bookmarkEnd w:id="53"/>
      <w:bookmarkEnd w:id="54"/>
      <w:bookmarkEnd w:id="55"/>
      <w:bookmarkEnd w:id="56"/>
      <w:bookmarkEnd w:id="57"/>
      <w:bookmarkEnd w:id="58"/>
      <w:bookmarkEnd w:id="59"/>
      <w:bookmarkEnd w:id="60"/>
      <w:bookmarkEnd w:id="61"/>
      <w:r>
        <w:rPr>
          <w:noProof/>
          <w:lang w:val="en-IE"/>
        </w:rPr>
        <w:t xml:space="preserve"> </w:t>
      </w:r>
      <w:bookmarkEnd w:id="62"/>
      <w:bookmarkEnd w:id="63"/>
      <w:bookmarkEnd w:id="64"/>
      <w:bookmarkEnd w:id="65"/>
      <w:bookmarkEnd w:id="66"/>
      <w:bookmarkEnd w:id="67"/>
      <w:bookmarkEnd w:id="68"/>
      <w:bookmarkEnd w:id="69"/>
      <w:bookmarkEnd w:id="70"/>
      <w:bookmarkEnd w:id="71"/>
      <w:bookmarkEnd w:id="72"/>
    </w:p>
    <w:tbl>
      <w:tblPr>
        <w:tblW w:w="8902" w:type="dxa"/>
        <w:tblInd w:w="-5" w:type="dxa"/>
        <w:tblLayout w:type="fixed"/>
        <w:tblLook w:val="0000" w:firstRow="0" w:lastRow="0" w:firstColumn="0" w:lastColumn="0" w:noHBand="0" w:noVBand="0"/>
      </w:tblPr>
      <w:tblGrid>
        <w:gridCol w:w="2770"/>
        <w:gridCol w:w="1665"/>
        <w:gridCol w:w="1891"/>
        <w:gridCol w:w="1446"/>
        <w:gridCol w:w="1130"/>
      </w:tblGrid>
      <w:tr>
        <w:trPr>
          <w:trHeight w:val="165"/>
        </w:trPr>
        <w:tc>
          <w:tcPr>
            <w:tcW w:w="8902" w:type="dxa"/>
            <w:gridSpan w:val="5"/>
            <w:tcBorders>
              <w:bottom w:val="single" w:sz="4" w:space="0" w:color="000000"/>
            </w:tcBorders>
          </w:tcPr>
          <w:p>
            <w:pPr>
              <w:snapToGrid w:val="0"/>
              <w:spacing w:after="0"/>
              <w:rPr>
                <w:noProof/>
                <w:lang w:val="en-IE"/>
              </w:rPr>
            </w:pPr>
            <w:r>
              <w:rPr>
                <w:noProof/>
                <w:lang w:val="en-IE"/>
              </w:rPr>
              <w:t xml:space="preserve">This section sets out the evolution of the guaranteed operations; firstly of those managed directly by the Commission and secondly those managed by the EIB. </w:t>
            </w:r>
            <w:r>
              <w:rPr>
                <w:noProof/>
                <w:lang w:val="en-IE"/>
              </w:rPr>
              <w:br w:type="page"/>
            </w:r>
          </w:p>
          <w:p>
            <w:pPr>
              <w:snapToGrid w:val="0"/>
              <w:spacing w:after="0"/>
              <w:rPr>
                <w:noProof/>
                <w:sz w:val="18"/>
                <w:lang w:val="en-IE"/>
              </w:rPr>
            </w:pPr>
            <w:r>
              <w:rPr>
                <w:noProof/>
                <w:lang w:val="en-IE"/>
              </w:rPr>
              <w:br w:type="page"/>
            </w:r>
            <w:r>
              <w:rPr>
                <w:noProof/>
                <w:sz w:val="18"/>
                <w:lang w:val="en-IE"/>
              </w:rPr>
              <w:t>Table 1: Total outstanding amounts covered by the EU budget at 31 December 2018 (in EUR million)</w:t>
            </w:r>
          </w:p>
        </w:tc>
      </w:tr>
      <w:tr>
        <w:trPr>
          <w:trHeight w:val="165"/>
        </w:trPr>
        <w:tc>
          <w:tcPr>
            <w:tcW w:w="2770" w:type="dxa"/>
            <w:tcBorders>
              <w:top w:val="single" w:sz="4" w:space="0" w:color="000000"/>
              <w:left w:val="single" w:sz="4" w:space="0" w:color="000000"/>
              <w:bottom w:val="single" w:sz="4" w:space="0" w:color="000000"/>
            </w:tcBorders>
          </w:tcPr>
          <w:p>
            <w:pPr>
              <w:snapToGrid w:val="0"/>
              <w:rPr>
                <w:b/>
                <w:noProof/>
                <w:lang w:val="en-IE"/>
              </w:rPr>
            </w:pPr>
          </w:p>
        </w:tc>
        <w:tc>
          <w:tcPr>
            <w:tcW w:w="1665" w:type="dxa"/>
            <w:tcBorders>
              <w:top w:val="single" w:sz="4" w:space="0" w:color="000000"/>
              <w:left w:val="single" w:sz="4" w:space="0" w:color="000000"/>
              <w:bottom w:val="single" w:sz="4" w:space="0" w:color="000000"/>
            </w:tcBorders>
          </w:tcPr>
          <w:p>
            <w:pPr>
              <w:snapToGrid w:val="0"/>
              <w:jc w:val="center"/>
              <w:rPr>
                <w:b/>
                <w:noProof/>
                <w:lang w:val="en-IE"/>
              </w:rPr>
            </w:pPr>
            <w:r>
              <w:rPr>
                <w:b/>
                <w:noProof/>
                <w:lang w:val="en-IE"/>
              </w:rPr>
              <w:t>Outstanding Capital</w:t>
            </w:r>
          </w:p>
        </w:tc>
        <w:tc>
          <w:tcPr>
            <w:tcW w:w="1891" w:type="dxa"/>
            <w:tcBorders>
              <w:top w:val="single" w:sz="4" w:space="0" w:color="000000"/>
              <w:left w:val="single" w:sz="4" w:space="0" w:color="000000"/>
              <w:bottom w:val="single" w:sz="4" w:space="0" w:color="000000"/>
            </w:tcBorders>
          </w:tcPr>
          <w:p>
            <w:pPr>
              <w:snapToGrid w:val="0"/>
              <w:jc w:val="center"/>
              <w:rPr>
                <w:b/>
                <w:noProof/>
                <w:lang w:val="en-IE"/>
              </w:rPr>
            </w:pPr>
            <w:r>
              <w:rPr>
                <w:b/>
                <w:noProof/>
                <w:lang w:val="en-IE"/>
              </w:rPr>
              <w:t>Accrued Interest</w:t>
            </w:r>
          </w:p>
        </w:tc>
        <w:tc>
          <w:tcPr>
            <w:tcW w:w="1446" w:type="dxa"/>
            <w:tcBorders>
              <w:top w:val="single" w:sz="4" w:space="0" w:color="000000"/>
              <w:left w:val="single" w:sz="4" w:space="0" w:color="000000"/>
              <w:bottom w:val="single" w:sz="4" w:space="0" w:color="000000"/>
            </w:tcBorders>
          </w:tcPr>
          <w:p>
            <w:pPr>
              <w:snapToGrid w:val="0"/>
              <w:jc w:val="center"/>
              <w:rPr>
                <w:b/>
                <w:noProof/>
                <w:lang w:val="en-IE"/>
              </w:rPr>
            </w:pPr>
            <w:r>
              <w:rPr>
                <w:b/>
                <w:noProof/>
                <w:lang w:val="en-IE"/>
              </w:rPr>
              <w:t>Total</w:t>
            </w:r>
          </w:p>
        </w:tc>
        <w:tc>
          <w:tcPr>
            <w:tcW w:w="1130" w:type="dxa"/>
            <w:tcBorders>
              <w:top w:val="single" w:sz="4" w:space="0" w:color="000000"/>
              <w:left w:val="single" w:sz="4" w:space="0" w:color="000000"/>
              <w:bottom w:val="single" w:sz="4" w:space="0" w:color="000000"/>
              <w:right w:val="single" w:sz="4" w:space="0" w:color="000000"/>
            </w:tcBorders>
          </w:tcPr>
          <w:p>
            <w:pPr>
              <w:snapToGrid w:val="0"/>
              <w:jc w:val="center"/>
              <w:rPr>
                <w:b/>
                <w:noProof/>
                <w:lang w:val="en-IE"/>
              </w:rPr>
            </w:pPr>
            <w:r>
              <w:rPr>
                <w:b/>
                <w:noProof/>
                <w:lang w:val="en-IE"/>
              </w:rPr>
              <w:t>%</w:t>
            </w:r>
          </w:p>
        </w:tc>
      </w:tr>
      <w:tr>
        <w:trPr>
          <w:trHeight w:val="165"/>
        </w:trPr>
        <w:tc>
          <w:tcPr>
            <w:tcW w:w="2770" w:type="dxa"/>
            <w:tcBorders>
              <w:top w:val="single" w:sz="4" w:space="0" w:color="000000"/>
              <w:left w:val="single" w:sz="4" w:space="0" w:color="000000"/>
              <w:bottom w:val="single" w:sz="4" w:space="0" w:color="000000"/>
            </w:tcBorders>
          </w:tcPr>
          <w:p>
            <w:pPr>
              <w:snapToGrid w:val="0"/>
              <w:rPr>
                <w:rStyle w:val="Added"/>
                <w:noProof/>
                <w:u w:val="none"/>
                <w:lang w:val="en-IE"/>
              </w:rPr>
            </w:pPr>
            <w:r>
              <w:rPr>
                <w:rStyle w:val="Added"/>
                <w:noProof/>
                <w:u w:val="none"/>
                <w:lang w:val="en-IE"/>
              </w:rPr>
              <w:t>Member States*</w:t>
            </w:r>
          </w:p>
        </w:tc>
        <w:tc>
          <w:tcPr>
            <w:tcW w:w="1665" w:type="dxa"/>
            <w:tcBorders>
              <w:top w:val="single" w:sz="4" w:space="0" w:color="000000"/>
              <w:left w:val="single" w:sz="4" w:space="0" w:color="000000"/>
              <w:bottom w:val="single" w:sz="4" w:space="0" w:color="000000"/>
            </w:tcBorders>
          </w:tcPr>
          <w:p>
            <w:pPr>
              <w:snapToGrid w:val="0"/>
              <w:rPr>
                <w:noProof/>
                <w:lang w:val="en-IE"/>
              </w:rPr>
            </w:pPr>
          </w:p>
        </w:tc>
        <w:tc>
          <w:tcPr>
            <w:tcW w:w="1891" w:type="dxa"/>
            <w:tcBorders>
              <w:top w:val="single" w:sz="4" w:space="0" w:color="000000"/>
              <w:left w:val="single" w:sz="4" w:space="0" w:color="000000"/>
              <w:bottom w:val="single" w:sz="4" w:space="0" w:color="000000"/>
            </w:tcBorders>
          </w:tcPr>
          <w:p>
            <w:pPr>
              <w:snapToGrid w:val="0"/>
              <w:rPr>
                <w:noProof/>
                <w:lang w:val="en-IE"/>
              </w:rPr>
            </w:pPr>
          </w:p>
        </w:tc>
        <w:tc>
          <w:tcPr>
            <w:tcW w:w="1446" w:type="dxa"/>
            <w:tcBorders>
              <w:top w:val="single" w:sz="4" w:space="0" w:color="000000"/>
              <w:left w:val="single" w:sz="4" w:space="0" w:color="000000"/>
              <w:bottom w:val="single" w:sz="4" w:space="0" w:color="000000"/>
            </w:tcBorders>
          </w:tcPr>
          <w:p>
            <w:pPr>
              <w:snapToGrid w:val="0"/>
              <w:rPr>
                <w:b/>
                <w:noProof/>
                <w:lang w:val="en-IE"/>
              </w:rPr>
            </w:pPr>
          </w:p>
        </w:tc>
        <w:tc>
          <w:tcPr>
            <w:tcW w:w="1130" w:type="dxa"/>
            <w:tcBorders>
              <w:top w:val="single" w:sz="4" w:space="0" w:color="000000"/>
              <w:left w:val="single" w:sz="4" w:space="0" w:color="000000"/>
              <w:bottom w:val="single" w:sz="4" w:space="0" w:color="000000"/>
              <w:right w:val="single" w:sz="4" w:space="0" w:color="000000"/>
            </w:tcBorders>
          </w:tcPr>
          <w:p>
            <w:pPr>
              <w:snapToGrid w:val="0"/>
              <w:rPr>
                <w:b/>
                <w:noProof/>
                <w:lang w:val="en-IE"/>
              </w:rPr>
            </w:pPr>
          </w:p>
        </w:tc>
      </w:tr>
      <w:tr>
        <w:trPr>
          <w:trHeight w:val="165"/>
        </w:trPr>
        <w:tc>
          <w:tcPr>
            <w:tcW w:w="2770" w:type="dxa"/>
            <w:tcBorders>
              <w:top w:val="single" w:sz="4" w:space="0" w:color="000000"/>
              <w:left w:val="single" w:sz="4" w:space="0" w:color="000000"/>
              <w:bottom w:val="single" w:sz="4" w:space="0" w:color="000000"/>
            </w:tcBorders>
          </w:tcPr>
          <w:p>
            <w:pPr>
              <w:snapToGrid w:val="0"/>
              <w:ind w:left="284"/>
              <w:rPr>
                <w:b/>
                <w:noProof/>
                <w:lang w:val="en-IE"/>
              </w:rPr>
            </w:pPr>
            <w:r>
              <w:rPr>
                <w:b/>
                <w:noProof/>
                <w:lang w:val="en-IE"/>
              </w:rPr>
              <w:t>Euratom</w:t>
            </w:r>
          </w:p>
        </w:tc>
        <w:tc>
          <w:tcPr>
            <w:tcW w:w="1665" w:type="dxa"/>
            <w:tcBorders>
              <w:top w:val="single" w:sz="4" w:space="0" w:color="000000"/>
              <w:left w:val="single" w:sz="4" w:space="0" w:color="000000"/>
              <w:bottom w:val="single" w:sz="4" w:space="0" w:color="000000"/>
            </w:tcBorders>
          </w:tcPr>
          <w:p>
            <w:pPr>
              <w:snapToGrid w:val="0"/>
              <w:jc w:val="right"/>
              <w:rPr>
                <w:noProof/>
                <w:lang w:val="en-IE"/>
              </w:rPr>
            </w:pPr>
            <w:r>
              <w:rPr>
                <w:noProof/>
                <w:lang w:val="en-IE"/>
              </w:rPr>
              <w:t xml:space="preserve"> 152.9 </w:t>
            </w:r>
          </w:p>
        </w:tc>
        <w:tc>
          <w:tcPr>
            <w:tcW w:w="1891" w:type="dxa"/>
            <w:tcBorders>
              <w:top w:val="single" w:sz="4" w:space="0" w:color="000000"/>
              <w:left w:val="single" w:sz="4" w:space="0" w:color="000000"/>
              <w:bottom w:val="single" w:sz="4" w:space="0" w:color="000000"/>
            </w:tcBorders>
          </w:tcPr>
          <w:p>
            <w:pPr>
              <w:snapToGrid w:val="0"/>
              <w:jc w:val="right"/>
              <w:rPr>
                <w:noProof/>
                <w:lang w:val="en-IE"/>
              </w:rPr>
            </w:pPr>
            <w:r>
              <w:rPr>
                <w:noProof/>
                <w:lang w:val="en-IE"/>
              </w:rPr>
              <w:t xml:space="preserve"> 0.5 </w:t>
            </w:r>
          </w:p>
        </w:tc>
        <w:tc>
          <w:tcPr>
            <w:tcW w:w="1446" w:type="dxa"/>
            <w:tcBorders>
              <w:top w:val="single" w:sz="4" w:space="0" w:color="000000"/>
              <w:left w:val="single" w:sz="4" w:space="0" w:color="000000"/>
              <w:bottom w:val="single" w:sz="4" w:space="0" w:color="000000"/>
            </w:tcBorders>
          </w:tcPr>
          <w:p>
            <w:pPr>
              <w:snapToGrid w:val="0"/>
              <w:jc w:val="right"/>
              <w:rPr>
                <w:noProof/>
                <w:lang w:val="en-IE"/>
              </w:rPr>
            </w:pPr>
            <w:r>
              <w:rPr>
                <w:noProof/>
                <w:lang w:val="en-IE"/>
              </w:rPr>
              <w:t xml:space="preserve"> 153.4 </w:t>
            </w:r>
          </w:p>
        </w:tc>
        <w:tc>
          <w:tcPr>
            <w:tcW w:w="1130" w:type="dxa"/>
            <w:tcBorders>
              <w:top w:val="single" w:sz="4" w:space="0" w:color="000000"/>
              <w:left w:val="single" w:sz="4" w:space="0" w:color="000000"/>
              <w:bottom w:val="single" w:sz="4" w:space="0" w:color="000000"/>
              <w:right w:val="single" w:sz="4" w:space="0" w:color="000000"/>
            </w:tcBorders>
          </w:tcPr>
          <w:p>
            <w:pPr>
              <w:snapToGrid w:val="0"/>
              <w:jc w:val="right"/>
              <w:rPr>
                <w:noProof/>
                <w:lang w:val="en-IE"/>
              </w:rPr>
            </w:pPr>
            <w:r>
              <w:rPr>
                <w:noProof/>
                <w:lang w:val="en-IE"/>
              </w:rPr>
              <w:t>0.2%</w:t>
            </w:r>
          </w:p>
        </w:tc>
      </w:tr>
      <w:tr>
        <w:trPr>
          <w:trHeight w:val="165"/>
        </w:trPr>
        <w:tc>
          <w:tcPr>
            <w:tcW w:w="2770" w:type="dxa"/>
            <w:tcBorders>
              <w:top w:val="single" w:sz="4" w:space="0" w:color="000000"/>
              <w:left w:val="single" w:sz="4" w:space="0" w:color="000000"/>
              <w:bottom w:val="single" w:sz="4" w:space="0" w:color="000000"/>
            </w:tcBorders>
          </w:tcPr>
          <w:p>
            <w:pPr>
              <w:snapToGrid w:val="0"/>
              <w:ind w:left="284"/>
              <w:rPr>
                <w:b/>
                <w:noProof/>
                <w:lang w:val="en-IE"/>
              </w:rPr>
            </w:pPr>
            <w:r>
              <w:rPr>
                <w:b/>
                <w:noProof/>
                <w:lang w:val="en-IE"/>
              </w:rPr>
              <w:t>BOP</w:t>
            </w:r>
          </w:p>
        </w:tc>
        <w:tc>
          <w:tcPr>
            <w:tcW w:w="1665" w:type="dxa"/>
            <w:tcBorders>
              <w:top w:val="single" w:sz="4" w:space="0" w:color="000000"/>
              <w:left w:val="single" w:sz="4" w:space="0" w:color="000000"/>
              <w:bottom w:val="single" w:sz="4" w:space="0" w:color="000000"/>
            </w:tcBorders>
          </w:tcPr>
          <w:p>
            <w:pPr>
              <w:snapToGrid w:val="0"/>
              <w:jc w:val="right"/>
              <w:rPr>
                <w:noProof/>
                <w:lang w:val="en-IE"/>
              </w:rPr>
            </w:pPr>
            <w:r>
              <w:rPr>
                <w:noProof/>
                <w:lang w:val="en-IE"/>
              </w:rPr>
              <w:t xml:space="preserve"> 1,700.0 </w:t>
            </w:r>
          </w:p>
        </w:tc>
        <w:tc>
          <w:tcPr>
            <w:tcW w:w="1891" w:type="dxa"/>
            <w:tcBorders>
              <w:top w:val="single" w:sz="4" w:space="0" w:color="000000"/>
              <w:left w:val="single" w:sz="4" w:space="0" w:color="000000"/>
              <w:bottom w:val="single" w:sz="4" w:space="0" w:color="000000"/>
            </w:tcBorders>
          </w:tcPr>
          <w:p>
            <w:pPr>
              <w:snapToGrid w:val="0"/>
              <w:jc w:val="right"/>
              <w:rPr>
                <w:noProof/>
                <w:lang w:val="en-IE"/>
              </w:rPr>
            </w:pPr>
            <w:r>
              <w:rPr>
                <w:noProof/>
                <w:lang w:val="en-IE"/>
              </w:rPr>
              <w:t xml:space="preserve"> 33.9 </w:t>
            </w:r>
          </w:p>
        </w:tc>
        <w:tc>
          <w:tcPr>
            <w:tcW w:w="1446" w:type="dxa"/>
            <w:tcBorders>
              <w:top w:val="single" w:sz="4" w:space="0" w:color="000000"/>
              <w:left w:val="single" w:sz="4" w:space="0" w:color="000000"/>
              <w:bottom w:val="single" w:sz="4" w:space="0" w:color="000000"/>
            </w:tcBorders>
          </w:tcPr>
          <w:p>
            <w:pPr>
              <w:snapToGrid w:val="0"/>
              <w:jc w:val="right"/>
              <w:rPr>
                <w:noProof/>
                <w:lang w:val="en-IE"/>
              </w:rPr>
            </w:pPr>
            <w:r>
              <w:rPr>
                <w:noProof/>
                <w:lang w:val="en-IE"/>
              </w:rPr>
              <w:t xml:space="preserve"> 1,733.9 </w:t>
            </w:r>
          </w:p>
        </w:tc>
        <w:tc>
          <w:tcPr>
            <w:tcW w:w="1130" w:type="dxa"/>
            <w:tcBorders>
              <w:top w:val="single" w:sz="4" w:space="0" w:color="000000"/>
              <w:left w:val="single" w:sz="4" w:space="0" w:color="000000"/>
              <w:bottom w:val="single" w:sz="4" w:space="0" w:color="000000"/>
              <w:right w:val="single" w:sz="4" w:space="0" w:color="000000"/>
            </w:tcBorders>
          </w:tcPr>
          <w:p>
            <w:pPr>
              <w:snapToGrid w:val="0"/>
              <w:jc w:val="right"/>
              <w:rPr>
                <w:noProof/>
                <w:lang w:val="en-IE"/>
              </w:rPr>
            </w:pPr>
            <w:r>
              <w:rPr>
                <w:noProof/>
                <w:lang w:val="en-IE"/>
              </w:rPr>
              <w:t>2.1%</w:t>
            </w:r>
          </w:p>
        </w:tc>
      </w:tr>
      <w:tr>
        <w:trPr>
          <w:trHeight w:val="165"/>
        </w:trPr>
        <w:tc>
          <w:tcPr>
            <w:tcW w:w="2770" w:type="dxa"/>
            <w:tcBorders>
              <w:top w:val="single" w:sz="4" w:space="0" w:color="000000"/>
              <w:left w:val="single" w:sz="4" w:space="0" w:color="000000"/>
              <w:bottom w:val="single" w:sz="4" w:space="0" w:color="000000"/>
            </w:tcBorders>
          </w:tcPr>
          <w:p>
            <w:pPr>
              <w:snapToGrid w:val="0"/>
              <w:ind w:left="284"/>
              <w:rPr>
                <w:b/>
                <w:noProof/>
                <w:lang w:val="en-IE"/>
              </w:rPr>
            </w:pPr>
            <w:r>
              <w:rPr>
                <w:b/>
                <w:noProof/>
                <w:lang w:val="en-IE"/>
              </w:rPr>
              <w:t>EIB</w:t>
            </w:r>
          </w:p>
        </w:tc>
        <w:tc>
          <w:tcPr>
            <w:tcW w:w="1665" w:type="dxa"/>
            <w:tcBorders>
              <w:top w:val="single" w:sz="4" w:space="0" w:color="000000"/>
              <w:left w:val="single" w:sz="4" w:space="0" w:color="000000"/>
              <w:bottom w:val="single" w:sz="4" w:space="0" w:color="000000"/>
            </w:tcBorders>
          </w:tcPr>
          <w:p>
            <w:pPr>
              <w:snapToGrid w:val="0"/>
              <w:jc w:val="right"/>
              <w:rPr>
                <w:noProof/>
                <w:lang w:val="en-IE"/>
              </w:rPr>
            </w:pPr>
            <w:r>
              <w:rPr>
                <w:noProof/>
                <w:lang w:val="en-IE"/>
              </w:rPr>
              <w:t xml:space="preserve"> 1,141.0 </w:t>
            </w:r>
          </w:p>
        </w:tc>
        <w:tc>
          <w:tcPr>
            <w:tcW w:w="1891" w:type="dxa"/>
            <w:tcBorders>
              <w:top w:val="single" w:sz="4" w:space="0" w:color="000000"/>
              <w:left w:val="single" w:sz="4" w:space="0" w:color="000000"/>
              <w:bottom w:val="single" w:sz="4" w:space="0" w:color="000000"/>
            </w:tcBorders>
          </w:tcPr>
          <w:p>
            <w:pPr>
              <w:snapToGrid w:val="0"/>
              <w:jc w:val="right"/>
              <w:rPr>
                <w:noProof/>
                <w:lang w:val="en-IE"/>
              </w:rPr>
            </w:pPr>
            <w:r>
              <w:rPr>
                <w:noProof/>
                <w:lang w:val="en-IE"/>
              </w:rPr>
              <w:t xml:space="preserve"> 9.0 </w:t>
            </w:r>
          </w:p>
        </w:tc>
        <w:tc>
          <w:tcPr>
            <w:tcW w:w="1446" w:type="dxa"/>
            <w:tcBorders>
              <w:top w:val="single" w:sz="4" w:space="0" w:color="000000"/>
              <w:left w:val="single" w:sz="4" w:space="0" w:color="000000"/>
              <w:bottom w:val="single" w:sz="4" w:space="0" w:color="000000"/>
            </w:tcBorders>
          </w:tcPr>
          <w:p>
            <w:pPr>
              <w:snapToGrid w:val="0"/>
              <w:jc w:val="right"/>
              <w:rPr>
                <w:noProof/>
                <w:lang w:val="en-IE"/>
              </w:rPr>
            </w:pPr>
            <w:r>
              <w:rPr>
                <w:noProof/>
                <w:lang w:val="en-IE"/>
              </w:rPr>
              <w:t xml:space="preserve"> 1,150.0 </w:t>
            </w:r>
          </w:p>
        </w:tc>
        <w:tc>
          <w:tcPr>
            <w:tcW w:w="1130" w:type="dxa"/>
            <w:tcBorders>
              <w:top w:val="single" w:sz="4" w:space="0" w:color="000000"/>
              <w:left w:val="single" w:sz="4" w:space="0" w:color="000000"/>
              <w:bottom w:val="single" w:sz="4" w:space="0" w:color="000000"/>
              <w:right w:val="single" w:sz="4" w:space="0" w:color="000000"/>
            </w:tcBorders>
          </w:tcPr>
          <w:p>
            <w:pPr>
              <w:snapToGrid w:val="0"/>
              <w:jc w:val="right"/>
              <w:rPr>
                <w:noProof/>
                <w:lang w:val="en-IE"/>
              </w:rPr>
            </w:pPr>
            <w:r>
              <w:rPr>
                <w:noProof/>
                <w:lang w:val="en-IE"/>
              </w:rPr>
              <w:t>1.4%</w:t>
            </w:r>
          </w:p>
        </w:tc>
      </w:tr>
      <w:tr>
        <w:trPr>
          <w:trHeight w:val="165"/>
        </w:trPr>
        <w:tc>
          <w:tcPr>
            <w:tcW w:w="2770" w:type="dxa"/>
            <w:tcBorders>
              <w:top w:val="single" w:sz="4" w:space="0" w:color="000000"/>
              <w:left w:val="single" w:sz="4" w:space="0" w:color="000000"/>
              <w:bottom w:val="single" w:sz="4" w:space="0" w:color="000000"/>
            </w:tcBorders>
          </w:tcPr>
          <w:p>
            <w:pPr>
              <w:snapToGrid w:val="0"/>
              <w:ind w:left="284"/>
              <w:rPr>
                <w:rStyle w:val="Added"/>
                <w:noProof/>
                <w:lang w:val="en-IE"/>
              </w:rPr>
            </w:pPr>
            <w:r>
              <w:rPr>
                <w:b/>
                <w:noProof/>
                <w:lang w:val="en-IE"/>
              </w:rPr>
              <w:t>EFSM</w:t>
            </w:r>
          </w:p>
        </w:tc>
        <w:tc>
          <w:tcPr>
            <w:tcW w:w="1665" w:type="dxa"/>
            <w:tcBorders>
              <w:top w:val="single" w:sz="4" w:space="0" w:color="000000"/>
              <w:left w:val="single" w:sz="4" w:space="0" w:color="000000"/>
              <w:bottom w:val="single" w:sz="4" w:space="0" w:color="000000"/>
            </w:tcBorders>
          </w:tcPr>
          <w:p>
            <w:pPr>
              <w:snapToGrid w:val="0"/>
              <w:jc w:val="right"/>
              <w:rPr>
                <w:noProof/>
                <w:lang w:val="en-IE"/>
              </w:rPr>
            </w:pPr>
            <w:r>
              <w:rPr>
                <w:noProof/>
                <w:lang w:val="en-IE"/>
              </w:rPr>
              <w:t xml:space="preserve"> 46,800.0 </w:t>
            </w:r>
          </w:p>
        </w:tc>
        <w:tc>
          <w:tcPr>
            <w:tcW w:w="1891" w:type="dxa"/>
            <w:tcBorders>
              <w:top w:val="single" w:sz="4" w:space="0" w:color="000000"/>
              <w:left w:val="single" w:sz="4" w:space="0" w:color="000000"/>
              <w:bottom w:val="single" w:sz="4" w:space="0" w:color="000000"/>
            </w:tcBorders>
          </w:tcPr>
          <w:p>
            <w:pPr>
              <w:snapToGrid w:val="0"/>
              <w:jc w:val="right"/>
              <w:rPr>
                <w:noProof/>
                <w:lang w:val="en-IE"/>
              </w:rPr>
            </w:pPr>
            <w:r>
              <w:rPr>
                <w:noProof/>
                <w:lang w:val="en-IE"/>
              </w:rPr>
              <w:t xml:space="preserve"> 600.0 </w:t>
            </w:r>
          </w:p>
        </w:tc>
        <w:tc>
          <w:tcPr>
            <w:tcW w:w="1446" w:type="dxa"/>
            <w:tcBorders>
              <w:top w:val="single" w:sz="4" w:space="0" w:color="000000"/>
              <w:left w:val="single" w:sz="4" w:space="0" w:color="000000"/>
              <w:bottom w:val="single" w:sz="4" w:space="0" w:color="000000"/>
            </w:tcBorders>
          </w:tcPr>
          <w:p>
            <w:pPr>
              <w:snapToGrid w:val="0"/>
              <w:jc w:val="right"/>
              <w:rPr>
                <w:noProof/>
                <w:lang w:val="en-IE"/>
              </w:rPr>
            </w:pPr>
            <w:r>
              <w:rPr>
                <w:noProof/>
                <w:lang w:val="en-IE"/>
              </w:rPr>
              <w:t xml:space="preserve"> 47,400.0 </w:t>
            </w:r>
          </w:p>
        </w:tc>
        <w:tc>
          <w:tcPr>
            <w:tcW w:w="1130" w:type="dxa"/>
            <w:tcBorders>
              <w:top w:val="single" w:sz="4" w:space="0" w:color="000000"/>
              <w:left w:val="single" w:sz="4" w:space="0" w:color="000000"/>
              <w:bottom w:val="single" w:sz="4" w:space="0" w:color="000000"/>
              <w:right w:val="single" w:sz="4" w:space="0" w:color="000000"/>
            </w:tcBorders>
          </w:tcPr>
          <w:p>
            <w:pPr>
              <w:snapToGrid w:val="0"/>
              <w:jc w:val="right"/>
              <w:rPr>
                <w:noProof/>
                <w:lang w:val="en-IE"/>
              </w:rPr>
            </w:pPr>
            <w:r>
              <w:rPr>
                <w:noProof/>
                <w:lang w:val="en-IE"/>
              </w:rPr>
              <w:t>57.5%</w:t>
            </w:r>
          </w:p>
        </w:tc>
      </w:tr>
      <w:tr>
        <w:trPr>
          <w:trHeight w:val="165"/>
        </w:trPr>
        <w:tc>
          <w:tcPr>
            <w:tcW w:w="2770" w:type="dxa"/>
            <w:tcBorders>
              <w:top w:val="single" w:sz="4" w:space="0" w:color="000000"/>
              <w:left w:val="single" w:sz="4" w:space="0" w:color="000000"/>
              <w:bottom w:val="single" w:sz="4" w:space="0" w:color="000000"/>
            </w:tcBorders>
          </w:tcPr>
          <w:p>
            <w:pPr>
              <w:snapToGrid w:val="0"/>
              <w:jc w:val="left"/>
              <w:rPr>
                <w:rStyle w:val="Added"/>
                <w:noProof/>
                <w:u w:val="none"/>
                <w:lang w:val="en-IE"/>
              </w:rPr>
            </w:pPr>
            <w:r>
              <w:rPr>
                <w:rStyle w:val="Added"/>
                <w:noProof/>
                <w:u w:val="none"/>
                <w:lang w:val="en-IE"/>
              </w:rPr>
              <w:t>Sub-total Member States</w:t>
            </w:r>
            <w:r>
              <w:rPr>
                <w:b/>
                <w:noProof/>
                <w:lang w:val="en-IE"/>
              </w:rPr>
              <w:t>**</w:t>
            </w:r>
          </w:p>
        </w:tc>
        <w:tc>
          <w:tcPr>
            <w:tcW w:w="1665" w:type="dxa"/>
            <w:tcBorders>
              <w:top w:val="single" w:sz="4" w:space="0" w:color="000000"/>
              <w:left w:val="single" w:sz="4" w:space="0" w:color="000000"/>
              <w:bottom w:val="single" w:sz="4" w:space="0" w:color="000000"/>
            </w:tcBorders>
          </w:tcPr>
          <w:p>
            <w:pPr>
              <w:snapToGrid w:val="0"/>
              <w:jc w:val="right"/>
              <w:rPr>
                <w:noProof/>
                <w:lang w:val="en-IE"/>
              </w:rPr>
            </w:pPr>
            <w:r>
              <w:rPr>
                <w:noProof/>
                <w:lang w:val="en-IE"/>
              </w:rPr>
              <w:t xml:space="preserve"> 49,793.9 </w:t>
            </w:r>
          </w:p>
        </w:tc>
        <w:tc>
          <w:tcPr>
            <w:tcW w:w="1891" w:type="dxa"/>
            <w:tcBorders>
              <w:top w:val="single" w:sz="4" w:space="0" w:color="000000"/>
              <w:left w:val="single" w:sz="4" w:space="0" w:color="000000"/>
              <w:bottom w:val="single" w:sz="4" w:space="0" w:color="000000"/>
            </w:tcBorders>
          </w:tcPr>
          <w:p>
            <w:pPr>
              <w:snapToGrid w:val="0"/>
              <w:jc w:val="right"/>
              <w:rPr>
                <w:noProof/>
                <w:lang w:val="en-IE"/>
              </w:rPr>
            </w:pPr>
            <w:r>
              <w:rPr>
                <w:noProof/>
                <w:lang w:val="en-IE"/>
              </w:rPr>
              <w:t xml:space="preserve"> 643.3 </w:t>
            </w:r>
          </w:p>
        </w:tc>
        <w:tc>
          <w:tcPr>
            <w:tcW w:w="1446" w:type="dxa"/>
            <w:tcBorders>
              <w:top w:val="single" w:sz="4" w:space="0" w:color="000000"/>
              <w:left w:val="single" w:sz="4" w:space="0" w:color="000000"/>
              <w:bottom w:val="single" w:sz="4" w:space="0" w:color="000000"/>
            </w:tcBorders>
          </w:tcPr>
          <w:p>
            <w:pPr>
              <w:snapToGrid w:val="0"/>
              <w:jc w:val="right"/>
              <w:rPr>
                <w:noProof/>
                <w:lang w:val="en-IE"/>
              </w:rPr>
            </w:pPr>
            <w:r>
              <w:rPr>
                <w:noProof/>
                <w:lang w:val="en-IE"/>
              </w:rPr>
              <w:t xml:space="preserve"> 50,437.2 </w:t>
            </w:r>
          </w:p>
        </w:tc>
        <w:tc>
          <w:tcPr>
            <w:tcW w:w="1130" w:type="dxa"/>
            <w:tcBorders>
              <w:top w:val="single" w:sz="4" w:space="0" w:color="000000"/>
              <w:left w:val="single" w:sz="4" w:space="0" w:color="000000"/>
              <w:bottom w:val="single" w:sz="4" w:space="0" w:color="000000"/>
              <w:right w:val="single" w:sz="4" w:space="0" w:color="000000"/>
            </w:tcBorders>
          </w:tcPr>
          <w:p>
            <w:pPr>
              <w:snapToGrid w:val="0"/>
              <w:jc w:val="right"/>
              <w:rPr>
                <w:noProof/>
                <w:lang w:val="en-IE"/>
              </w:rPr>
            </w:pPr>
            <w:r>
              <w:rPr>
                <w:noProof/>
                <w:lang w:val="en-IE"/>
              </w:rPr>
              <w:t>61.2%</w:t>
            </w:r>
          </w:p>
        </w:tc>
      </w:tr>
      <w:tr>
        <w:trPr>
          <w:trHeight w:val="165"/>
        </w:trPr>
        <w:tc>
          <w:tcPr>
            <w:tcW w:w="2770" w:type="dxa"/>
            <w:tcBorders>
              <w:top w:val="single" w:sz="4" w:space="0" w:color="000000"/>
              <w:left w:val="single" w:sz="4" w:space="0" w:color="000000"/>
              <w:bottom w:val="single" w:sz="4" w:space="0" w:color="000000"/>
            </w:tcBorders>
          </w:tcPr>
          <w:p>
            <w:pPr>
              <w:snapToGrid w:val="0"/>
              <w:rPr>
                <w:noProof/>
                <w:sz w:val="20"/>
                <w:lang w:val="en-IE"/>
              </w:rPr>
            </w:pPr>
            <w:r>
              <w:rPr>
                <w:rStyle w:val="Added"/>
                <w:noProof/>
                <w:u w:val="none"/>
                <w:lang w:val="en-IE"/>
              </w:rPr>
              <w:t>Third Countries</w:t>
            </w:r>
            <w:r>
              <w:rPr>
                <w:noProof/>
                <w:sz w:val="20"/>
                <w:lang w:val="en-IE"/>
              </w:rPr>
              <w:t>***</w:t>
            </w:r>
          </w:p>
        </w:tc>
        <w:tc>
          <w:tcPr>
            <w:tcW w:w="1665" w:type="dxa"/>
            <w:tcBorders>
              <w:top w:val="single" w:sz="4" w:space="0" w:color="000000"/>
              <w:left w:val="single" w:sz="4" w:space="0" w:color="000000"/>
              <w:bottom w:val="single" w:sz="4" w:space="0" w:color="000000"/>
            </w:tcBorders>
          </w:tcPr>
          <w:p>
            <w:pPr>
              <w:snapToGrid w:val="0"/>
              <w:jc w:val="right"/>
              <w:rPr>
                <w:noProof/>
                <w:lang w:val="en-IE"/>
              </w:rPr>
            </w:pPr>
          </w:p>
        </w:tc>
        <w:tc>
          <w:tcPr>
            <w:tcW w:w="1891" w:type="dxa"/>
            <w:tcBorders>
              <w:top w:val="single" w:sz="4" w:space="0" w:color="000000"/>
              <w:left w:val="single" w:sz="4" w:space="0" w:color="000000"/>
              <w:bottom w:val="single" w:sz="4" w:space="0" w:color="000000"/>
            </w:tcBorders>
          </w:tcPr>
          <w:p>
            <w:pPr>
              <w:snapToGrid w:val="0"/>
              <w:jc w:val="right"/>
              <w:rPr>
                <w:noProof/>
                <w:lang w:val="en-IE"/>
              </w:rPr>
            </w:pPr>
          </w:p>
        </w:tc>
        <w:tc>
          <w:tcPr>
            <w:tcW w:w="1446" w:type="dxa"/>
            <w:tcBorders>
              <w:top w:val="single" w:sz="4" w:space="0" w:color="000000"/>
              <w:left w:val="single" w:sz="4" w:space="0" w:color="000000"/>
              <w:bottom w:val="single" w:sz="4" w:space="0" w:color="000000"/>
            </w:tcBorders>
          </w:tcPr>
          <w:p>
            <w:pPr>
              <w:snapToGrid w:val="0"/>
              <w:jc w:val="right"/>
              <w:rPr>
                <w:noProof/>
                <w:lang w:val="en-IE"/>
              </w:rPr>
            </w:pPr>
          </w:p>
        </w:tc>
        <w:tc>
          <w:tcPr>
            <w:tcW w:w="1130" w:type="dxa"/>
            <w:tcBorders>
              <w:top w:val="single" w:sz="4" w:space="0" w:color="000000"/>
              <w:left w:val="single" w:sz="4" w:space="0" w:color="000000"/>
              <w:bottom w:val="single" w:sz="4" w:space="0" w:color="000000"/>
              <w:right w:val="single" w:sz="4" w:space="0" w:color="000000"/>
            </w:tcBorders>
          </w:tcPr>
          <w:p>
            <w:pPr>
              <w:snapToGrid w:val="0"/>
              <w:jc w:val="right"/>
              <w:rPr>
                <w:noProof/>
                <w:lang w:val="en-IE"/>
              </w:rPr>
            </w:pPr>
          </w:p>
        </w:tc>
      </w:tr>
      <w:tr>
        <w:trPr>
          <w:trHeight w:val="165"/>
        </w:trPr>
        <w:tc>
          <w:tcPr>
            <w:tcW w:w="2770" w:type="dxa"/>
            <w:tcBorders>
              <w:top w:val="single" w:sz="4" w:space="0" w:color="000000"/>
              <w:left w:val="single" w:sz="4" w:space="0" w:color="000000"/>
              <w:bottom w:val="single" w:sz="4" w:space="0" w:color="000000"/>
            </w:tcBorders>
          </w:tcPr>
          <w:p>
            <w:pPr>
              <w:snapToGrid w:val="0"/>
              <w:ind w:left="284"/>
              <w:rPr>
                <w:b/>
                <w:noProof/>
                <w:lang w:val="en-IE"/>
              </w:rPr>
            </w:pPr>
            <w:r>
              <w:rPr>
                <w:b/>
                <w:noProof/>
                <w:lang w:val="en-IE"/>
              </w:rPr>
              <w:t>MFA</w:t>
            </w:r>
          </w:p>
        </w:tc>
        <w:tc>
          <w:tcPr>
            <w:tcW w:w="1665" w:type="dxa"/>
            <w:tcBorders>
              <w:top w:val="single" w:sz="4" w:space="0" w:color="000000"/>
              <w:left w:val="single" w:sz="4" w:space="0" w:color="000000"/>
              <w:bottom w:val="single" w:sz="4" w:space="0" w:color="000000"/>
            </w:tcBorders>
          </w:tcPr>
          <w:p>
            <w:pPr>
              <w:snapToGrid w:val="0"/>
              <w:jc w:val="right"/>
              <w:rPr>
                <w:noProof/>
                <w:lang w:val="en-IE"/>
              </w:rPr>
            </w:pPr>
            <w:r>
              <w:rPr>
                <w:noProof/>
                <w:lang w:val="en-IE"/>
              </w:rPr>
              <w:t xml:space="preserve"> 4,360.7 </w:t>
            </w:r>
          </w:p>
        </w:tc>
        <w:tc>
          <w:tcPr>
            <w:tcW w:w="1891" w:type="dxa"/>
            <w:tcBorders>
              <w:top w:val="single" w:sz="4" w:space="0" w:color="000000"/>
              <w:left w:val="single" w:sz="4" w:space="0" w:color="000000"/>
              <w:bottom w:val="single" w:sz="4" w:space="0" w:color="000000"/>
            </w:tcBorders>
          </w:tcPr>
          <w:p>
            <w:pPr>
              <w:snapToGrid w:val="0"/>
              <w:jc w:val="right"/>
              <w:rPr>
                <w:noProof/>
                <w:lang w:val="en-IE"/>
              </w:rPr>
            </w:pPr>
            <w:r>
              <w:rPr>
                <w:noProof/>
                <w:lang w:val="en-IE"/>
              </w:rPr>
              <w:t xml:space="preserve"> 26.8 </w:t>
            </w:r>
          </w:p>
        </w:tc>
        <w:tc>
          <w:tcPr>
            <w:tcW w:w="1446" w:type="dxa"/>
            <w:tcBorders>
              <w:top w:val="single" w:sz="4" w:space="0" w:color="000000"/>
              <w:left w:val="single" w:sz="4" w:space="0" w:color="000000"/>
              <w:bottom w:val="single" w:sz="4" w:space="0" w:color="000000"/>
            </w:tcBorders>
          </w:tcPr>
          <w:p>
            <w:pPr>
              <w:snapToGrid w:val="0"/>
              <w:jc w:val="right"/>
              <w:rPr>
                <w:noProof/>
                <w:lang w:val="en-IE"/>
              </w:rPr>
            </w:pPr>
            <w:r>
              <w:rPr>
                <w:noProof/>
                <w:lang w:val="en-IE"/>
              </w:rPr>
              <w:t xml:space="preserve"> 4,387.6 </w:t>
            </w:r>
          </w:p>
        </w:tc>
        <w:tc>
          <w:tcPr>
            <w:tcW w:w="1130" w:type="dxa"/>
            <w:tcBorders>
              <w:top w:val="single" w:sz="4" w:space="0" w:color="000000"/>
              <w:left w:val="single" w:sz="4" w:space="0" w:color="000000"/>
              <w:bottom w:val="single" w:sz="4" w:space="0" w:color="000000"/>
              <w:right w:val="single" w:sz="4" w:space="0" w:color="000000"/>
            </w:tcBorders>
          </w:tcPr>
          <w:p>
            <w:pPr>
              <w:snapToGrid w:val="0"/>
              <w:jc w:val="right"/>
              <w:rPr>
                <w:noProof/>
                <w:lang w:val="en-IE"/>
              </w:rPr>
            </w:pPr>
            <w:r>
              <w:rPr>
                <w:noProof/>
                <w:lang w:val="en-IE"/>
              </w:rPr>
              <w:t>5.3%</w:t>
            </w:r>
          </w:p>
        </w:tc>
      </w:tr>
      <w:tr>
        <w:trPr>
          <w:trHeight w:val="165"/>
        </w:trPr>
        <w:tc>
          <w:tcPr>
            <w:tcW w:w="2770" w:type="dxa"/>
            <w:tcBorders>
              <w:top w:val="single" w:sz="4" w:space="0" w:color="000000"/>
              <w:left w:val="single" w:sz="4" w:space="0" w:color="000000"/>
              <w:bottom w:val="single" w:sz="4" w:space="0" w:color="000000"/>
            </w:tcBorders>
          </w:tcPr>
          <w:p>
            <w:pPr>
              <w:snapToGrid w:val="0"/>
              <w:ind w:left="284"/>
              <w:rPr>
                <w:b/>
                <w:noProof/>
                <w:lang w:val="en-IE"/>
              </w:rPr>
            </w:pPr>
            <w:r>
              <w:rPr>
                <w:b/>
                <w:noProof/>
                <w:lang w:val="en-IE"/>
              </w:rPr>
              <w:t>Euratom</w:t>
            </w:r>
          </w:p>
        </w:tc>
        <w:tc>
          <w:tcPr>
            <w:tcW w:w="1665" w:type="dxa"/>
            <w:tcBorders>
              <w:top w:val="single" w:sz="4" w:space="0" w:color="000000"/>
              <w:left w:val="single" w:sz="4" w:space="0" w:color="000000"/>
              <w:bottom w:val="single" w:sz="4" w:space="0" w:color="000000"/>
            </w:tcBorders>
          </w:tcPr>
          <w:p>
            <w:pPr>
              <w:snapToGrid w:val="0"/>
              <w:jc w:val="right"/>
              <w:rPr>
                <w:noProof/>
                <w:lang w:val="en-IE"/>
              </w:rPr>
            </w:pPr>
            <w:r>
              <w:rPr>
                <w:noProof/>
                <w:lang w:val="en-IE"/>
              </w:rPr>
              <w:t xml:space="preserve"> 100.0 </w:t>
            </w:r>
          </w:p>
        </w:tc>
        <w:tc>
          <w:tcPr>
            <w:tcW w:w="1891" w:type="dxa"/>
            <w:tcBorders>
              <w:top w:val="single" w:sz="4" w:space="0" w:color="000000"/>
              <w:left w:val="single" w:sz="4" w:space="0" w:color="000000"/>
              <w:bottom w:val="single" w:sz="4" w:space="0" w:color="000000"/>
            </w:tcBorders>
          </w:tcPr>
          <w:p>
            <w:pPr>
              <w:snapToGrid w:val="0"/>
              <w:jc w:val="right"/>
              <w:rPr>
                <w:noProof/>
                <w:lang w:val="en-IE"/>
              </w:rPr>
            </w:pPr>
            <w:r>
              <w:rPr>
                <w:noProof/>
                <w:lang w:val="en-IE"/>
              </w:rPr>
              <w:t xml:space="preserve"> 0.5 </w:t>
            </w:r>
          </w:p>
        </w:tc>
        <w:tc>
          <w:tcPr>
            <w:tcW w:w="1446" w:type="dxa"/>
            <w:tcBorders>
              <w:top w:val="single" w:sz="4" w:space="0" w:color="000000"/>
              <w:left w:val="single" w:sz="4" w:space="0" w:color="000000"/>
              <w:bottom w:val="single" w:sz="4" w:space="0" w:color="000000"/>
            </w:tcBorders>
          </w:tcPr>
          <w:p>
            <w:pPr>
              <w:snapToGrid w:val="0"/>
              <w:jc w:val="right"/>
              <w:rPr>
                <w:noProof/>
                <w:lang w:val="en-IE"/>
              </w:rPr>
            </w:pPr>
            <w:r>
              <w:rPr>
                <w:noProof/>
                <w:lang w:val="en-IE"/>
              </w:rPr>
              <w:t xml:space="preserve"> 100.5 </w:t>
            </w:r>
          </w:p>
        </w:tc>
        <w:tc>
          <w:tcPr>
            <w:tcW w:w="1130" w:type="dxa"/>
            <w:tcBorders>
              <w:top w:val="single" w:sz="4" w:space="0" w:color="000000"/>
              <w:left w:val="single" w:sz="4" w:space="0" w:color="000000"/>
              <w:bottom w:val="single" w:sz="4" w:space="0" w:color="000000"/>
              <w:right w:val="single" w:sz="4" w:space="0" w:color="000000"/>
            </w:tcBorders>
          </w:tcPr>
          <w:p>
            <w:pPr>
              <w:snapToGrid w:val="0"/>
              <w:jc w:val="right"/>
              <w:rPr>
                <w:noProof/>
                <w:lang w:val="en-IE"/>
              </w:rPr>
            </w:pPr>
            <w:r>
              <w:rPr>
                <w:noProof/>
                <w:lang w:val="en-IE"/>
              </w:rPr>
              <w:t>0.1%</w:t>
            </w:r>
          </w:p>
        </w:tc>
      </w:tr>
      <w:tr>
        <w:trPr>
          <w:trHeight w:val="165"/>
        </w:trPr>
        <w:tc>
          <w:tcPr>
            <w:tcW w:w="2770" w:type="dxa"/>
            <w:tcBorders>
              <w:top w:val="single" w:sz="4" w:space="0" w:color="000000"/>
              <w:left w:val="single" w:sz="4" w:space="0" w:color="000000"/>
              <w:bottom w:val="single" w:sz="4" w:space="0" w:color="000000"/>
            </w:tcBorders>
          </w:tcPr>
          <w:p>
            <w:pPr>
              <w:snapToGrid w:val="0"/>
              <w:ind w:left="284"/>
              <w:rPr>
                <w:b/>
                <w:noProof/>
                <w:lang w:val="en-IE"/>
              </w:rPr>
            </w:pPr>
            <w:r>
              <w:rPr>
                <w:b/>
                <w:noProof/>
                <w:lang w:val="en-IE"/>
              </w:rPr>
              <w:t>EIB****</w:t>
            </w:r>
          </w:p>
        </w:tc>
        <w:tc>
          <w:tcPr>
            <w:tcW w:w="1665" w:type="dxa"/>
            <w:tcBorders>
              <w:top w:val="single" w:sz="4" w:space="0" w:color="000000"/>
              <w:left w:val="single" w:sz="4" w:space="0" w:color="000000"/>
              <w:bottom w:val="single" w:sz="4" w:space="0" w:color="000000"/>
            </w:tcBorders>
          </w:tcPr>
          <w:p>
            <w:pPr>
              <w:snapToGrid w:val="0"/>
              <w:jc w:val="right"/>
              <w:rPr>
                <w:noProof/>
                <w:lang w:val="en-IE"/>
              </w:rPr>
            </w:pPr>
            <w:r>
              <w:rPr>
                <w:noProof/>
                <w:lang w:val="en-IE"/>
              </w:rPr>
              <w:t xml:space="preserve"> 27,395.2 </w:t>
            </w:r>
          </w:p>
        </w:tc>
        <w:tc>
          <w:tcPr>
            <w:tcW w:w="1891" w:type="dxa"/>
            <w:tcBorders>
              <w:top w:val="single" w:sz="4" w:space="0" w:color="000000"/>
              <w:left w:val="single" w:sz="4" w:space="0" w:color="000000"/>
              <w:bottom w:val="single" w:sz="4" w:space="0" w:color="000000"/>
            </w:tcBorders>
          </w:tcPr>
          <w:p>
            <w:pPr>
              <w:snapToGrid w:val="0"/>
              <w:jc w:val="right"/>
              <w:rPr>
                <w:noProof/>
                <w:lang w:val="en-IE"/>
              </w:rPr>
            </w:pPr>
            <w:r>
              <w:rPr>
                <w:noProof/>
                <w:lang w:val="en-IE"/>
              </w:rPr>
              <w:t xml:space="preserve"> 147.6 </w:t>
            </w:r>
          </w:p>
        </w:tc>
        <w:tc>
          <w:tcPr>
            <w:tcW w:w="1446" w:type="dxa"/>
            <w:tcBorders>
              <w:top w:val="single" w:sz="4" w:space="0" w:color="000000"/>
              <w:left w:val="single" w:sz="4" w:space="0" w:color="000000"/>
              <w:bottom w:val="single" w:sz="4" w:space="0" w:color="000000"/>
            </w:tcBorders>
          </w:tcPr>
          <w:p>
            <w:pPr>
              <w:snapToGrid w:val="0"/>
              <w:jc w:val="right"/>
              <w:rPr>
                <w:noProof/>
                <w:lang w:val="en-IE"/>
              </w:rPr>
            </w:pPr>
            <w:r>
              <w:rPr>
                <w:noProof/>
                <w:lang w:val="en-IE"/>
              </w:rPr>
              <w:t xml:space="preserve"> 27,542.8 </w:t>
            </w:r>
          </w:p>
        </w:tc>
        <w:tc>
          <w:tcPr>
            <w:tcW w:w="1130" w:type="dxa"/>
            <w:tcBorders>
              <w:top w:val="single" w:sz="4" w:space="0" w:color="000000"/>
              <w:left w:val="single" w:sz="4" w:space="0" w:color="000000"/>
              <w:bottom w:val="single" w:sz="4" w:space="0" w:color="000000"/>
              <w:right w:val="single" w:sz="4" w:space="0" w:color="000000"/>
            </w:tcBorders>
          </w:tcPr>
          <w:p>
            <w:pPr>
              <w:snapToGrid w:val="0"/>
              <w:jc w:val="right"/>
              <w:rPr>
                <w:noProof/>
                <w:lang w:val="en-IE"/>
              </w:rPr>
            </w:pPr>
            <w:r>
              <w:rPr>
                <w:noProof/>
                <w:lang w:val="en-IE"/>
              </w:rPr>
              <w:t>33.4%</w:t>
            </w:r>
          </w:p>
        </w:tc>
      </w:tr>
      <w:tr>
        <w:trPr>
          <w:trHeight w:val="165"/>
        </w:trPr>
        <w:tc>
          <w:tcPr>
            <w:tcW w:w="2770" w:type="dxa"/>
            <w:tcBorders>
              <w:top w:val="single" w:sz="4" w:space="0" w:color="000000"/>
              <w:left w:val="single" w:sz="4" w:space="0" w:color="000000"/>
              <w:bottom w:val="single" w:sz="4" w:space="0" w:color="000000"/>
            </w:tcBorders>
          </w:tcPr>
          <w:p>
            <w:pPr>
              <w:snapToGrid w:val="0"/>
              <w:rPr>
                <w:b/>
                <w:noProof/>
                <w:lang w:val="en-IE"/>
              </w:rPr>
            </w:pPr>
            <w:r>
              <w:rPr>
                <w:b/>
                <w:noProof/>
                <w:lang w:val="en-IE"/>
              </w:rPr>
              <w:t>Sub-total third countries</w:t>
            </w:r>
          </w:p>
        </w:tc>
        <w:tc>
          <w:tcPr>
            <w:tcW w:w="1665" w:type="dxa"/>
            <w:tcBorders>
              <w:top w:val="single" w:sz="4" w:space="0" w:color="000000"/>
              <w:left w:val="single" w:sz="4" w:space="0" w:color="000000"/>
              <w:bottom w:val="single" w:sz="4" w:space="0" w:color="000000"/>
            </w:tcBorders>
          </w:tcPr>
          <w:p>
            <w:pPr>
              <w:snapToGrid w:val="0"/>
              <w:jc w:val="right"/>
              <w:rPr>
                <w:noProof/>
                <w:lang w:val="en-IE"/>
              </w:rPr>
            </w:pPr>
            <w:r>
              <w:rPr>
                <w:noProof/>
                <w:lang w:val="en-IE"/>
              </w:rPr>
              <w:t xml:space="preserve"> 31,855.9 </w:t>
            </w:r>
          </w:p>
        </w:tc>
        <w:tc>
          <w:tcPr>
            <w:tcW w:w="1891" w:type="dxa"/>
            <w:tcBorders>
              <w:top w:val="single" w:sz="4" w:space="0" w:color="000000"/>
              <w:left w:val="single" w:sz="4" w:space="0" w:color="000000"/>
              <w:bottom w:val="single" w:sz="4" w:space="0" w:color="000000"/>
            </w:tcBorders>
          </w:tcPr>
          <w:p>
            <w:pPr>
              <w:snapToGrid w:val="0"/>
              <w:jc w:val="right"/>
              <w:rPr>
                <w:noProof/>
                <w:lang w:val="en-IE"/>
              </w:rPr>
            </w:pPr>
            <w:r>
              <w:rPr>
                <w:noProof/>
                <w:lang w:val="en-IE"/>
              </w:rPr>
              <w:t xml:space="preserve"> 174.9 </w:t>
            </w:r>
          </w:p>
        </w:tc>
        <w:tc>
          <w:tcPr>
            <w:tcW w:w="1446" w:type="dxa"/>
            <w:tcBorders>
              <w:top w:val="single" w:sz="4" w:space="0" w:color="000000"/>
              <w:left w:val="single" w:sz="4" w:space="0" w:color="000000"/>
              <w:bottom w:val="single" w:sz="4" w:space="0" w:color="000000"/>
            </w:tcBorders>
          </w:tcPr>
          <w:p>
            <w:pPr>
              <w:snapToGrid w:val="0"/>
              <w:jc w:val="right"/>
              <w:rPr>
                <w:noProof/>
                <w:lang w:val="en-IE"/>
              </w:rPr>
            </w:pPr>
            <w:r>
              <w:rPr>
                <w:noProof/>
                <w:lang w:val="en-IE"/>
              </w:rPr>
              <w:t xml:space="preserve"> 32,030.9 </w:t>
            </w:r>
          </w:p>
        </w:tc>
        <w:tc>
          <w:tcPr>
            <w:tcW w:w="1130" w:type="dxa"/>
            <w:tcBorders>
              <w:top w:val="single" w:sz="4" w:space="0" w:color="000000"/>
              <w:left w:val="single" w:sz="4" w:space="0" w:color="000000"/>
              <w:bottom w:val="single" w:sz="4" w:space="0" w:color="000000"/>
              <w:right w:val="single" w:sz="4" w:space="0" w:color="000000"/>
            </w:tcBorders>
          </w:tcPr>
          <w:p>
            <w:pPr>
              <w:snapToGrid w:val="0"/>
              <w:jc w:val="right"/>
              <w:rPr>
                <w:noProof/>
                <w:lang w:val="en-IE"/>
              </w:rPr>
            </w:pPr>
            <w:r>
              <w:rPr>
                <w:noProof/>
                <w:lang w:val="en-IE"/>
              </w:rPr>
              <w:t>38.8%</w:t>
            </w:r>
          </w:p>
        </w:tc>
      </w:tr>
      <w:tr>
        <w:trPr>
          <w:trHeight w:val="165"/>
        </w:trPr>
        <w:tc>
          <w:tcPr>
            <w:tcW w:w="2770" w:type="dxa"/>
            <w:tcBorders>
              <w:top w:val="single" w:sz="4" w:space="0" w:color="000000"/>
              <w:left w:val="single" w:sz="4" w:space="0" w:color="000000"/>
              <w:bottom w:val="single" w:sz="4" w:space="0" w:color="000000"/>
            </w:tcBorders>
          </w:tcPr>
          <w:p>
            <w:pPr>
              <w:snapToGrid w:val="0"/>
              <w:rPr>
                <w:b/>
                <w:noProof/>
                <w:lang w:val="en-IE"/>
              </w:rPr>
            </w:pPr>
            <w:r>
              <w:rPr>
                <w:b/>
                <w:noProof/>
                <w:lang w:val="en-IE"/>
              </w:rPr>
              <w:t>Total</w:t>
            </w:r>
          </w:p>
        </w:tc>
        <w:tc>
          <w:tcPr>
            <w:tcW w:w="1665" w:type="dxa"/>
            <w:tcBorders>
              <w:top w:val="single" w:sz="4" w:space="0" w:color="000000"/>
              <w:left w:val="single" w:sz="4" w:space="0" w:color="000000"/>
              <w:bottom w:val="single" w:sz="4" w:space="0" w:color="000000"/>
            </w:tcBorders>
          </w:tcPr>
          <w:p>
            <w:pPr>
              <w:snapToGrid w:val="0"/>
              <w:jc w:val="right"/>
              <w:rPr>
                <w:b/>
                <w:noProof/>
                <w:lang w:val="en-IE"/>
              </w:rPr>
            </w:pPr>
            <w:r>
              <w:rPr>
                <w:noProof/>
                <w:lang w:val="en-IE"/>
              </w:rPr>
              <w:t xml:space="preserve"> 81,649.9 </w:t>
            </w:r>
          </w:p>
        </w:tc>
        <w:tc>
          <w:tcPr>
            <w:tcW w:w="1891" w:type="dxa"/>
            <w:tcBorders>
              <w:top w:val="single" w:sz="4" w:space="0" w:color="000000"/>
              <w:left w:val="single" w:sz="4" w:space="0" w:color="000000"/>
              <w:bottom w:val="single" w:sz="4" w:space="0" w:color="000000"/>
            </w:tcBorders>
          </w:tcPr>
          <w:p>
            <w:pPr>
              <w:snapToGrid w:val="0"/>
              <w:jc w:val="right"/>
              <w:rPr>
                <w:b/>
                <w:noProof/>
                <w:lang w:val="en-IE"/>
              </w:rPr>
            </w:pPr>
            <w:r>
              <w:rPr>
                <w:noProof/>
                <w:lang w:val="en-IE"/>
              </w:rPr>
              <w:t xml:space="preserve"> 818.2 </w:t>
            </w:r>
          </w:p>
        </w:tc>
        <w:tc>
          <w:tcPr>
            <w:tcW w:w="1446" w:type="dxa"/>
            <w:tcBorders>
              <w:top w:val="single" w:sz="4" w:space="0" w:color="000000"/>
              <w:left w:val="single" w:sz="4" w:space="0" w:color="000000"/>
              <w:bottom w:val="single" w:sz="4" w:space="0" w:color="000000"/>
            </w:tcBorders>
          </w:tcPr>
          <w:p>
            <w:pPr>
              <w:snapToGrid w:val="0"/>
              <w:jc w:val="right"/>
              <w:rPr>
                <w:b/>
                <w:noProof/>
                <w:lang w:val="en-IE"/>
              </w:rPr>
            </w:pPr>
            <w:r>
              <w:rPr>
                <w:noProof/>
                <w:lang w:val="en-IE"/>
              </w:rPr>
              <w:t xml:space="preserve"> 82,468.1 </w:t>
            </w:r>
          </w:p>
        </w:tc>
        <w:tc>
          <w:tcPr>
            <w:tcW w:w="1130" w:type="dxa"/>
            <w:tcBorders>
              <w:top w:val="single" w:sz="4" w:space="0" w:color="000000"/>
              <w:left w:val="single" w:sz="4" w:space="0" w:color="000000"/>
              <w:bottom w:val="single" w:sz="4" w:space="0" w:color="000000"/>
              <w:right w:val="single" w:sz="4" w:space="0" w:color="000000"/>
            </w:tcBorders>
          </w:tcPr>
          <w:p>
            <w:pPr>
              <w:snapToGrid w:val="0"/>
              <w:jc w:val="right"/>
              <w:rPr>
                <w:b/>
                <w:noProof/>
                <w:lang w:val="en-IE"/>
              </w:rPr>
            </w:pPr>
            <w:r>
              <w:rPr>
                <w:noProof/>
                <w:lang w:val="en-IE"/>
              </w:rPr>
              <w:t>100%</w:t>
            </w:r>
          </w:p>
        </w:tc>
      </w:tr>
      <w:tr>
        <w:trPr>
          <w:trHeight w:val="284"/>
        </w:trPr>
        <w:tc>
          <w:tcPr>
            <w:tcW w:w="8902" w:type="dxa"/>
            <w:gridSpan w:val="5"/>
            <w:tcBorders>
              <w:top w:val="single" w:sz="4" w:space="0" w:color="000000"/>
              <w:left w:val="single" w:sz="4" w:space="0" w:color="000000"/>
              <w:bottom w:val="single" w:sz="4" w:space="0" w:color="000000"/>
              <w:right w:val="single" w:sz="4" w:space="0" w:color="000000"/>
            </w:tcBorders>
          </w:tcPr>
          <w:p>
            <w:pPr>
              <w:tabs>
                <w:tab w:val="left" w:pos="431"/>
              </w:tabs>
              <w:snapToGrid w:val="0"/>
              <w:spacing w:after="0"/>
              <w:ind w:left="431" w:hanging="426"/>
              <w:rPr>
                <w:noProof/>
                <w:sz w:val="20"/>
                <w:lang w:val="en-IE"/>
              </w:rPr>
            </w:pPr>
            <w:r>
              <w:rPr>
                <w:noProof/>
                <w:sz w:val="20"/>
                <w:lang w:val="en-IE"/>
              </w:rPr>
              <w:t>*</w:t>
            </w:r>
            <w:r>
              <w:rPr>
                <w:noProof/>
                <w:sz w:val="20"/>
                <w:lang w:val="en-IE"/>
              </w:rPr>
              <w:tab/>
              <w:t>This risk is directly covered by the EU budget. This also includes Euratom and EIB loans granted to</w:t>
            </w:r>
            <w:r>
              <w:rPr>
                <w:noProof/>
                <w:sz w:val="20"/>
                <w:lang w:val="en-IE"/>
              </w:rPr>
              <w:br/>
              <w:t>Member State countries prior to their accession to the EU.</w:t>
            </w:r>
          </w:p>
          <w:p>
            <w:pPr>
              <w:tabs>
                <w:tab w:val="left" w:pos="431"/>
              </w:tabs>
              <w:snapToGrid w:val="0"/>
              <w:spacing w:after="0"/>
              <w:ind w:left="431" w:hanging="426"/>
              <w:rPr>
                <w:noProof/>
                <w:sz w:val="20"/>
                <w:lang w:val="en-IE"/>
              </w:rPr>
            </w:pPr>
            <w:r>
              <w:rPr>
                <w:noProof/>
                <w:sz w:val="20"/>
                <w:lang w:val="en-IE"/>
              </w:rPr>
              <w:t>**</w:t>
            </w:r>
            <w:r>
              <w:rPr>
                <w:noProof/>
                <w:sz w:val="20"/>
                <w:lang w:val="en-IE"/>
              </w:rPr>
              <w:tab/>
              <w:t>This figures does not include EFSI operations, where EUR</w:t>
            </w:r>
            <w:r>
              <w:rPr>
                <w:noProof/>
                <w:lang w:val="en-IE"/>
              </w:rPr>
              <w:t> </w:t>
            </w:r>
            <w:r>
              <w:rPr>
                <w:noProof/>
                <w:sz w:val="20"/>
                <w:lang w:val="en-IE"/>
              </w:rPr>
              <w:t>15.8</w:t>
            </w:r>
            <w:r>
              <w:rPr>
                <w:noProof/>
                <w:lang w:val="en-IE"/>
              </w:rPr>
              <w:t> </w:t>
            </w:r>
            <w:r>
              <w:rPr>
                <w:noProof/>
                <w:sz w:val="20"/>
                <w:lang w:val="en-IE"/>
              </w:rPr>
              <w:t>billion have been disbursed at the reporting date.</w:t>
            </w:r>
          </w:p>
          <w:p>
            <w:pPr>
              <w:tabs>
                <w:tab w:val="left" w:pos="431"/>
              </w:tabs>
              <w:spacing w:after="0"/>
              <w:ind w:left="431" w:hanging="426"/>
              <w:rPr>
                <w:noProof/>
                <w:sz w:val="20"/>
                <w:lang w:val="en-IE"/>
              </w:rPr>
            </w:pPr>
            <w:r>
              <w:rPr>
                <w:noProof/>
                <w:sz w:val="20"/>
                <w:lang w:val="en-IE"/>
              </w:rPr>
              <w:t>***</w:t>
            </w:r>
            <w:r>
              <w:rPr>
                <w:noProof/>
                <w:sz w:val="20"/>
                <w:lang w:val="en-IE"/>
              </w:rPr>
              <w:tab/>
              <w:t>The risk covered by the Fund is limited to EUR</w:t>
            </w:r>
            <w:r>
              <w:rPr>
                <w:noProof/>
                <w:lang w:val="en-IE"/>
              </w:rPr>
              <w:t> </w:t>
            </w:r>
            <w:r>
              <w:rPr>
                <w:noProof/>
                <w:sz w:val="20"/>
                <w:lang w:val="en-IE"/>
              </w:rPr>
              <w:t>18</w:t>
            </w:r>
            <w:r>
              <w:rPr>
                <w:noProof/>
                <w:lang w:val="en-IE"/>
              </w:rPr>
              <w:t> </w:t>
            </w:r>
            <w:r>
              <w:rPr>
                <w:noProof/>
                <w:sz w:val="20"/>
                <w:lang w:val="en-IE"/>
              </w:rPr>
              <w:t>billion due to the limitations of the guarantees given to the EIB under each one of the external lending mandates (ELM) (see section 2.1.3 - Guarantees given to the EIB of the associated Staff Working Document).</w:t>
            </w:r>
          </w:p>
          <w:p>
            <w:pPr>
              <w:tabs>
                <w:tab w:val="left" w:pos="431"/>
              </w:tabs>
              <w:spacing w:after="0"/>
              <w:ind w:left="431" w:hanging="426"/>
              <w:rPr>
                <w:noProof/>
                <w:sz w:val="20"/>
                <w:lang w:val="en-IE"/>
              </w:rPr>
            </w:pPr>
            <w:r>
              <w:rPr>
                <w:noProof/>
                <w:sz w:val="20"/>
                <w:lang w:val="en-IE"/>
              </w:rPr>
              <w:t>****</w:t>
            </w:r>
            <w:r>
              <w:rPr>
                <w:noProof/>
                <w:sz w:val="20"/>
                <w:lang w:val="en-IE"/>
              </w:rPr>
              <w:tab/>
              <w:t>Loans subrogated to the EU following Syria and Enfidha (Tunisia) defaults on EIB loans are included</w:t>
            </w:r>
            <w:r>
              <w:rPr>
                <w:noProof/>
                <w:sz w:val="20"/>
                <w:lang w:val="en-IE"/>
              </w:rPr>
              <w:br/>
              <w:t>(amount: EUR</w:t>
            </w:r>
            <w:r>
              <w:rPr>
                <w:noProof/>
                <w:lang w:val="en-IE"/>
              </w:rPr>
              <w:t> </w:t>
            </w:r>
            <w:r>
              <w:rPr>
                <w:noProof/>
                <w:sz w:val="20"/>
                <w:lang w:val="en-IE"/>
              </w:rPr>
              <w:t>502.02</w:t>
            </w:r>
            <w:r>
              <w:rPr>
                <w:noProof/>
                <w:lang w:val="en-IE"/>
              </w:rPr>
              <w:t> </w:t>
            </w:r>
            <w:r>
              <w:rPr>
                <w:noProof/>
                <w:sz w:val="20"/>
                <w:lang w:val="en-IE"/>
              </w:rPr>
              <w:t xml:space="preserve">million including outstanding capital, accrued interest and penalties). These loans have been fully impaired in the EU Financial Statements of 2015, 2016, 2017 and 2018. </w:t>
            </w:r>
          </w:p>
        </w:tc>
      </w:tr>
    </w:tbl>
    <w:p>
      <w:pPr>
        <w:rPr>
          <w:noProof/>
          <w:lang w:val="en-IE"/>
        </w:rPr>
      </w:pPr>
      <w:r>
        <w:rPr>
          <w:noProof/>
          <w:lang w:val="en-IE"/>
        </w:rPr>
        <w:t>Tables A1, A2a, A2b and A3 of the SWD provide more detailed information on these outstanding amounts, in particular in terms of ceiling, disbursed amounts or guarantee rates.</w:t>
      </w:r>
    </w:p>
    <w:p>
      <w:pPr>
        <w:pStyle w:val="ManualHeading2"/>
        <w:tabs>
          <w:tab w:val="clear" w:pos="850"/>
        </w:tabs>
        <w:ind w:left="567" w:hanging="567"/>
        <w:rPr>
          <w:noProof/>
          <w:lang w:val="en-IE"/>
        </w:rPr>
      </w:pPr>
      <w:bookmarkStart w:id="73" w:name="_Toc389474756"/>
      <w:bookmarkStart w:id="74" w:name="_Toc390944388"/>
      <w:bookmarkStart w:id="75" w:name="_Toc393969959"/>
      <w:bookmarkStart w:id="76" w:name="_Toc417461966"/>
      <w:bookmarkStart w:id="77" w:name="_Toc417998600"/>
      <w:bookmarkStart w:id="78" w:name="_Toc418157626"/>
      <w:bookmarkStart w:id="79" w:name="_Toc418160307"/>
      <w:bookmarkStart w:id="80" w:name="_Toc446577174"/>
      <w:bookmarkStart w:id="81" w:name="_Toc452646720"/>
      <w:bookmarkStart w:id="82" w:name="_Toc453161359"/>
      <w:bookmarkStart w:id="83" w:name="_Toc486601262"/>
      <w:bookmarkStart w:id="84" w:name="_Toc18597227"/>
      <w:r>
        <w:rPr>
          <w:noProof/>
          <w:lang w:val="en-IE"/>
        </w:rPr>
        <w:t>3.1</w:t>
      </w:r>
      <w:r>
        <w:rPr>
          <w:noProof/>
          <w:lang w:val="en-IE"/>
        </w:rPr>
        <w:tab/>
        <w:t xml:space="preserve">Operations managed directly by the </w:t>
      </w:r>
      <w:bookmarkEnd w:id="73"/>
      <w:r>
        <w:rPr>
          <w:noProof/>
          <w:lang w:val="en-IE"/>
        </w:rPr>
        <w:t>Commission</w:t>
      </w:r>
      <w:bookmarkEnd w:id="74"/>
      <w:bookmarkEnd w:id="75"/>
      <w:bookmarkEnd w:id="76"/>
      <w:bookmarkEnd w:id="77"/>
      <w:bookmarkEnd w:id="78"/>
      <w:bookmarkEnd w:id="79"/>
      <w:bookmarkEnd w:id="80"/>
      <w:bookmarkEnd w:id="81"/>
      <w:bookmarkEnd w:id="82"/>
      <w:bookmarkEnd w:id="83"/>
      <w:bookmarkEnd w:id="84"/>
      <w:r>
        <w:rPr>
          <w:noProof/>
          <w:lang w:val="en-IE"/>
        </w:rPr>
        <w:t xml:space="preserve"> </w:t>
      </w:r>
    </w:p>
    <w:p>
      <w:pPr>
        <w:rPr>
          <w:noProof/>
          <w:lang w:val="en-IE"/>
        </w:rPr>
      </w:pPr>
      <w:r>
        <w:rPr>
          <w:noProof/>
          <w:lang w:val="en-IE"/>
        </w:rPr>
        <w:t>Financial support for third countries and Member States in the form of bilateral loans financed from the capital markets with the guarantee of the EU budget is provided by the Commission under various legal acts of the Council or of the Council and the European Parliament, depending on the objectives pursued. The consistency of financial support to third countries with the overall objectives of the EU external action policy is ensured by the Commission and the High Representative of the Union for Foreign Affairs and Security Policy, assisted by the European External Action Service (EEAS).</w:t>
      </w:r>
    </w:p>
    <w:p>
      <w:pPr>
        <w:spacing w:after="240"/>
        <w:rPr>
          <w:noProof/>
          <w:lang w:val="en-IE"/>
        </w:rPr>
      </w:pPr>
      <w:r>
        <w:rPr>
          <w:noProof/>
          <w:lang w:val="en-IE"/>
        </w:rPr>
        <w:t>Therefore, in order to finance the lending activities decided by the Council, the Commission is empowered to borrow funds on the capital markets on behalf of both the European Union and Euratom. Borrowing and lending is conducted as back to back operations, which ensures that the EU budget does not take any interest rate or foreign exchange risk. Outstanding borrowings are matched by outstanding loans.</w:t>
      </w:r>
    </w:p>
    <w:p>
      <w:pPr>
        <w:keepNext/>
        <w:spacing w:after="0"/>
        <w:rPr>
          <w:noProof/>
          <w:sz w:val="20"/>
          <w:szCs w:val="20"/>
          <w:lang w:val="en-IE"/>
        </w:rPr>
      </w:pPr>
      <w:r>
        <w:rPr>
          <w:noProof/>
          <w:sz w:val="20"/>
          <w:szCs w:val="20"/>
          <w:lang w:val="en-IE"/>
        </w:rPr>
        <w:t>Table 1b Operations of the EU in 2018 (in EUR million)</w:t>
      </w:r>
    </w:p>
    <w:p>
      <w:pPr>
        <w:spacing w:before="0" w:after="240"/>
        <w:ind w:left="-567"/>
        <w:rPr>
          <w:noProof/>
          <w:sz w:val="20"/>
          <w:szCs w:val="20"/>
          <w:lang w:val="en-IE"/>
        </w:rPr>
      </w:pPr>
      <w:r>
        <w:rPr>
          <w:noProof/>
          <w:lang w:eastAsia="en-GB"/>
        </w:rPr>
        <w:drawing>
          <wp:inline distT="0" distB="0" distL="0" distR="0">
            <wp:extent cx="6400800" cy="2019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00800" cy="2019300"/>
                    </a:xfrm>
                    <a:prstGeom prst="rect">
                      <a:avLst/>
                    </a:prstGeom>
                    <a:noFill/>
                    <a:ln>
                      <a:noFill/>
                    </a:ln>
                  </pic:spPr>
                </pic:pic>
              </a:graphicData>
            </a:graphic>
          </wp:inline>
        </w:drawing>
      </w:r>
    </w:p>
    <w:p>
      <w:pPr>
        <w:spacing w:before="0" w:after="240"/>
        <w:ind w:left="-567"/>
        <w:rPr>
          <w:noProof/>
          <w:sz w:val="20"/>
          <w:szCs w:val="20"/>
          <w:lang w:val="en-IE"/>
        </w:rPr>
      </w:pPr>
      <w:r>
        <w:rPr>
          <w:noProof/>
          <w:sz w:val="20"/>
          <w:szCs w:val="20"/>
          <w:lang w:val="en-IE"/>
        </w:rPr>
        <w:t>Table 2: New Borrowing-and-lending operations (guaranteed by the Union budget) planned for 2019 and 2020 (in EUR million)</w:t>
      </w:r>
      <w:r>
        <w:rPr>
          <w:noProof/>
          <w:lang w:eastAsia="en-GB"/>
        </w:rPr>
        <w:drawing>
          <wp:inline distT="0" distB="0" distL="0" distR="0">
            <wp:extent cx="5867400" cy="44100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67400" cy="4410075"/>
                    </a:xfrm>
                    <a:prstGeom prst="rect">
                      <a:avLst/>
                    </a:prstGeom>
                    <a:noFill/>
                    <a:ln>
                      <a:noFill/>
                    </a:ln>
                  </pic:spPr>
                </pic:pic>
              </a:graphicData>
            </a:graphic>
          </wp:inline>
        </w:drawing>
      </w:r>
      <w:r>
        <w:rPr>
          <w:noProof/>
          <w:lang w:val="en-IE"/>
        </w:rPr>
        <w:t xml:space="preserve"> </w:t>
      </w:r>
    </w:p>
    <w:p>
      <w:pPr>
        <w:pStyle w:val="ManualHeading3"/>
        <w:ind w:left="851" w:hanging="851"/>
        <w:rPr>
          <w:noProof/>
          <w:lang w:val="en-IE"/>
        </w:rPr>
      </w:pPr>
      <w:bookmarkStart w:id="85" w:name="_Toc390944389"/>
      <w:bookmarkStart w:id="86" w:name="_Toc393969960"/>
      <w:bookmarkStart w:id="87" w:name="_Toc417461967"/>
      <w:bookmarkStart w:id="88" w:name="_Toc417998601"/>
      <w:bookmarkStart w:id="89" w:name="_Toc418157627"/>
      <w:bookmarkStart w:id="90" w:name="_Toc418160308"/>
      <w:bookmarkStart w:id="91" w:name="_Toc446577175"/>
      <w:bookmarkStart w:id="92" w:name="_Toc452646721"/>
      <w:bookmarkStart w:id="93" w:name="_Toc453161360"/>
      <w:bookmarkStart w:id="94" w:name="_Toc486601263"/>
      <w:bookmarkStart w:id="95" w:name="_Toc18597228"/>
      <w:r>
        <w:rPr>
          <w:noProof/>
          <w:lang w:val="en-IE"/>
        </w:rPr>
        <w:t>3.1.1</w:t>
      </w:r>
      <w:r>
        <w:rPr>
          <w:noProof/>
          <w:lang w:val="en-IE"/>
        </w:rPr>
        <w:tab/>
        <w:t>European Financial Stabilisation Mechanism</w:t>
      </w:r>
      <w:bookmarkEnd w:id="85"/>
      <w:bookmarkEnd w:id="86"/>
      <w:bookmarkEnd w:id="87"/>
      <w:bookmarkEnd w:id="88"/>
      <w:bookmarkEnd w:id="89"/>
      <w:bookmarkEnd w:id="90"/>
      <w:r>
        <w:rPr>
          <w:noProof/>
          <w:lang w:val="en-IE"/>
        </w:rPr>
        <w:t xml:space="preserve"> (EFSM)</w:t>
      </w:r>
      <w:bookmarkEnd w:id="91"/>
      <w:bookmarkEnd w:id="92"/>
      <w:bookmarkEnd w:id="93"/>
      <w:bookmarkEnd w:id="94"/>
      <w:bookmarkEnd w:id="95"/>
    </w:p>
    <w:p>
      <w:pPr>
        <w:rPr>
          <w:noProof/>
          <w:lang w:val="en-IE"/>
        </w:rPr>
      </w:pPr>
      <w:r>
        <w:rPr>
          <w:noProof/>
          <w:lang w:val="en-IE"/>
        </w:rPr>
        <w:t>In its conclusions of 9/10 May 2010, the ECOFIN Council foresaw a volume of the mechanism of EUR 60 billion</w:t>
      </w:r>
      <w:r>
        <w:rPr>
          <w:rStyle w:val="Funotenzeichen"/>
          <w:noProof/>
          <w:lang w:val="en-IE"/>
        </w:rPr>
        <w:footnoteReference w:id="24"/>
      </w:r>
      <w:r>
        <w:rPr>
          <w:noProof/>
          <w:lang w:val="en-IE"/>
        </w:rPr>
        <w:t>. In addition, euro-area Member States stood ready to complement such resources if necessary. Article 2(2) of Council Regulation No 407/2010</w:t>
      </w:r>
      <w:r>
        <w:rPr>
          <w:rStyle w:val="FootnoteReference"/>
          <w:noProof/>
          <w:lang w:val="en-IE"/>
        </w:rPr>
        <w:footnoteReference w:id="25"/>
      </w:r>
      <w:r>
        <w:rPr>
          <w:noProof/>
          <w:lang w:val="en-IE"/>
        </w:rPr>
        <w:t xml:space="preserve"> limits the outstanding amount of loans or credit lines to be granted to Member States to the margin available under the own resources ceiling for payment appropriations.</w:t>
      </w:r>
    </w:p>
    <w:p>
      <w:pPr>
        <w:rPr>
          <w:noProof/>
          <w:lang w:val="en-IE"/>
        </w:rPr>
      </w:pPr>
      <w:r>
        <w:rPr>
          <w:noProof/>
          <w:lang w:val="en-IE"/>
        </w:rPr>
        <w:t>Following the Council decisions to grant Union financial assistance to Ireland</w:t>
      </w:r>
      <w:r>
        <w:rPr>
          <w:rStyle w:val="FootnoteReference"/>
          <w:noProof/>
          <w:lang w:val="en-IE"/>
        </w:rPr>
        <w:footnoteReference w:id="26"/>
      </w:r>
      <w:r>
        <w:rPr>
          <w:noProof/>
          <w:lang w:val="en-IE"/>
        </w:rPr>
        <w:t xml:space="preserve"> (up to EUR 22.5 billion) and Portugal</w:t>
      </w:r>
      <w:r>
        <w:rPr>
          <w:rStyle w:val="FootnoteReference"/>
          <w:noProof/>
          <w:lang w:val="en-IE"/>
        </w:rPr>
        <w:footnoteReference w:id="27"/>
      </w:r>
      <w:r>
        <w:rPr>
          <w:noProof/>
          <w:lang w:val="en-IE"/>
        </w:rPr>
        <w:t xml:space="preserve"> (up to EUR 26 billion), disbursements reached EUR 22.5 billion to Ireland and EUR 24.3 billion to Portugal</w:t>
      </w:r>
      <w:r>
        <w:rPr>
          <w:rFonts w:cs="Arial"/>
          <w:noProof/>
          <w:lang w:val="en-IE"/>
        </w:rPr>
        <w:t xml:space="preserve"> (the remaining EUR 1.7</w:t>
      </w:r>
      <w:r>
        <w:rPr>
          <w:noProof/>
          <w:lang w:val="en-IE"/>
        </w:rPr>
        <w:t> b</w:t>
      </w:r>
      <w:r>
        <w:rPr>
          <w:rFonts w:cs="Arial"/>
          <w:noProof/>
          <w:lang w:val="en-IE"/>
        </w:rPr>
        <w:t xml:space="preserve">illion </w:t>
      </w:r>
      <w:r>
        <w:rPr>
          <w:noProof/>
          <w:lang w:val="en-IE"/>
        </w:rPr>
        <w:t xml:space="preserve">were not requested by the </w:t>
      </w:r>
      <w:r>
        <w:rPr>
          <w:rFonts w:cs="Arial"/>
          <w:noProof/>
          <w:lang w:val="en-IE"/>
        </w:rPr>
        <w:t xml:space="preserve">Portuguese government). Accordingly, </w:t>
      </w:r>
      <w:r>
        <w:rPr>
          <w:noProof/>
          <w:lang w:val="en-IE"/>
        </w:rPr>
        <w:t>the EFSM has a remaining capacity of EUR 13.2 billion to provide further assistance, if required.</w:t>
      </w:r>
    </w:p>
    <w:p>
      <w:pPr>
        <w:rPr>
          <w:noProof/>
          <w:lang w:val="en-IE"/>
        </w:rPr>
      </w:pPr>
      <w:r>
        <w:rPr>
          <w:noProof/>
          <w:lang w:val="en-IE"/>
        </w:rPr>
        <w:t>In April 2013 the Eurogroup/ECOFIN decided to increase the maximum weighted average maturity of EFSM loans from 12.5 to 19.5 years, thus offering an option to the beneficiary countries to request a lengthening of loan maturities up to 2026 (tranche by tranche).</w:t>
      </w:r>
    </w:p>
    <w:p>
      <w:pPr>
        <w:spacing w:after="240"/>
        <w:rPr>
          <w:noProof/>
          <w:u w:val="single"/>
          <w:lang w:val="en-IE"/>
        </w:rPr>
      </w:pPr>
      <w:r>
        <w:rPr>
          <w:noProof/>
          <w:u w:val="single"/>
          <w:lang w:val="en-IE"/>
        </w:rPr>
        <w:t>Developments during 2018</w:t>
      </w:r>
    </w:p>
    <w:p>
      <w:pPr>
        <w:spacing w:after="0"/>
        <w:rPr>
          <w:noProof/>
          <w:u w:val="single"/>
          <w:lang w:val="en-IE"/>
        </w:rPr>
      </w:pPr>
      <w:r>
        <w:rPr>
          <w:noProof/>
          <w:u w:val="single"/>
          <w:lang w:val="en-IE"/>
        </w:rPr>
        <w:t>Ireland</w:t>
      </w:r>
    </w:p>
    <w:p>
      <w:pPr>
        <w:rPr>
          <w:noProof/>
          <w:lang w:val="en-IE"/>
        </w:rPr>
      </w:pPr>
      <w:r>
        <w:rPr>
          <w:noProof/>
          <w:lang w:val="en-IE"/>
        </w:rPr>
        <w:t xml:space="preserve">A request to lengthen the EFSM loan of EUR 3.4 billion - disbursed to Ireland in March 2011 and due on 4 April 2018 - was received from Ireland on 27 November 2017. The loan was refinanced during the first quarter of 2018 in two transactions with maturities in April 2025 (EUR 2.4 billion) and April 2033 (EUR 1 billion). </w:t>
      </w:r>
    </w:p>
    <w:p>
      <w:pPr>
        <w:rPr>
          <w:noProof/>
          <w:lang w:val="en-IE"/>
        </w:rPr>
      </w:pPr>
      <w:r>
        <w:rPr>
          <w:noProof/>
          <w:lang w:val="en-IE"/>
        </w:rPr>
        <w:t>Furthermore, an additional request to lengthen the EFSM loan of EUR 500 million disbursed to Ireland in October 2011 and due on 4 October 2018 was received from Ireland in the second quarter of 2018. The loan was refinanced in June 2018 by increasing the existing bond with maturity April 2033 (EUR 500 million).</w:t>
      </w:r>
    </w:p>
    <w:p>
      <w:pPr>
        <w:rPr>
          <w:noProof/>
          <w:lang w:val="en-IE"/>
        </w:rPr>
      </w:pPr>
      <w:r>
        <w:rPr>
          <w:noProof/>
          <w:lang w:val="en-IE"/>
        </w:rPr>
        <w:t>Following the maturity extensions by 7 years (EUR 2.4 billion) and by 15 years (EUR 1.5 billion) in Q1/2018 and Q2/2018, the weighted average maturity of the EFSM loans to Ireland is now 17.1 years.</w:t>
      </w:r>
    </w:p>
    <w:p>
      <w:pPr>
        <w:spacing w:after="0"/>
        <w:rPr>
          <w:noProof/>
          <w:u w:val="single"/>
          <w:lang w:val="en-IE"/>
        </w:rPr>
      </w:pPr>
      <w:r>
        <w:rPr>
          <w:noProof/>
          <w:u w:val="single"/>
          <w:lang w:val="en-IE"/>
        </w:rPr>
        <w:t>Portugal</w:t>
      </w:r>
    </w:p>
    <w:p>
      <w:pPr>
        <w:spacing w:after="0"/>
        <w:rPr>
          <w:noProof/>
          <w:lang w:val="en-IE"/>
        </w:rPr>
      </w:pPr>
      <w:r>
        <w:rPr>
          <w:noProof/>
          <w:lang w:val="en-IE"/>
        </w:rPr>
        <w:t>A request to lengthen the EFSM loan of EUR 600 million disbursed to Portugal in October 2011 and due on 4 October 2018 was received from Portugal in the second quarter of 2018. The loan was refinanced in June 2018 by increasing the existing bond with maturity April 2033 (EUR 600 million).</w:t>
      </w:r>
    </w:p>
    <w:p>
      <w:pPr>
        <w:rPr>
          <w:noProof/>
          <w:lang w:val="en-IE"/>
        </w:rPr>
      </w:pPr>
      <w:r>
        <w:rPr>
          <w:noProof/>
          <w:lang w:val="en-IE"/>
        </w:rPr>
        <w:t>Following the maturity extension by 15 years (EUR 600 million) in Q2/2018, the weighted average maturity of the EFSM loans to Portugal is now 15.3 years.</w:t>
      </w:r>
    </w:p>
    <w:p>
      <w:pPr>
        <w:pStyle w:val="ManualHeading3"/>
        <w:rPr>
          <w:noProof/>
          <w:lang w:val="en-IE"/>
        </w:rPr>
      </w:pPr>
      <w:bookmarkStart w:id="96" w:name="_Toc390944390"/>
      <w:bookmarkStart w:id="97" w:name="_Toc393969961"/>
      <w:bookmarkStart w:id="98" w:name="_Toc417461968"/>
      <w:bookmarkStart w:id="99" w:name="_Toc417998602"/>
      <w:bookmarkStart w:id="100" w:name="_Toc418157628"/>
      <w:bookmarkStart w:id="101" w:name="_Toc418160309"/>
      <w:bookmarkStart w:id="102" w:name="_Toc446577176"/>
      <w:bookmarkStart w:id="103" w:name="_Toc452646722"/>
      <w:bookmarkStart w:id="104" w:name="_Toc453161361"/>
      <w:bookmarkStart w:id="105" w:name="_Toc486601264"/>
      <w:bookmarkStart w:id="106" w:name="_Toc18597229"/>
      <w:r>
        <w:rPr>
          <w:noProof/>
          <w:lang w:val="en-IE"/>
        </w:rPr>
        <w:t>3.1.2</w:t>
      </w:r>
      <w:r>
        <w:rPr>
          <w:noProof/>
          <w:lang w:val="en-IE"/>
        </w:rPr>
        <w:tab/>
        <w:t>Balance of Payments facility</w:t>
      </w:r>
      <w:bookmarkEnd w:id="96"/>
      <w:bookmarkEnd w:id="97"/>
      <w:bookmarkEnd w:id="98"/>
      <w:bookmarkEnd w:id="99"/>
      <w:bookmarkEnd w:id="100"/>
      <w:bookmarkEnd w:id="101"/>
      <w:bookmarkEnd w:id="102"/>
      <w:bookmarkEnd w:id="103"/>
      <w:bookmarkEnd w:id="104"/>
      <w:bookmarkEnd w:id="105"/>
      <w:r>
        <w:rPr>
          <w:noProof/>
          <w:lang w:val="en-IE"/>
        </w:rPr>
        <w:t xml:space="preserve"> (BOP)</w:t>
      </w:r>
      <w:bookmarkEnd w:id="106"/>
    </w:p>
    <w:p>
      <w:pPr>
        <w:rPr>
          <w:noProof/>
          <w:lang w:val="en-IE"/>
        </w:rPr>
      </w:pPr>
      <w:r>
        <w:rPr>
          <w:noProof/>
          <w:lang w:val="en-IE"/>
        </w:rPr>
        <w:t xml:space="preserve">The EU medium-term financial assistance under the BOP facility was re-activated at the end of 2008 to support Hungary and subsequently Latvia and Romania to restore market confidence for a total commitment of EUR 14.6 billion, of which EUR 13.4 billion were disbursed. </w:t>
      </w:r>
    </w:p>
    <w:p>
      <w:pPr>
        <w:spacing w:after="240"/>
        <w:rPr>
          <w:noProof/>
          <w:u w:val="single"/>
          <w:lang w:val="en-IE"/>
        </w:rPr>
      </w:pPr>
      <w:r>
        <w:rPr>
          <w:noProof/>
          <w:u w:val="single"/>
          <w:lang w:val="en-IE"/>
        </w:rPr>
        <w:t>Developments during 2018</w:t>
      </w:r>
    </w:p>
    <w:p>
      <w:pPr>
        <w:autoSpaceDE w:val="0"/>
        <w:autoSpaceDN w:val="0"/>
        <w:adjustRightInd w:val="0"/>
        <w:spacing w:before="0" w:after="240"/>
        <w:rPr>
          <w:noProof/>
          <w:lang w:val="en-IE" w:eastAsia="en-GB"/>
        </w:rPr>
      </w:pPr>
      <w:r>
        <w:rPr>
          <w:noProof/>
          <w:lang w:val="en-IE"/>
        </w:rPr>
        <w:t xml:space="preserve">Romania repaid two loan tranches of EUR 1.2 billion in April 2018 and EUR 150 million in October 2018. </w:t>
      </w:r>
      <w:r>
        <w:rPr>
          <w:noProof/>
          <w:lang w:val="en-IE" w:eastAsia="en-GB"/>
        </w:rPr>
        <w:t>The outstanding amount of BOP loans has thus decreased from EUR 3.05 </w:t>
      </w:r>
      <w:r>
        <w:rPr>
          <w:noProof/>
          <w:lang w:val="en-IE"/>
        </w:rPr>
        <w:t>billion</w:t>
      </w:r>
      <w:r>
        <w:rPr>
          <w:noProof/>
          <w:lang w:val="en-IE" w:eastAsia="en-GB"/>
        </w:rPr>
        <w:t xml:space="preserve"> to EUR</w:t>
      </w:r>
      <w:r>
        <w:rPr>
          <w:noProof/>
          <w:lang w:val="en-IE"/>
        </w:rPr>
        <w:t> </w:t>
      </w:r>
      <w:r>
        <w:rPr>
          <w:noProof/>
          <w:lang w:val="en-IE" w:eastAsia="en-GB"/>
        </w:rPr>
        <w:t>1</w:t>
      </w:r>
      <w:r>
        <w:rPr>
          <w:noProof/>
          <w:lang w:val="en-IE"/>
        </w:rPr>
        <w:t>.7 billion</w:t>
      </w:r>
      <w:r>
        <w:rPr>
          <w:noProof/>
          <w:lang w:val="en-IE" w:eastAsia="en-GB"/>
        </w:rPr>
        <w:t xml:space="preserve"> in 2018.</w:t>
      </w:r>
    </w:p>
    <w:p>
      <w:pPr>
        <w:spacing w:before="0" w:after="240"/>
        <w:rPr>
          <w:noProof/>
          <w:lang w:val="en-IE"/>
        </w:rPr>
      </w:pPr>
      <w:r>
        <w:rPr>
          <w:noProof/>
          <w:lang w:val="en-IE"/>
        </w:rPr>
        <w:t xml:space="preserve">At 31 December 2018, the BOP facility had a remaining capacity of EUR 48.3 billion out of an overall ceiling of EUR 50 billion to provide further assistance if required. </w:t>
      </w:r>
    </w:p>
    <w:p>
      <w:pPr>
        <w:pStyle w:val="ManualHeading3"/>
        <w:spacing w:after="240"/>
        <w:ind w:left="851" w:hanging="851"/>
        <w:rPr>
          <w:noProof/>
          <w:lang w:val="en-IE"/>
        </w:rPr>
      </w:pPr>
      <w:bookmarkStart w:id="107" w:name="_Toc390944391"/>
      <w:bookmarkStart w:id="108" w:name="_Toc393969962"/>
      <w:bookmarkStart w:id="109" w:name="_Toc417461969"/>
      <w:bookmarkStart w:id="110" w:name="_Toc417998603"/>
      <w:bookmarkStart w:id="111" w:name="_Toc418157629"/>
      <w:bookmarkStart w:id="112" w:name="_Toc418160310"/>
      <w:bookmarkStart w:id="113" w:name="_Toc446577177"/>
      <w:bookmarkStart w:id="114" w:name="_Toc452646723"/>
      <w:bookmarkStart w:id="115" w:name="_Toc453161362"/>
      <w:bookmarkStart w:id="116" w:name="_Toc486601265"/>
      <w:bookmarkStart w:id="117" w:name="_Toc18597230"/>
      <w:r>
        <w:rPr>
          <w:noProof/>
          <w:lang w:val="en-IE"/>
        </w:rPr>
        <w:t>3.1.3</w:t>
      </w:r>
      <w:r>
        <w:rPr>
          <w:noProof/>
          <w:lang w:val="en-IE"/>
        </w:rPr>
        <w:tab/>
        <w:t>Macro-Financial Assistance loans</w:t>
      </w:r>
      <w:bookmarkEnd w:id="107"/>
      <w:bookmarkEnd w:id="108"/>
      <w:bookmarkEnd w:id="109"/>
      <w:bookmarkEnd w:id="110"/>
      <w:bookmarkEnd w:id="111"/>
      <w:bookmarkEnd w:id="112"/>
      <w:bookmarkEnd w:id="113"/>
      <w:bookmarkEnd w:id="114"/>
      <w:bookmarkEnd w:id="115"/>
      <w:bookmarkEnd w:id="116"/>
      <w:r>
        <w:rPr>
          <w:noProof/>
          <w:lang w:val="en-IE"/>
        </w:rPr>
        <w:t xml:space="preserve"> (MFA)</w:t>
      </w:r>
      <w:bookmarkEnd w:id="117"/>
    </w:p>
    <w:p>
      <w:pPr>
        <w:autoSpaceDE w:val="0"/>
        <w:autoSpaceDN w:val="0"/>
        <w:adjustRightInd w:val="0"/>
        <w:spacing w:before="0" w:after="240"/>
        <w:rPr>
          <w:noProof/>
          <w:lang w:val="en-IE"/>
        </w:rPr>
      </w:pPr>
      <w:r>
        <w:rPr>
          <w:noProof/>
          <w:lang w:val="en-IE"/>
        </w:rPr>
        <w:t>As a general rule, MFA decisions are taken by the European Parliament and the Council (Article 212 of the TFEU). However, the Council may adopt the decision on a proposal from the Commission when the situation in a third country requires urgent financial assistance (Article 213 of the TFEU). That procedure was used in the second MFA package for Ukraine in 2014.</w:t>
      </w:r>
    </w:p>
    <w:p>
      <w:pPr>
        <w:spacing w:before="0" w:after="240"/>
        <w:rPr>
          <w:noProof/>
          <w:u w:val="single"/>
          <w:lang w:val="en-IE"/>
        </w:rPr>
      </w:pPr>
      <w:r>
        <w:rPr>
          <w:noProof/>
          <w:u w:val="single"/>
          <w:lang w:val="en-IE"/>
        </w:rPr>
        <w:t>Developments during 2018</w:t>
      </w:r>
    </w:p>
    <w:p>
      <w:pPr>
        <w:rPr>
          <w:rFonts w:eastAsia="Calibri" w:cstheme="minorBidi"/>
          <w:b/>
          <w:noProof/>
          <w:szCs w:val="22"/>
          <w:u w:val="single"/>
          <w:lang w:val="en-IE"/>
        </w:rPr>
      </w:pPr>
      <w:r>
        <w:rPr>
          <w:rFonts w:eastAsia="Calibri" w:cstheme="minorBidi"/>
          <w:b/>
          <w:noProof/>
          <w:szCs w:val="22"/>
          <w:u w:val="single"/>
          <w:lang w:val="en-IE"/>
        </w:rPr>
        <w:t>Georgia</w:t>
      </w:r>
    </w:p>
    <w:p>
      <w:pPr>
        <w:rPr>
          <w:noProof/>
          <w:lang w:val="en-IE"/>
        </w:rPr>
      </w:pPr>
      <w:r>
        <w:rPr>
          <w:noProof/>
          <w:lang w:val="en-IE"/>
        </w:rPr>
        <w:t>On 18 April 2018 the European Parliament and Council decided to provide further MFA of up to EUR 45 million to Georgia (MFA II), consisting of a EUR 10 million grant element and a loan of EUR 35 million</w:t>
      </w:r>
      <w:r>
        <w:rPr>
          <w:rStyle w:val="FootnoteReference"/>
          <w:noProof/>
          <w:lang w:val="en-IE"/>
        </w:rPr>
        <w:footnoteReference w:id="28"/>
      </w:r>
      <w:r>
        <w:rPr>
          <w:noProof/>
          <w:lang w:val="en-IE"/>
        </w:rPr>
        <w:t>.</w:t>
      </w:r>
    </w:p>
    <w:p>
      <w:pPr>
        <w:rPr>
          <w:noProof/>
          <w:lang w:val="en-IE"/>
        </w:rPr>
      </w:pPr>
      <w:r>
        <w:rPr>
          <w:noProof/>
          <w:lang w:val="en-IE"/>
        </w:rPr>
        <w:t>The first loan tranche of EUR 15 million (out of the EUR 35 million decision) of Georgia’s second programme (MFA II) was disbursed i</w:t>
      </w:r>
    </w:p>
    <w:p>
      <w:pPr>
        <w:rPr>
          <w:noProof/>
          <w:lang w:val="en-IE"/>
        </w:rPr>
      </w:pPr>
      <w:r>
        <w:rPr>
          <w:noProof/>
          <w:lang w:val="en-IE"/>
        </w:rPr>
        <w:t xml:space="preserve">n December 2018. </w:t>
      </w:r>
    </w:p>
    <w:p>
      <w:pPr>
        <w:rPr>
          <w:rFonts w:eastAsia="Calibri" w:cstheme="minorBidi"/>
          <w:b/>
          <w:noProof/>
          <w:szCs w:val="22"/>
          <w:u w:val="single"/>
          <w:lang w:val="en-IE"/>
        </w:rPr>
      </w:pPr>
      <w:r>
        <w:rPr>
          <w:b/>
          <w:noProof/>
          <w:u w:val="single"/>
          <w:lang w:val="en-IE"/>
        </w:rPr>
        <w:t>U</w:t>
      </w:r>
      <w:r>
        <w:rPr>
          <w:rFonts w:eastAsia="Calibri" w:cstheme="minorBidi"/>
          <w:b/>
          <w:noProof/>
          <w:szCs w:val="22"/>
          <w:u w:val="single"/>
          <w:lang w:val="en-IE"/>
        </w:rPr>
        <w:t>kraine</w:t>
      </w:r>
    </w:p>
    <w:p>
      <w:pPr>
        <w:rPr>
          <w:rFonts w:eastAsia="Calibri" w:cstheme="minorBidi"/>
          <w:noProof/>
          <w:szCs w:val="22"/>
          <w:lang w:val="en-IE"/>
        </w:rPr>
      </w:pPr>
      <w:r>
        <w:rPr>
          <w:rFonts w:eastAsia="Calibri" w:cstheme="minorBidi"/>
          <w:noProof/>
          <w:szCs w:val="22"/>
          <w:lang w:val="en-IE"/>
        </w:rPr>
        <w:t>On 4 July 2018 the European Parliament and Council decided to provide further MFA of up to EUR</w:t>
      </w:r>
      <w:r>
        <w:rPr>
          <w:noProof/>
          <w:lang w:val="en-IE"/>
        </w:rPr>
        <w:t> </w:t>
      </w:r>
      <w:r>
        <w:rPr>
          <w:rFonts w:eastAsia="Calibri" w:cstheme="minorBidi"/>
          <w:noProof/>
          <w:szCs w:val="22"/>
          <w:lang w:val="en-IE"/>
        </w:rPr>
        <w:t>1</w:t>
      </w:r>
      <w:r>
        <w:rPr>
          <w:noProof/>
          <w:lang w:val="en-IE"/>
        </w:rPr>
        <w:t> </w:t>
      </w:r>
      <w:r>
        <w:rPr>
          <w:rFonts w:eastAsia="Calibri" w:cstheme="minorBidi"/>
          <w:noProof/>
          <w:szCs w:val="22"/>
          <w:lang w:val="en-IE"/>
        </w:rPr>
        <w:t>billion to Ukraine (MFA IV), consisting of two tranches of EUR</w:t>
      </w:r>
      <w:r>
        <w:rPr>
          <w:noProof/>
          <w:lang w:val="en-IE"/>
        </w:rPr>
        <w:t> </w:t>
      </w:r>
      <w:r>
        <w:rPr>
          <w:rFonts w:eastAsia="Calibri" w:cstheme="minorBidi"/>
          <w:noProof/>
          <w:szCs w:val="22"/>
          <w:lang w:val="en-IE"/>
        </w:rPr>
        <w:t>500</w:t>
      </w:r>
      <w:r>
        <w:rPr>
          <w:noProof/>
          <w:lang w:val="en-IE"/>
        </w:rPr>
        <w:t> </w:t>
      </w:r>
      <w:r>
        <w:rPr>
          <w:rFonts w:eastAsia="Calibri" w:cstheme="minorBidi"/>
          <w:noProof/>
          <w:szCs w:val="22"/>
          <w:lang w:val="en-IE"/>
        </w:rPr>
        <w:t>million each with a view to supporting Ukraine's economic stabilisation and substantive reform agenda</w:t>
      </w:r>
      <w:r>
        <w:rPr>
          <w:rStyle w:val="FootnoteReference"/>
          <w:noProof/>
          <w:lang w:val="en-IE"/>
        </w:rPr>
        <w:footnoteReference w:id="29"/>
      </w:r>
      <w:r>
        <w:rPr>
          <w:noProof/>
          <w:lang w:val="en-IE"/>
        </w:rPr>
        <w:t>.</w:t>
      </w:r>
    </w:p>
    <w:p>
      <w:pPr>
        <w:autoSpaceDE w:val="0"/>
        <w:autoSpaceDN w:val="0"/>
        <w:adjustRightInd w:val="0"/>
        <w:rPr>
          <w:rFonts w:eastAsia="Calibri" w:cstheme="minorBidi"/>
          <w:noProof/>
          <w:szCs w:val="22"/>
          <w:lang w:val="en-IE"/>
        </w:rPr>
      </w:pPr>
      <w:r>
        <w:rPr>
          <w:rFonts w:eastAsia="Calibri" w:cstheme="minorBidi"/>
          <w:noProof/>
          <w:szCs w:val="22"/>
          <w:lang w:val="en-IE"/>
        </w:rPr>
        <w:t>The first tranche of EUR</w:t>
      </w:r>
      <w:r>
        <w:rPr>
          <w:noProof/>
          <w:lang w:val="en-IE"/>
        </w:rPr>
        <w:t> </w:t>
      </w:r>
      <w:r>
        <w:rPr>
          <w:rFonts w:eastAsia="Calibri" w:cstheme="minorBidi"/>
          <w:noProof/>
          <w:szCs w:val="22"/>
          <w:lang w:val="en-IE"/>
        </w:rPr>
        <w:t>500</w:t>
      </w:r>
      <w:r>
        <w:rPr>
          <w:noProof/>
          <w:lang w:val="en-IE"/>
        </w:rPr>
        <w:t> </w:t>
      </w:r>
      <w:r>
        <w:rPr>
          <w:rFonts w:eastAsia="Calibri" w:cstheme="minorBidi"/>
          <w:noProof/>
          <w:szCs w:val="22"/>
          <w:lang w:val="en-IE"/>
        </w:rPr>
        <w:t xml:space="preserve">million of Ukraine’s fourth programme (MFA IV) was disbursed in December 2018. </w:t>
      </w:r>
    </w:p>
    <w:p>
      <w:pPr>
        <w:rPr>
          <w:rFonts w:eastAsia="Calibri" w:cstheme="minorBidi"/>
          <w:b/>
          <w:noProof/>
          <w:szCs w:val="22"/>
          <w:u w:val="single"/>
          <w:lang w:val="en-IE"/>
        </w:rPr>
      </w:pPr>
      <w:r>
        <w:rPr>
          <w:rFonts w:eastAsia="Calibri" w:cstheme="minorBidi"/>
          <w:b/>
          <w:noProof/>
          <w:szCs w:val="22"/>
          <w:u w:val="single"/>
          <w:lang w:val="en-IE"/>
        </w:rPr>
        <w:t>Republic of Moldova</w:t>
      </w:r>
    </w:p>
    <w:p>
      <w:pPr>
        <w:autoSpaceDE w:val="0"/>
        <w:autoSpaceDN w:val="0"/>
        <w:adjustRightInd w:val="0"/>
        <w:rPr>
          <w:noProof/>
          <w:lang w:val="en-IE"/>
        </w:rPr>
      </w:pPr>
      <w:r>
        <w:rPr>
          <w:noProof/>
          <w:lang w:val="en-IE"/>
        </w:rPr>
        <w:t>On 13 September 2017, the European Parliament and the Council decided to provide further macro-financial assistance to the Republic of Moldova of EUR 100 million (up to EUR 60 million provided in the form of loans and up to EUR 40 million in the form of grants)</w:t>
      </w:r>
      <w:r>
        <w:rPr>
          <w:rStyle w:val="FootnoteReference"/>
          <w:noProof/>
          <w:lang w:val="en-IE"/>
        </w:rPr>
        <w:t> </w:t>
      </w:r>
      <w:r>
        <w:rPr>
          <w:rStyle w:val="FootnoteReference"/>
          <w:noProof/>
          <w:lang w:val="en-IE"/>
        </w:rPr>
        <w:footnoteReference w:id="30"/>
      </w:r>
      <w:r>
        <w:rPr>
          <w:noProof/>
          <w:lang w:val="en-IE"/>
        </w:rPr>
        <w:t>.</w:t>
      </w:r>
    </w:p>
    <w:p>
      <w:pPr>
        <w:autoSpaceDE w:val="0"/>
        <w:autoSpaceDN w:val="0"/>
        <w:adjustRightInd w:val="0"/>
        <w:spacing w:before="0" w:after="240"/>
        <w:rPr>
          <w:noProof/>
          <w:lang w:val="en-IE"/>
        </w:rPr>
      </w:pPr>
      <w:r>
        <w:rPr>
          <w:noProof/>
          <w:lang w:val="en-IE"/>
        </w:rPr>
        <w:t>This operation is currently suspended due to non-compliance with political pre-conditions.</w:t>
      </w:r>
    </w:p>
    <w:p>
      <w:pPr>
        <w:autoSpaceDE w:val="0"/>
        <w:autoSpaceDN w:val="0"/>
        <w:adjustRightInd w:val="0"/>
        <w:spacing w:before="0"/>
        <w:rPr>
          <w:noProof/>
          <w:lang w:val="en-IE"/>
        </w:rPr>
      </w:pPr>
      <w:r>
        <w:rPr>
          <w:noProof/>
          <w:u w:val="single"/>
          <w:lang w:val="en-IE"/>
        </w:rPr>
        <w:t xml:space="preserve">Additional information </w:t>
      </w:r>
    </w:p>
    <w:p>
      <w:pPr>
        <w:autoSpaceDE w:val="0"/>
        <w:autoSpaceDN w:val="0"/>
        <w:adjustRightInd w:val="0"/>
        <w:rPr>
          <w:rFonts w:cs="Arial"/>
          <w:noProof/>
          <w:lang w:val="en-IE"/>
        </w:rPr>
      </w:pPr>
      <w:r>
        <w:rPr>
          <w:rFonts w:cs="Arial"/>
          <w:noProof/>
          <w:lang w:val="en-IE"/>
        </w:rPr>
        <w:t>Regarding repayments, EUR</w:t>
      </w:r>
      <w:r>
        <w:rPr>
          <w:noProof/>
          <w:lang w:val="en-IE"/>
        </w:rPr>
        <w:t> </w:t>
      </w:r>
      <w:r>
        <w:rPr>
          <w:rFonts w:cs="Arial"/>
          <w:noProof/>
          <w:lang w:val="en-IE"/>
        </w:rPr>
        <w:t>55.73</w:t>
      </w:r>
      <w:r>
        <w:rPr>
          <w:noProof/>
          <w:lang w:val="en-IE"/>
        </w:rPr>
        <w:t> </w:t>
      </w:r>
      <w:r>
        <w:rPr>
          <w:rFonts w:cs="Arial"/>
          <w:noProof/>
          <w:lang w:val="en-IE"/>
        </w:rPr>
        <w:t>million were repaid by the beneficiary countries: Albania (EUR</w:t>
      </w:r>
      <w:r>
        <w:rPr>
          <w:noProof/>
          <w:lang w:val="en-IE"/>
        </w:rPr>
        <w:t> </w:t>
      </w:r>
      <w:r>
        <w:rPr>
          <w:rFonts w:cs="Arial"/>
          <w:noProof/>
          <w:lang w:val="en-IE"/>
        </w:rPr>
        <w:t>1.8</w:t>
      </w:r>
      <w:r>
        <w:rPr>
          <w:noProof/>
          <w:lang w:val="en-IE"/>
        </w:rPr>
        <w:t> </w:t>
      </w:r>
      <w:r>
        <w:rPr>
          <w:rFonts w:cs="Arial"/>
          <w:noProof/>
          <w:lang w:val="en-IE"/>
        </w:rPr>
        <w:t>million), Bosnia and Herzegovin</w:t>
      </w:r>
      <w:r>
        <w:rPr>
          <w:noProof/>
          <w:lang w:val="en-IE"/>
        </w:rPr>
        <w:t>a</w:t>
      </w:r>
      <w:r>
        <w:rPr>
          <w:rFonts w:cs="Arial"/>
          <w:noProof/>
          <w:lang w:val="en-IE"/>
        </w:rPr>
        <w:t xml:space="preserve"> (EUR</w:t>
      </w:r>
      <w:r>
        <w:rPr>
          <w:noProof/>
          <w:lang w:val="en-IE"/>
        </w:rPr>
        <w:t> </w:t>
      </w:r>
      <w:r>
        <w:rPr>
          <w:rFonts w:cs="Arial"/>
          <w:noProof/>
          <w:lang w:val="en-IE"/>
        </w:rPr>
        <w:t>4</w:t>
      </w:r>
      <w:r>
        <w:rPr>
          <w:noProof/>
          <w:lang w:val="en-IE"/>
        </w:rPr>
        <w:t> </w:t>
      </w:r>
      <w:r>
        <w:rPr>
          <w:rFonts w:cs="Arial"/>
          <w:noProof/>
          <w:lang w:val="en-IE"/>
        </w:rPr>
        <w:t>million), North Macedonia (EUR 5.6 million), Montenegro (EUR</w:t>
      </w:r>
      <w:r>
        <w:rPr>
          <w:noProof/>
          <w:lang w:val="en-IE"/>
        </w:rPr>
        <w:t> </w:t>
      </w:r>
      <w:r>
        <w:rPr>
          <w:rFonts w:cs="Arial"/>
          <w:noProof/>
          <w:lang w:val="en-IE"/>
        </w:rPr>
        <w:t>1.10</w:t>
      </w:r>
      <w:r>
        <w:rPr>
          <w:noProof/>
          <w:lang w:val="en-IE"/>
        </w:rPr>
        <w:t> </w:t>
      </w:r>
      <w:r>
        <w:rPr>
          <w:rFonts w:cs="Arial"/>
          <w:noProof/>
          <w:lang w:val="en-IE"/>
        </w:rPr>
        <w:t>million) and Serbia (EUR</w:t>
      </w:r>
      <w:r>
        <w:rPr>
          <w:noProof/>
          <w:lang w:val="en-IE"/>
        </w:rPr>
        <w:t> </w:t>
      </w:r>
      <w:r>
        <w:rPr>
          <w:rFonts w:cs="Arial"/>
          <w:noProof/>
          <w:lang w:val="en-IE"/>
        </w:rPr>
        <w:t>43.23</w:t>
      </w:r>
      <w:r>
        <w:rPr>
          <w:noProof/>
          <w:lang w:val="en-IE"/>
        </w:rPr>
        <w:t> </w:t>
      </w:r>
      <w:r>
        <w:rPr>
          <w:rFonts w:cs="Arial"/>
          <w:noProof/>
          <w:lang w:val="en-IE"/>
        </w:rPr>
        <w:t xml:space="preserve">million). </w:t>
      </w:r>
    </w:p>
    <w:p>
      <w:pPr>
        <w:autoSpaceDE w:val="0"/>
        <w:autoSpaceDN w:val="0"/>
        <w:adjustRightInd w:val="0"/>
        <w:rPr>
          <w:noProof/>
          <w:lang w:val="en-IE" w:eastAsia="en-GB"/>
        </w:rPr>
      </w:pPr>
      <w:r>
        <w:rPr>
          <w:noProof/>
          <w:lang w:val="en-IE" w:eastAsia="en-GB"/>
        </w:rPr>
        <w:t>The outstanding amount of MFA loans has increased from EUR 3.9 </w:t>
      </w:r>
      <w:r>
        <w:rPr>
          <w:noProof/>
          <w:lang w:val="en-IE"/>
        </w:rPr>
        <w:t>billion</w:t>
      </w:r>
      <w:r>
        <w:rPr>
          <w:noProof/>
          <w:lang w:val="en-IE" w:eastAsia="en-GB"/>
        </w:rPr>
        <w:t xml:space="preserve"> to EUR 4.4 </w:t>
      </w:r>
      <w:r>
        <w:rPr>
          <w:noProof/>
          <w:lang w:val="en-IE"/>
        </w:rPr>
        <w:t>billion</w:t>
      </w:r>
      <w:r>
        <w:rPr>
          <w:noProof/>
          <w:lang w:val="en-IE" w:eastAsia="en-GB"/>
        </w:rPr>
        <w:t xml:space="preserve"> between 31 December 2017 and 31 December 2018. Loans to Ukraine represent 76% of the total MFA exposure.</w:t>
      </w:r>
    </w:p>
    <w:p>
      <w:pPr>
        <w:pStyle w:val="ManualHeading3"/>
        <w:rPr>
          <w:noProof/>
          <w:lang w:val="en-IE"/>
        </w:rPr>
      </w:pPr>
      <w:bookmarkStart w:id="118" w:name="_Toc390944392"/>
      <w:bookmarkStart w:id="119" w:name="_Toc393969963"/>
      <w:bookmarkStart w:id="120" w:name="_Toc418157630"/>
      <w:bookmarkStart w:id="121" w:name="_Toc418160311"/>
      <w:bookmarkStart w:id="122" w:name="_Toc446577178"/>
      <w:bookmarkStart w:id="123" w:name="_Toc452646724"/>
      <w:bookmarkStart w:id="124" w:name="_Toc453161363"/>
      <w:bookmarkStart w:id="125" w:name="_Toc486601266"/>
      <w:bookmarkStart w:id="126" w:name="_Toc18597231"/>
      <w:r>
        <w:rPr>
          <w:noProof/>
          <w:lang w:val="en-IE"/>
        </w:rPr>
        <w:t>3.1.4</w:t>
      </w:r>
      <w:r>
        <w:rPr>
          <w:noProof/>
          <w:lang w:val="en-IE"/>
        </w:rPr>
        <w:tab/>
        <w:t>Euratom loans</w:t>
      </w:r>
      <w:bookmarkEnd w:id="118"/>
      <w:bookmarkEnd w:id="119"/>
      <w:bookmarkEnd w:id="120"/>
      <w:bookmarkEnd w:id="121"/>
      <w:bookmarkEnd w:id="122"/>
      <w:bookmarkEnd w:id="123"/>
      <w:bookmarkEnd w:id="124"/>
      <w:bookmarkEnd w:id="125"/>
      <w:bookmarkEnd w:id="126"/>
    </w:p>
    <w:p>
      <w:pPr>
        <w:autoSpaceDE w:val="0"/>
        <w:autoSpaceDN w:val="0"/>
        <w:adjustRightInd w:val="0"/>
        <w:rPr>
          <w:noProof/>
          <w:lang w:val="en-IE"/>
        </w:rPr>
      </w:pPr>
      <w:r>
        <w:rPr>
          <w:noProof/>
          <w:lang w:val="en-IE"/>
        </w:rPr>
        <w:t>The Euratom lending to Member States or in certain eligible non-member countries (currently Russian Federation, Armenia, Ukraine) has a ceiling of EUR 4 billion of which around 92% has already been disbursed. EUR 326 million remain under the EUR 4 billion Decision.</w:t>
      </w:r>
    </w:p>
    <w:p>
      <w:pPr>
        <w:autoSpaceDE w:val="0"/>
        <w:autoSpaceDN w:val="0"/>
        <w:adjustRightInd w:val="0"/>
        <w:rPr>
          <w:noProof/>
          <w:u w:val="single"/>
          <w:lang w:val="en-IE"/>
        </w:rPr>
      </w:pPr>
      <w:r>
        <w:rPr>
          <w:noProof/>
          <w:u w:val="single"/>
          <w:lang w:val="en-IE"/>
        </w:rPr>
        <w:t>Ukraine</w:t>
      </w:r>
    </w:p>
    <w:p>
      <w:pPr>
        <w:autoSpaceDE w:val="0"/>
        <w:autoSpaceDN w:val="0"/>
        <w:adjustRightInd w:val="0"/>
        <w:rPr>
          <w:noProof/>
          <w:lang w:val="en-IE"/>
        </w:rPr>
      </w:pPr>
      <w:r>
        <w:rPr>
          <w:noProof/>
          <w:lang w:val="en-IE"/>
        </w:rPr>
        <w:t>A loan of EUR 300 million to Ukraine dedicated to the safety upgrade of existing nuclear facilities was granted by COM Decision of 24/06/2013</w:t>
      </w:r>
      <w:r>
        <w:rPr>
          <w:rStyle w:val="FootnoteReference"/>
          <w:noProof/>
          <w:lang w:val="en-IE"/>
        </w:rPr>
        <w:footnoteReference w:id="31"/>
      </w:r>
      <w:r>
        <w:rPr>
          <w:noProof/>
          <w:lang w:val="en-IE"/>
        </w:rPr>
        <w:t xml:space="preserve">. The loan is provided in close cooperation with the EBRD, which provides another EUR 300 million loan in parallel. </w:t>
      </w:r>
    </w:p>
    <w:p>
      <w:pPr>
        <w:autoSpaceDE w:val="0"/>
        <w:autoSpaceDN w:val="0"/>
        <w:adjustRightInd w:val="0"/>
        <w:rPr>
          <w:rFonts w:cs="Arial"/>
          <w:noProof/>
          <w:lang w:val="en-IE"/>
        </w:rPr>
      </w:pPr>
      <w:r>
        <w:rPr>
          <w:noProof/>
          <w:lang w:val="en-IE"/>
        </w:rPr>
        <w:t>These loans benefit from State guarantees which cover 100% of the amounts outstanding at year end. The first Euratom tranche of EUR 50 million was disbursed in May 2017 and the</w:t>
      </w:r>
      <w:r>
        <w:rPr>
          <w:rFonts w:cs="Arial"/>
          <w:noProof/>
          <w:lang w:val="en-IE"/>
        </w:rPr>
        <w:t xml:space="preserve"> second Euratom tranche of EUR</w:t>
      </w:r>
      <w:r>
        <w:rPr>
          <w:noProof/>
          <w:lang w:val="en-IE"/>
        </w:rPr>
        <w:t> </w:t>
      </w:r>
      <w:r>
        <w:rPr>
          <w:rFonts w:cs="Arial"/>
          <w:noProof/>
          <w:lang w:val="en-IE"/>
        </w:rPr>
        <w:t>50</w:t>
      </w:r>
      <w:r>
        <w:rPr>
          <w:noProof/>
          <w:lang w:val="en-IE"/>
        </w:rPr>
        <w:t> </w:t>
      </w:r>
      <w:r>
        <w:rPr>
          <w:rFonts w:cs="Arial"/>
          <w:noProof/>
          <w:lang w:val="en-IE"/>
        </w:rPr>
        <w:t>million was disbursed in June 2018.</w:t>
      </w:r>
    </w:p>
    <w:p>
      <w:pPr>
        <w:autoSpaceDE w:val="0"/>
        <w:autoSpaceDN w:val="0"/>
        <w:adjustRightInd w:val="0"/>
        <w:rPr>
          <w:rFonts w:cs="Arial"/>
          <w:noProof/>
          <w:u w:val="single"/>
          <w:lang w:val="en-IE"/>
        </w:rPr>
      </w:pPr>
      <w:r>
        <w:rPr>
          <w:rFonts w:cs="Arial"/>
          <w:noProof/>
          <w:u w:val="single"/>
          <w:lang w:val="en-IE"/>
        </w:rPr>
        <w:t>Bulgaria and Romania</w:t>
      </w:r>
    </w:p>
    <w:p>
      <w:pPr>
        <w:autoSpaceDE w:val="0"/>
        <w:autoSpaceDN w:val="0"/>
        <w:adjustRightInd w:val="0"/>
        <w:rPr>
          <w:noProof/>
          <w:lang w:val="en-IE"/>
        </w:rPr>
      </w:pPr>
      <w:r>
        <w:rPr>
          <w:noProof/>
          <w:lang w:val="en-IE"/>
        </w:rPr>
        <w:t>A loan of EUR 212.5 million was granted to Bulgaria in the form of a multicurrency facility for the modernization of the nuclear power plant of Kozloduy (Units 5 and 6). The loan agreement signed between the European Atomic Energy Community and AEZ “Kozloduy” EAD was signed on 29 May 2000. At 31 December 2018, the outstanding amount was EUR 33.8 million.</w:t>
      </w:r>
    </w:p>
    <w:p>
      <w:pPr>
        <w:autoSpaceDE w:val="0"/>
        <w:autoSpaceDN w:val="0"/>
        <w:adjustRightInd w:val="0"/>
        <w:rPr>
          <w:noProof/>
          <w:lang w:val="en-IE"/>
        </w:rPr>
      </w:pPr>
      <w:r>
        <w:rPr>
          <w:noProof/>
          <w:lang w:val="en-IE"/>
        </w:rPr>
        <w:t>A loan of EUR 223.5 million was granted to Romania in the form of a multicurrency facility for the completion of Unit 2 of the nuclear power plant Cernavoda. The loan agreement signed between the European Atomic Energy Community and Societatea Nationala Nuclearelectrica S.A. was signed on 11 June 2004. At 31 December 2018, the outstanding amount was EUR 119.1 million.</w:t>
      </w:r>
    </w:p>
    <w:p>
      <w:pPr>
        <w:autoSpaceDE w:val="0"/>
        <w:autoSpaceDN w:val="0"/>
        <w:adjustRightInd w:val="0"/>
        <w:rPr>
          <w:rFonts w:cs="Arial"/>
          <w:noProof/>
          <w:lang w:val="en-IE"/>
        </w:rPr>
      </w:pPr>
      <w:r>
        <w:rPr>
          <w:rFonts w:cs="Arial"/>
          <w:noProof/>
          <w:lang w:val="en-IE"/>
        </w:rPr>
        <w:t xml:space="preserve">Since 1 January 2007, when Bulgaria and Romania became Member States , </w:t>
      </w:r>
      <w:r>
        <w:rPr>
          <w:noProof/>
          <w:lang w:val="en-IE"/>
        </w:rPr>
        <w:t>the outstanding risk of these operations have been directly covered by the EU Budget and no longer by the Guarantee Fund for External Actions.</w:t>
      </w:r>
    </w:p>
    <w:p>
      <w:pPr>
        <w:pStyle w:val="ManualHeading2"/>
        <w:tabs>
          <w:tab w:val="clear" w:pos="850"/>
        </w:tabs>
        <w:ind w:left="567" w:hanging="567"/>
        <w:rPr>
          <w:noProof/>
          <w:lang w:val="en-IE"/>
        </w:rPr>
      </w:pPr>
      <w:bookmarkStart w:id="127" w:name="_Toc309831361"/>
      <w:bookmarkStart w:id="128" w:name="_Toc329261061"/>
      <w:bookmarkStart w:id="129" w:name="_Toc329855623"/>
      <w:bookmarkStart w:id="130" w:name="_Toc330551228"/>
      <w:bookmarkStart w:id="131" w:name="_Toc342470151"/>
      <w:bookmarkStart w:id="132" w:name="_Toc345073701"/>
      <w:bookmarkStart w:id="133" w:name="_Toc365986218"/>
      <w:bookmarkStart w:id="134" w:name="_Toc367869471"/>
      <w:bookmarkStart w:id="135" w:name="_Toc367869998"/>
      <w:bookmarkStart w:id="136" w:name="_Toc388973016"/>
      <w:bookmarkStart w:id="137" w:name="_Toc389474749"/>
      <w:bookmarkStart w:id="138" w:name="_Toc390944393"/>
      <w:bookmarkStart w:id="139" w:name="_Toc393969964"/>
      <w:bookmarkStart w:id="140" w:name="_Toc417461970"/>
      <w:bookmarkStart w:id="141" w:name="_Toc417998604"/>
      <w:bookmarkStart w:id="142" w:name="_Toc418157631"/>
      <w:bookmarkStart w:id="143" w:name="_Toc418160312"/>
      <w:bookmarkStart w:id="144" w:name="_Toc446577179"/>
      <w:bookmarkStart w:id="145" w:name="_Toc452646725"/>
      <w:bookmarkStart w:id="146" w:name="_Toc453161364"/>
      <w:bookmarkStart w:id="147" w:name="_Toc486601267"/>
      <w:bookmarkStart w:id="148" w:name="_Toc18597232"/>
      <w:r>
        <w:rPr>
          <w:noProof/>
          <w:lang w:val="en-IE"/>
        </w:rPr>
        <w:t>3.2</w:t>
      </w:r>
      <w:r>
        <w:rPr>
          <w:noProof/>
          <w:lang w:val="en-IE"/>
        </w:rPr>
        <w:tab/>
        <w:t>Evolution of the EIB external financing</w:t>
      </w:r>
      <w:bookmarkEnd w:id="127"/>
      <w:bookmarkEnd w:id="128"/>
      <w:bookmarkEnd w:id="129"/>
      <w:bookmarkEnd w:id="130"/>
      <w:bookmarkEnd w:id="131"/>
      <w:bookmarkEnd w:id="132"/>
      <w:bookmarkEnd w:id="133"/>
      <w:bookmarkEnd w:id="134"/>
      <w:bookmarkEnd w:id="135"/>
      <w:bookmarkEnd w:id="136"/>
      <w:bookmarkEnd w:id="137"/>
      <w:r>
        <w:rPr>
          <w:noProof/>
          <w:lang w:val="en-IE"/>
        </w:rPr>
        <w:t xml:space="preserve"> operations</w:t>
      </w:r>
      <w:bookmarkEnd w:id="138"/>
      <w:bookmarkEnd w:id="139"/>
      <w:bookmarkEnd w:id="140"/>
      <w:bookmarkEnd w:id="141"/>
      <w:bookmarkEnd w:id="142"/>
      <w:bookmarkEnd w:id="143"/>
      <w:bookmarkEnd w:id="144"/>
      <w:bookmarkEnd w:id="145"/>
      <w:bookmarkEnd w:id="146"/>
      <w:bookmarkEnd w:id="147"/>
      <w:bookmarkEnd w:id="148"/>
    </w:p>
    <w:p>
      <w:pPr>
        <w:spacing w:after="240"/>
        <w:rPr>
          <w:noProof/>
          <w:u w:val="single"/>
          <w:lang w:val="en-IE"/>
        </w:rPr>
      </w:pPr>
      <w:r>
        <w:rPr>
          <w:noProof/>
          <w:u w:val="single"/>
          <w:lang w:val="en-IE"/>
        </w:rPr>
        <w:t>Developments during 2018</w:t>
      </w:r>
    </w:p>
    <w:p>
      <w:pPr>
        <w:spacing w:before="0" w:after="240"/>
        <w:rPr>
          <w:noProof/>
          <w:lang w:val="en-IE"/>
        </w:rPr>
      </w:pPr>
      <w:r>
        <w:rPr>
          <w:noProof/>
          <w:lang w:val="en-IE"/>
        </w:rPr>
        <w:t>Under the EIB ELM mandate covering the period 2014-2020, a total amount of EUR 17.64 billion had been signed at 31 December 2018, of which only EUR 5.77 billion was disbursed at that date, leaving the outstanding capital at EUR 5.41 billion (see Table A3 of the SWD). For more information on the countries covered by the EIB mandates, see Tables A1, A3 and A4 of the SWD.</w:t>
      </w:r>
    </w:p>
    <w:p>
      <w:pPr>
        <w:spacing w:before="0" w:after="240"/>
        <w:rPr>
          <w:noProof/>
          <w:lang w:val="en-IE" w:eastAsia="en-GB"/>
        </w:rPr>
      </w:pPr>
      <w:r>
        <w:rPr>
          <w:noProof/>
          <w:lang w:val="en-IE" w:eastAsia="en-GB"/>
        </w:rPr>
        <w:t>For previous EIB external lending mandates, see Table A3 of the SWD.</w:t>
      </w:r>
    </w:p>
    <w:p>
      <w:pPr>
        <w:spacing w:before="0" w:after="240"/>
        <w:rPr>
          <w:noProof/>
          <w:lang w:val="en-IE" w:eastAsia="en-GB"/>
        </w:rPr>
      </w:pPr>
      <w:r>
        <w:rPr>
          <w:noProof/>
          <w:lang w:val="en-IE" w:eastAsia="en-GB"/>
        </w:rPr>
        <w:t>Defaults on interests payments and loan repayments from the Syrian Government continued in 2018. The EIB has called on the Guarantee Fund to cover those defaults (see paragraph 5.2 below).</w:t>
      </w:r>
    </w:p>
    <w:p>
      <w:pPr>
        <w:spacing w:before="0"/>
        <w:rPr>
          <w:noProof/>
          <w:lang w:val="en-IE" w:eastAsia="en-GB"/>
        </w:rPr>
      </w:pPr>
      <w:r>
        <w:rPr>
          <w:noProof/>
          <w:lang w:val="en-IE" w:eastAsia="en-GB"/>
        </w:rPr>
        <w:t>Outstanding amounts at 31 December 2018 for the various facilities referred to in this section are presented in Table 1.</w:t>
      </w:r>
    </w:p>
    <w:p>
      <w:pPr>
        <w:pStyle w:val="ManualHeading1"/>
        <w:tabs>
          <w:tab w:val="clear" w:pos="850"/>
        </w:tabs>
        <w:ind w:left="567" w:hanging="567"/>
        <w:rPr>
          <w:noProof/>
          <w:lang w:val="en-IE"/>
        </w:rPr>
      </w:pPr>
      <w:bookmarkStart w:id="149" w:name="_Toc309831362"/>
      <w:bookmarkStart w:id="150" w:name="_Toc329261062"/>
      <w:bookmarkStart w:id="151" w:name="_Toc329855624"/>
      <w:bookmarkStart w:id="152" w:name="_Toc330551229"/>
      <w:bookmarkStart w:id="153" w:name="_Toc342470152"/>
      <w:bookmarkStart w:id="154" w:name="_Toc345073702"/>
      <w:bookmarkStart w:id="155" w:name="_Toc365986219"/>
      <w:bookmarkStart w:id="156" w:name="_Toc367869472"/>
      <w:bookmarkStart w:id="157" w:name="_Toc367869999"/>
      <w:bookmarkStart w:id="158" w:name="_Toc388973017"/>
      <w:bookmarkStart w:id="159" w:name="_Toc389474750"/>
      <w:bookmarkStart w:id="160" w:name="_Toc390944394"/>
      <w:bookmarkStart w:id="161" w:name="_Toc393969965"/>
      <w:bookmarkStart w:id="162" w:name="_Toc417461971"/>
      <w:bookmarkStart w:id="163" w:name="_Toc417998605"/>
      <w:bookmarkStart w:id="164" w:name="_Toc418157632"/>
      <w:bookmarkStart w:id="165" w:name="_Toc418160313"/>
      <w:bookmarkStart w:id="166" w:name="_Toc446577180"/>
      <w:bookmarkStart w:id="167" w:name="_Toc452646726"/>
      <w:bookmarkStart w:id="168" w:name="_Toc453161365"/>
      <w:bookmarkStart w:id="169" w:name="_Toc486601268"/>
      <w:bookmarkStart w:id="170" w:name="_Toc18597233"/>
      <w:r>
        <w:rPr>
          <w:noProof/>
          <w:lang w:val="en-IE"/>
        </w:rPr>
        <w:t>4.</w:t>
      </w:r>
      <w:r>
        <w:rPr>
          <w:noProof/>
          <w:lang w:val="en-IE"/>
        </w:rPr>
        <w:tab/>
        <w:t xml:space="preserve">Risks covered by the </w:t>
      </w:r>
      <w:bookmarkEnd w:id="149"/>
      <w:bookmarkEnd w:id="150"/>
      <w:bookmarkEnd w:id="151"/>
      <w:bookmarkEnd w:id="152"/>
      <w:bookmarkEnd w:id="153"/>
      <w:bookmarkEnd w:id="154"/>
      <w:bookmarkEnd w:id="155"/>
      <w:bookmarkEnd w:id="156"/>
      <w:bookmarkEnd w:id="157"/>
      <w:bookmarkEnd w:id="158"/>
      <w:bookmarkEnd w:id="159"/>
      <w:r>
        <w:rPr>
          <w:noProof/>
          <w:lang w:val="en-IE"/>
        </w:rPr>
        <w:t>EU budget</w:t>
      </w:r>
      <w:bookmarkEnd w:id="160"/>
      <w:bookmarkEnd w:id="161"/>
      <w:bookmarkEnd w:id="162"/>
      <w:bookmarkEnd w:id="163"/>
      <w:bookmarkEnd w:id="164"/>
      <w:bookmarkEnd w:id="165"/>
      <w:bookmarkEnd w:id="166"/>
      <w:bookmarkEnd w:id="167"/>
      <w:bookmarkEnd w:id="168"/>
      <w:bookmarkEnd w:id="169"/>
      <w:bookmarkEnd w:id="170"/>
    </w:p>
    <w:p>
      <w:pPr>
        <w:pStyle w:val="ManualHeading2"/>
        <w:tabs>
          <w:tab w:val="clear" w:pos="850"/>
        </w:tabs>
        <w:ind w:left="567" w:hanging="567"/>
        <w:rPr>
          <w:noProof/>
          <w:lang w:val="en-IE"/>
        </w:rPr>
      </w:pPr>
      <w:bookmarkStart w:id="171" w:name="_Toc309831363"/>
      <w:bookmarkStart w:id="172" w:name="_Toc329261063"/>
      <w:bookmarkStart w:id="173" w:name="_Toc329855625"/>
      <w:bookmarkStart w:id="174" w:name="_Toc330551230"/>
      <w:bookmarkStart w:id="175" w:name="_Toc342470153"/>
      <w:bookmarkStart w:id="176" w:name="_Toc345073703"/>
      <w:bookmarkStart w:id="177" w:name="_Toc365986220"/>
      <w:bookmarkStart w:id="178" w:name="_Toc367869473"/>
      <w:bookmarkStart w:id="179" w:name="_Toc367870000"/>
      <w:bookmarkStart w:id="180" w:name="_Toc388973018"/>
      <w:bookmarkStart w:id="181" w:name="_Toc389474751"/>
      <w:bookmarkStart w:id="182" w:name="_Toc390944395"/>
      <w:bookmarkStart w:id="183" w:name="_Toc393969966"/>
      <w:bookmarkStart w:id="184" w:name="_Toc417461972"/>
      <w:bookmarkStart w:id="185" w:name="_Toc417998606"/>
      <w:bookmarkStart w:id="186" w:name="_Toc418157633"/>
      <w:bookmarkStart w:id="187" w:name="_Toc418160314"/>
      <w:bookmarkStart w:id="188" w:name="_Toc446577181"/>
      <w:bookmarkStart w:id="189" w:name="_Toc452646727"/>
      <w:bookmarkStart w:id="190" w:name="_Toc453161366"/>
      <w:bookmarkStart w:id="191" w:name="_Toc486601269"/>
      <w:bookmarkStart w:id="192" w:name="_Toc18597234"/>
      <w:r>
        <w:rPr>
          <w:noProof/>
          <w:lang w:val="en-IE"/>
        </w:rPr>
        <w:t>4.1</w:t>
      </w:r>
      <w:r>
        <w:rPr>
          <w:noProof/>
          <w:lang w:val="en-IE"/>
        </w:rPr>
        <w:tab/>
        <w:t>Definition of risk</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pPr>
        <w:rPr>
          <w:noProof/>
          <w:lang w:val="en-IE"/>
        </w:rPr>
      </w:pPr>
      <w:r>
        <w:rPr>
          <w:noProof/>
          <w:lang w:val="en-IE"/>
        </w:rPr>
        <w:t>The risk borne by the EU budget derives from the outstanding amount of capital and interest in respect of guaranteed operations.</w:t>
      </w:r>
    </w:p>
    <w:p>
      <w:pPr>
        <w:rPr>
          <w:noProof/>
          <w:lang w:val="en-IE"/>
        </w:rPr>
      </w:pPr>
      <w:r>
        <w:rPr>
          <w:noProof/>
          <w:lang w:val="en-IE"/>
        </w:rPr>
        <w:t>For the purpose of this report, two methods are used for evaluating the risks borne by the EU budget (either directly or indirectly via the Fund):</w:t>
      </w:r>
    </w:p>
    <w:p>
      <w:pPr>
        <w:pStyle w:val="ListDash"/>
        <w:rPr>
          <w:noProof/>
          <w:lang w:val="en-IE"/>
        </w:rPr>
      </w:pPr>
      <w:r>
        <w:rPr>
          <w:noProof/>
          <w:lang w:val="en-IE"/>
        </w:rPr>
        <w:t>"The total risk covered" is based on the sum of the total amount of capital outstanding for the operations concerned on a given date including accrued interest</w:t>
      </w:r>
      <w:r>
        <w:rPr>
          <w:rStyle w:val="FootnoteReference"/>
          <w:noProof/>
          <w:lang w:val="en-IE"/>
        </w:rPr>
        <w:footnoteReference w:id="32"/>
      </w:r>
      <w:r>
        <w:rPr>
          <w:noProof/>
          <w:lang w:val="en-IE"/>
        </w:rPr>
        <w:t xml:space="preserve">. </w:t>
      </w:r>
    </w:p>
    <w:p>
      <w:pPr>
        <w:pStyle w:val="ListDash"/>
        <w:ind w:left="284" w:hanging="284"/>
        <w:rPr>
          <w:noProof/>
          <w:lang w:val="en-IE"/>
        </w:rPr>
      </w:pPr>
      <w:r>
        <w:rPr>
          <w:noProof/>
          <w:lang w:val="en-IE"/>
        </w:rPr>
        <w:t>The budgetary approach defined as "the annual risk borne by the EU budget" is based on the calculation of the maximum amount of annual payments due which the EU would have to pay out in a financial year assuming that all payments of the guaranteed loans are in default</w:t>
      </w:r>
      <w:r>
        <w:rPr>
          <w:rStyle w:val="Funotenzeichen"/>
          <w:noProof/>
          <w:lang w:val="en-IE"/>
        </w:rPr>
        <w:footnoteReference w:id="33"/>
      </w:r>
      <w:r>
        <w:rPr>
          <w:noProof/>
          <w:lang w:val="en-IE"/>
        </w:rPr>
        <w:t>.</w:t>
      </w:r>
    </w:p>
    <w:p>
      <w:pPr>
        <w:pStyle w:val="ManualHeading2"/>
        <w:tabs>
          <w:tab w:val="clear" w:pos="850"/>
        </w:tabs>
        <w:ind w:left="567" w:hanging="567"/>
        <w:rPr>
          <w:noProof/>
          <w:lang w:val="en-IE"/>
        </w:rPr>
      </w:pPr>
      <w:bookmarkStart w:id="193" w:name="_Toc309831364"/>
      <w:bookmarkStart w:id="194" w:name="_Toc329261064"/>
      <w:bookmarkStart w:id="195" w:name="_Toc329855626"/>
      <w:bookmarkStart w:id="196" w:name="_Toc330551231"/>
      <w:bookmarkStart w:id="197" w:name="_Toc342470154"/>
      <w:bookmarkStart w:id="198" w:name="_Toc345073704"/>
      <w:bookmarkStart w:id="199" w:name="_Toc365986221"/>
      <w:bookmarkStart w:id="200" w:name="_Toc367869474"/>
      <w:bookmarkStart w:id="201" w:name="_Toc367870001"/>
      <w:bookmarkStart w:id="202" w:name="_Toc388973019"/>
      <w:bookmarkStart w:id="203" w:name="_Toc389474752"/>
      <w:bookmarkStart w:id="204" w:name="_Toc390944396"/>
      <w:bookmarkStart w:id="205" w:name="_Toc393969967"/>
      <w:bookmarkStart w:id="206" w:name="_Toc417461973"/>
      <w:bookmarkStart w:id="207" w:name="_Toc417998607"/>
      <w:bookmarkStart w:id="208" w:name="_Toc418157634"/>
      <w:bookmarkStart w:id="209" w:name="_Toc418160315"/>
      <w:bookmarkStart w:id="210" w:name="_Toc446577182"/>
      <w:bookmarkStart w:id="211" w:name="_Toc452646728"/>
      <w:bookmarkStart w:id="212" w:name="_Toc453161367"/>
      <w:bookmarkStart w:id="213" w:name="_Toc486601270"/>
      <w:bookmarkStart w:id="214" w:name="_Toc18597235"/>
      <w:r>
        <w:rPr>
          <w:noProof/>
          <w:lang w:val="en-IE"/>
        </w:rPr>
        <w:t>4.2</w:t>
      </w:r>
      <w:r>
        <w:rPr>
          <w:noProof/>
          <w:lang w:val="en-IE"/>
        </w:rPr>
        <w:tab/>
        <w:t>Total risk composition</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pPr>
        <w:rPr>
          <w:noProof/>
          <w:lang w:val="en-IE"/>
        </w:rPr>
      </w:pPr>
      <w:r>
        <w:rPr>
          <w:noProof/>
          <w:lang w:val="en-IE"/>
        </w:rPr>
        <w:t>Until 2010 the maximum risk in terms of total outstanding amounts covered was mainly linked to loans granted to third countries. Since 2011, the financial crisis has heavily affected the public finances of the Member States leading to an increase in the lending activity of the EU to support sovereign financing needs in Member States.</w:t>
      </w:r>
    </w:p>
    <w:p>
      <w:pPr>
        <w:rPr>
          <w:noProof/>
          <w:lang w:val="en-IE"/>
        </w:rPr>
      </w:pPr>
      <w:r>
        <w:rPr>
          <w:noProof/>
          <w:lang w:val="en-IE"/>
        </w:rPr>
        <w:t xml:space="preserve">As a consequence the composition of risk has changed. At </w:t>
      </w:r>
      <w:r>
        <w:rPr>
          <w:noProof/>
          <w:lang w:val="en-IE" w:eastAsia="en-GB"/>
        </w:rPr>
        <w:t>31 December 2018,</w:t>
      </w:r>
      <w:r>
        <w:rPr>
          <w:noProof/>
          <w:lang w:val="en-IE"/>
        </w:rPr>
        <w:t xml:space="preserve"> 61.2% of the total outstanding amount</w:t>
      </w:r>
      <w:r>
        <w:rPr>
          <w:rStyle w:val="FootnoteReference"/>
          <w:noProof/>
          <w:lang w:val="en-IE"/>
        </w:rPr>
        <w:footnoteReference w:id="34"/>
      </w:r>
      <w:r>
        <w:rPr>
          <w:noProof/>
          <w:lang w:val="en-IE"/>
        </w:rPr>
        <w:t xml:space="preserve"> concerns borrowing operations linked to loans to Member States which are directly covered by the EU budget (compared to 45% at 31.12.2010).</w:t>
      </w:r>
    </w:p>
    <w:p>
      <w:pPr>
        <w:pStyle w:val="ManualHeading2"/>
        <w:tabs>
          <w:tab w:val="clear" w:pos="850"/>
        </w:tabs>
        <w:ind w:left="567" w:hanging="567"/>
        <w:rPr>
          <w:noProof/>
          <w:lang w:val="en-IE"/>
        </w:rPr>
      </w:pPr>
      <w:bookmarkStart w:id="215" w:name="_Toc342470155"/>
      <w:bookmarkStart w:id="216" w:name="_Toc309831365"/>
      <w:bookmarkStart w:id="217" w:name="_Toc329261065"/>
      <w:bookmarkStart w:id="218" w:name="_Toc329855627"/>
      <w:bookmarkStart w:id="219" w:name="_Toc330551232"/>
      <w:bookmarkStart w:id="220" w:name="_Toc342470159"/>
      <w:bookmarkStart w:id="221" w:name="_Toc345073705"/>
      <w:bookmarkStart w:id="222" w:name="_Toc365986222"/>
      <w:bookmarkStart w:id="223" w:name="_Toc367869475"/>
      <w:bookmarkStart w:id="224" w:name="_Toc367870002"/>
      <w:bookmarkStart w:id="225" w:name="_Toc388973020"/>
      <w:bookmarkStart w:id="226" w:name="_Toc389474753"/>
      <w:bookmarkStart w:id="227" w:name="_Toc390944397"/>
      <w:bookmarkStart w:id="228" w:name="_Toc393969968"/>
      <w:bookmarkStart w:id="229" w:name="_Toc417461974"/>
      <w:bookmarkStart w:id="230" w:name="_Toc417998608"/>
      <w:bookmarkStart w:id="231" w:name="_Toc418157635"/>
      <w:bookmarkStart w:id="232" w:name="_Toc418160316"/>
      <w:bookmarkStart w:id="233" w:name="_Toc446577183"/>
      <w:bookmarkStart w:id="234" w:name="_Toc452646729"/>
      <w:bookmarkStart w:id="235" w:name="_Toc453161368"/>
      <w:bookmarkStart w:id="236" w:name="_Toc486601271"/>
      <w:bookmarkStart w:id="237" w:name="_Toc18597236"/>
      <w:bookmarkEnd w:id="215"/>
      <w:r>
        <w:rPr>
          <w:noProof/>
          <w:lang w:val="en-IE"/>
        </w:rPr>
        <w:t>4.3</w:t>
      </w:r>
      <w:r>
        <w:rPr>
          <w:noProof/>
          <w:lang w:val="en-IE"/>
        </w:rPr>
        <w:tab/>
        <w:t xml:space="preserve">Annual risk covered by the </w:t>
      </w:r>
      <w:bookmarkEnd w:id="216"/>
      <w:bookmarkEnd w:id="217"/>
      <w:bookmarkEnd w:id="218"/>
      <w:bookmarkEnd w:id="219"/>
      <w:bookmarkEnd w:id="220"/>
      <w:bookmarkEnd w:id="221"/>
      <w:bookmarkEnd w:id="222"/>
      <w:bookmarkEnd w:id="223"/>
      <w:bookmarkEnd w:id="224"/>
      <w:bookmarkEnd w:id="225"/>
      <w:bookmarkEnd w:id="226"/>
      <w:r>
        <w:rPr>
          <w:noProof/>
          <w:lang w:val="en-IE"/>
        </w:rPr>
        <w:t>EU budget</w:t>
      </w:r>
      <w:bookmarkEnd w:id="227"/>
      <w:bookmarkEnd w:id="228"/>
      <w:bookmarkEnd w:id="229"/>
      <w:bookmarkEnd w:id="230"/>
      <w:bookmarkEnd w:id="231"/>
      <w:bookmarkEnd w:id="232"/>
      <w:bookmarkEnd w:id="233"/>
      <w:bookmarkEnd w:id="234"/>
      <w:bookmarkEnd w:id="235"/>
      <w:bookmarkEnd w:id="236"/>
      <w:bookmarkEnd w:id="237"/>
    </w:p>
    <w:p>
      <w:pPr>
        <w:rPr>
          <w:noProof/>
          <w:lang w:val="en-IE"/>
        </w:rPr>
      </w:pPr>
      <w:r>
        <w:rPr>
          <w:noProof/>
          <w:lang w:val="en-IE"/>
        </w:rPr>
        <w:t xml:space="preserve">With reference to outstanding loans at 31 December 2018 (see Table 1 above) the maximum amount which the EU would have to pay out during the year 2019 (directly and via the Fund) - </w:t>
      </w:r>
      <w:r>
        <w:rPr>
          <w:i/>
          <w:noProof/>
          <w:lang w:val="en-IE"/>
        </w:rPr>
        <w:t>assuming</w:t>
      </w:r>
      <w:r>
        <w:rPr>
          <w:noProof/>
          <w:lang w:val="en-IE"/>
        </w:rPr>
        <w:t xml:space="preserve"> that </w:t>
      </w:r>
      <w:r>
        <w:rPr>
          <w:i/>
          <w:noProof/>
          <w:lang w:val="en-IE"/>
        </w:rPr>
        <w:t xml:space="preserve">all </w:t>
      </w:r>
      <w:r>
        <w:rPr>
          <w:noProof/>
          <w:lang w:val="en-IE"/>
        </w:rPr>
        <w:t xml:space="preserve">guaranteed loans would be in default - is EUR 6 337 million. That amount represents the capital and interest payments from guaranteed loans falling due during 2019, assuming that defaulting loans are not accelerated (for details see Table A4 in SWD). </w:t>
      </w:r>
      <w:bookmarkStart w:id="238" w:name="_Toc309831366"/>
      <w:bookmarkStart w:id="239" w:name="_Toc329261066"/>
      <w:bookmarkStart w:id="240" w:name="_Toc329855628"/>
      <w:bookmarkStart w:id="241" w:name="_Toc330551233"/>
      <w:bookmarkStart w:id="242" w:name="_Toc342470160"/>
      <w:bookmarkStart w:id="243" w:name="_Toc345073706"/>
      <w:bookmarkStart w:id="244" w:name="_Toc365986223"/>
      <w:bookmarkStart w:id="245" w:name="_Toc367869476"/>
      <w:bookmarkStart w:id="246" w:name="_Toc367870003"/>
      <w:bookmarkStart w:id="247" w:name="_Toc388973021"/>
      <w:bookmarkStart w:id="248" w:name="_Toc389474754"/>
      <w:bookmarkStart w:id="249" w:name="_Toc390944398"/>
      <w:bookmarkStart w:id="250" w:name="_Toc393969969"/>
      <w:bookmarkStart w:id="251" w:name="_Toc417461975"/>
      <w:bookmarkStart w:id="252" w:name="_Toc417998609"/>
      <w:bookmarkStart w:id="253" w:name="_Toc418157636"/>
      <w:bookmarkStart w:id="254" w:name="_Toc418160317"/>
      <w:bookmarkStart w:id="255" w:name="_Toc446577184"/>
      <w:bookmarkStart w:id="256" w:name="_Toc452646730"/>
      <w:bookmarkStart w:id="257" w:name="_Toc453161369"/>
    </w:p>
    <w:p>
      <w:pPr>
        <w:pStyle w:val="ManualHeading3"/>
        <w:rPr>
          <w:noProof/>
          <w:lang w:val="en-IE"/>
        </w:rPr>
      </w:pPr>
      <w:bookmarkStart w:id="258" w:name="_Toc486601272"/>
      <w:bookmarkStart w:id="259" w:name="_Toc18597237"/>
      <w:r>
        <w:rPr>
          <w:noProof/>
          <w:lang w:val="en-IE"/>
        </w:rPr>
        <w:t>4.3.1</w:t>
      </w:r>
      <w:r>
        <w:rPr>
          <w:noProof/>
          <w:lang w:val="en-IE"/>
        </w:rPr>
        <w:tab/>
        <w:t>Member State</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rPr>
          <w:noProof/>
          <w:lang w:val="en-IE"/>
        </w:rPr>
        <w:t xml:space="preserve"> exposure</w:t>
      </w:r>
      <w:bookmarkEnd w:id="256"/>
      <w:bookmarkEnd w:id="257"/>
      <w:bookmarkEnd w:id="258"/>
      <w:bookmarkEnd w:id="259"/>
    </w:p>
    <w:p>
      <w:pPr>
        <w:rPr>
          <w:noProof/>
          <w:lang w:val="en-IE"/>
        </w:rPr>
      </w:pPr>
      <w:r>
        <w:rPr>
          <w:noProof/>
          <w:lang w:val="en-IE"/>
        </w:rPr>
        <w:t>In 2019, the EU will bear a maximum annual risk related to operations with Member States (MS) of EUR 2 953.1 million (46.6% of the total annual risk). That risk concerns:</w:t>
      </w:r>
    </w:p>
    <w:p>
      <w:pPr>
        <w:rPr>
          <w:noProof/>
          <w:lang w:val="en-IE"/>
        </w:rPr>
      </w:pPr>
      <w:r>
        <w:rPr>
          <w:noProof/>
          <w:lang w:val="en-IE"/>
        </w:rPr>
        <w:t>(a) EIB lending and/or Euratom loans granted before Member States' accession to the EU;</w:t>
      </w:r>
    </w:p>
    <w:p>
      <w:pPr>
        <w:rPr>
          <w:noProof/>
          <w:lang w:val="en-IE"/>
        </w:rPr>
      </w:pPr>
      <w:r>
        <w:rPr>
          <w:noProof/>
          <w:lang w:val="en-IE"/>
        </w:rPr>
        <w:t xml:space="preserve">(b) the loans granted under the BOP facility, and </w:t>
      </w:r>
    </w:p>
    <w:p>
      <w:pPr>
        <w:rPr>
          <w:noProof/>
          <w:lang w:val="en-IE"/>
        </w:rPr>
      </w:pPr>
      <w:r>
        <w:rPr>
          <w:noProof/>
          <w:lang w:val="en-IE"/>
        </w:rPr>
        <w:t xml:space="preserve">(c) the loans granted under the EFSM scheme. </w:t>
      </w:r>
    </w:p>
    <w:p>
      <w:pPr>
        <w:rPr>
          <w:noProof/>
          <w:sz w:val="18"/>
          <w:lang w:val="en-IE"/>
        </w:rPr>
      </w:pPr>
      <w:r>
        <w:rPr>
          <w:noProof/>
          <w:lang w:val="en-IE"/>
        </w:rPr>
        <w:br w:type="page"/>
      </w:r>
      <w:r>
        <w:rPr>
          <w:noProof/>
          <w:sz w:val="18"/>
          <w:lang w:val="en-IE"/>
        </w:rPr>
        <w:t>Table 2: Ranking of the Member States according to the annual risk borne by the EU budget in 2019 (EUR million)</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1926"/>
        <w:gridCol w:w="1050"/>
        <w:gridCol w:w="1896"/>
        <w:gridCol w:w="1696"/>
        <w:gridCol w:w="1580"/>
      </w:tblGrid>
      <w:tr>
        <w:tc>
          <w:tcPr>
            <w:tcW w:w="1032" w:type="dxa"/>
            <w:shd w:val="clear" w:color="auto" w:fill="auto"/>
          </w:tcPr>
          <w:p>
            <w:pPr>
              <w:jc w:val="center"/>
              <w:rPr>
                <w:b/>
                <w:noProof/>
                <w:sz w:val="20"/>
                <w:szCs w:val="20"/>
                <w:lang w:val="en-IE"/>
              </w:rPr>
            </w:pPr>
            <w:r>
              <w:rPr>
                <w:b/>
                <w:noProof/>
                <w:sz w:val="20"/>
                <w:szCs w:val="20"/>
                <w:lang w:val="en-IE"/>
              </w:rPr>
              <w:t>Ranking</w:t>
            </w:r>
          </w:p>
        </w:tc>
        <w:tc>
          <w:tcPr>
            <w:tcW w:w="1926" w:type="dxa"/>
            <w:shd w:val="clear" w:color="auto" w:fill="auto"/>
          </w:tcPr>
          <w:p>
            <w:pPr>
              <w:jc w:val="center"/>
              <w:rPr>
                <w:b/>
                <w:noProof/>
                <w:sz w:val="20"/>
                <w:szCs w:val="20"/>
                <w:lang w:val="en-IE"/>
              </w:rPr>
            </w:pPr>
            <w:r>
              <w:rPr>
                <w:b/>
                <w:noProof/>
                <w:sz w:val="20"/>
                <w:szCs w:val="20"/>
                <w:lang w:val="en-IE"/>
              </w:rPr>
              <w:t>Country</w:t>
            </w:r>
          </w:p>
        </w:tc>
        <w:tc>
          <w:tcPr>
            <w:tcW w:w="1050" w:type="dxa"/>
            <w:shd w:val="clear" w:color="auto" w:fill="auto"/>
          </w:tcPr>
          <w:p>
            <w:pPr>
              <w:jc w:val="center"/>
              <w:rPr>
                <w:b/>
                <w:noProof/>
                <w:sz w:val="20"/>
                <w:szCs w:val="20"/>
                <w:lang w:val="en-IE"/>
              </w:rPr>
            </w:pPr>
            <w:r>
              <w:rPr>
                <w:b/>
                <w:noProof/>
                <w:sz w:val="20"/>
                <w:szCs w:val="20"/>
                <w:lang w:val="en-IE"/>
              </w:rPr>
              <w:t>Loans</w:t>
            </w:r>
          </w:p>
        </w:tc>
        <w:tc>
          <w:tcPr>
            <w:tcW w:w="1896" w:type="dxa"/>
            <w:shd w:val="clear" w:color="auto" w:fill="auto"/>
          </w:tcPr>
          <w:p>
            <w:pPr>
              <w:jc w:val="center"/>
              <w:rPr>
                <w:b/>
                <w:noProof/>
                <w:sz w:val="20"/>
                <w:szCs w:val="20"/>
                <w:lang w:val="en-IE"/>
              </w:rPr>
            </w:pPr>
            <w:r>
              <w:rPr>
                <w:b/>
                <w:noProof/>
                <w:sz w:val="20"/>
                <w:szCs w:val="20"/>
                <w:lang w:val="en-IE"/>
              </w:rPr>
              <w:t>Max annual risk</w:t>
            </w:r>
          </w:p>
        </w:tc>
        <w:tc>
          <w:tcPr>
            <w:tcW w:w="1696" w:type="dxa"/>
            <w:shd w:val="clear" w:color="auto" w:fill="auto"/>
          </w:tcPr>
          <w:p>
            <w:pPr>
              <w:jc w:val="center"/>
              <w:rPr>
                <w:b/>
                <w:noProof/>
                <w:sz w:val="20"/>
                <w:szCs w:val="20"/>
                <w:lang w:val="en-IE"/>
              </w:rPr>
            </w:pPr>
            <w:r>
              <w:rPr>
                <w:b/>
                <w:noProof/>
                <w:sz w:val="20"/>
                <w:szCs w:val="20"/>
                <w:lang w:val="en-IE"/>
              </w:rPr>
              <w:t>Weight of the country vis-à-vis annual risk of MS</w:t>
            </w:r>
          </w:p>
        </w:tc>
        <w:tc>
          <w:tcPr>
            <w:tcW w:w="1580" w:type="dxa"/>
            <w:shd w:val="clear" w:color="auto" w:fill="auto"/>
          </w:tcPr>
          <w:p>
            <w:pPr>
              <w:jc w:val="center"/>
              <w:rPr>
                <w:b/>
                <w:noProof/>
                <w:sz w:val="20"/>
                <w:szCs w:val="20"/>
                <w:lang w:val="en-IE"/>
              </w:rPr>
            </w:pPr>
            <w:r>
              <w:rPr>
                <w:b/>
                <w:noProof/>
                <w:sz w:val="20"/>
                <w:szCs w:val="20"/>
                <w:lang w:val="en-IE"/>
              </w:rPr>
              <w:t>Weight of the country vis-à-vis total annual risk 2019 (MS and non-MS)</w:t>
            </w:r>
          </w:p>
        </w:tc>
      </w:tr>
      <w:tr>
        <w:tc>
          <w:tcPr>
            <w:tcW w:w="1032" w:type="dxa"/>
            <w:shd w:val="clear" w:color="auto" w:fill="auto"/>
          </w:tcPr>
          <w:p>
            <w:pPr>
              <w:jc w:val="center"/>
              <w:rPr>
                <w:b/>
                <w:noProof/>
                <w:lang w:val="en-IE"/>
              </w:rPr>
            </w:pPr>
            <w:r>
              <w:rPr>
                <w:b/>
                <w:noProof/>
                <w:lang w:val="en-IE"/>
              </w:rPr>
              <w:t>1</w:t>
            </w:r>
          </w:p>
        </w:tc>
        <w:tc>
          <w:tcPr>
            <w:tcW w:w="1926" w:type="dxa"/>
            <w:shd w:val="clear" w:color="auto" w:fill="auto"/>
          </w:tcPr>
          <w:p>
            <w:pPr>
              <w:rPr>
                <w:noProof/>
                <w:lang w:val="en-IE"/>
              </w:rPr>
            </w:pPr>
            <w:r>
              <w:rPr>
                <w:noProof/>
                <w:lang w:val="en-IE"/>
              </w:rPr>
              <w:t>Romania</w:t>
            </w:r>
          </w:p>
        </w:tc>
        <w:tc>
          <w:tcPr>
            <w:tcW w:w="1050" w:type="dxa"/>
            <w:shd w:val="clear" w:color="auto" w:fill="auto"/>
          </w:tcPr>
          <w:p>
            <w:pPr>
              <w:jc w:val="center"/>
              <w:rPr>
                <w:noProof/>
                <w:lang w:val="en-IE"/>
              </w:rPr>
            </w:pPr>
            <w:r>
              <w:rPr>
                <w:noProof/>
                <w:lang w:val="en-IE"/>
              </w:rPr>
              <w:t>a+b)</w:t>
            </w:r>
          </w:p>
        </w:tc>
        <w:tc>
          <w:tcPr>
            <w:tcW w:w="1896" w:type="dxa"/>
            <w:shd w:val="clear" w:color="auto" w:fill="auto"/>
          </w:tcPr>
          <w:p>
            <w:pPr>
              <w:jc w:val="right"/>
              <w:rPr>
                <w:noProof/>
                <w:lang w:val="en-IE"/>
              </w:rPr>
            </w:pPr>
            <w:r>
              <w:rPr>
                <w:noProof/>
                <w:lang w:val="en-IE"/>
              </w:rPr>
              <w:t>1,188.58</w:t>
            </w:r>
          </w:p>
        </w:tc>
        <w:tc>
          <w:tcPr>
            <w:tcW w:w="1696" w:type="dxa"/>
            <w:shd w:val="clear" w:color="auto" w:fill="auto"/>
          </w:tcPr>
          <w:p>
            <w:pPr>
              <w:jc w:val="right"/>
              <w:rPr>
                <w:noProof/>
                <w:lang w:val="en-IE"/>
              </w:rPr>
            </w:pPr>
            <w:r>
              <w:rPr>
                <w:noProof/>
                <w:lang w:val="en-IE"/>
              </w:rPr>
              <w:t>40.2%</w:t>
            </w:r>
          </w:p>
        </w:tc>
        <w:tc>
          <w:tcPr>
            <w:tcW w:w="1580" w:type="dxa"/>
            <w:shd w:val="clear" w:color="auto" w:fill="auto"/>
          </w:tcPr>
          <w:p>
            <w:pPr>
              <w:jc w:val="right"/>
              <w:rPr>
                <w:noProof/>
                <w:lang w:val="en-IE"/>
              </w:rPr>
            </w:pPr>
            <w:r>
              <w:rPr>
                <w:noProof/>
                <w:lang w:val="en-IE"/>
              </w:rPr>
              <w:t>18.8%</w:t>
            </w:r>
          </w:p>
        </w:tc>
      </w:tr>
      <w:tr>
        <w:tc>
          <w:tcPr>
            <w:tcW w:w="1032" w:type="dxa"/>
            <w:shd w:val="clear" w:color="auto" w:fill="auto"/>
          </w:tcPr>
          <w:p>
            <w:pPr>
              <w:jc w:val="center"/>
              <w:rPr>
                <w:b/>
                <w:noProof/>
                <w:lang w:val="en-IE"/>
              </w:rPr>
            </w:pPr>
            <w:r>
              <w:rPr>
                <w:b/>
                <w:noProof/>
                <w:lang w:val="en-IE"/>
              </w:rPr>
              <w:t>2</w:t>
            </w:r>
          </w:p>
        </w:tc>
        <w:tc>
          <w:tcPr>
            <w:tcW w:w="1926" w:type="dxa"/>
            <w:shd w:val="clear" w:color="auto" w:fill="auto"/>
          </w:tcPr>
          <w:p>
            <w:pPr>
              <w:rPr>
                <w:noProof/>
                <w:lang w:val="en-IE"/>
              </w:rPr>
            </w:pPr>
            <w:r>
              <w:rPr>
                <w:noProof/>
                <w:lang w:val="en-IE"/>
              </w:rPr>
              <w:t>Portugal</w:t>
            </w:r>
          </w:p>
        </w:tc>
        <w:tc>
          <w:tcPr>
            <w:tcW w:w="1050" w:type="dxa"/>
            <w:shd w:val="clear" w:color="auto" w:fill="auto"/>
          </w:tcPr>
          <w:p>
            <w:pPr>
              <w:jc w:val="center"/>
              <w:rPr>
                <w:noProof/>
                <w:lang w:val="en-IE"/>
              </w:rPr>
            </w:pPr>
            <w:r>
              <w:rPr>
                <w:noProof/>
                <w:lang w:val="en-IE"/>
              </w:rPr>
              <w:t>c)</w:t>
            </w:r>
          </w:p>
        </w:tc>
        <w:tc>
          <w:tcPr>
            <w:tcW w:w="1896" w:type="dxa"/>
            <w:shd w:val="clear" w:color="auto" w:fill="auto"/>
          </w:tcPr>
          <w:p>
            <w:pPr>
              <w:jc w:val="right"/>
              <w:rPr>
                <w:noProof/>
                <w:lang w:val="en-IE"/>
              </w:rPr>
            </w:pPr>
            <w:r>
              <w:rPr>
                <w:noProof/>
                <w:lang w:val="en-IE"/>
              </w:rPr>
              <w:t>584.84</w:t>
            </w:r>
          </w:p>
        </w:tc>
        <w:tc>
          <w:tcPr>
            <w:tcW w:w="1696" w:type="dxa"/>
            <w:shd w:val="clear" w:color="auto" w:fill="auto"/>
          </w:tcPr>
          <w:p>
            <w:pPr>
              <w:jc w:val="right"/>
              <w:rPr>
                <w:noProof/>
                <w:lang w:val="en-IE"/>
              </w:rPr>
            </w:pPr>
            <w:r>
              <w:rPr>
                <w:noProof/>
                <w:lang w:val="en-IE"/>
              </w:rPr>
              <w:t>19.8%</w:t>
            </w:r>
          </w:p>
        </w:tc>
        <w:tc>
          <w:tcPr>
            <w:tcW w:w="1580" w:type="dxa"/>
            <w:shd w:val="clear" w:color="auto" w:fill="auto"/>
          </w:tcPr>
          <w:p>
            <w:pPr>
              <w:jc w:val="right"/>
              <w:rPr>
                <w:noProof/>
                <w:lang w:val="en-IE"/>
              </w:rPr>
            </w:pPr>
            <w:r>
              <w:rPr>
                <w:noProof/>
                <w:lang w:val="en-IE"/>
              </w:rPr>
              <w:t>9.2%</w:t>
            </w:r>
          </w:p>
        </w:tc>
      </w:tr>
      <w:tr>
        <w:tc>
          <w:tcPr>
            <w:tcW w:w="1032" w:type="dxa"/>
            <w:shd w:val="clear" w:color="auto" w:fill="auto"/>
          </w:tcPr>
          <w:p>
            <w:pPr>
              <w:jc w:val="center"/>
              <w:rPr>
                <w:b/>
                <w:noProof/>
                <w:lang w:val="en-IE"/>
              </w:rPr>
            </w:pPr>
            <w:r>
              <w:rPr>
                <w:b/>
                <w:noProof/>
                <w:lang w:val="en-IE"/>
              </w:rPr>
              <w:t>3</w:t>
            </w:r>
          </w:p>
        </w:tc>
        <w:tc>
          <w:tcPr>
            <w:tcW w:w="1926" w:type="dxa"/>
            <w:shd w:val="clear" w:color="auto" w:fill="auto"/>
          </w:tcPr>
          <w:p>
            <w:pPr>
              <w:rPr>
                <w:noProof/>
                <w:lang w:val="en-IE"/>
              </w:rPr>
            </w:pPr>
            <w:r>
              <w:rPr>
                <w:noProof/>
                <w:lang w:val="en-IE"/>
              </w:rPr>
              <w:t>Latvia</w:t>
            </w:r>
          </w:p>
        </w:tc>
        <w:tc>
          <w:tcPr>
            <w:tcW w:w="1050" w:type="dxa"/>
            <w:shd w:val="clear" w:color="auto" w:fill="auto"/>
          </w:tcPr>
          <w:p>
            <w:pPr>
              <w:jc w:val="center"/>
              <w:rPr>
                <w:noProof/>
                <w:lang w:val="en-IE"/>
              </w:rPr>
            </w:pPr>
            <w:r>
              <w:rPr>
                <w:noProof/>
                <w:lang w:val="en-IE"/>
              </w:rPr>
              <w:t>a+b)</w:t>
            </w:r>
          </w:p>
        </w:tc>
        <w:tc>
          <w:tcPr>
            <w:tcW w:w="1896" w:type="dxa"/>
            <w:shd w:val="clear" w:color="auto" w:fill="auto"/>
          </w:tcPr>
          <w:p>
            <w:pPr>
              <w:jc w:val="right"/>
              <w:rPr>
                <w:noProof/>
                <w:lang w:val="en-IE"/>
              </w:rPr>
            </w:pPr>
            <w:r>
              <w:rPr>
                <w:noProof/>
                <w:lang w:val="en-IE"/>
              </w:rPr>
              <w:t>524.04</w:t>
            </w:r>
          </w:p>
        </w:tc>
        <w:tc>
          <w:tcPr>
            <w:tcW w:w="1696" w:type="dxa"/>
            <w:shd w:val="clear" w:color="auto" w:fill="auto"/>
          </w:tcPr>
          <w:p>
            <w:pPr>
              <w:jc w:val="right"/>
              <w:rPr>
                <w:noProof/>
                <w:lang w:val="en-IE"/>
              </w:rPr>
            </w:pPr>
            <w:r>
              <w:rPr>
                <w:noProof/>
                <w:lang w:val="en-IE"/>
              </w:rPr>
              <w:t>17.7%</w:t>
            </w:r>
          </w:p>
        </w:tc>
        <w:tc>
          <w:tcPr>
            <w:tcW w:w="1580" w:type="dxa"/>
            <w:shd w:val="clear" w:color="auto" w:fill="auto"/>
          </w:tcPr>
          <w:p>
            <w:pPr>
              <w:jc w:val="right"/>
              <w:rPr>
                <w:noProof/>
                <w:lang w:val="en-IE"/>
              </w:rPr>
            </w:pPr>
            <w:r>
              <w:rPr>
                <w:noProof/>
                <w:lang w:val="en-IE"/>
              </w:rPr>
              <w:t>8.3%</w:t>
            </w:r>
          </w:p>
        </w:tc>
      </w:tr>
      <w:tr>
        <w:tc>
          <w:tcPr>
            <w:tcW w:w="1032" w:type="dxa"/>
            <w:shd w:val="clear" w:color="auto" w:fill="auto"/>
          </w:tcPr>
          <w:p>
            <w:pPr>
              <w:jc w:val="center"/>
              <w:rPr>
                <w:b/>
                <w:noProof/>
                <w:lang w:val="en-IE"/>
              </w:rPr>
            </w:pPr>
            <w:r>
              <w:rPr>
                <w:b/>
                <w:noProof/>
                <w:lang w:val="en-IE"/>
              </w:rPr>
              <w:t>4</w:t>
            </w:r>
          </w:p>
        </w:tc>
        <w:tc>
          <w:tcPr>
            <w:tcW w:w="1926" w:type="dxa"/>
            <w:shd w:val="clear" w:color="auto" w:fill="auto"/>
          </w:tcPr>
          <w:p>
            <w:pPr>
              <w:rPr>
                <w:noProof/>
                <w:lang w:val="en-IE"/>
              </w:rPr>
            </w:pPr>
            <w:r>
              <w:rPr>
                <w:noProof/>
                <w:lang w:val="en-IE"/>
              </w:rPr>
              <w:t>Ireland</w:t>
            </w:r>
          </w:p>
        </w:tc>
        <w:tc>
          <w:tcPr>
            <w:tcW w:w="1050" w:type="dxa"/>
            <w:shd w:val="clear" w:color="auto" w:fill="auto"/>
          </w:tcPr>
          <w:p>
            <w:pPr>
              <w:jc w:val="center"/>
              <w:rPr>
                <w:noProof/>
                <w:lang w:val="en-IE"/>
              </w:rPr>
            </w:pPr>
            <w:r>
              <w:rPr>
                <w:noProof/>
                <w:lang w:val="en-IE"/>
              </w:rPr>
              <w:t>c)</w:t>
            </w:r>
          </w:p>
        </w:tc>
        <w:tc>
          <w:tcPr>
            <w:tcW w:w="1896" w:type="dxa"/>
            <w:shd w:val="clear" w:color="auto" w:fill="auto"/>
          </w:tcPr>
          <w:p>
            <w:pPr>
              <w:jc w:val="right"/>
              <w:rPr>
                <w:noProof/>
                <w:lang w:val="en-IE"/>
              </w:rPr>
            </w:pPr>
            <w:r>
              <w:rPr>
                <w:noProof/>
                <w:lang w:val="en-IE"/>
              </w:rPr>
              <w:t>518.98</w:t>
            </w:r>
          </w:p>
        </w:tc>
        <w:tc>
          <w:tcPr>
            <w:tcW w:w="1696" w:type="dxa"/>
            <w:shd w:val="clear" w:color="auto" w:fill="auto"/>
          </w:tcPr>
          <w:p>
            <w:pPr>
              <w:jc w:val="right"/>
              <w:rPr>
                <w:noProof/>
                <w:lang w:val="en-IE"/>
              </w:rPr>
            </w:pPr>
            <w:r>
              <w:rPr>
                <w:noProof/>
                <w:lang w:val="en-IE"/>
              </w:rPr>
              <w:t>17.6%</w:t>
            </w:r>
          </w:p>
        </w:tc>
        <w:tc>
          <w:tcPr>
            <w:tcW w:w="1580" w:type="dxa"/>
            <w:shd w:val="clear" w:color="auto" w:fill="auto"/>
          </w:tcPr>
          <w:p>
            <w:pPr>
              <w:jc w:val="right"/>
              <w:rPr>
                <w:noProof/>
                <w:lang w:val="en-IE"/>
              </w:rPr>
            </w:pPr>
            <w:r>
              <w:rPr>
                <w:noProof/>
                <w:lang w:val="en-IE"/>
              </w:rPr>
              <w:t>8.2%</w:t>
            </w:r>
          </w:p>
        </w:tc>
      </w:tr>
      <w:tr>
        <w:tc>
          <w:tcPr>
            <w:tcW w:w="1032" w:type="dxa"/>
            <w:shd w:val="clear" w:color="auto" w:fill="auto"/>
          </w:tcPr>
          <w:p>
            <w:pPr>
              <w:jc w:val="center"/>
              <w:rPr>
                <w:b/>
                <w:noProof/>
                <w:lang w:val="en-IE"/>
              </w:rPr>
            </w:pPr>
            <w:r>
              <w:rPr>
                <w:b/>
                <w:noProof/>
                <w:lang w:val="en-IE"/>
              </w:rPr>
              <w:t>5</w:t>
            </w:r>
          </w:p>
        </w:tc>
        <w:tc>
          <w:tcPr>
            <w:tcW w:w="1926" w:type="dxa"/>
            <w:shd w:val="clear" w:color="auto" w:fill="auto"/>
          </w:tcPr>
          <w:p>
            <w:pPr>
              <w:rPr>
                <w:noProof/>
                <w:lang w:val="en-IE"/>
              </w:rPr>
            </w:pPr>
            <w:r>
              <w:rPr>
                <w:noProof/>
                <w:lang w:val="en-IE"/>
              </w:rPr>
              <w:t>Bulgaria</w:t>
            </w:r>
          </w:p>
        </w:tc>
        <w:tc>
          <w:tcPr>
            <w:tcW w:w="1050" w:type="dxa"/>
            <w:shd w:val="clear" w:color="auto" w:fill="auto"/>
          </w:tcPr>
          <w:p>
            <w:pPr>
              <w:jc w:val="center"/>
              <w:rPr>
                <w:noProof/>
                <w:lang w:val="en-IE"/>
              </w:rPr>
            </w:pPr>
            <w:r>
              <w:rPr>
                <w:noProof/>
                <w:lang w:val="en-IE"/>
              </w:rPr>
              <w:t>a)</w:t>
            </w:r>
          </w:p>
        </w:tc>
        <w:tc>
          <w:tcPr>
            <w:tcW w:w="1896" w:type="dxa"/>
            <w:shd w:val="clear" w:color="auto" w:fill="auto"/>
          </w:tcPr>
          <w:p>
            <w:pPr>
              <w:jc w:val="right"/>
              <w:rPr>
                <w:noProof/>
                <w:lang w:val="en-IE"/>
              </w:rPr>
            </w:pPr>
            <w:r>
              <w:rPr>
                <w:noProof/>
                <w:lang w:val="en-IE"/>
              </w:rPr>
              <w:t>54.85</w:t>
            </w:r>
          </w:p>
        </w:tc>
        <w:tc>
          <w:tcPr>
            <w:tcW w:w="1696" w:type="dxa"/>
            <w:shd w:val="clear" w:color="auto" w:fill="auto"/>
          </w:tcPr>
          <w:p>
            <w:pPr>
              <w:jc w:val="right"/>
              <w:rPr>
                <w:noProof/>
                <w:lang w:val="en-IE"/>
              </w:rPr>
            </w:pPr>
            <w:r>
              <w:rPr>
                <w:noProof/>
                <w:lang w:val="en-IE"/>
              </w:rPr>
              <w:t>1.9%</w:t>
            </w:r>
          </w:p>
        </w:tc>
        <w:tc>
          <w:tcPr>
            <w:tcW w:w="1580" w:type="dxa"/>
            <w:shd w:val="clear" w:color="auto" w:fill="auto"/>
          </w:tcPr>
          <w:p>
            <w:pPr>
              <w:jc w:val="right"/>
              <w:rPr>
                <w:noProof/>
                <w:lang w:val="en-IE"/>
              </w:rPr>
            </w:pPr>
            <w:r>
              <w:rPr>
                <w:noProof/>
                <w:lang w:val="en-IE"/>
              </w:rPr>
              <w:t>0.9%</w:t>
            </w:r>
          </w:p>
        </w:tc>
      </w:tr>
      <w:tr>
        <w:tc>
          <w:tcPr>
            <w:tcW w:w="1032" w:type="dxa"/>
            <w:shd w:val="clear" w:color="auto" w:fill="auto"/>
          </w:tcPr>
          <w:p>
            <w:pPr>
              <w:jc w:val="center"/>
              <w:rPr>
                <w:b/>
                <w:noProof/>
                <w:lang w:val="en-IE"/>
              </w:rPr>
            </w:pPr>
            <w:r>
              <w:rPr>
                <w:b/>
                <w:noProof/>
                <w:lang w:val="en-IE"/>
              </w:rPr>
              <w:t>6</w:t>
            </w:r>
          </w:p>
        </w:tc>
        <w:tc>
          <w:tcPr>
            <w:tcW w:w="1926" w:type="dxa"/>
            <w:shd w:val="clear" w:color="auto" w:fill="auto"/>
          </w:tcPr>
          <w:p>
            <w:pPr>
              <w:rPr>
                <w:noProof/>
                <w:lang w:val="en-IE"/>
              </w:rPr>
            </w:pPr>
            <w:r>
              <w:rPr>
                <w:noProof/>
                <w:lang w:val="en-IE"/>
              </w:rPr>
              <w:t>Croatia</w:t>
            </w:r>
          </w:p>
        </w:tc>
        <w:tc>
          <w:tcPr>
            <w:tcW w:w="1050" w:type="dxa"/>
            <w:shd w:val="clear" w:color="auto" w:fill="auto"/>
          </w:tcPr>
          <w:p>
            <w:pPr>
              <w:jc w:val="center"/>
              <w:rPr>
                <w:noProof/>
                <w:lang w:val="en-IE"/>
              </w:rPr>
            </w:pPr>
            <w:r>
              <w:rPr>
                <w:noProof/>
                <w:lang w:val="en-IE"/>
              </w:rPr>
              <w:t>a)</w:t>
            </w:r>
          </w:p>
        </w:tc>
        <w:tc>
          <w:tcPr>
            <w:tcW w:w="1896" w:type="dxa"/>
            <w:shd w:val="clear" w:color="auto" w:fill="auto"/>
          </w:tcPr>
          <w:p>
            <w:pPr>
              <w:jc w:val="right"/>
              <w:rPr>
                <w:noProof/>
                <w:lang w:val="en-IE"/>
              </w:rPr>
            </w:pPr>
            <w:r>
              <w:rPr>
                <w:noProof/>
                <w:lang w:val="en-IE"/>
              </w:rPr>
              <w:t>34.11</w:t>
            </w:r>
          </w:p>
        </w:tc>
        <w:tc>
          <w:tcPr>
            <w:tcW w:w="1696" w:type="dxa"/>
            <w:shd w:val="clear" w:color="auto" w:fill="auto"/>
          </w:tcPr>
          <w:p>
            <w:pPr>
              <w:jc w:val="right"/>
              <w:rPr>
                <w:noProof/>
                <w:lang w:val="en-IE"/>
              </w:rPr>
            </w:pPr>
            <w:r>
              <w:rPr>
                <w:noProof/>
                <w:lang w:val="en-IE"/>
              </w:rPr>
              <w:t>1.2%</w:t>
            </w:r>
          </w:p>
        </w:tc>
        <w:tc>
          <w:tcPr>
            <w:tcW w:w="1580" w:type="dxa"/>
            <w:shd w:val="clear" w:color="auto" w:fill="auto"/>
          </w:tcPr>
          <w:p>
            <w:pPr>
              <w:jc w:val="right"/>
              <w:rPr>
                <w:noProof/>
                <w:lang w:val="en-IE"/>
              </w:rPr>
            </w:pPr>
            <w:r>
              <w:rPr>
                <w:noProof/>
                <w:lang w:val="en-IE"/>
              </w:rPr>
              <w:t>0.5%</w:t>
            </w:r>
          </w:p>
        </w:tc>
      </w:tr>
      <w:tr>
        <w:tc>
          <w:tcPr>
            <w:tcW w:w="1032" w:type="dxa"/>
            <w:shd w:val="clear" w:color="auto" w:fill="auto"/>
          </w:tcPr>
          <w:p>
            <w:pPr>
              <w:jc w:val="center"/>
              <w:rPr>
                <w:b/>
                <w:noProof/>
                <w:lang w:val="en-IE"/>
              </w:rPr>
            </w:pPr>
            <w:r>
              <w:rPr>
                <w:b/>
                <w:noProof/>
                <w:lang w:val="en-IE"/>
              </w:rPr>
              <w:t>7</w:t>
            </w:r>
          </w:p>
        </w:tc>
        <w:tc>
          <w:tcPr>
            <w:tcW w:w="1926" w:type="dxa"/>
            <w:shd w:val="clear" w:color="auto" w:fill="auto"/>
          </w:tcPr>
          <w:p>
            <w:pPr>
              <w:rPr>
                <w:noProof/>
                <w:lang w:val="en-IE"/>
              </w:rPr>
            </w:pPr>
            <w:r>
              <w:rPr>
                <w:noProof/>
                <w:lang w:val="en-IE"/>
              </w:rPr>
              <w:t>Poland</w:t>
            </w:r>
          </w:p>
        </w:tc>
        <w:tc>
          <w:tcPr>
            <w:tcW w:w="1050" w:type="dxa"/>
            <w:shd w:val="clear" w:color="auto" w:fill="auto"/>
          </w:tcPr>
          <w:p>
            <w:pPr>
              <w:jc w:val="center"/>
              <w:rPr>
                <w:noProof/>
                <w:lang w:val="en-IE"/>
              </w:rPr>
            </w:pPr>
            <w:r>
              <w:rPr>
                <w:noProof/>
                <w:lang w:val="en-IE"/>
              </w:rPr>
              <w:t>a)</w:t>
            </w:r>
          </w:p>
        </w:tc>
        <w:tc>
          <w:tcPr>
            <w:tcW w:w="1896" w:type="dxa"/>
            <w:shd w:val="clear" w:color="auto" w:fill="auto"/>
          </w:tcPr>
          <w:p>
            <w:pPr>
              <w:jc w:val="right"/>
              <w:rPr>
                <w:noProof/>
                <w:lang w:val="en-IE"/>
              </w:rPr>
            </w:pPr>
            <w:r>
              <w:rPr>
                <w:noProof/>
                <w:lang w:val="en-IE"/>
              </w:rPr>
              <w:t>18.90</w:t>
            </w:r>
          </w:p>
        </w:tc>
        <w:tc>
          <w:tcPr>
            <w:tcW w:w="1696" w:type="dxa"/>
            <w:shd w:val="clear" w:color="auto" w:fill="auto"/>
          </w:tcPr>
          <w:p>
            <w:pPr>
              <w:jc w:val="right"/>
              <w:rPr>
                <w:noProof/>
                <w:lang w:val="en-IE"/>
              </w:rPr>
            </w:pPr>
            <w:r>
              <w:rPr>
                <w:noProof/>
                <w:lang w:val="en-IE"/>
              </w:rPr>
              <w:t>0.6%</w:t>
            </w:r>
          </w:p>
        </w:tc>
        <w:tc>
          <w:tcPr>
            <w:tcW w:w="1580" w:type="dxa"/>
            <w:shd w:val="clear" w:color="auto" w:fill="auto"/>
          </w:tcPr>
          <w:p>
            <w:pPr>
              <w:jc w:val="right"/>
              <w:rPr>
                <w:noProof/>
                <w:lang w:val="en-IE"/>
              </w:rPr>
            </w:pPr>
            <w:r>
              <w:rPr>
                <w:noProof/>
                <w:lang w:val="en-IE"/>
              </w:rPr>
              <w:t>0.3%</w:t>
            </w:r>
          </w:p>
        </w:tc>
      </w:tr>
      <w:tr>
        <w:tc>
          <w:tcPr>
            <w:tcW w:w="1032" w:type="dxa"/>
            <w:shd w:val="clear" w:color="auto" w:fill="auto"/>
          </w:tcPr>
          <w:p>
            <w:pPr>
              <w:jc w:val="center"/>
              <w:rPr>
                <w:b/>
                <w:noProof/>
                <w:lang w:val="en-IE"/>
              </w:rPr>
            </w:pPr>
            <w:r>
              <w:rPr>
                <w:b/>
                <w:noProof/>
                <w:lang w:val="en-IE"/>
              </w:rPr>
              <w:t>8</w:t>
            </w:r>
          </w:p>
        </w:tc>
        <w:tc>
          <w:tcPr>
            <w:tcW w:w="1926" w:type="dxa"/>
            <w:shd w:val="clear" w:color="auto" w:fill="auto"/>
          </w:tcPr>
          <w:p>
            <w:pPr>
              <w:rPr>
                <w:noProof/>
                <w:lang w:val="en-IE"/>
              </w:rPr>
            </w:pPr>
            <w:r>
              <w:rPr>
                <w:noProof/>
                <w:lang w:val="en-IE"/>
              </w:rPr>
              <w:t>Slovakia</w:t>
            </w:r>
          </w:p>
        </w:tc>
        <w:tc>
          <w:tcPr>
            <w:tcW w:w="1050" w:type="dxa"/>
            <w:shd w:val="clear" w:color="auto" w:fill="auto"/>
          </w:tcPr>
          <w:p>
            <w:pPr>
              <w:jc w:val="center"/>
              <w:rPr>
                <w:noProof/>
                <w:lang w:val="en-IE"/>
              </w:rPr>
            </w:pPr>
            <w:r>
              <w:rPr>
                <w:noProof/>
                <w:lang w:val="en-IE"/>
              </w:rPr>
              <w:t>a)</w:t>
            </w:r>
          </w:p>
        </w:tc>
        <w:tc>
          <w:tcPr>
            <w:tcW w:w="1896" w:type="dxa"/>
            <w:shd w:val="clear" w:color="auto" w:fill="auto"/>
          </w:tcPr>
          <w:p>
            <w:pPr>
              <w:jc w:val="right"/>
              <w:rPr>
                <w:noProof/>
                <w:lang w:val="en-IE"/>
              </w:rPr>
            </w:pPr>
            <w:r>
              <w:rPr>
                <w:noProof/>
                <w:lang w:val="en-IE"/>
              </w:rPr>
              <w:t>13.40</w:t>
            </w:r>
          </w:p>
        </w:tc>
        <w:tc>
          <w:tcPr>
            <w:tcW w:w="1696" w:type="dxa"/>
            <w:shd w:val="clear" w:color="auto" w:fill="auto"/>
          </w:tcPr>
          <w:p>
            <w:pPr>
              <w:jc w:val="right"/>
              <w:rPr>
                <w:noProof/>
                <w:lang w:val="en-IE"/>
              </w:rPr>
            </w:pPr>
            <w:r>
              <w:rPr>
                <w:noProof/>
                <w:lang w:val="en-IE"/>
              </w:rPr>
              <w:t>0.5%</w:t>
            </w:r>
          </w:p>
        </w:tc>
        <w:tc>
          <w:tcPr>
            <w:tcW w:w="1580" w:type="dxa"/>
            <w:shd w:val="clear" w:color="auto" w:fill="auto"/>
          </w:tcPr>
          <w:p>
            <w:pPr>
              <w:jc w:val="right"/>
              <w:rPr>
                <w:noProof/>
                <w:lang w:val="en-IE"/>
              </w:rPr>
            </w:pPr>
            <w:r>
              <w:rPr>
                <w:noProof/>
                <w:lang w:val="en-IE"/>
              </w:rPr>
              <w:t>0.2%</w:t>
            </w:r>
          </w:p>
        </w:tc>
      </w:tr>
      <w:tr>
        <w:tc>
          <w:tcPr>
            <w:tcW w:w="1032" w:type="dxa"/>
            <w:shd w:val="clear" w:color="auto" w:fill="auto"/>
          </w:tcPr>
          <w:p>
            <w:pPr>
              <w:jc w:val="center"/>
              <w:rPr>
                <w:b/>
                <w:noProof/>
                <w:lang w:val="en-IE"/>
              </w:rPr>
            </w:pPr>
            <w:r>
              <w:rPr>
                <w:b/>
                <w:noProof/>
                <w:lang w:val="en-IE"/>
              </w:rPr>
              <w:t>9</w:t>
            </w:r>
          </w:p>
        </w:tc>
        <w:tc>
          <w:tcPr>
            <w:tcW w:w="1926" w:type="dxa"/>
            <w:shd w:val="clear" w:color="auto" w:fill="auto"/>
          </w:tcPr>
          <w:p>
            <w:pPr>
              <w:rPr>
                <w:noProof/>
                <w:lang w:val="en-IE"/>
              </w:rPr>
            </w:pPr>
            <w:r>
              <w:rPr>
                <w:noProof/>
                <w:lang w:val="en-IE"/>
              </w:rPr>
              <w:t>Czech Republic</w:t>
            </w:r>
          </w:p>
        </w:tc>
        <w:tc>
          <w:tcPr>
            <w:tcW w:w="1050" w:type="dxa"/>
            <w:shd w:val="clear" w:color="auto" w:fill="auto"/>
          </w:tcPr>
          <w:p>
            <w:pPr>
              <w:jc w:val="center"/>
              <w:rPr>
                <w:noProof/>
                <w:lang w:val="en-IE"/>
              </w:rPr>
            </w:pPr>
            <w:r>
              <w:rPr>
                <w:noProof/>
                <w:lang w:val="en-IE"/>
              </w:rPr>
              <w:t>a)</w:t>
            </w:r>
          </w:p>
        </w:tc>
        <w:tc>
          <w:tcPr>
            <w:tcW w:w="1896" w:type="dxa"/>
            <w:shd w:val="clear" w:color="auto" w:fill="auto"/>
          </w:tcPr>
          <w:p>
            <w:pPr>
              <w:jc w:val="right"/>
              <w:rPr>
                <w:noProof/>
                <w:lang w:val="en-IE"/>
              </w:rPr>
            </w:pPr>
            <w:r>
              <w:rPr>
                <w:noProof/>
                <w:lang w:val="en-IE"/>
              </w:rPr>
              <w:t>12.62</w:t>
            </w:r>
          </w:p>
        </w:tc>
        <w:tc>
          <w:tcPr>
            <w:tcW w:w="1696" w:type="dxa"/>
            <w:shd w:val="clear" w:color="auto" w:fill="auto"/>
          </w:tcPr>
          <w:p>
            <w:pPr>
              <w:jc w:val="right"/>
              <w:rPr>
                <w:noProof/>
                <w:lang w:val="en-IE"/>
              </w:rPr>
            </w:pPr>
            <w:r>
              <w:rPr>
                <w:noProof/>
                <w:lang w:val="en-IE"/>
              </w:rPr>
              <w:t>0.4%</w:t>
            </w:r>
          </w:p>
        </w:tc>
        <w:tc>
          <w:tcPr>
            <w:tcW w:w="1580" w:type="dxa"/>
            <w:shd w:val="clear" w:color="auto" w:fill="auto"/>
          </w:tcPr>
          <w:p>
            <w:pPr>
              <w:jc w:val="right"/>
              <w:rPr>
                <w:noProof/>
                <w:lang w:val="en-IE"/>
              </w:rPr>
            </w:pPr>
            <w:r>
              <w:rPr>
                <w:noProof/>
                <w:lang w:val="en-IE"/>
              </w:rPr>
              <w:t>0.2%</w:t>
            </w:r>
          </w:p>
        </w:tc>
      </w:tr>
      <w:tr>
        <w:tc>
          <w:tcPr>
            <w:tcW w:w="1032" w:type="dxa"/>
            <w:shd w:val="clear" w:color="auto" w:fill="auto"/>
          </w:tcPr>
          <w:p>
            <w:pPr>
              <w:jc w:val="center"/>
              <w:rPr>
                <w:b/>
                <w:noProof/>
                <w:lang w:val="en-IE"/>
              </w:rPr>
            </w:pPr>
            <w:r>
              <w:rPr>
                <w:b/>
                <w:noProof/>
                <w:lang w:val="en-IE"/>
              </w:rPr>
              <w:t>10</w:t>
            </w:r>
          </w:p>
        </w:tc>
        <w:tc>
          <w:tcPr>
            <w:tcW w:w="1926" w:type="dxa"/>
            <w:shd w:val="clear" w:color="auto" w:fill="auto"/>
          </w:tcPr>
          <w:p>
            <w:pPr>
              <w:rPr>
                <w:noProof/>
                <w:lang w:val="en-IE"/>
              </w:rPr>
            </w:pPr>
            <w:r>
              <w:rPr>
                <w:noProof/>
                <w:lang w:val="en-IE"/>
              </w:rPr>
              <w:t>Lithuania</w:t>
            </w:r>
          </w:p>
        </w:tc>
        <w:tc>
          <w:tcPr>
            <w:tcW w:w="1050" w:type="dxa"/>
            <w:shd w:val="clear" w:color="auto" w:fill="auto"/>
          </w:tcPr>
          <w:p>
            <w:pPr>
              <w:jc w:val="center"/>
              <w:rPr>
                <w:noProof/>
                <w:lang w:val="en-IE"/>
              </w:rPr>
            </w:pPr>
            <w:r>
              <w:rPr>
                <w:noProof/>
                <w:lang w:val="en-IE"/>
              </w:rPr>
              <w:t>a)</w:t>
            </w:r>
          </w:p>
        </w:tc>
        <w:tc>
          <w:tcPr>
            <w:tcW w:w="1896" w:type="dxa"/>
            <w:shd w:val="clear" w:color="auto" w:fill="auto"/>
          </w:tcPr>
          <w:p>
            <w:pPr>
              <w:jc w:val="right"/>
              <w:rPr>
                <w:noProof/>
                <w:lang w:val="en-IE"/>
              </w:rPr>
            </w:pPr>
            <w:r>
              <w:rPr>
                <w:noProof/>
                <w:lang w:val="en-IE"/>
              </w:rPr>
              <w:t>2.74</w:t>
            </w:r>
          </w:p>
        </w:tc>
        <w:tc>
          <w:tcPr>
            <w:tcW w:w="1696" w:type="dxa"/>
            <w:shd w:val="clear" w:color="auto" w:fill="auto"/>
          </w:tcPr>
          <w:p>
            <w:pPr>
              <w:jc w:val="right"/>
              <w:rPr>
                <w:noProof/>
                <w:lang w:val="en-IE"/>
              </w:rPr>
            </w:pPr>
            <w:r>
              <w:rPr>
                <w:noProof/>
                <w:lang w:val="en-IE"/>
              </w:rPr>
              <w:t>0.1%</w:t>
            </w:r>
          </w:p>
        </w:tc>
        <w:tc>
          <w:tcPr>
            <w:tcW w:w="1580" w:type="dxa"/>
            <w:shd w:val="clear" w:color="auto" w:fill="auto"/>
          </w:tcPr>
          <w:p>
            <w:pPr>
              <w:jc w:val="right"/>
              <w:rPr>
                <w:noProof/>
                <w:lang w:val="en-IE"/>
              </w:rPr>
            </w:pPr>
            <w:r>
              <w:rPr>
                <w:noProof/>
                <w:lang w:val="en-IE"/>
              </w:rPr>
              <w:t>0.0%</w:t>
            </w:r>
          </w:p>
        </w:tc>
      </w:tr>
      <w:tr>
        <w:tc>
          <w:tcPr>
            <w:tcW w:w="1032" w:type="dxa"/>
            <w:shd w:val="clear" w:color="auto" w:fill="auto"/>
          </w:tcPr>
          <w:p>
            <w:pPr>
              <w:rPr>
                <w:b/>
                <w:noProof/>
                <w:lang w:val="en-IE"/>
              </w:rPr>
            </w:pPr>
            <w:r>
              <w:rPr>
                <w:b/>
                <w:noProof/>
                <w:lang w:val="en-IE"/>
              </w:rPr>
              <w:t>Total</w:t>
            </w:r>
          </w:p>
        </w:tc>
        <w:tc>
          <w:tcPr>
            <w:tcW w:w="1926" w:type="dxa"/>
            <w:shd w:val="clear" w:color="auto" w:fill="auto"/>
          </w:tcPr>
          <w:p>
            <w:pPr>
              <w:rPr>
                <w:noProof/>
                <w:lang w:val="en-IE"/>
              </w:rPr>
            </w:pPr>
          </w:p>
        </w:tc>
        <w:tc>
          <w:tcPr>
            <w:tcW w:w="1050" w:type="dxa"/>
            <w:shd w:val="clear" w:color="auto" w:fill="auto"/>
          </w:tcPr>
          <w:p>
            <w:pPr>
              <w:jc w:val="right"/>
              <w:rPr>
                <w:noProof/>
                <w:lang w:val="en-IE"/>
              </w:rPr>
            </w:pPr>
          </w:p>
        </w:tc>
        <w:tc>
          <w:tcPr>
            <w:tcW w:w="1896" w:type="dxa"/>
            <w:shd w:val="clear" w:color="auto" w:fill="auto"/>
          </w:tcPr>
          <w:p>
            <w:pPr>
              <w:jc w:val="right"/>
              <w:rPr>
                <w:noProof/>
                <w:lang w:val="en-IE"/>
              </w:rPr>
            </w:pPr>
            <w:r>
              <w:rPr>
                <w:noProof/>
                <w:lang w:val="en-IE"/>
              </w:rPr>
              <w:t>2,953.1</w:t>
            </w:r>
          </w:p>
        </w:tc>
        <w:tc>
          <w:tcPr>
            <w:tcW w:w="1696" w:type="dxa"/>
            <w:shd w:val="clear" w:color="auto" w:fill="auto"/>
          </w:tcPr>
          <w:p>
            <w:pPr>
              <w:jc w:val="right"/>
              <w:rPr>
                <w:noProof/>
                <w:lang w:val="en-IE"/>
              </w:rPr>
            </w:pPr>
            <w:r>
              <w:rPr>
                <w:noProof/>
                <w:lang w:val="en-IE"/>
              </w:rPr>
              <w:t>100.0%</w:t>
            </w:r>
          </w:p>
        </w:tc>
        <w:tc>
          <w:tcPr>
            <w:tcW w:w="1580" w:type="dxa"/>
            <w:shd w:val="clear" w:color="auto" w:fill="auto"/>
          </w:tcPr>
          <w:p>
            <w:pPr>
              <w:jc w:val="right"/>
              <w:rPr>
                <w:noProof/>
                <w:lang w:val="en-IE"/>
              </w:rPr>
            </w:pPr>
            <w:r>
              <w:rPr>
                <w:noProof/>
                <w:lang w:val="en-IE"/>
              </w:rPr>
              <w:t>46.6%</w:t>
            </w:r>
          </w:p>
        </w:tc>
      </w:tr>
    </w:tbl>
    <w:p>
      <w:pPr>
        <w:pStyle w:val="ManualHeading3"/>
        <w:spacing w:before="360"/>
        <w:ind w:left="0" w:firstLine="0"/>
        <w:rPr>
          <w:noProof/>
          <w:lang w:val="en-IE"/>
        </w:rPr>
      </w:pPr>
      <w:bookmarkStart w:id="260" w:name="_Toc309831367"/>
      <w:bookmarkStart w:id="261" w:name="_Toc329261067"/>
      <w:bookmarkStart w:id="262" w:name="_Toc329855629"/>
      <w:bookmarkStart w:id="263" w:name="_Toc330551234"/>
      <w:bookmarkStart w:id="264" w:name="_Toc342470161"/>
      <w:bookmarkStart w:id="265" w:name="_Toc345073707"/>
      <w:bookmarkStart w:id="266" w:name="_Toc365986224"/>
      <w:bookmarkStart w:id="267" w:name="_Toc367869477"/>
      <w:bookmarkStart w:id="268" w:name="_Toc367870004"/>
      <w:bookmarkStart w:id="269" w:name="_Toc388973022"/>
      <w:bookmarkStart w:id="270" w:name="_Toc389474755"/>
      <w:bookmarkStart w:id="271" w:name="_Toc390944399"/>
      <w:bookmarkStart w:id="272" w:name="_Toc393969970"/>
      <w:bookmarkStart w:id="273" w:name="_Toc417461976"/>
      <w:bookmarkStart w:id="274" w:name="_Toc417998610"/>
      <w:bookmarkStart w:id="275" w:name="_Toc418157637"/>
      <w:bookmarkStart w:id="276" w:name="_Toc418160318"/>
      <w:bookmarkStart w:id="277" w:name="_Toc446577185"/>
      <w:bookmarkStart w:id="278" w:name="_Toc452646731"/>
      <w:bookmarkStart w:id="279" w:name="_Toc453161370"/>
      <w:bookmarkStart w:id="280" w:name="_Toc486601273"/>
      <w:bookmarkStart w:id="281" w:name="_Toc18597238"/>
      <w:r>
        <w:rPr>
          <w:noProof/>
          <w:lang w:val="en-IE"/>
        </w:rPr>
        <w:t>4.3.2</w:t>
      </w:r>
      <w:r>
        <w:rPr>
          <w:noProof/>
          <w:lang w:val="en-IE"/>
        </w:rPr>
        <w:tab/>
        <w:t>Third country</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r>
        <w:rPr>
          <w:noProof/>
          <w:lang w:val="en-IE"/>
        </w:rPr>
        <w:t xml:space="preserve"> exposure</w:t>
      </w:r>
      <w:bookmarkEnd w:id="278"/>
      <w:bookmarkEnd w:id="279"/>
      <w:bookmarkEnd w:id="280"/>
      <w:bookmarkEnd w:id="281"/>
    </w:p>
    <w:p>
      <w:pPr>
        <w:rPr>
          <w:noProof/>
          <w:lang w:val="en-IE"/>
        </w:rPr>
      </w:pPr>
      <w:r>
        <w:rPr>
          <w:noProof/>
          <w:lang w:val="en-IE"/>
        </w:rPr>
        <w:t>In 2019, the Fund will bear a maximum annual risk related to the exposure to third countries of EUR 3 383.8 million (53.4% of the total annual risk). The risk linked to third countries concerns EIB lending, MFA and Euratom loans (details are included in Table A2b of the SWD). The Fund covers guaranteed loans to third countries with maturities extending up to 2042.</w:t>
      </w:r>
    </w:p>
    <w:p>
      <w:pPr>
        <w:rPr>
          <w:noProof/>
          <w:lang w:val="en-IE"/>
        </w:rPr>
      </w:pPr>
      <w:r>
        <w:rPr>
          <w:noProof/>
          <w:lang w:val="en-IE"/>
        </w:rPr>
        <w:t xml:space="preserve">The top ten countries (out of 46 non-MS) are ranked below according to the repayments due in 2019. They account for EUR 2 864.50 million or 84.7% of the annual risk related to third countries borne by the Fund for 2019. The economic situation of those countries is analysed and commented in point 3 of the SWD. Creditworthiness, as assessed by the rating agencies, is also indicated in each country table. </w:t>
      </w:r>
    </w:p>
    <w:p>
      <w:pPr>
        <w:keepNext/>
        <w:spacing w:after="0"/>
        <w:rPr>
          <w:noProof/>
          <w:sz w:val="18"/>
          <w:lang w:val="en-IE"/>
        </w:rPr>
      </w:pPr>
      <w:r>
        <w:rPr>
          <w:noProof/>
          <w:sz w:val="18"/>
          <w:lang w:val="en-IE"/>
        </w:rPr>
        <w:t xml:space="preserve">Table 3: Ranking of the </w:t>
      </w:r>
      <w:r>
        <w:rPr>
          <w:b/>
          <w:noProof/>
          <w:sz w:val="18"/>
          <w:lang w:val="en-IE"/>
        </w:rPr>
        <w:t>10 third countries</w:t>
      </w:r>
      <w:r>
        <w:rPr>
          <w:noProof/>
          <w:lang w:val="en-IE"/>
        </w:rPr>
        <w:t xml:space="preserve"> </w:t>
      </w:r>
      <w:r>
        <w:rPr>
          <w:noProof/>
          <w:sz w:val="18"/>
          <w:lang w:val="en-IE"/>
        </w:rPr>
        <w:t xml:space="preserve">with the highest exposure according to the annual risk borne by the EU budget in 2019 (EUR million) </w:t>
      </w:r>
    </w:p>
    <w:tbl>
      <w:tblPr>
        <w:tblW w:w="8760" w:type="dxa"/>
        <w:tblInd w:w="-5" w:type="dxa"/>
        <w:tblLayout w:type="fixed"/>
        <w:tblLook w:val="0000" w:firstRow="0" w:lastRow="0" w:firstColumn="0" w:lastColumn="0" w:noHBand="0" w:noVBand="0"/>
      </w:tblPr>
      <w:tblGrid>
        <w:gridCol w:w="1814"/>
        <w:gridCol w:w="1701"/>
        <w:gridCol w:w="1560"/>
        <w:gridCol w:w="1842"/>
        <w:gridCol w:w="1843"/>
      </w:tblGrid>
      <w:tr>
        <w:trPr>
          <w:trHeight w:val="405"/>
        </w:trPr>
        <w:tc>
          <w:tcPr>
            <w:tcW w:w="1814" w:type="dxa"/>
            <w:tcBorders>
              <w:top w:val="single" w:sz="4" w:space="0" w:color="000000"/>
              <w:left w:val="single" w:sz="4" w:space="0" w:color="000000"/>
            </w:tcBorders>
          </w:tcPr>
          <w:p>
            <w:pPr>
              <w:keepNext/>
              <w:jc w:val="center"/>
              <w:rPr>
                <w:b/>
                <w:noProof/>
                <w:lang w:val="en-IE"/>
              </w:rPr>
            </w:pPr>
            <w:r>
              <w:rPr>
                <w:b/>
                <w:noProof/>
                <w:lang w:val="en-IE"/>
              </w:rPr>
              <w:t>Ranking</w:t>
            </w:r>
          </w:p>
        </w:tc>
        <w:tc>
          <w:tcPr>
            <w:tcW w:w="1701" w:type="dxa"/>
            <w:tcBorders>
              <w:top w:val="single" w:sz="4" w:space="0" w:color="000000"/>
              <w:left w:val="single" w:sz="4" w:space="0" w:color="000000"/>
            </w:tcBorders>
          </w:tcPr>
          <w:p>
            <w:pPr>
              <w:keepNext/>
              <w:jc w:val="center"/>
              <w:rPr>
                <w:b/>
                <w:noProof/>
                <w:lang w:val="en-IE"/>
              </w:rPr>
            </w:pPr>
            <w:r>
              <w:rPr>
                <w:b/>
                <w:noProof/>
                <w:lang w:val="en-IE"/>
              </w:rPr>
              <w:t>Country</w:t>
            </w:r>
          </w:p>
        </w:tc>
        <w:tc>
          <w:tcPr>
            <w:tcW w:w="1560" w:type="dxa"/>
            <w:tcBorders>
              <w:top w:val="single" w:sz="4" w:space="0" w:color="000000"/>
              <w:left w:val="single" w:sz="4" w:space="0" w:color="000000"/>
            </w:tcBorders>
          </w:tcPr>
          <w:p>
            <w:pPr>
              <w:keepNext/>
              <w:jc w:val="center"/>
              <w:rPr>
                <w:b/>
                <w:noProof/>
                <w:lang w:val="en-IE"/>
              </w:rPr>
            </w:pPr>
            <w:r>
              <w:rPr>
                <w:b/>
                <w:noProof/>
                <w:lang w:val="en-IE"/>
              </w:rPr>
              <w:t>Max annual risk</w:t>
            </w:r>
          </w:p>
        </w:tc>
        <w:tc>
          <w:tcPr>
            <w:tcW w:w="1842" w:type="dxa"/>
            <w:tcBorders>
              <w:top w:val="single" w:sz="4" w:space="0" w:color="000000"/>
              <w:left w:val="single" w:sz="4" w:space="0" w:color="000000"/>
            </w:tcBorders>
          </w:tcPr>
          <w:p>
            <w:pPr>
              <w:keepNext/>
              <w:jc w:val="center"/>
              <w:rPr>
                <w:b/>
                <w:noProof/>
                <w:lang w:val="en-IE"/>
              </w:rPr>
            </w:pPr>
            <w:r>
              <w:rPr>
                <w:b/>
                <w:noProof/>
                <w:lang w:val="en-IE"/>
              </w:rPr>
              <w:t>Weight of the country vis-à-vis annual risk of third countries</w:t>
            </w:r>
          </w:p>
        </w:tc>
        <w:tc>
          <w:tcPr>
            <w:tcW w:w="1843" w:type="dxa"/>
            <w:tcBorders>
              <w:top w:val="single" w:sz="4" w:space="0" w:color="000000"/>
              <w:left w:val="single" w:sz="4" w:space="0" w:color="000000"/>
              <w:right w:val="single" w:sz="4" w:space="0" w:color="000000"/>
            </w:tcBorders>
          </w:tcPr>
          <w:p>
            <w:pPr>
              <w:keepNext/>
              <w:jc w:val="center"/>
              <w:rPr>
                <w:b/>
                <w:noProof/>
                <w:lang w:val="en-IE"/>
              </w:rPr>
            </w:pPr>
            <w:r>
              <w:rPr>
                <w:b/>
                <w:noProof/>
                <w:lang w:val="en-IE"/>
              </w:rPr>
              <w:t>Weight of the country vis-à-vis total annual risk 2019 (MS and non-MS)</w:t>
            </w:r>
          </w:p>
        </w:tc>
      </w:tr>
      <w:tr>
        <w:tc>
          <w:tcPr>
            <w:tcW w:w="1814" w:type="dxa"/>
            <w:tcBorders>
              <w:top w:val="single" w:sz="4" w:space="0" w:color="000000"/>
              <w:left w:val="single" w:sz="4" w:space="0" w:color="000000"/>
              <w:bottom w:val="single" w:sz="4" w:space="0" w:color="000000"/>
            </w:tcBorders>
            <w:vAlign w:val="center"/>
          </w:tcPr>
          <w:p>
            <w:pPr>
              <w:keepNext/>
              <w:snapToGrid w:val="0"/>
              <w:jc w:val="center"/>
              <w:rPr>
                <w:b/>
                <w:noProof/>
                <w:lang w:val="en-IE"/>
              </w:rPr>
            </w:pPr>
            <w:r>
              <w:rPr>
                <w:b/>
                <w:noProof/>
                <w:lang w:val="en-IE"/>
              </w:rPr>
              <w:t>1</w:t>
            </w:r>
          </w:p>
        </w:tc>
        <w:tc>
          <w:tcPr>
            <w:tcW w:w="1701" w:type="dxa"/>
            <w:tcBorders>
              <w:top w:val="single" w:sz="4" w:space="0" w:color="000000"/>
              <w:left w:val="single" w:sz="4" w:space="0" w:color="000000"/>
              <w:bottom w:val="single" w:sz="4" w:space="0" w:color="000000"/>
            </w:tcBorders>
          </w:tcPr>
          <w:p>
            <w:pPr>
              <w:keepNext/>
              <w:snapToGrid w:val="0"/>
              <w:rPr>
                <w:noProof/>
                <w:lang w:val="en-IE"/>
              </w:rPr>
            </w:pPr>
            <w:r>
              <w:rPr>
                <w:noProof/>
                <w:lang w:val="en-IE"/>
              </w:rPr>
              <w:t>Turkey</w:t>
            </w:r>
          </w:p>
        </w:tc>
        <w:tc>
          <w:tcPr>
            <w:tcW w:w="1560" w:type="dxa"/>
            <w:tcBorders>
              <w:top w:val="single" w:sz="4" w:space="0" w:color="000000"/>
              <w:left w:val="single" w:sz="4" w:space="0" w:color="000000"/>
              <w:bottom w:val="single" w:sz="4" w:space="0" w:color="000000"/>
            </w:tcBorders>
          </w:tcPr>
          <w:p>
            <w:pPr>
              <w:keepNext/>
              <w:snapToGrid w:val="0"/>
              <w:jc w:val="right"/>
              <w:rPr>
                <w:noProof/>
                <w:lang w:val="en-IE"/>
              </w:rPr>
            </w:pPr>
            <w:r>
              <w:rPr>
                <w:noProof/>
                <w:lang w:val="en-IE"/>
              </w:rPr>
              <w:t>977.50</w:t>
            </w:r>
          </w:p>
        </w:tc>
        <w:tc>
          <w:tcPr>
            <w:tcW w:w="1842" w:type="dxa"/>
            <w:tcBorders>
              <w:top w:val="single" w:sz="4" w:space="0" w:color="000000"/>
              <w:left w:val="single" w:sz="4" w:space="0" w:color="000000"/>
              <w:bottom w:val="single" w:sz="4" w:space="0" w:color="000000"/>
            </w:tcBorders>
          </w:tcPr>
          <w:p>
            <w:pPr>
              <w:keepNext/>
              <w:snapToGrid w:val="0"/>
              <w:jc w:val="right"/>
              <w:rPr>
                <w:noProof/>
                <w:lang w:val="en-IE"/>
              </w:rPr>
            </w:pPr>
            <w:r>
              <w:rPr>
                <w:noProof/>
                <w:lang w:val="en-IE"/>
              </w:rPr>
              <w:t>28.9%</w:t>
            </w:r>
          </w:p>
        </w:tc>
        <w:tc>
          <w:tcPr>
            <w:tcW w:w="1843" w:type="dxa"/>
            <w:tcBorders>
              <w:top w:val="single" w:sz="4" w:space="0" w:color="000000"/>
              <w:left w:val="single" w:sz="4" w:space="0" w:color="000000"/>
              <w:bottom w:val="single" w:sz="4" w:space="0" w:color="000000"/>
              <w:right w:val="single" w:sz="4" w:space="0" w:color="000000"/>
            </w:tcBorders>
          </w:tcPr>
          <w:p>
            <w:pPr>
              <w:keepNext/>
              <w:snapToGrid w:val="0"/>
              <w:jc w:val="right"/>
              <w:rPr>
                <w:noProof/>
                <w:lang w:val="en-IE"/>
              </w:rPr>
            </w:pPr>
            <w:r>
              <w:rPr>
                <w:noProof/>
                <w:lang w:val="en-IE"/>
              </w:rPr>
              <w:t>15.4%</w:t>
            </w:r>
          </w:p>
        </w:tc>
      </w:tr>
      <w:tr>
        <w:tc>
          <w:tcPr>
            <w:tcW w:w="1814" w:type="dxa"/>
            <w:tcBorders>
              <w:top w:val="single" w:sz="4" w:space="0" w:color="000000"/>
              <w:left w:val="single" w:sz="4" w:space="0" w:color="000000"/>
              <w:bottom w:val="single" w:sz="4" w:space="0" w:color="000000"/>
            </w:tcBorders>
            <w:vAlign w:val="center"/>
          </w:tcPr>
          <w:p>
            <w:pPr>
              <w:keepNext/>
              <w:snapToGrid w:val="0"/>
              <w:jc w:val="center"/>
              <w:rPr>
                <w:b/>
                <w:noProof/>
                <w:lang w:val="en-IE"/>
              </w:rPr>
            </w:pPr>
            <w:r>
              <w:rPr>
                <w:b/>
                <w:noProof/>
                <w:lang w:val="en-IE"/>
              </w:rPr>
              <w:t>2</w:t>
            </w:r>
          </w:p>
        </w:tc>
        <w:tc>
          <w:tcPr>
            <w:tcW w:w="1701" w:type="dxa"/>
            <w:tcBorders>
              <w:top w:val="single" w:sz="4" w:space="0" w:color="000000"/>
              <w:left w:val="single" w:sz="4" w:space="0" w:color="000000"/>
              <w:bottom w:val="single" w:sz="4" w:space="0" w:color="000000"/>
            </w:tcBorders>
          </w:tcPr>
          <w:p>
            <w:pPr>
              <w:keepNext/>
              <w:snapToGrid w:val="0"/>
              <w:rPr>
                <w:noProof/>
                <w:lang w:val="en-IE"/>
              </w:rPr>
            </w:pPr>
            <w:r>
              <w:rPr>
                <w:noProof/>
                <w:lang w:val="en-IE"/>
              </w:rPr>
              <w:t>Egypt</w:t>
            </w:r>
          </w:p>
        </w:tc>
        <w:tc>
          <w:tcPr>
            <w:tcW w:w="1560" w:type="dxa"/>
            <w:tcBorders>
              <w:top w:val="single" w:sz="4" w:space="0" w:color="000000"/>
              <w:left w:val="single" w:sz="4" w:space="0" w:color="000000"/>
              <w:bottom w:val="single" w:sz="4" w:space="0" w:color="000000"/>
            </w:tcBorders>
          </w:tcPr>
          <w:p>
            <w:pPr>
              <w:keepNext/>
              <w:snapToGrid w:val="0"/>
              <w:jc w:val="right"/>
              <w:rPr>
                <w:noProof/>
                <w:lang w:val="en-IE"/>
              </w:rPr>
            </w:pPr>
            <w:r>
              <w:rPr>
                <w:noProof/>
                <w:lang w:val="en-IE"/>
              </w:rPr>
              <w:t>739.28</w:t>
            </w:r>
          </w:p>
        </w:tc>
        <w:tc>
          <w:tcPr>
            <w:tcW w:w="1842" w:type="dxa"/>
            <w:tcBorders>
              <w:top w:val="single" w:sz="4" w:space="0" w:color="000000"/>
              <w:left w:val="single" w:sz="4" w:space="0" w:color="000000"/>
              <w:bottom w:val="single" w:sz="4" w:space="0" w:color="000000"/>
            </w:tcBorders>
          </w:tcPr>
          <w:p>
            <w:pPr>
              <w:keepNext/>
              <w:jc w:val="right"/>
              <w:rPr>
                <w:noProof/>
                <w:lang w:val="en-IE"/>
              </w:rPr>
            </w:pPr>
            <w:r>
              <w:rPr>
                <w:noProof/>
                <w:lang w:val="en-IE"/>
              </w:rPr>
              <w:t>21.8%</w:t>
            </w:r>
          </w:p>
        </w:tc>
        <w:tc>
          <w:tcPr>
            <w:tcW w:w="1843" w:type="dxa"/>
            <w:tcBorders>
              <w:top w:val="single" w:sz="4" w:space="0" w:color="000000"/>
              <w:left w:val="single" w:sz="4" w:space="0" w:color="000000"/>
              <w:bottom w:val="single" w:sz="4" w:space="0" w:color="000000"/>
              <w:right w:val="single" w:sz="4" w:space="0" w:color="000000"/>
            </w:tcBorders>
          </w:tcPr>
          <w:p>
            <w:pPr>
              <w:keepNext/>
              <w:snapToGrid w:val="0"/>
              <w:jc w:val="right"/>
              <w:rPr>
                <w:noProof/>
                <w:lang w:val="en-IE"/>
              </w:rPr>
            </w:pPr>
            <w:r>
              <w:rPr>
                <w:noProof/>
                <w:lang w:val="en-IE"/>
              </w:rPr>
              <w:t>11.7%</w:t>
            </w:r>
          </w:p>
        </w:tc>
      </w:tr>
      <w:tr>
        <w:tc>
          <w:tcPr>
            <w:tcW w:w="1814" w:type="dxa"/>
            <w:tcBorders>
              <w:top w:val="single" w:sz="4" w:space="0" w:color="000000"/>
              <w:left w:val="single" w:sz="4" w:space="0" w:color="000000"/>
              <w:bottom w:val="single" w:sz="4" w:space="0" w:color="000000"/>
            </w:tcBorders>
            <w:vAlign w:val="center"/>
          </w:tcPr>
          <w:p>
            <w:pPr>
              <w:keepNext/>
              <w:snapToGrid w:val="0"/>
              <w:jc w:val="center"/>
              <w:rPr>
                <w:b/>
                <w:noProof/>
                <w:lang w:val="en-IE"/>
              </w:rPr>
            </w:pPr>
            <w:r>
              <w:rPr>
                <w:b/>
                <w:noProof/>
                <w:lang w:val="en-IE"/>
              </w:rPr>
              <w:t>3</w:t>
            </w:r>
          </w:p>
        </w:tc>
        <w:tc>
          <w:tcPr>
            <w:tcW w:w="1701" w:type="dxa"/>
            <w:tcBorders>
              <w:top w:val="single" w:sz="4" w:space="0" w:color="000000"/>
              <w:left w:val="single" w:sz="4" w:space="0" w:color="000000"/>
              <w:bottom w:val="single" w:sz="4" w:space="0" w:color="000000"/>
            </w:tcBorders>
          </w:tcPr>
          <w:p>
            <w:pPr>
              <w:keepNext/>
              <w:snapToGrid w:val="0"/>
              <w:rPr>
                <w:noProof/>
                <w:lang w:val="en-IE"/>
              </w:rPr>
            </w:pPr>
            <w:r>
              <w:rPr>
                <w:noProof/>
                <w:lang w:val="en-IE"/>
              </w:rPr>
              <w:t>Tunisia</w:t>
            </w:r>
          </w:p>
        </w:tc>
        <w:tc>
          <w:tcPr>
            <w:tcW w:w="1560" w:type="dxa"/>
            <w:tcBorders>
              <w:top w:val="single" w:sz="4" w:space="0" w:color="000000"/>
              <w:left w:val="single" w:sz="4" w:space="0" w:color="000000"/>
              <w:bottom w:val="single" w:sz="4" w:space="0" w:color="000000"/>
            </w:tcBorders>
          </w:tcPr>
          <w:p>
            <w:pPr>
              <w:keepNext/>
              <w:snapToGrid w:val="0"/>
              <w:jc w:val="right"/>
              <w:rPr>
                <w:noProof/>
                <w:lang w:val="en-IE"/>
              </w:rPr>
            </w:pPr>
            <w:r>
              <w:rPr>
                <w:noProof/>
                <w:lang w:val="en-IE"/>
              </w:rPr>
              <w:t>279.98</w:t>
            </w:r>
          </w:p>
        </w:tc>
        <w:tc>
          <w:tcPr>
            <w:tcW w:w="1842" w:type="dxa"/>
            <w:tcBorders>
              <w:top w:val="single" w:sz="4" w:space="0" w:color="000000"/>
              <w:left w:val="single" w:sz="4" w:space="0" w:color="000000"/>
              <w:bottom w:val="single" w:sz="4" w:space="0" w:color="000000"/>
            </w:tcBorders>
          </w:tcPr>
          <w:p>
            <w:pPr>
              <w:keepNext/>
              <w:snapToGrid w:val="0"/>
              <w:jc w:val="right"/>
              <w:rPr>
                <w:noProof/>
                <w:lang w:val="en-IE"/>
              </w:rPr>
            </w:pPr>
            <w:r>
              <w:rPr>
                <w:noProof/>
                <w:lang w:val="en-IE"/>
              </w:rPr>
              <w:t>8.3%</w:t>
            </w:r>
          </w:p>
        </w:tc>
        <w:tc>
          <w:tcPr>
            <w:tcW w:w="1843" w:type="dxa"/>
            <w:tcBorders>
              <w:top w:val="single" w:sz="4" w:space="0" w:color="000000"/>
              <w:left w:val="single" w:sz="4" w:space="0" w:color="000000"/>
              <w:bottom w:val="single" w:sz="4" w:space="0" w:color="000000"/>
              <w:right w:val="single" w:sz="4" w:space="0" w:color="000000"/>
            </w:tcBorders>
          </w:tcPr>
          <w:p>
            <w:pPr>
              <w:keepNext/>
              <w:snapToGrid w:val="0"/>
              <w:jc w:val="right"/>
              <w:rPr>
                <w:noProof/>
                <w:lang w:val="en-IE"/>
              </w:rPr>
            </w:pPr>
            <w:r>
              <w:rPr>
                <w:noProof/>
                <w:lang w:val="en-IE"/>
              </w:rPr>
              <w:t>4.4%</w:t>
            </w:r>
          </w:p>
        </w:tc>
      </w:tr>
      <w:tr>
        <w:tc>
          <w:tcPr>
            <w:tcW w:w="1814" w:type="dxa"/>
            <w:tcBorders>
              <w:top w:val="single" w:sz="4" w:space="0" w:color="000000"/>
              <w:left w:val="single" w:sz="4" w:space="0" w:color="000000"/>
              <w:bottom w:val="single" w:sz="4" w:space="0" w:color="000000"/>
            </w:tcBorders>
            <w:vAlign w:val="center"/>
          </w:tcPr>
          <w:p>
            <w:pPr>
              <w:keepNext/>
              <w:snapToGrid w:val="0"/>
              <w:jc w:val="center"/>
              <w:rPr>
                <w:b/>
                <w:noProof/>
                <w:lang w:val="en-IE"/>
              </w:rPr>
            </w:pPr>
            <w:r>
              <w:rPr>
                <w:b/>
                <w:noProof/>
                <w:lang w:val="en-IE"/>
              </w:rPr>
              <w:t>4</w:t>
            </w:r>
          </w:p>
        </w:tc>
        <w:tc>
          <w:tcPr>
            <w:tcW w:w="1701" w:type="dxa"/>
            <w:tcBorders>
              <w:top w:val="single" w:sz="4" w:space="0" w:color="000000"/>
              <w:left w:val="single" w:sz="4" w:space="0" w:color="000000"/>
              <w:bottom w:val="single" w:sz="4" w:space="0" w:color="000000"/>
            </w:tcBorders>
          </w:tcPr>
          <w:p>
            <w:pPr>
              <w:keepNext/>
              <w:snapToGrid w:val="0"/>
              <w:rPr>
                <w:noProof/>
                <w:lang w:val="en-IE"/>
              </w:rPr>
            </w:pPr>
            <w:r>
              <w:rPr>
                <w:noProof/>
                <w:lang w:val="en-IE"/>
              </w:rPr>
              <w:t>Morocco</w:t>
            </w:r>
          </w:p>
        </w:tc>
        <w:tc>
          <w:tcPr>
            <w:tcW w:w="1560" w:type="dxa"/>
            <w:tcBorders>
              <w:top w:val="single" w:sz="4" w:space="0" w:color="000000"/>
              <w:left w:val="single" w:sz="4" w:space="0" w:color="000000"/>
              <w:bottom w:val="single" w:sz="4" w:space="0" w:color="000000"/>
            </w:tcBorders>
          </w:tcPr>
          <w:p>
            <w:pPr>
              <w:keepNext/>
              <w:snapToGrid w:val="0"/>
              <w:jc w:val="right"/>
              <w:rPr>
                <w:noProof/>
                <w:lang w:val="en-IE"/>
              </w:rPr>
            </w:pPr>
            <w:r>
              <w:rPr>
                <w:noProof/>
                <w:lang w:val="en-IE"/>
              </w:rPr>
              <w:t>260.06</w:t>
            </w:r>
          </w:p>
        </w:tc>
        <w:tc>
          <w:tcPr>
            <w:tcW w:w="1842" w:type="dxa"/>
            <w:tcBorders>
              <w:top w:val="single" w:sz="4" w:space="0" w:color="000000"/>
              <w:left w:val="single" w:sz="4" w:space="0" w:color="000000"/>
              <w:bottom w:val="single" w:sz="4" w:space="0" w:color="000000"/>
            </w:tcBorders>
          </w:tcPr>
          <w:p>
            <w:pPr>
              <w:keepNext/>
              <w:snapToGrid w:val="0"/>
              <w:jc w:val="right"/>
              <w:rPr>
                <w:noProof/>
                <w:lang w:val="en-IE"/>
              </w:rPr>
            </w:pPr>
            <w:r>
              <w:rPr>
                <w:noProof/>
                <w:lang w:val="en-IE"/>
              </w:rPr>
              <w:t>7.7%</w:t>
            </w:r>
          </w:p>
        </w:tc>
        <w:tc>
          <w:tcPr>
            <w:tcW w:w="1843" w:type="dxa"/>
            <w:tcBorders>
              <w:top w:val="single" w:sz="4" w:space="0" w:color="000000"/>
              <w:left w:val="single" w:sz="4" w:space="0" w:color="000000"/>
              <w:bottom w:val="single" w:sz="4" w:space="0" w:color="000000"/>
              <w:right w:val="single" w:sz="4" w:space="0" w:color="000000"/>
            </w:tcBorders>
          </w:tcPr>
          <w:p>
            <w:pPr>
              <w:keepNext/>
              <w:snapToGrid w:val="0"/>
              <w:jc w:val="right"/>
              <w:rPr>
                <w:noProof/>
                <w:lang w:val="en-IE"/>
              </w:rPr>
            </w:pPr>
            <w:r>
              <w:rPr>
                <w:noProof/>
                <w:lang w:val="en-IE"/>
              </w:rPr>
              <w:t>4.1%</w:t>
            </w:r>
          </w:p>
        </w:tc>
      </w:tr>
      <w:tr>
        <w:tc>
          <w:tcPr>
            <w:tcW w:w="1814" w:type="dxa"/>
            <w:tcBorders>
              <w:top w:val="single" w:sz="4" w:space="0" w:color="000000"/>
              <w:left w:val="single" w:sz="4" w:space="0" w:color="000000"/>
              <w:bottom w:val="single" w:sz="4" w:space="0" w:color="000000"/>
            </w:tcBorders>
            <w:vAlign w:val="center"/>
          </w:tcPr>
          <w:p>
            <w:pPr>
              <w:keepNext/>
              <w:snapToGrid w:val="0"/>
              <w:jc w:val="center"/>
              <w:rPr>
                <w:b/>
                <w:noProof/>
                <w:lang w:val="en-IE"/>
              </w:rPr>
            </w:pPr>
            <w:r>
              <w:rPr>
                <w:b/>
                <w:noProof/>
                <w:lang w:val="en-IE"/>
              </w:rPr>
              <w:t>5</w:t>
            </w:r>
          </w:p>
        </w:tc>
        <w:tc>
          <w:tcPr>
            <w:tcW w:w="1701" w:type="dxa"/>
            <w:tcBorders>
              <w:top w:val="single" w:sz="4" w:space="0" w:color="000000"/>
              <w:left w:val="single" w:sz="4" w:space="0" w:color="000000"/>
              <w:bottom w:val="single" w:sz="4" w:space="0" w:color="000000"/>
            </w:tcBorders>
          </w:tcPr>
          <w:p>
            <w:pPr>
              <w:keepNext/>
              <w:snapToGrid w:val="0"/>
              <w:rPr>
                <w:noProof/>
                <w:lang w:val="en-IE"/>
              </w:rPr>
            </w:pPr>
            <w:r>
              <w:rPr>
                <w:noProof/>
                <w:lang w:val="en-IE"/>
              </w:rPr>
              <w:t>Serbia</w:t>
            </w:r>
          </w:p>
        </w:tc>
        <w:tc>
          <w:tcPr>
            <w:tcW w:w="1560" w:type="dxa"/>
            <w:tcBorders>
              <w:top w:val="single" w:sz="4" w:space="0" w:color="000000"/>
              <w:left w:val="single" w:sz="4" w:space="0" w:color="000000"/>
              <w:bottom w:val="single" w:sz="4" w:space="0" w:color="000000"/>
            </w:tcBorders>
          </w:tcPr>
          <w:p>
            <w:pPr>
              <w:keepNext/>
              <w:snapToGrid w:val="0"/>
              <w:jc w:val="right"/>
              <w:rPr>
                <w:noProof/>
                <w:lang w:val="en-IE"/>
              </w:rPr>
            </w:pPr>
            <w:r>
              <w:rPr>
                <w:noProof/>
                <w:lang w:val="en-IE"/>
              </w:rPr>
              <w:t>187.00</w:t>
            </w:r>
          </w:p>
        </w:tc>
        <w:tc>
          <w:tcPr>
            <w:tcW w:w="1842" w:type="dxa"/>
            <w:tcBorders>
              <w:top w:val="single" w:sz="4" w:space="0" w:color="000000"/>
              <w:left w:val="single" w:sz="4" w:space="0" w:color="000000"/>
              <w:bottom w:val="single" w:sz="4" w:space="0" w:color="000000"/>
            </w:tcBorders>
          </w:tcPr>
          <w:p>
            <w:pPr>
              <w:keepNext/>
              <w:snapToGrid w:val="0"/>
              <w:jc w:val="right"/>
              <w:rPr>
                <w:noProof/>
                <w:lang w:val="en-IE"/>
              </w:rPr>
            </w:pPr>
            <w:r>
              <w:rPr>
                <w:noProof/>
                <w:lang w:val="en-IE"/>
              </w:rPr>
              <w:t>5.5%</w:t>
            </w:r>
          </w:p>
        </w:tc>
        <w:tc>
          <w:tcPr>
            <w:tcW w:w="1843" w:type="dxa"/>
            <w:tcBorders>
              <w:top w:val="single" w:sz="4" w:space="0" w:color="000000"/>
              <w:left w:val="single" w:sz="4" w:space="0" w:color="000000"/>
              <w:bottom w:val="single" w:sz="4" w:space="0" w:color="000000"/>
              <w:right w:val="single" w:sz="4" w:space="0" w:color="000000"/>
            </w:tcBorders>
          </w:tcPr>
          <w:p>
            <w:pPr>
              <w:keepNext/>
              <w:snapToGrid w:val="0"/>
              <w:jc w:val="right"/>
              <w:rPr>
                <w:noProof/>
                <w:lang w:val="en-IE"/>
              </w:rPr>
            </w:pPr>
            <w:r>
              <w:rPr>
                <w:noProof/>
                <w:lang w:val="en-IE"/>
              </w:rPr>
              <w:t>3.0%</w:t>
            </w:r>
          </w:p>
        </w:tc>
      </w:tr>
      <w:tr>
        <w:tc>
          <w:tcPr>
            <w:tcW w:w="1814" w:type="dxa"/>
            <w:tcBorders>
              <w:top w:val="single" w:sz="4" w:space="0" w:color="000000"/>
              <w:left w:val="single" w:sz="4" w:space="0" w:color="000000"/>
              <w:bottom w:val="single" w:sz="4" w:space="0" w:color="000000"/>
            </w:tcBorders>
            <w:vAlign w:val="center"/>
          </w:tcPr>
          <w:p>
            <w:pPr>
              <w:keepNext/>
              <w:snapToGrid w:val="0"/>
              <w:jc w:val="center"/>
              <w:rPr>
                <w:b/>
                <w:noProof/>
                <w:lang w:val="en-IE"/>
              </w:rPr>
            </w:pPr>
            <w:r>
              <w:rPr>
                <w:b/>
                <w:noProof/>
                <w:lang w:val="en-IE"/>
              </w:rPr>
              <w:t>6</w:t>
            </w:r>
          </w:p>
        </w:tc>
        <w:tc>
          <w:tcPr>
            <w:tcW w:w="1701" w:type="dxa"/>
            <w:tcBorders>
              <w:top w:val="single" w:sz="4" w:space="0" w:color="000000"/>
              <w:left w:val="single" w:sz="4" w:space="0" w:color="000000"/>
              <w:bottom w:val="single" w:sz="4" w:space="0" w:color="000000"/>
            </w:tcBorders>
          </w:tcPr>
          <w:p>
            <w:pPr>
              <w:keepNext/>
              <w:snapToGrid w:val="0"/>
              <w:rPr>
                <w:noProof/>
                <w:lang w:val="en-IE"/>
              </w:rPr>
            </w:pPr>
            <w:r>
              <w:rPr>
                <w:noProof/>
                <w:lang w:val="en-IE"/>
              </w:rPr>
              <w:t>Ukraine</w:t>
            </w:r>
          </w:p>
        </w:tc>
        <w:tc>
          <w:tcPr>
            <w:tcW w:w="1560" w:type="dxa"/>
            <w:tcBorders>
              <w:top w:val="single" w:sz="4" w:space="0" w:color="000000"/>
              <w:left w:val="single" w:sz="4" w:space="0" w:color="000000"/>
              <w:bottom w:val="single" w:sz="4" w:space="0" w:color="000000"/>
            </w:tcBorders>
          </w:tcPr>
          <w:p>
            <w:pPr>
              <w:keepNext/>
              <w:snapToGrid w:val="0"/>
              <w:jc w:val="right"/>
              <w:rPr>
                <w:noProof/>
                <w:lang w:val="en-IE"/>
              </w:rPr>
            </w:pPr>
            <w:r>
              <w:rPr>
                <w:noProof/>
                <w:lang w:val="en-IE"/>
              </w:rPr>
              <w:t>161.05</w:t>
            </w:r>
          </w:p>
        </w:tc>
        <w:tc>
          <w:tcPr>
            <w:tcW w:w="1842" w:type="dxa"/>
            <w:tcBorders>
              <w:top w:val="single" w:sz="4" w:space="0" w:color="000000"/>
              <w:left w:val="single" w:sz="4" w:space="0" w:color="000000"/>
              <w:bottom w:val="single" w:sz="4" w:space="0" w:color="000000"/>
            </w:tcBorders>
          </w:tcPr>
          <w:p>
            <w:pPr>
              <w:keepNext/>
              <w:snapToGrid w:val="0"/>
              <w:jc w:val="right"/>
              <w:rPr>
                <w:noProof/>
                <w:lang w:val="en-IE"/>
              </w:rPr>
            </w:pPr>
            <w:r>
              <w:rPr>
                <w:noProof/>
                <w:lang w:val="en-IE"/>
              </w:rPr>
              <w:t>4.8%</w:t>
            </w:r>
          </w:p>
        </w:tc>
        <w:tc>
          <w:tcPr>
            <w:tcW w:w="1843" w:type="dxa"/>
            <w:tcBorders>
              <w:top w:val="single" w:sz="4" w:space="0" w:color="000000"/>
              <w:left w:val="single" w:sz="4" w:space="0" w:color="000000"/>
              <w:bottom w:val="single" w:sz="4" w:space="0" w:color="000000"/>
              <w:right w:val="single" w:sz="4" w:space="0" w:color="000000"/>
            </w:tcBorders>
          </w:tcPr>
          <w:p>
            <w:pPr>
              <w:keepNext/>
              <w:snapToGrid w:val="0"/>
              <w:jc w:val="right"/>
              <w:rPr>
                <w:noProof/>
                <w:lang w:val="en-IE"/>
              </w:rPr>
            </w:pPr>
            <w:r>
              <w:rPr>
                <w:noProof/>
                <w:lang w:val="en-IE"/>
              </w:rPr>
              <w:t>2.5%</w:t>
            </w:r>
          </w:p>
        </w:tc>
      </w:tr>
      <w:tr>
        <w:tc>
          <w:tcPr>
            <w:tcW w:w="1814" w:type="dxa"/>
            <w:tcBorders>
              <w:top w:val="single" w:sz="4" w:space="0" w:color="000000"/>
              <w:left w:val="single" w:sz="4" w:space="0" w:color="000000"/>
              <w:bottom w:val="single" w:sz="4" w:space="0" w:color="000000"/>
            </w:tcBorders>
            <w:vAlign w:val="center"/>
          </w:tcPr>
          <w:p>
            <w:pPr>
              <w:keepNext/>
              <w:snapToGrid w:val="0"/>
              <w:jc w:val="center"/>
              <w:rPr>
                <w:b/>
                <w:noProof/>
                <w:lang w:val="en-IE"/>
              </w:rPr>
            </w:pPr>
            <w:r>
              <w:rPr>
                <w:b/>
                <w:noProof/>
                <w:lang w:val="en-IE"/>
              </w:rPr>
              <w:t>7</w:t>
            </w:r>
          </w:p>
        </w:tc>
        <w:tc>
          <w:tcPr>
            <w:tcW w:w="1701" w:type="dxa"/>
            <w:tcBorders>
              <w:top w:val="single" w:sz="4" w:space="0" w:color="000000"/>
              <w:left w:val="single" w:sz="4" w:space="0" w:color="000000"/>
              <w:bottom w:val="single" w:sz="4" w:space="0" w:color="000000"/>
            </w:tcBorders>
          </w:tcPr>
          <w:p>
            <w:pPr>
              <w:keepNext/>
              <w:snapToGrid w:val="0"/>
              <w:rPr>
                <w:noProof/>
                <w:lang w:val="en-IE"/>
              </w:rPr>
            </w:pPr>
            <w:r>
              <w:rPr>
                <w:noProof/>
                <w:lang w:val="en-IE"/>
              </w:rPr>
              <w:t>Bosnia and Herzegovina</w:t>
            </w:r>
          </w:p>
        </w:tc>
        <w:tc>
          <w:tcPr>
            <w:tcW w:w="1560" w:type="dxa"/>
            <w:tcBorders>
              <w:top w:val="single" w:sz="4" w:space="0" w:color="000000"/>
              <w:left w:val="single" w:sz="4" w:space="0" w:color="000000"/>
              <w:bottom w:val="single" w:sz="4" w:space="0" w:color="000000"/>
            </w:tcBorders>
          </w:tcPr>
          <w:p>
            <w:pPr>
              <w:keepNext/>
              <w:snapToGrid w:val="0"/>
              <w:jc w:val="right"/>
              <w:rPr>
                <w:noProof/>
                <w:lang w:val="en-IE"/>
              </w:rPr>
            </w:pPr>
            <w:r>
              <w:rPr>
                <w:noProof/>
                <w:lang w:val="en-IE"/>
              </w:rPr>
              <w:t>73.41</w:t>
            </w:r>
          </w:p>
        </w:tc>
        <w:tc>
          <w:tcPr>
            <w:tcW w:w="1842" w:type="dxa"/>
            <w:tcBorders>
              <w:top w:val="single" w:sz="4" w:space="0" w:color="000000"/>
              <w:left w:val="single" w:sz="4" w:space="0" w:color="000000"/>
              <w:bottom w:val="single" w:sz="4" w:space="0" w:color="000000"/>
            </w:tcBorders>
          </w:tcPr>
          <w:p>
            <w:pPr>
              <w:keepNext/>
              <w:snapToGrid w:val="0"/>
              <w:jc w:val="right"/>
              <w:rPr>
                <w:noProof/>
                <w:lang w:val="en-IE"/>
              </w:rPr>
            </w:pPr>
            <w:r>
              <w:rPr>
                <w:noProof/>
                <w:lang w:val="en-IE"/>
              </w:rPr>
              <w:t>2.2%</w:t>
            </w:r>
          </w:p>
        </w:tc>
        <w:tc>
          <w:tcPr>
            <w:tcW w:w="1843" w:type="dxa"/>
            <w:tcBorders>
              <w:top w:val="single" w:sz="4" w:space="0" w:color="000000"/>
              <w:left w:val="single" w:sz="4" w:space="0" w:color="000000"/>
              <w:bottom w:val="single" w:sz="4" w:space="0" w:color="000000"/>
              <w:right w:val="single" w:sz="4" w:space="0" w:color="000000"/>
            </w:tcBorders>
          </w:tcPr>
          <w:p>
            <w:pPr>
              <w:keepNext/>
              <w:snapToGrid w:val="0"/>
              <w:jc w:val="right"/>
              <w:rPr>
                <w:noProof/>
                <w:lang w:val="en-IE"/>
              </w:rPr>
            </w:pPr>
            <w:r>
              <w:rPr>
                <w:noProof/>
                <w:lang w:val="en-IE"/>
              </w:rPr>
              <w:t>1.2%</w:t>
            </w:r>
          </w:p>
        </w:tc>
      </w:tr>
      <w:tr>
        <w:tc>
          <w:tcPr>
            <w:tcW w:w="1814" w:type="dxa"/>
            <w:tcBorders>
              <w:top w:val="single" w:sz="4" w:space="0" w:color="000000"/>
              <w:left w:val="single" w:sz="4" w:space="0" w:color="000000"/>
              <w:bottom w:val="single" w:sz="4" w:space="0" w:color="000000"/>
            </w:tcBorders>
            <w:vAlign w:val="center"/>
          </w:tcPr>
          <w:p>
            <w:pPr>
              <w:keepNext/>
              <w:snapToGrid w:val="0"/>
              <w:jc w:val="center"/>
              <w:rPr>
                <w:b/>
                <w:noProof/>
                <w:lang w:val="en-IE"/>
              </w:rPr>
            </w:pPr>
            <w:r>
              <w:rPr>
                <w:b/>
                <w:noProof/>
                <w:lang w:val="en-IE"/>
              </w:rPr>
              <w:t>8</w:t>
            </w:r>
          </w:p>
        </w:tc>
        <w:tc>
          <w:tcPr>
            <w:tcW w:w="1701" w:type="dxa"/>
            <w:tcBorders>
              <w:top w:val="single" w:sz="4" w:space="0" w:color="000000"/>
              <w:left w:val="single" w:sz="4" w:space="0" w:color="000000"/>
              <w:bottom w:val="single" w:sz="4" w:space="0" w:color="000000"/>
            </w:tcBorders>
          </w:tcPr>
          <w:p>
            <w:pPr>
              <w:keepNext/>
              <w:snapToGrid w:val="0"/>
              <w:rPr>
                <w:noProof/>
                <w:lang w:val="en-IE"/>
              </w:rPr>
            </w:pPr>
            <w:r>
              <w:rPr>
                <w:noProof/>
                <w:lang w:val="en-IE"/>
              </w:rPr>
              <w:t>Lebanon</w:t>
            </w:r>
          </w:p>
        </w:tc>
        <w:tc>
          <w:tcPr>
            <w:tcW w:w="1560" w:type="dxa"/>
            <w:tcBorders>
              <w:top w:val="single" w:sz="4" w:space="0" w:color="000000"/>
              <w:left w:val="single" w:sz="4" w:space="0" w:color="000000"/>
              <w:bottom w:val="single" w:sz="4" w:space="0" w:color="000000"/>
            </w:tcBorders>
          </w:tcPr>
          <w:p>
            <w:pPr>
              <w:keepNext/>
              <w:snapToGrid w:val="0"/>
              <w:jc w:val="right"/>
              <w:rPr>
                <w:noProof/>
                <w:lang w:val="en-IE"/>
              </w:rPr>
            </w:pPr>
            <w:r>
              <w:rPr>
                <w:noProof/>
                <w:lang w:val="en-IE"/>
              </w:rPr>
              <w:t>64.53</w:t>
            </w:r>
          </w:p>
        </w:tc>
        <w:tc>
          <w:tcPr>
            <w:tcW w:w="1842" w:type="dxa"/>
            <w:tcBorders>
              <w:top w:val="single" w:sz="4" w:space="0" w:color="000000"/>
              <w:left w:val="single" w:sz="4" w:space="0" w:color="000000"/>
              <w:bottom w:val="single" w:sz="4" w:space="0" w:color="000000"/>
            </w:tcBorders>
          </w:tcPr>
          <w:p>
            <w:pPr>
              <w:keepNext/>
              <w:snapToGrid w:val="0"/>
              <w:jc w:val="right"/>
              <w:rPr>
                <w:noProof/>
                <w:lang w:val="en-IE"/>
              </w:rPr>
            </w:pPr>
            <w:r>
              <w:rPr>
                <w:noProof/>
                <w:lang w:val="en-IE"/>
              </w:rPr>
              <w:t>1.9%</w:t>
            </w:r>
          </w:p>
        </w:tc>
        <w:tc>
          <w:tcPr>
            <w:tcW w:w="1843" w:type="dxa"/>
            <w:tcBorders>
              <w:top w:val="single" w:sz="4" w:space="0" w:color="000000"/>
              <w:left w:val="single" w:sz="4" w:space="0" w:color="000000"/>
              <w:bottom w:val="single" w:sz="4" w:space="0" w:color="000000"/>
              <w:right w:val="single" w:sz="4" w:space="0" w:color="000000"/>
            </w:tcBorders>
          </w:tcPr>
          <w:p>
            <w:pPr>
              <w:keepNext/>
              <w:snapToGrid w:val="0"/>
              <w:jc w:val="right"/>
              <w:rPr>
                <w:noProof/>
                <w:lang w:val="en-IE"/>
              </w:rPr>
            </w:pPr>
            <w:r>
              <w:rPr>
                <w:noProof/>
                <w:lang w:val="en-IE"/>
              </w:rPr>
              <w:t>1.0%</w:t>
            </w:r>
          </w:p>
        </w:tc>
      </w:tr>
      <w:tr>
        <w:tc>
          <w:tcPr>
            <w:tcW w:w="1814" w:type="dxa"/>
            <w:tcBorders>
              <w:top w:val="single" w:sz="4" w:space="0" w:color="000000"/>
              <w:left w:val="single" w:sz="4" w:space="0" w:color="000000"/>
              <w:bottom w:val="single" w:sz="4" w:space="0" w:color="000000"/>
            </w:tcBorders>
            <w:vAlign w:val="center"/>
          </w:tcPr>
          <w:p>
            <w:pPr>
              <w:keepNext/>
              <w:snapToGrid w:val="0"/>
              <w:jc w:val="center"/>
              <w:rPr>
                <w:b/>
                <w:noProof/>
                <w:lang w:val="en-IE"/>
              </w:rPr>
            </w:pPr>
            <w:r>
              <w:rPr>
                <w:b/>
                <w:noProof/>
                <w:lang w:val="en-IE"/>
              </w:rPr>
              <w:t>9</w:t>
            </w:r>
          </w:p>
        </w:tc>
        <w:tc>
          <w:tcPr>
            <w:tcW w:w="1701" w:type="dxa"/>
            <w:tcBorders>
              <w:top w:val="single" w:sz="4" w:space="0" w:color="000000"/>
              <w:left w:val="single" w:sz="4" w:space="0" w:color="000000"/>
              <w:bottom w:val="single" w:sz="4" w:space="0" w:color="000000"/>
            </w:tcBorders>
          </w:tcPr>
          <w:p>
            <w:pPr>
              <w:keepNext/>
              <w:snapToGrid w:val="0"/>
              <w:rPr>
                <w:noProof/>
                <w:lang w:val="en-IE"/>
              </w:rPr>
            </w:pPr>
            <w:r>
              <w:rPr>
                <w:noProof/>
                <w:lang w:val="en-IE"/>
              </w:rPr>
              <w:t>South Africa</w:t>
            </w:r>
          </w:p>
        </w:tc>
        <w:tc>
          <w:tcPr>
            <w:tcW w:w="1560" w:type="dxa"/>
            <w:tcBorders>
              <w:top w:val="single" w:sz="4" w:space="0" w:color="000000"/>
              <w:left w:val="single" w:sz="4" w:space="0" w:color="000000"/>
              <w:bottom w:val="single" w:sz="4" w:space="0" w:color="000000"/>
            </w:tcBorders>
          </w:tcPr>
          <w:p>
            <w:pPr>
              <w:keepNext/>
              <w:snapToGrid w:val="0"/>
              <w:jc w:val="right"/>
              <w:rPr>
                <w:noProof/>
                <w:lang w:val="en-IE"/>
              </w:rPr>
            </w:pPr>
            <w:r>
              <w:rPr>
                <w:noProof/>
                <w:lang w:val="en-IE"/>
              </w:rPr>
              <w:t>62.76</w:t>
            </w:r>
          </w:p>
        </w:tc>
        <w:tc>
          <w:tcPr>
            <w:tcW w:w="1842" w:type="dxa"/>
            <w:tcBorders>
              <w:top w:val="single" w:sz="4" w:space="0" w:color="000000"/>
              <w:left w:val="single" w:sz="4" w:space="0" w:color="000000"/>
              <w:bottom w:val="single" w:sz="4" w:space="0" w:color="000000"/>
            </w:tcBorders>
          </w:tcPr>
          <w:p>
            <w:pPr>
              <w:keepNext/>
              <w:snapToGrid w:val="0"/>
              <w:jc w:val="right"/>
              <w:rPr>
                <w:noProof/>
                <w:lang w:val="en-IE"/>
              </w:rPr>
            </w:pPr>
            <w:r>
              <w:rPr>
                <w:noProof/>
                <w:lang w:val="en-IE"/>
              </w:rPr>
              <w:t>1.9%</w:t>
            </w:r>
          </w:p>
        </w:tc>
        <w:tc>
          <w:tcPr>
            <w:tcW w:w="1843" w:type="dxa"/>
            <w:tcBorders>
              <w:top w:val="single" w:sz="4" w:space="0" w:color="000000"/>
              <w:left w:val="single" w:sz="4" w:space="0" w:color="000000"/>
              <w:bottom w:val="single" w:sz="4" w:space="0" w:color="000000"/>
              <w:right w:val="single" w:sz="4" w:space="0" w:color="000000"/>
            </w:tcBorders>
          </w:tcPr>
          <w:p>
            <w:pPr>
              <w:keepNext/>
              <w:snapToGrid w:val="0"/>
              <w:jc w:val="right"/>
              <w:rPr>
                <w:noProof/>
                <w:lang w:val="en-IE"/>
              </w:rPr>
            </w:pPr>
            <w:r>
              <w:rPr>
                <w:noProof/>
                <w:lang w:val="en-IE"/>
              </w:rPr>
              <w:t>1.0%</w:t>
            </w:r>
          </w:p>
        </w:tc>
      </w:tr>
      <w:tr>
        <w:tc>
          <w:tcPr>
            <w:tcW w:w="1814" w:type="dxa"/>
            <w:tcBorders>
              <w:top w:val="single" w:sz="4" w:space="0" w:color="000000"/>
              <w:left w:val="single" w:sz="4" w:space="0" w:color="000000"/>
              <w:bottom w:val="single" w:sz="4" w:space="0" w:color="000000"/>
            </w:tcBorders>
            <w:vAlign w:val="center"/>
          </w:tcPr>
          <w:p>
            <w:pPr>
              <w:keepNext/>
              <w:snapToGrid w:val="0"/>
              <w:jc w:val="center"/>
              <w:rPr>
                <w:b/>
                <w:noProof/>
                <w:lang w:val="en-IE"/>
              </w:rPr>
            </w:pPr>
            <w:r>
              <w:rPr>
                <w:b/>
                <w:noProof/>
                <w:lang w:val="en-IE"/>
              </w:rPr>
              <w:t>10</w:t>
            </w:r>
          </w:p>
        </w:tc>
        <w:tc>
          <w:tcPr>
            <w:tcW w:w="1701" w:type="dxa"/>
            <w:tcBorders>
              <w:top w:val="single" w:sz="4" w:space="0" w:color="000000"/>
              <w:left w:val="single" w:sz="4" w:space="0" w:color="000000"/>
              <w:bottom w:val="single" w:sz="4" w:space="0" w:color="000000"/>
            </w:tcBorders>
          </w:tcPr>
          <w:p>
            <w:pPr>
              <w:keepNext/>
              <w:snapToGrid w:val="0"/>
              <w:jc w:val="left"/>
              <w:rPr>
                <w:noProof/>
                <w:lang w:val="en-IE"/>
              </w:rPr>
            </w:pPr>
            <w:r>
              <w:rPr>
                <w:noProof/>
                <w:lang w:val="en-IE"/>
              </w:rPr>
              <w:t>Panama</w:t>
            </w:r>
          </w:p>
        </w:tc>
        <w:tc>
          <w:tcPr>
            <w:tcW w:w="1560" w:type="dxa"/>
            <w:tcBorders>
              <w:top w:val="single" w:sz="4" w:space="0" w:color="000000"/>
              <w:left w:val="single" w:sz="4" w:space="0" w:color="000000"/>
              <w:bottom w:val="single" w:sz="4" w:space="0" w:color="000000"/>
            </w:tcBorders>
          </w:tcPr>
          <w:p>
            <w:pPr>
              <w:keepNext/>
              <w:snapToGrid w:val="0"/>
              <w:jc w:val="right"/>
              <w:rPr>
                <w:noProof/>
                <w:lang w:val="en-IE"/>
              </w:rPr>
            </w:pPr>
            <w:r>
              <w:rPr>
                <w:noProof/>
                <w:lang w:val="en-IE"/>
              </w:rPr>
              <w:t>58.94</w:t>
            </w:r>
          </w:p>
        </w:tc>
        <w:tc>
          <w:tcPr>
            <w:tcW w:w="1842" w:type="dxa"/>
            <w:tcBorders>
              <w:top w:val="single" w:sz="4" w:space="0" w:color="000000"/>
              <w:left w:val="single" w:sz="4" w:space="0" w:color="000000"/>
              <w:bottom w:val="single" w:sz="4" w:space="0" w:color="000000"/>
            </w:tcBorders>
          </w:tcPr>
          <w:p>
            <w:pPr>
              <w:keepNext/>
              <w:snapToGrid w:val="0"/>
              <w:jc w:val="right"/>
              <w:rPr>
                <w:noProof/>
                <w:lang w:val="en-IE"/>
              </w:rPr>
            </w:pPr>
            <w:r>
              <w:rPr>
                <w:noProof/>
                <w:lang w:val="en-IE"/>
              </w:rPr>
              <w:t>1.7%</w:t>
            </w:r>
          </w:p>
        </w:tc>
        <w:tc>
          <w:tcPr>
            <w:tcW w:w="1843" w:type="dxa"/>
            <w:tcBorders>
              <w:top w:val="single" w:sz="4" w:space="0" w:color="000000"/>
              <w:left w:val="single" w:sz="4" w:space="0" w:color="000000"/>
              <w:bottom w:val="single" w:sz="4" w:space="0" w:color="000000"/>
              <w:right w:val="single" w:sz="4" w:space="0" w:color="000000"/>
            </w:tcBorders>
          </w:tcPr>
          <w:p>
            <w:pPr>
              <w:keepNext/>
              <w:snapToGrid w:val="0"/>
              <w:jc w:val="right"/>
              <w:rPr>
                <w:noProof/>
                <w:lang w:val="en-IE"/>
              </w:rPr>
            </w:pPr>
            <w:r>
              <w:rPr>
                <w:noProof/>
                <w:lang w:val="en-IE"/>
              </w:rPr>
              <w:t>0.9%</w:t>
            </w:r>
          </w:p>
        </w:tc>
      </w:tr>
      <w:tr>
        <w:tc>
          <w:tcPr>
            <w:tcW w:w="1814" w:type="dxa"/>
            <w:tcBorders>
              <w:top w:val="single" w:sz="4" w:space="0" w:color="000000"/>
              <w:left w:val="single" w:sz="4" w:space="0" w:color="000000"/>
              <w:bottom w:val="single" w:sz="4" w:space="0" w:color="000000"/>
            </w:tcBorders>
          </w:tcPr>
          <w:p>
            <w:pPr>
              <w:keepNext/>
              <w:snapToGrid w:val="0"/>
              <w:rPr>
                <w:b/>
                <w:noProof/>
                <w:lang w:val="en-IE"/>
              </w:rPr>
            </w:pPr>
            <w:r>
              <w:rPr>
                <w:b/>
                <w:noProof/>
                <w:lang w:val="en-IE"/>
              </w:rPr>
              <w:t>Total (top 10)</w:t>
            </w:r>
          </w:p>
        </w:tc>
        <w:tc>
          <w:tcPr>
            <w:tcW w:w="1701" w:type="dxa"/>
            <w:tcBorders>
              <w:top w:val="single" w:sz="4" w:space="0" w:color="000000"/>
              <w:left w:val="single" w:sz="4" w:space="0" w:color="000000"/>
              <w:bottom w:val="single" w:sz="4" w:space="0" w:color="000000"/>
            </w:tcBorders>
          </w:tcPr>
          <w:p>
            <w:pPr>
              <w:keepNext/>
              <w:snapToGrid w:val="0"/>
              <w:rPr>
                <w:noProof/>
                <w:lang w:val="en-IE"/>
              </w:rPr>
            </w:pPr>
          </w:p>
        </w:tc>
        <w:tc>
          <w:tcPr>
            <w:tcW w:w="1560" w:type="dxa"/>
            <w:tcBorders>
              <w:top w:val="single" w:sz="4" w:space="0" w:color="000000"/>
              <w:left w:val="single" w:sz="4" w:space="0" w:color="000000"/>
              <w:bottom w:val="single" w:sz="4" w:space="0" w:color="000000"/>
            </w:tcBorders>
          </w:tcPr>
          <w:p>
            <w:pPr>
              <w:keepNext/>
              <w:snapToGrid w:val="0"/>
              <w:jc w:val="right"/>
              <w:rPr>
                <w:noProof/>
                <w:lang w:val="en-IE"/>
              </w:rPr>
            </w:pPr>
            <w:r>
              <w:rPr>
                <w:noProof/>
                <w:lang w:val="en-IE"/>
              </w:rPr>
              <w:t>2,864.50</w:t>
            </w:r>
          </w:p>
        </w:tc>
        <w:tc>
          <w:tcPr>
            <w:tcW w:w="1842" w:type="dxa"/>
            <w:tcBorders>
              <w:top w:val="single" w:sz="4" w:space="0" w:color="000000"/>
              <w:left w:val="single" w:sz="4" w:space="0" w:color="000000"/>
              <w:bottom w:val="single" w:sz="4" w:space="0" w:color="000000"/>
            </w:tcBorders>
          </w:tcPr>
          <w:p>
            <w:pPr>
              <w:keepNext/>
              <w:snapToGrid w:val="0"/>
              <w:jc w:val="right"/>
              <w:rPr>
                <w:noProof/>
                <w:lang w:val="en-IE"/>
              </w:rPr>
            </w:pPr>
            <w:r>
              <w:rPr>
                <w:noProof/>
                <w:lang w:val="en-IE"/>
              </w:rPr>
              <w:t>84.7%</w:t>
            </w:r>
          </w:p>
        </w:tc>
        <w:tc>
          <w:tcPr>
            <w:tcW w:w="1843" w:type="dxa"/>
            <w:tcBorders>
              <w:top w:val="single" w:sz="4" w:space="0" w:color="000000"/>
              <w:left w:val="single" w:sz="4" w:space="0" w:color="000000"/>
              <w:bottom w:val="single" w:sz="4" w:space="0" w:color="000000"/>
              <w:right w:val="single" w:sz="4" w:space="0" w:color="000000"/>
            </w:tcBorders>
          </w:tcPr>
          <w:p>
            <w:pPr>
              <w:keepNext/>
              <w:snapToGrid w:val="0"/>
              <w:jc w:val="right"/>
              <w:rPr>
                <w:noProof/>
                <w:lang w:val="en-IE"/>
              </w:rPr>
            </w:pPr>
            <w:r>
              <w:rPr>
                <w:noProof/>
                <w:lang w:val="en-IE"/>
              </w:rPr>
              <w:t>45.2%</w:t>
            </w:r>
          </w:p>
        </w:tc>
      </w:tr>
    </w:tbl>
    <w:p>
      <w:pPr>
        <w:pStyle w:val="ManualHeading1"/>
        <w:ind w:left="567" w:hanging="567"/>
        <w:rPr>
          <w:noProof/>
          <w:lang w:val="en-IE"/>
        </w:rPr>
      </w:pPr>
      <w:bookmarkStart w:id="282" w:name="_Toc417461977"/>
      <w:bookmarkStart w:id="283" w:name="_Toc417998611"/>
      <w:bookmarkStart w:id="284" w:name="_Toc418157638"/>
      <w:bookmarkStart w:id="285" w:name="_Toc418160319"/>
      <w:bookmarkStart w:id="286" w:name="_Toc446577186"/>
      <w:bookmarkStart w:id="287" w:name="_Toc452646732"/>
      <w:bookmarkStart w:id="288" w:name="_Toc453161371"/>
      <w:bookmarkStart w:id="289" w:name="_Toc486601274"/>
      <w:bookmarkStart w:id="290" w:name="_Toc18597239"/>
      <w:r>
        <w:rPr>
          <w:noProof/>
          <w:lang w:val="en-IE"/>
        </w:rPr>
        <w:t>5.</w:t>
      </w:r>
      <w:r>
        <w:rPr>
          <w:noProof/>
          <w:lang w:val="en-IE"/>
        </w:rPr>
        <w:tab/>
      </w:r>
      <w:bookmarkStart w:id="291" w:name="_Toc342470163"/>
      <w:bookmarkStart w:id="292" w:name="_Toc390944400"/>
      <w:bookmarkStart w:id="293" w:name="_Toc393969971"/>
      <w:bookmarkEnd w:id="291"/>
      <w:r>
        <w:rPr>
          <w:noProof/>
          <w:lang w:val="en-IE"/>
        </w:rPr>
        <w:t>Activation and payment of guarantees</w:t>
      </w:r>
      <w:bookmarkEnd w:id="282"/>
      <w:bookmarkEnd w:id="283"/>
      <w:bookmarkEnd w:id="284"/>
      <w:bookmarkEnd w:id="285"/>
      <w:bookmarkEnd w:id="286"/>
      <w:bookmarkEnd w:id="287"/>
      <w:bookmarkEnd w:id="288"/>
      <w:bookmarkEnd w:id="289"/>
      <w:bookmarkEnd w:id="290"/>
      <w:bookmarkEnd w:id="292"/>
      <w:bookmarkEnd w:id="293"/>
    </w:p>
    <w:p>
      <w:pPr>
        <w:pStyle w:val="ManualHeading2"/>
        <w:tabs>
          <w:tab w:val="clear" w:pos="850"/>
        </w:tabs>
        <w:ind w:left="567" w:hanging="566"/>
        <w:rPr>
          <w:noProof/>
          <w:lang w:val="en-IE"/>
        </w:rPr>
      </w:pPr>
      <w:bookmarkStart w:id="294" w:name="_Toc18597240"/>
      <w:bookmarkStart w:id="295" w:name="_Toc390944401"/>
      <w:bookmarkStart w:id="296" w:name="_Toc393969972"/>
      <w:bookmarkStart w:id="297" w:name="_Toc417461978"/>
      <w:bookmarkStart w:id="298" w:name="_Toc417998612"/>
      <w:bookmarkStart w:id="299" w:name="_Toc418157639"/>
      <w:bookmarkStart w:id="300" w:name="_Toc418160320"/>
      <w:bookmarkStart w:id="301" w:name="_Toc446577187"/>
      <w:bookmarkStart w:id="302" w:name="_Toc452646733"/>
      <w:bookmarkStart w:id="303" w:name="_Toc453161372"/>
      <w:bookmarkStart w:id="304" w:name="_Toc486601275"/>
      <w:bookmarkStart w:id="305" w:name="_Toc309831370"/>
      <w:bookmarkStart w:id="306" w:name="_Toc329261070"/>
      <w:bookmarkStart w:id="307" w:name="_Toc329855632"/>
      <w:bookmarkStart w:id="308" w:name="_Toc330551237"/>
      <w:bookmarkStart w:id="309" w:name="_Toc342470165"/>
      <w:bookmarkStart w:id="310" w:name="_Toc345073710"/>
      <w:bookmarkStart w:id="311" w:name="_Toc365986227"/>
      <w:bookmarkStart w:id="312" w:name="_Toc367869480"/>
      <w:bookmarkStart w:id="313" w:name="_Toc367870007"/>
      <w:bookmarkStart w:id="314" w:name="_Toc388973025"/>
      <w:bookmarkStart w:id="315" w:name="_Toc389474758"/>
      <w:r>
        <w:rPr>
          <w:noProof/>
          <w:lang w:val="en-IE"/>
        </w:rPr>
        <w:t>5.1</w:t>
      </w:r>
      <w:r>
        <w:rPr>
          <w:noProof/>
          <w:lang w:val="en-IE"/>
        </w:rPr>
        <w:tab/>
        <w:t>Debt service not covered by the Guarantee Fund for External Action (Euratom loans to Member States, EFSM and BoP)</w:t>
      </w:r>
      <w:bookmarkEnd w:id="294"/>
    </w:p>
    <w:p>
      <w:pPr>
        <w:rPr>
          <w:noProof/>
          <w:lang w:val="en-IE"/>
        </w:rPr>
      </w:pPr>
      <w:r>
        <w:rPr>
          <w:noProof/>
          <w:lang w:val="en-IE"/>
        </w:rPr>
        <w:t xml:space="preserve">Article 323 TFEU states that “the financial means are made available to allow the Union to fulfil its legal obligations in respect of third parties”. Accordingly, the EU legislative framework and the procedures in place ensure that Member States make mandatorily available to the EU budget the financial means necessary for the Union to always fulfil its legal obligations. </w:t>
      </w:r>
    </w:p>
    <w:p>
      <w:pPr>
        <w:rPr>
          <w:noProof/>
          <w:lang w:val="en-IE"/>
        </w:rPr>
      </w:pPr>
      <w:r>
        <w:rPr>
          <w:noProof/>
          <w:lang w:val="en-IE"/>
        </w:rPr>
        <w:t>Thus the EU has in place multiple layers of very robust safety mechanisms to ensure that it will always reimburse its own lenders timely and in full. Each one of the main safety mechanism would per se be enough to ensure reimbursements are made.</w:t>
      </w:r>
    </w:p>
    <w:p>
      <w:pPr>
        <w:pStyle w:val="ManualHeading3"/>
        <w:rPr>
          <w:noProof/>
          <w:lang w:val="en-IE"/>
        </w:rPr>
      </w:pPr>
      <w:bookmarkStart w:id="316" w:name="_Toc390944402"/>
      <w:bookmarkStart w:id="317" w:name="_Toc393969973"/>
      <w:bookmarkStart w:id="318" w:name="_Toc417461979"/>
      <w:bookmarkStart w:id="319" w:name="_Toc417998613"/>
      <w:bookmarkStart w:id="320" w:name="_Toc418157640"/>
      <w:bookmarkStart w:id="321" w:name="_Toc418160321"/>
      <w:bookmarkStart w:id="322" w:name="_Toc446577188"/>
      <w:bookmarkStart w:id="323" w:name="_Toc452646734"/>
      <w:bookmarkStart w:id="324" w:name="_Toc453161373"/>
      <w:bookmarkStart w:id="325" w:name="_Toc486601276"/>
      <w:bookmarkStart w:id="326" w:name="_Toc18597241"/>
      <w:bookmarkEnd w:id="295"/>
      <w:bookmarkEnd w:id="296"/>
      <w:bookmarkEnd w:id="297"/>
      <w:bookmarkEnd w:id="298"/>
      <w:bookmarkEnd w:id="299"/>
      <w:bookmarkEnd w:id="300"/>
      <w:bookmarkEnd w:id="301"/>
      <w:bookmarkEnd w:id="302"/>
      <w:bookmarkEnd w:id="303"/>
      <w:bookmarkEnd w:id="304"/>
      <w:r>
        <w:rPr>
          <w:noProof/>
          <w:lang w:val="en-IE"/>
        </w:rPr>
        <w:t>5.1.1</w:t>
      </w:r>
      <w:r>
        <w:rPr>
          <w:noProof/>
          <w:lang w:val="en-IE"/>
        </w:rPr>
        <w:tab/>
        <w:t>Payments from cash resources</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p>
      <w:pPr>
        <w:rPr>
          <w:noProof/>
          <w:lang w:val="en-IE"/>
        </w:rPr>
      </w:pPr>
      <w:r>
        <w:rPr>
          <w:noProof/>
          <w:lang w:val="en-IE"/>
        </w:rPr>
        <w:t>The EU budget provisionally covers the debt service at due dates in case a debtor fails to repay its loan to the EU on time. The Commission draws on its cash resources in order to avoid delays and any resulting costs</w:t>
      </w:r>
      <w:r>
        <w:rPr>
          <w:i/>
          <w:noProof/>
          <w:lang w:val="en-IE"/>
        </w:rPr>
        <w:t xml:space="preserve"> </w:t>
      </w:r>
      <w:r>
        <w:rPr>
          <w:noProof/>
          <w:lang w:val="en-IE"/>
        </w:rPr>
        <w:t>in servicing its borrowing operations</w:t>
      </w:r>
      <w:r>
        <w:rPr>
          <w:rStyle w:val="Funotenzeichen"/>
          <w:noProof/>
          <w:lang w:val="en-IE"/>
        </w:rPr>
        <w:footnoteReference w:id="35"/>
      </w:r>
      <w:r>
        <w:rPr>
          <w:noProof/>
          <w:lang w:val="en-IE"/>
        </w:rPr>
        <w:t xml:space="preserve">. </w:t>
      </w:r>
    </w:p>
    <w:p>
      <w:pPr>
        <w:rPr>
          <w:noProof/>
          <w:lang w:val="en-IE"/>
        </w:rPr>
      </w:pPr>
      <w:r>
        <w:rPr>
          <w:noProof/>
          <w:lang w:val="en-IE"/>
        </w:rPr>
        <w:t>Being mindful of most expenditures taking place during the first quarter of each year, debt redemption is structured for the months thereafter as well as for the beginning of each month when cash balances are highest.</w:t>
      </w:r>
    </w:p>
    <w:p>
      <w:pPr>
        <w:pStyle w:val="ManualHeading3"/>
        <w:rPr>
          <w:noProof/>
          <w:lang w:val="en-IE"/>
        </w:rPr>
      </w:pPr>
      <w:bookmarkStart w:id="327" w:name="_Toc309831371"/>
      <w:bookmarkStart w:id="328" w:name="_Toc329261071"/>
      <w:bookmarkStart w:id="329" w:name="_Toc329855633"/>
      <w:bookmarkStart w:id="330" w:name="_Toc330551238"/>
      <w:bookmarkStart w:id="331" w:name="_Toc342470166"/>
      <w:bookmarkStart w:id="332" w:name="_Toc345073711"/>
      <w:bookmarkStart w:id="333" w:name="_Toc365986228"/>
      <w:bookmarkStart w:id="334" w:name="_Toc367869481"/>
      <w:bookmarkStart w:id="335" w:name="_Toc367870008"/>
      <w:bookmarkStart w:id="336" w:name="_Toc388973026"/>
      <w:bookmarkStart w:id="337" w:name="_Toc389474759"/>
      <w:bookmarkStart w:id="338" w:name="_Toc390944403"/>
      <w:bookmarkStart w:id="339" w:name="_Toc393969974"/>
      <w:bookmarkStart w:id="340" w:name="_Toc417461980"/>
      <w:bookmarkStart w:id="341" w:name="_Toc417998614"/>
      <w:bookmarkStart w:id="342" w:name="_Toc418157641"/>
      <w:bookmarkStart w:id="343" w:name="_Toc418160322"/>
      <w:bookmarkStart w:id="344" w:name="_Toc446577189"/>
      <w:bookmarkStart w:id="345" w:name="_Toc452646735"/>
      <w:bookmarkStart w:id="346" w:name="_Toc453161374"/>
      <w:bookmarkStart w:id="347" w:name="_Toc486601277"/>
      <w:bookmarkStart w:id="348" w:name="_Toc18597242"/>
      <w:r>
        <w:rPr>
          <w:noProof/>
          <w:lang w:val="en-IE"/>
        </w:rPr>
        <w:t>5.1.2</w:t>
      </w:r>
      <w:r>
        <w:rPr>
          <w:noProof/>
          <w:lang w:val="en-IE"/>
        </w:rPr>
        <w:tab/>
        <w:t xml:space="preserve">Payments from the </w:t>
      </w:r>
      <w:bookmarkEnd w:id="327"/>
      <w:bookmarkEnd w:id="328"/>
      <w:bookmarkEnd w:id="329"/>
      <w:bookmarkEnd w:id="330"/>
      <w:bookmarkEnd w:id="331"/>
      <w:bookmarkEnd w:id="332"/>
      <w:bookmarkEnd w:id="333"/>
      <w:bookmarkEnd w:id="334"/>
      <w:bookmarkEnd w:id="335"/>
      <w:bookmarkEnd w:id="336"/>
      <w:bookmarkEnd w:id="337"/>
      <w:r>
        <w:rPr>
          <w:noProof/>
          <w:lang w:val="en-IE"/>
        </w:rPr>
        <w:t>EU budget</w:t>
      </w:r>
      <w:bookmarkEnd w:id="338"/>
      <w:bookmarkEnd w:id="339"/>
      <w:bookmarkEnd w:id="340"/>
      <w:bookmarkEnd w:id="341"/>
      <w:bookmarkEnd w:id="342"/>
      <w:bookmarkEnd w:id="343"/>
      <w:bookmarkEnd w:id="344"/>
      <w:bookmarkEnd w:id="345"/>
      <w:bookmarkEnd w:id="346"/>
      <w:bookmarkEnd w:id="347"/>
      <w:bookmarkEnd w:id="348"/>
      <w:r>
        <w:rPr>
          <w:noProof/>
          <w:lang w:val="en-IE"/>
        </w:rPr>
        <w:t xml:space="preserve"> </w:t>
      </w:r>
    </w:p>
    <w:p>
      <w:pPr>
        <w:rPr>
          <w:noProof/>
          <w:lang w:val="en-IE"/>
        </w:rPr>
      </w:pPr>
      <w:r>
        <w:rPr>
          <w:noProof/>
          <w:lang w:val="en-IE"/>
        </w:rPr>
        <w:t>In the event of default by a Member States</w:t>
      </w:r>
      <w:r>
        <w:rPr>
          <w:rStyle w:val="Funotenzeichen"/>
          <w:noProof/>
          <w:lang w:val="en-IE"/>
        </w:rPr>
        <w:footnoteReference w:id="36"/>
      </w:r>
      <w:r>
        <w:rPr>
          <w:noProof/>
          <w:lang w:val="en-IE"/>
        </w:rPr>
        <w:t xml:space="preserve"> and if the EU’s own resources are insufficient, the Commission can use available EU budget resources and prioritise debt repayment over other non-obligatory expenditures. According to Article 14(4) of Council Regulation No 609/2014, if this proves to be insufficient, EU legislation obliges Member States to provide additional contributions necessary to repay the debt and to balance the budget, up to a ceiling of 1.20% of EU GNI. If needed, EU legislation allows Member States to contribute independently of their share to the EU budget.</w:t>
      </w:r>
    </w:p>
    <w:p>
      <w:pPr>
        <w:rPr>
          <w:noProof/>
          <w:lang w:val="en-IE"/>
        </w:rPr>
      </w:pPr>
      <w:r>
        <w:rPr>
          <w:noProof/>
          <w:lang w:val="en-IE"/>
        </w:rPr>
        <w:t>As no default from Member States occurred during the year 2018, no appropriation was requested.</w:t>
      </w:r>
    </w:p>
    <w:p>
      <w:pPr>
        <w:pStyle w:val="ManualHeading3"/>
        <w:tabs>
          <w:tab w:val="clear" w:pos="850"/>
        </w:tabs>
        <w:ind w:left="567" w:hanging="567"/>
        <w:rPr>
          <w:b/>
          <w:i w:val="0"/>
          <w:noProof/>
          <w:lang w:val="en-IE"/>
        </w:rPr>
      </w:pPr>
      <w:bookmarkStart w:id="349" w:name="_Toc309831372"/>
      <w:bookmarkStart w:id="350" w:name="_Toc329261072"/>
      <w:bookmarkStart w:id="351" w:name="_Toc329855634"/>
      <w:bookmarkStart w:id="352" w:name="_Toc330551239"/>
      <w:bookmarkStart w:id="353" w:name="_Toc342470167"/>
      <w:bookmarkStart w:id="354" w:name="_Toc345073712"/>
      <w:bookmarkStart w:id="355" w:name="_Toc365986229"/>
      <w:bookmarkStart w:id="356" w:name="_Toc367869482"/>
      <w:bookmarkStart w:id="357" w:name="_Toc367870009"/>
      <w:bookmarkStart w:id="358" w:name="_Toc388973027"/>
      <w:bookmarkStart w:id="359" w:name="_Toc389474760"/>
      <w:bookmarkStart w:id="360" w:name="_Toc390944404"/>
      <w:bookmarkStart w:id="361" w:name="_Toc393969975"/>
      <w:bookmarkStart w:id="362" w:name="_Toc417461981"/>
      <w:bookmarkStart w:id="363" w:name="_Toc417998615"/>
      <w:bookmarkStart w:id="364" w:name="_Toc418157642"/>
      <w:bookmarkStart w:id="365" w:name="_Toc418160323"/>
      <w:bookmarkStart w:id="366" w:name="_Toc446577190"/>
      <w:bookmarkStart w:id="367" w:name="_Toc452646736"/>
      <w:bookmarkStart w:id="368" w:name="_Toc453161375"/>
      <w:bookmarkStart w:id="369" w:name="_Toc486601278"/>
      <w:bookmarkStart w:id="370" w:name="_Toc522525029"/>
      <w:bookmarkStart w:id="371" w:name="_Toc18597243"/>
      <w:r>
        <w:rPr>
          <w:b/>
          <w:i w:val="0"/>
          <w:noProof/>
          <w:lang w:val="en-IE"/>
        </w:rPr>
        <w:t>5.2</w:t>
      </w:r>
      <w:r>
        <w:rPr>
          <w:b/>
          <w:i w:val="0"/>
          <w:noProof/>
          <w:lang w:val="en-IE"/>
        </w:rPr>
        <w:tab/>
        <w:t xml:space="preserve">Calls on the Guarantee Fund </w:t>
      </w:r>
      <w:bookmarkEnd w:id="349"/>
      <w:bookmarkEnd w:id="350"/>
      <w:bookmarkEnd w:id="351"/>
      <w:bookmarkEnd w:id="352"/>
      <w:bookmarkEnd w:id="353"/>
      <w:bookmarkEnd w:id="354"/>
      <w:bookmarkEnd w:id="355"/>
      <w:bookmarkEnd w:id="356"/>
      <w:bookmarkEnd w:id="357"/>
      <w:bookmarkEnd w:id="358"/>
      <w:bookmarkEnd w:id="359"/>
      <w:r>
        <w:rPr>
          <w:b/>
          <w:i w:val="0"/>
          <w:noProof/>
          <w:lang w:val="en-IE"/>
        </w:rPr>
        <w:t>for External Actions and recoveries</w:t>
      </w:r>
      <w:bookmarkEnd w:id="360"/>
      <w:bookmarkEnd w:id="361"/>
      <w:bookmarkEnd w:id="362"/>
      <w:bookmarkEnd w:id="363"/>
      <w:bookmarkEnd w:id="364"/>
      <w:bookmarkEnd w:id="365"/>
      <w:bookmarkEnd w:id="366"/>
      <w:bookmarkEnd w:id="367"/>
      <w:bookmarkEnd w:id="368"/>
      <w:bookmarkEnd w:id="369"/>
      <w:r>
        <w:rPr>
          <w:b/>
          <w:i w:val="0"/>
          <w:noProof/>
          <w:lang w:val="en-IE"/>
        </w:rPr>
        <w:t xml:space="preserve"> (ELM, MFA and Euratom loans to Third countries)</w:t>
      </w:r>
      <w:bookmarkEnd w:id="370"/>
      <w:bookmarkEnd w:id="371"/>
    </w:p>
    <w:p>
      <w:pPr>
        <w:rPr>
          <w:noProof/>
          <w:lang w:val="en-IE"/>
        </w:rPr>
      </w:pPr>
      <w:r>
        <w:rPr>
          <w:noProof/>
          <w:lang w:val="en-IE"/>
        </w:rPr>
        <w:t>In the event of late payment by the beneficiary of a loan to third countries granted or guaranteed by the EU, the Guarantee Fund is called on to cover the default within three months of the request.</w:t>
      </w:r>
    </w:p>
    <w:p>
      <w:pPr>
        <w:rPr>
          <w:noProof/>
          <w:lang w:val="en-IE"/>
        </w:rPr>
      </w:pPr>
      <w:r>
        <w:rPr>
          <w:noProof/>
          <w:lang w:val="en-IE"/>
        </w:rPr>
        <w:t>For ELM loans, the amounts called by the EIB are withdrawn from the Guarantee Fund account after authorization by the Commission services. When the EU makes a payment under the EU Guarantee, it is subrogated into the rights and remedies of the EIB</w:t>
      </w:r>
      <w:r>
        <w:rPr>
          <w:rStyle w:val="Funotenzeichen"/>
          <w:noProof/>
          <w:lang w:val="en-IE"/>
        </w:rPr>
        <w:t xml:space="preserve"> </w:t>
      </w:r>
      <w:r>
        <w:rPr>
          <w:rStyle w:val="Funotenzeichen"/>
          <w:noProof/>
          <w:lang w:val="en-IE"/>
        </w:rPr>
        <w:footnoteReference w:id="37"/>
      </w:r>
      <w:r>
        <w:rPr>
          <w:noProof/>
          <w:lang w:val="en-IE"/>
        </w:rPr>
        <w:t>. For Euratom and MFA loans, if the payment delay reaches three months after the due date, the Commission draws on the Fund to cover the default</w:t>
      </w:r>
      <w:r>
        <w:rPr>
          <w:rStyle w:val="FootnoteReference"/>
          <w:noProof/>
          <w:lang w:val="en-IE"/>
        </w:rPr>
        <w:footnoteReference w:id="38"/>
      </w:r>
      <w:r>
        <w:rPr>
          <w:noProof/>
          <w:lang w:val="en-IE"/>
        </w:rPr>
        <w:t xml:space="preserve"> and to replenish its treasury.</w:t>
      </w:r>
    </w:p>
    <w:p>
      <w:pPr>
        <w:rPr>
          <w:noProof/>
          <w:lang w:val="en-IE"/>
        </w:rPr>
      </w:pPr>
    </w:p>
    <w:p>
      <w:pPr>
        <w:rPr>
          <w:i/>
          <w:noProof/>
          <w:u w:val="single"/>
          <w:lang w:val="en-IE"/>
        </w:rPr>
      </w:pPr>
      <w:r>
        <w:rPr>
          <w:noProof/>
          <w:lang w:val="en-IE"/>
        </w:rPr>
        <w:t>In the context of the ELM, recovery proceedings are undertaken by the EIB on behalf of the EU in respect of the subrogated sums</w:t>
      </w:r>
      <w:r>
        <w:rPr>
          <w:rStyle w:val="Funotenzeichen"/>
          <w:noProof/>
          <w:lang w:val="en-IE"/>
        </w:rPr>
        <w:footnoteReference w:id="39"/>
      </w:r>
      <w:r>
        <w:rPr>
          <w:noProof/>
          <w:lang w:val="en-IE"/>
        </w:rPr>
        <w:t>.</w:t>
      </w:r>
    </w:p>
    <w:p>
      <w:pPr>
        <w:spacing w:before="100" w:beforeAutospacing="1"/>
        <w:rPr>
          <w:i/>
          <w:noProof/>
          <w:u w:val="single"/>
          <w:lang w:val="en-IE"/>
        </w:rPr>
      </w:pPr>
      <w:r>
        <w:rPr>
          <w:i/>
          <w:noProof/>
          <w:u w:val="single"/>
          <w:lang w:val="en-IE"/>
        </w:rPr>
        <w:t>EIB loans to projects in Syria</w:t>
      </w:r>
    </w:p>
    <w:p>
      <w:pPr>
        <w:spacing w:before="0"/>
        <w:rPr>
          <w:noProof/>
          <w:szCs w:val="20"/>
          <w:lang w:val="en-IE"/>
        </w:rPr>
      </w:pPr>
      <w:r>
        <w:rPr>
          <w:noProof/>
          <w:lang w:val="en-IE"/>
        </w:rPr>
        <w:t>Starting from December 2011, the EIB has experienced defaults on certain interest payments and loan repayments from the Syrian Government. Since official payment requests have remained unsuccessful, the EIB started to call on the Guarantee Fund in May 2012. The evolution of the calls corresponding to defaulting loans in Syria is presented in Table 4a.</w:t>
      </w:r>
    </w:p>
    <w:p>
      <w:pPr>
        <w:spacing w:before="0" w:after="0"/>
        <w:rPr>
          <w:noProof/>
          <w:sz w:val="18"/>
          <w:lang w:val="en-IE"/>
        </w:rPr>
      </w:pPr>
      <w:r>
        <w:rPr>
          <w:noProof/>
          <w:sz w:val="18"/>
          <w:lang w:val="en-IE"/>
        </w:rPr>
        <w:t xml:space="preserve">Table 4a: Calls on the Guarantee </w:t>
      </w:r>
      <w:r>
        <w:rPr>
          <w:noProof/>
          <w:sz w:val="18"/>
          <w:szCs w:val="18"/>
          <w:lang w:val="en-IE"/>
        </w:rPr>
        <w:t>Fund due to defaulting</w:t>
      </w:r>
      <w:r>
        <w:rPr>
          <w:noProof/>
          <w:sz w:val="18"/>
          <w:lang w:val="en-IE"/>
        </w:rPr>
        <w:t xml:space="preserve"> loans in Syria (in EUR million)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1430"/>
        <w:gridCol w:w="1426"/>
        <w:gridCol w:w="1431"/>
        <w:gridCol w:w="1366"/>
        <w:gridCol w:w="1481"/>
      </w:tblGrid>
      <w:tr>
        <w:trPr>
          <w:trHeight w:val="1231"/>
        </w:trPr>
        <w:tc>
          <w:tcPr>
            <w:tcW w:w="1416" w:type="dxa"/>
            <w:shd w:val="clear" w:color="auto" w:fill="auto"/>
          </w:tcPr>
          <w:p>
            <w:pPr>
              <w:spacing w:after="240"/>
              <w:jc w:val="center"/>
              <w:rPr>
                <w:noProof/>
                <w:sz w:val="22"/>
                <w:lang w:val="en-IE"/>
              </w:rPr>
            </w:pPr>
            <w:r>
              <w:rPr>
                <w:noProof/>
                <w:sz w:val="22"/>
                <w:lang w:val="en-IE"/>
              </w:rPr>
              <w:t>Year</w:t>
            </w:r>
            <w:r>
              <w:rPr>
                <w:noProof/>
                <w:lang w:val="en-IE"/>
              </w:rPr>
              <w:t xml:space="preserve"> </w:t>
            </w:r>
            <w:r>
              <w:rPr>
                <w:noProof/>
                <w:sz w:val="22"/>
                <w:lang w:val="en-IE"/>
              </w:rPr>
              <w:t>(Withdrawal from GF account on)</w:t>
            </w:r>
          </w:p>
        </w:tc>
        <w:tc>
          <w:tcPr>
            <w:tcW w:w="1430" w:type="dxa"/>
            <w:shd w:val="clear" w:color="auto" w:fill="auto"/>
          </w:tcPr>
          <w:p>
            <w:pPr>
              <w:spacing w:after="240"/>
              <w:jc w:val="center"/>
              <w:rPr>
                <w:noProof/>
                <w:sz w:val="22"/>
                <w:lang w:val="en-IE"/>
              </w:rPr>
            </w:pPr>
            <w:r>
              <w:rPr>
                <w:noProof/>
                <w:sz w:val="22"/>
                <w:lang w:val="en-IE"/>
              </w:rPr>
              <w:t>Number of calls paid</w:t>
            </w:r>
          </w:p>
        </w:tc>
        <w:tc>
          <w:tcPr>
            <w:tcW w:w="1426" w:type="dxa"/>
            <w:shd w:val="clear" w:color="auto" w:fill="auto"/>
          </w:tcPr>
          <w:p>
            <w:pPr>
              <w:spacing w:after="240"/>
              <w:jc w:val="center"/>
              <w:rPr>
                <w:noProof/>
                <w:sz w:val="22"/>
                <w:lang w:val="en-IE"/>
              </w:rPr>
            </w:pPr>
            <w:r>
              <w:rPr>
                <w:noProof/>
                <w:sz w:val="22"/>
                <w:lang w:val="en-IE"/>
              </w:rPr>
              <w:t>Amount of due instalments</w:t>
            </w:r>
          </w:p>
        </w:tc>
        <w:tc>
          <w:tcPr>
            <w:tcW w:w="1431" w:type="dxa"/>
            <w:shd w:val="clear" w:color="auto" w:fill="auto"/>
          </w:tcPr>
          <w:p>
            <w:pPr>
              <w:spacing w:after="240"/>
              <w:jc w:val="center"/>
              <w:rPr>
                <w:noProof/>
                <w:sz w:val="22"/>
                <w:lang w:val="en-IE"/>
              </w:rPr>
            </w:pPr>
            <w:r>
              <w:rPr>
                <w:noProof/>
                <w:sz w:val="22"/>
                <w:lang w:val="en-IE"/>
              </w:rPr>
              <w:t>Penalties and accrued interests</w:t>
            </w:r>
            <w:r>
              <w:rPr>
                <w:rStyle w:val="FootnoteReference"/>
                <w:noProof/>
                <w:sz w:val="22"/>
                <w:lang w:val="en-IE"/>
              </w:rPr>
              <w:footnoteReference w:id="40"/>
            </w:r>
          </w:p>
        </w:tc>
        <w:tc>
          <w:tcPr>
            <w:tcW w:w="1366" w:type="dxa"/>
            <w:shd w:val="clear" w:color="auto" w:fill="auto"/>
          </w:tcPr>
          <w:p>
            <w:pPr>
              <w:spacing w:after="240"/>
              <w:jc w:val="center"/>
              <w:rPr>
                <w:noProof/>
                <w:sz w:val="22"/>
                <w:lang w:val="en-IE"/>
              </w:rPr>
            </w:pPr>
            <w:r>
              <w:rPr>
                <w:noProof/>
                <w:sz w:val="22"/>
                <w:lang w:val="en-IE"/>
              </w:rPr>
              <w:t>Amount recovered</w:t>
            </w:r>
          </w:p>
        </w:tc>
        <w:tc>
          <w:tcPr>
            <w:tcW w:w="1481" w:type="dxa"/>
            <w:shd w:val="clear" w:color="auto" w:fill="auto"/>
          </w:tcPr>
          <w:p>
            <w:pPr>
              <w:spacing w:after="240"/>
              <w:jc w:val="center"/>
              <w:rPr>
                <w:noProof/>
                <w:sz w:val="22"/>
                <w:lang w:val="en-IE"/>
              </w:rPr>
            </w:pPr>
            <w:r>
              <w:rPr>
                <w:noProof/>
                <w:sz w:val="22"/>
                <w:lang w:val="en-IE"/>
              </w:rPr>
              <w:t>Total</w:t>
            </w:r>
          </w:p>
        </w:tc>
      </w:tr>
      <w:tr>
        <w:tc>
          <w:tcPr>
            <w:tcW w:w="1416" w:type="dxa"/>
            <w:shd w:val="clear" w:color="auto" w:fill="auto"/>
          </w:tcPr>
          <w:p>
            <w:pPr>
              <w:jc w:val="center"/>
              <w:rPr>
                <w:noProof/>
                <w:lang w:val="en-IE"/>
              </w:rPr>
            </w:pPr>
            <w:r>
              <w:rPr>
                <w:noProof/>
                <w:lang w:val="en-IE"/>
              </w:rPr>
              <w:t>2012</w:t>
            </w:r>
          </w:p>
        </w:tc>
        <w:tc>
          <w:tcPr>
            <w:tcW w:w="1430" w:type="dxa"/>
            <w:shd w:val="clear" w:color="auto" w:fill="auto"/>
          </w:tcPr>
          <w:p>
            <w:pPr>
              <w:jc w:val="right"/>
              <w:rPr>
                <w:noProof/>
                <w:lang w:val="en-IE"/>
              </w:rPr>
            </w:pPr>
            <w:r>
              <w:rPr>
                <w:noProof/>
                <w:lang w:val="en-IE"/>
              </w:rPr>
              <w:t>2</w:t>
            </w:r>
          </w:p>
        </w:tc>
        <w:tc>
          <w:tcPr>
            <w:tcW w:w="1426" w:type="dxa"/>
            <w:shd w:val="clear" w:color="auto" w:fill="auto"/>
            <w:vAlign w:val="bottom"/>
          </w:tcPr>
          <w:p>
            <w:pPr>
              <w:jc w:val="right"/>
              <w:rPr>
                <w:noProof/>
                <w:lang w:val="en-IE"/>
              </w:rPr>
            </w:pPr>
            <w:r>
              <w:rPr>
                <w:noProof/>
                <w:lang w:val="en-IE"/>
              </w:rPr>
              <w:t>24.0</w:t>
            </w:r>
          </w:p>
        </w:tc>
        <w:tc>
          <w:tcPr>
            <w:tcW w:w="1431" w:type="dxa"/>
            <w:shd w:val="clear" w:color="auto" w:fill="auto"/>
            <w:vAlign w:val="bottom"/>
          </w:tcPr>
          <w:p>
            <w:pPr>
              <w:jc w:val="right"/>
              <w:rPr>
                <w:noProof/>
                <w:lang w:val="en-IE"/>
              </w:rPr>
            </w:pPr>
            <w:r>
              <w:rPr>
                <w:noProof/>
                <w:lang w:val="en-IE"/>
              </w:rPr>
              <w:t>0.0</w:t>
            </w:r>
          </w:p>
        </w:tc>
        <w:tc>
          <w:tcPr>
            <w:tcW w:w="1366" w:type="dxa"/>
            <w:shd w:val="clear" w:color="auto" w:fill="auto"/>
            <w:vAlign w:val="bottom"/>
          </w:tcPr>
          <w:p>
            <w:pPr>
              <w:jc w:val="right"/>
              <w:rPr>
                <w:noProof/>
                <w:lang w:val="en-IE"/>
              </w:rPr>
            </w:pPr>
            <w:r>
              <w:rPr>
                <w:noProof/>
                <w:lang w:val="en-IE"/>
              </w:rPr>
              <w:t>2.1</w:t>
            </w:r>
          </w:p>
        </w:tc>
        <w:tc>
          <w:tcPr>
            <w:tcW w:w="1481" w:type="dxa"/>
            <w:shd w:val="clear" w:color="auto" w:fill="auto"/>
            <w:vAlign w:val="bottom"/>
          </w:tcPr>
          <w:p>
            <w:pPr>
              <w:jc w:val="right"/>
              <w:rPr>
                <w:noProof/>
                <w:lang w:val="en-IE"/>
              </w:rPr>
            </w:pPr>
            <w:r>
              <w:rPr>
                <w:noProof/>
                <w:lang w:val="en-IE"/>
              </w:rPr>
              <w:t>21.8</w:t>
            </w:r>
          </w:p>
        </w:tc>
      </w:tr>
      <w:tr>
        <w:tc>
          <w:tcPr>
            <w:tcW w:w="1416" w:type="dxa"/>
            <w:shd w:val="clear" w:color="auto" w:fill="auto"/>
          </w:tcPr>
          <w:p>
            <w:pPr>
              <w:jc w:val="center"/>
              <w:rPr>
                <w:noProof/>
                <w:lang w:val="en-IE"/>
              </w:rPr>
            </w:pPr>
            <w:r>
              <w:rPr>
                <w:noProof/>
                <w:lang w:val="en-IE"/>
              </w:rPr>
              <w:t>2013</w:t>
            </w:r>
          </w:p>
        </w:tc>
        <w:tc>
          <w:tcPr>
            <w:tcW w:w="1430" w:type="dxa"/>
            <w:shd w:val="clear" w:color="auto" w:fill="auto"/>
          </w:tcPr>
          <w:p>
            <w:pPr>
              <w:jc w:val="right"/>
              <w:rPr>
                <w:noProof/>
                <w:lang w:val="en-IE"/>
              </w:rPr>
            </w:pPr>
            <w:r>
              <w:rPr>
                <w:noProof/>
                <w:lang w:val="en-IE"/>
              </w:rPr>
              <w:t>8</w:t>
            </w:r>
          </w:p>
        </w:tc>
        <w:tc>
          <w:tcPr>
            <w:tcW w:w="1426" w:type="dxa"/>
            <w:shd w:val="clear" w:color="auto" w:fill="auto"/>
            <w:vAlign w:val="bottom"/>
          </w:tcPr>
          <w:p>
            <w:pPr>
              <w:jc w:val="right"/>
              <w:rPr>
                <w:noProof/>
                <w:lang w:val="en-IE"/>
              </w:rPr>
            </w:pPr>
            <w:r>
              <w:rPr>
                <w:noProof/>
                <w:lang w:val="en-IE"/>
              </w:rPr>
              <w:t>59.3</w:t>
            </w:r>
          </w:p>
        </w:tc>
        <w:tc>
          <w:tcPr>
            <w:tcW w:w="1431" w:type="dxa"/>
            <w:shd w:val="clear" w:color="auto" w:fill="auto"/>
            <w:vAlign w:val="bottom"/>
          </w:tcPr>
          <w:p>
            <w:pPr>
              <w:jc w:val="right"/>
              <w:rPr>
                <w:noProof/>
                <w:lang w:val="en-IE"/>
              </w:rPr>
            </w:pPr>
            <w:r>
              <w:rPr>
                <w:noProof/>
                <w:lang w:val="en-IE"/>
              </w:rPr>
              <w:t>1.4</w:t>
            </w:r>
          </w:p>
        </w:tc>
        <w:tc>
          <w:tcPr>
            <w:tcW w:w="1366" w:type="dxa"/>
            <w:shd w:val="clear" w:color="auto" w:fill="auto"/>
            <w:vAlign w:val="bottom"/>
          </w:tcPr>
          <w:p>
            <w:pPr>
              <w:jc w:val="right"/>
              <w:rPr>
                <w:noProof/>
                <w:lang w:val="en-IE"/>
              </w:rPr>
            </w:pPr>
            <w:r>
              <w:rPr>
                <w:noProof/>
                <w:lang w:val="en-IE"/>
              </w:rPr>
              <w:t>0.0</w:t>
            </w:r>
          </w:p>
        </w:tc>
        <w:tc>
          <w:tcPr>
            <w:tcW w:w="1481" w:type="dxa"/>
            <w:shd w:val="clear" w:color="auto" w:fill="auto"/>
            <w:vAlign w:val="bottom"/>
          </w:tcPr>
          <w:p>
            <w:pPr>
              <w:jc w:val="right"/>
              <w:rPr>
                <w:noProof/>
                <w:lang w:val="en-IE"/>
              </w:rPr>
            </w:pPr>
            <w:r>
              <w:rPr>
                <w:noProof/>
                <w:lang w:val="en-IE"/>
              </w:rPr>
              <w:t>60.7</w:t>
            </w:r>
          </w:p>
        </w:tc>
      </w:tr>
      <w:tr>
        <w:tc>
          <w:tcPr>
            <w:tcW w:w="1416" w:type="dxa"/>
            <w:shd w:val="clear" w:color="auto" w:fill="auto"/>
          </w:tcPr>
          <w:p>
            <w:pPr>
              <w:jc w:val="center"/>
              <w:rPr>
                <w:noProof/>
                <w:lang w:val="en-IE"/>
              </w:rPr>
            </w:pPr>
            <w:r>
              <w:rPr>
                <w:noProof/>
                <w:lang w:val="en-IE"/>
              </w:rPr>
              <w:t>2014</w:t>
            </w:r>
          </w:p>
        </w:tc>
        <w:tc>
          <w:tcPr>
            <w:tcW w:w="1430" w:type="dxa"/>
            <w:shd w:val="clear" w:color="auto" w:fill="auto"/>
          </w:tcPr>
          <w:p>
            <w:pPr>
              <w:jc w:val="right"/>
              <w:rPr>
                <w:noProof/>
                <w:lang w:val="en-IE"/>
              </w:rPr>
            </w:pPr>
            <w:r>
              <w:rPr>
                <w:noProof/>
                <w:lang w:val="en-IE"/>
              </w:rPr>
              <w:t>8</w:t>
            </w:r>
          </w:p>
        </w:tc>
        <w:tc>
          <w:tcPr>
            <w:tcW w:w="1426" w:type="dxa"/>
            <w:shd w:val="clear" w:color="auto" w:fill="auto"/>
            <w:vAlign w:val="bottom"/>
          </w:tcPr>
          <w:p>
            <w:pPr>
              <w:jc w:val="right"/>
              <w:rPr>
                <w:noProof/>
                <w:lang w:val="en-IE"/>
              </w:rPr>
            </w:pPr>
            <w:r>
              <w:rPr>
                <w:noProof/>
                <w:lang w:val="en-IE"/>
              </w:rPr>
              <w:t>58.7</w:t>
            </w:r>
          </w:p>
        </w:tc>
        <w:tc>
          <w:tcPr>
            <w:tcW w:w="1431" w:type="dxa"/>
            <w:shd w:val="clear" w:color="auto" w:fill="auto"/>
            <w:vAlign w:val="bottom"/>
          </w:tcPr>
          <w:p>
            <w:pPr>
              <w:jc w:val="right"/>
              <w:rPr>
                <w:noProof/>
                <w:lang w:val="en-IE"/>
              </w:rPr>
            </w:pPr>
            <w:r>
              <w:rPr>
                <w:noProof/>
                <w:lang w:val="en-IE"/>
              </w:rPr>
              <w:t>1.5</w:t>
            </w:r>
          </w:p>
        </w:tc>
        <w:tc>
          <w:tcPr>
            <w:tcW w:w="1366" w:type="dxa"/>
            <w:shd w:val="clear" w:color="auto" w:fill="auto"/>
            <w:vAlign w:val="bottom"/>
          </w:tcPr>
          <w:p>
            <w:pPr>
              <w:jc w:val="right"/>
              <w:rPr>
                <w:noProof/>
                <w:lang w:val="en-IE"/>
              </w:rPr>
            </w:pPr>
            <w:r>
              <w:rPr>
                <w:noProof/>
                <w:lang w:val="en-IE"/>
              </w:rPr>
              <w:t>0.0</w:t>
            </w:r>
          </w:p>
        </w:tc>
        <w:tc>
          <w:tcPr>
            <w:tcW w:w="1481" w:type="dxa"/>
            <w:shd w:val="clear" w:color="auto" w:fill="auto"/>
            <w:vAlign w:val="bottom"/>
          </w:tcPr>
          <w:p>
            <w:pPr>
              <w:jc w:val="right"/>
              <w:rPr>
                <w:noProof/>
                <w:lang w:val="en-IE"/>
              </w:rPr>
            </w:pPr>
            <w:r>
              <w:rPr>
                <w:noProof/>
                <w:lang w:val="en-IE"/>
              </w:rPr>
              <w:t>60.2</w:t>
            </w:r>
          </w:p>
        </w:tc>
      </w:tr>
      <w:tr>
        <w:tc>
          <w:tcPr>
            <w:tcW w:w="1416" w:type="dxa"/>
            <w:shd w:val="clear" w:color="auto" w:fill="auto"/>
          </w:tcPr>
          <w:p>
            <w:pPr>
              <w:jc w:val="center"/>
              <w:rPr>
                <w:noProof/>
                <w:lang w:val="en-IE"/>
              </w:rPr>
            </w:pPr>
            <w:r>
              <w:rPr>
                <w:noProof/>
                <w:lang w:val="en-IE"/>
              </w:rPr>
              <w:t>2015</w:t>
            </w:r>
          </w:p>
        </w:tc>
        <w:tc>
          <w:tcPr>
            <w:tcW w:w="1430" w:type="dxa"/>
            <w:shd w:val="clear" w:color="auto" w:fill="auto"/>
          </w:tcPr>
          <w:p>
            <w:pPr>
              <w:jc w:val="right"/>
              <w:rPr>
                <w:noProof/>
                <w:lang w:val="en-IE"/>
              </w:rPr>
            </w:pPr>
            <w:r>
              <w:rPr>
                <w:noProof/>
                <w:lang w:val="en-IE"/>
              </w:rPr>
              <w:t>8</w:t>
            </w:r>
          </w:p>
        </w:tc>
        <w:tc>
          <w:tcPr>
            <w:tcW w:w="1426" w:type="dxa"/>
            <w:shd w:val="clear" w:color="auto" w:fill="auto"/>
            <w:vAlign w:val="bottom"/>
          </w:tcPr>
          <w:p>
            <w:pPr>
              <w:jc w:val="right"/>
              <w:rPr>
                <w:noProof/>
                <w:lang w:val="en-IE"/>
              </w:rPr>
            </w:pPr>
            <w:r>
              <w:rPr>
                <w:noProof/>
                <w:lang w:val="en-IE"/>
              </w:rPr>
              <w:t>58.7</w:t>
            </w:r>
          </w:p>
        </w:tc>
        <w:tc>
          <w:tcPr>
            <w:tcW w:w="1431" w:type="dxa"/>
            <w:shd w:val="clear" w:color="auto" w:fill="auto"/>
            <w:vAlign w:val="bottom"/>
          </w:tcPr>
          <w:p>
            <w:pPr>
              <w:jc w:val="right"/>
              <w:rPr>
                <w:noProof/>
                <w:lang w:val="en-IE"/>
              </w:rPr>
            </w:pPr>
            <w:r>
              <w:rPr>
                <w:noProof/>
                <w:lang w:val="en-IE"/>
              </w:rPr>
              <w:t>1.5</w:t>
            </w:r>
          </w:p>
        </w:tc>
        <w:tc>
          <w:tcPr>
            <w:tcW w:w="1366" w:type="dxa"/>
            <w:shd w:val="clear" w:color="auto" w:fill="auto"/>
            <w:vAlign w:val="bottom"/>
          </w:tcPr>
          <w:p>
            <w:pPr>
              <w:jc w:val="right"/>
              <w:rPr>
                <w:noProof/>
                <w:lang w:val="en-IE"/>
              </w:rPr>
            </w:pPr>
            <w:r>
              <w:rPr>
                <w:noProof/>
                <w:lang w:val="en-IE"/>
              </w:rPr>
              <w:t>0.0</w:t>
            </w:r>
          </w:p>
        </w:tc>
        <w:tc>
          <w:tcPr>
            <w:tcW w:w="1481" w:type="dxa"/>
            <w:shd w:val="clear" w:color="auto" w:fill="auto"/>
            <w:vAlign w:val="bottom"/>
          </w:tcPr>
          <w:p>
            <w:pPr>
              <w:jc w:val="right"/>
              <w:rPr>
                <w:noProof/>
                <w:lang w:val="en-IE"/>
              </w:rPr>
            </w:pPr>
            <w:r>
              <w:rPr>
                <w:noProof/>
                <w:lang w:val="en-IE"/>
              </w:rPr>
              <w:t>60.2</w:t>
            </w:r>
          </w:p>
        </w:tc>
      </w:tr>
      <w:tr>
        <w:tc>
          <w:tcPr>
            <w:tcW w:w="1416" w:type="dxa"/>
            <w:shd w:val="clear" w:color="auto" w:fill="auto"/>
          </w:tcPr>
          <w:p>
            <w:pPr>
              <w:jc w:val="center"/>
              <w:rPr>
                <w:noProof/>
                <w:lang w:val="en-IE"/>
              </w:rPr>
            </w:pPr>
            <w:r>
              <w:rPr>
                <w:noProof/>
                <w:lang w:val="en-IE"/>
              </w:rPr>
              <w:t>2016</w:t>
            </w:r>
          </w:p>
        </w:tc>
        <w:tc>
          <w:tcPr>
            <w:tcW w:w="1430" w:type="dxa"/>
            <w:shd w:val="clear" w:color="auto" w:fill="auto"/>
            <w:vAlign w:val="center"/>
          </w:tcPr>
          <w:p>
            <w:pPr>
              <w:jc w:val="right"/>
              <w:rPr>
                <w:noProof/>
                <w:lang w:val="en-IE"/>
              </w:rPr>
            </w:pPr>
            <w:r>
              <w:rPr>
                <w:noProof/>
                <w:lang w:val="en-IE"/>
              </w:rPr>
              <w:t>12</w:t>
            </w:r>
          </w:p>
        </w:tc>
        <w:tc>
          <w:tcPr>
            <w:tcW w:w="1426" w:type="dxa"/>
            <w:shd w:val="clear" w:color="auto" w:fill="auto"/>
            <w:vAlign w:val="bottom"/>
          </w:tcPr>
          <w:p>
            <w:pPr>
              <w:jc w:val="right"/>
              <w:rPr>
                <w:noProof/>
                <w:lang w:val="en-IE"/>
              </w:rPr>
            </w:pPr>
            <w:r>
              <w:rPr>
                <w:noProof/>
                <w:lang w:val="en-IE"/>
              </w:rPr>
              <w:t>103.8</w:t>
            </w:r>
          </w:p>
        </w:tc>
        <w:tc>
          <w:tcPr>
            <w:tcW w:w="1431" w:type="dxa"/>
            <w:shd w:val="clear" w:color="auto" w:fill="auto"/>
            <w:vAlign w:val="bottom"/>
          </w:tcPr>
          <w:p>
            <w:pPr>
              <w:jc w:val="right"/>
              <w:rPr>
                <w:noProof/>
                <w:lang w:val="en-IE"/>
              </w:rPr>
            </w:pPr>
            <w:r>
              <w:rPr>
                <w:noProof/>
                <w:lang w:val="en-IE"/>
              </w:rPr>
              <w:t>2.4</w:t>
            </w:r>
          </w:p>
        </w:tc>
        <w:tc>
          <w:tcPr>
            <w:tcW w:w="1366" w:type="dxa"/>
            <w:shd w:val="clear" w:color="auto" w:fill="auto"/>
            <w:vAlign w:val="bottom"/>
          </w:tcPr>
          <w:p>
            <w:pPr>
              <w:jc w:val="right"/>
              <w:rPr>
                <w:noProof/>
                <w:lang w:val="en-IE"/>
              </w:rPr>
            </w:pPr>
            <w:r>
              <w:rPr>
                <w:noProof/>
                <w:lang w:val="en-IE"/>
              </w:rPr>
              <w:t>0.0</w:t>
            </w:r>
          </w:p>
        </w:tc>
        <w:tc>
          <w:tcPr>
            <w:tcW w:w="1481" w:type="dxa"/>
            <w:shd w:val="clear" w:color="auto" w:fill="auto"/>
            <w:vAlign w:val="bottom"/>
          </w:tcPr>
          <w:p>
            <w:pPr>
              <w:jc w:val="right"/>
              <w:rPr>
                <w:noProof/>
                <w:lang w:val="en-IE"/>
              </w:rPr>
            </w:pPr>
            <w:r>
              <w:rPr>
                <w:noProof/>
                <w:lang w:val="en-IE"/>
              </w:rPr>
              <w:t>106.2</w:t>
            </w:r>
          </w:p>
        </w:tc>
      </w:tr>
      <w:tr>
        <w:tc>
          <w:tcPr>
            <w:tcW w:w="1416" w:type="dxa"/>
            <w:shd w:val="clear" w:color="auto" w:fill="auto"/>
          </w:tcPr>
          <w:p>
            <w:pPr>
              <w:jc w:val="center"/>
              <w:rPr>
                <w:noProof/>
                <w:lang w:val="en-IE"/>
              </w:rPr>
            </w:pPr>
            <w:r>
              <w:rPr>
                <w:noProof/>
                <w:lang w:val="en-IE"/>
              </w:rPr>
              <w:t>2017</w:t>
            </w:r>
          </w:p>
        </w:tc>
        <w:tc>
          <w:tcPr>
            <w:tcW w:w="1430" w:type="dxa"/>
            <w:shd w:val="clear" w:color="auto" w:fill="auto"/>
            <w:vAlign w:val="center"/>
          </w:tcPr>
          <w:p>
            <w:pPr>
              <w:jc w:val="right"/>
              <w:rPr>
                <w:noProof/>
                <w:lang w:val="en-IE"/>
              </w:rPr>
            </w:pPr>
            <w:r>
              <w:rPr>
                <w:noProof/>
                <w:lang w:val="en-IE"/>
              </w:rPr>
              <w:t>13</w:t>
            </w:r>
          </w:p>
        </w:tc>
        <w:tc>
          <w:tcPr>
            <w:tcW w:w="1426" w:type="dxa"/>
            <w:shd w:val="clear" w:color="auto" w:fill="auto"/>
            <w:vAlign w:val="bottom"/>
          </w:tcPr>
          <w:p>
            <w:pPr>
              <w:jc w:val="right"/>
              <w:rPr>
                <w:noProof/>
                <w:lang w:val="en-IE"/>
              </w:rPr>
            </w:pPr>
            <w:r>
              <w:rPr>
                <w:noProof/>
                <w:lang w:val="en-IE"/>
              </w:rPr>
              <w:t>56.1</w:t>
            </w:r>
          </w:p>
        </w:tc>
        <w:tc>
          <w:tcPr>
            <w:tcW w:w="1431" w:type="dxa"/>
            <w:shd w:val="clear" w:color="auto" w:fill="auto"/>
            <w:vAlign w:val="bottom"/>
          </w:tcPr>
          <w:p>
            <w:pPr>
              <w:jc w:val="right"/>
              <w:rPr>
                <w:noProof/>
                <w:lang w:val="en-IE"/>
              </w:rPr>
            </w:pPr>
            <w:r>
              <w:rPr>
                <w:noProof/>
                <w:lang w:val="en-IE"/>
              </w:rPr>
              <w:t>0.2</w:t>
            </w:r>
          </w:p>
        </w:tc>
        <w:tc>
          <w:tcPr>
            <w:tcW w:w="1366" w:type="dxa"/>
            <w:shd w:val="clear" w:color="auto" w:fill="auto"/>
            <w:vAlign w:val="bottom"/>
          </w:tcPr>
          <w:p>
            <w:pPr>
              <w:jc w:val="right"/>
              <w:rPr>
                <w:noProof/>
                <w:lang w:val="en-IE"/>
              </w:rPr>
            </w:pPr>
            <w:r>
              <w:rPr>
                <w:noProof/>
                <w:lang w:val="en-IE"/>
              </w:rPr>
              <w:t>0.0</w:t>
            </w:r>
          </w:p>
        </w:tc>
        <w:tc>
          <w:tcPr>
            <w:tcW w:w="1481" w:type="dxa"/>
            <w:shd w:val="clear" w:color="auto" w:fill="auto"/>
            <w:vAlign w:val="bottom"/>
          </w:tcPr>
          <w:p>
            <w:pPr>
              <w:jc w:val="right"/>
              <w:rPr>
                <w:noProof/>
                <w:lang w:val="en-IE"/>
              </w:rPr>
            </w:pPr>
            <w:r>
              <w:rPr>
                <w:noProof/>
                <w:lang w:val="en-IE"/>
              </w:rPr>
              <w:t>56.3</w:t>
            </w:r>
          </w:p>
        </w:tc>
      </w:tr>
      <w:tr>
        <w:tc>
          <w:tcPr>
            <w:tcW w:w="1416" w:type="dxa"/>
            <w:shd w:val="clear" w:color="auto" w:fill="auto"/>
          </w:tcPr>
          <w:p>
            <w:pPr>
              <w:jc w:val="center"/>
              <w:rPr>
                <w:noProof/>
                <w:lang w:val="en-IE"/>
              </w:rPr>
            </w:pPr>
            <w:r>
              <w:rPr>
                <w:noProof/>
                <w:lang w:val="en-IE"/>
              </w:rPr>
              <w:t>2018</w:t>
            </w:r>
          </w:p>
        </w:tc>
        <w:tc>
          <w:tcPr>
            <w:tcW w:w="1430" w:type="dxa"/>
            <w:shd w:val="clear" w:color="auto" w:fill="auto"/>
          </w:tcPr>
          <w:p>
            <w:pPr>
              <w:jc w:val="right"/>
              <w:rPr>
                <w:noProof/>
                <w:lang w:val="en-IE"/>
              </w:rPr>
            </w:pPr>
            <w:r>
              <w:rPr>
                <w:noProof/>
                <w:lang w:val="en-IE"/>
              </w:rPr>
              <w:t>12</w:t>
            </w:r>
          </w:p>
        </w:tc>
        <w:tc>
          <w:tcPr>
            <w:tcW w:w="1426" w:type="dxa"/>
            <w:shd w:val="clear" w:color="auto" w:fill="auto"/>
          </w:tcPr>
          <w:p>
            <w:pPr>
              <w:jc w:val="right"/>
              <w:rPr>
                <w:noProof/>
                <w:lang w:val="en-IE"/>
              </w:rPr>
            </w:pPr>
            <w:r>
              <w:rPr>
                <w:noProof/>
                <w:lang w:val="en-IE"/>
              </w:rPr>
              <w:t>55.7</w:t>
            </w:r>
          </w:p>
        </w:tc>
        <w:tc>
          <w:tcPr>
            <w:tcW w:w="1431" w:type="dxa"/>
            <w:shd w:val="clear" w:color="auto" w:fill="auto"/>
          </w:tcPr>
          <w:p>
            <w:pPr>
              <w:jc w:val="right"/>
              <w:rPr>
                <w:noProof/>
                <w:lang w:val="en-IE"/>
              </w:rPr>
            </w:pPr>
            <w:r>
              <w:rPr>
                <w:noProof/>
                <w:lang w:val="en-IE"/>
              </w:rPr>
              <w:t>0.1</w:t>
            </w:r>
          </w:p>
        </w:tc>
        <w:tc>
          <w:tcPr>
            <w:tcW w:w="1366" w:type="dxa"/>
            <w:shd w:val="clear" w:color="auto" w:fill="auto"/>
          </w:tcPr>
          <w:p>
            <w:pPr>
              <w:jc w:val="right"/>
              <w:rPr>
                <w:noProof/>
                <w:lang w:val="en-IE"/>
              </w:rPr>
            </w:pPr>
            <w:r>
              <w:rPr>
                <w:noProof/>
                <w:lang w:val="en-IE"/>
              </w:rPr>
              <w:t>0.0</w:t>
            </w:r>
          </w:p>
        </w:tc>
        <w:tc>
          <w:tcPr>
            <w:tcW w:w="1481" w:type="dxa"/>
            <w:shd w:val="clear" w:color="auto" w:fill="auto"/>
          </w:tcPr>
          <w:p>
            <w:pPr>
              <w:jc w:val="right"/>
              <w:rPr>
                <w:noProof/>
                <w:lang w:val="en-IE"/>
              </w:rPr>
            </w:pPr>
            <w:r>
              <w:rPr>
                <w:noProof/>
                <w:lang w:val="en-IE"/>
              </w:rPr>
              <w:t>55.7</w:t>
            </w:r>
          </w:p>
        </w:tc>
      </w:tr>
      <w:tr>
        <w:tc>
          <w:tcPr>
            <w:tcW w:w="1416" w:type="dxa"/>
            <w:shd w:val="clear" w:color="auto" w:fill="auto"/>
          </w:tcPr>
          <w:p>
            <w:pPr>
              <w:jc w:val="center"/>
              <w:rPr>
                <w:noProof/>
                <w:lang w:val="en-IE"/>
              </w:rPr>
            </w:pPr>
            <w:r>
              <w:rPr>
                <w:noProof/>
                <w:lang w:val="en-IE"/>
              </w:rPr>
              <w:t>Total</w:t>
            </w:r>
          </w:p>
        </w:tc>
        <w:tc>
          <w:tcPr>
            <w:tcW w:w="1430" w:type="dxa"/>
            <w:shd w:val="clear" w:color="auto" w:fill="auto"/>
          </w:tcPr>
          <w:p>
            <w:pPr>
              <w:jc w:val="right"/>
              <w:rPr>
                <w:noProof/>
                <w:lang w:val="en-IE"/>
              </w:rPr>
            </w:pPr>
            <w:r>
              <w:rPr>
                <w:noProof/>
                <w:lang w:val="en-IE"/>
              </w:rPr>
              <w:t>63</w:t>
            </w:r>
          </w:p>
        </w:tc>
        <w:tc>
          <w:tcPr>
            <w:tcW w:w="1426" w:type="dxa"/>
            <w:shd w:val="clear" w:color="auto" w:fill="auto"/>
          </w:tcPr>
          <w:p>
            <w:pPr>
              <w:jc w:val="right"/>
              <w:rPr>
                <w:noProof/>
                <w:lang w:val="en-IE"/>
              </w:rPr>
            </w:pPr>
            <w:r>
              <w:rPr>
                <w:noProof/>
                <w:lang w:val="en-IE"/>
              </w:rPr>
              <w:t>416.17</w:t>
            </w:r>
          </w:p>
        </w:tc>
        <w:tc>
          <w:tcPr>
            <w:tcW w:w="1431" w:type="dxa"/>
            <w:shd w:val="clear" w:color="auto" w:fill="auto"/>
          </w:tcPr>
          <w:p>
            <w:pPr>
              <w:jc w:val="right"/>
              <w:rPr>
                <w:noProof/>
                <w:lang w:val="en-IE"/>
              </w:rPr>
            </w:pPr>
            <w:r>
              <w:rPr>
                <w:noProof/>
                <w:lang w:val="en-IE"/>
              </w:rPr>
              <w:t>7.03</w:t>
            </w:r>
          </w:p>
        </w:tc>
        <w:tc>
          <w:tcPr>
            <w:tcW w:w="1366" w:type="dxa"/>
            <w:shd w:val="clear" w:color="auto" w:fill="auto"/>
          </w:tcPr>
          <w:p>
            <w:pPr>
              <w:jc w:val="right"/>
              <w:rPr>
                <w:noProof/>
                <w:lang w:val="en-IE"/>
              </w:rPr>
            </w:pPr>
            <w:r>
              <w:rPr>
                <w:noProof/>
                <w:lang w:val="en-IE"/>
              </w:rPr>
              <w:t>2.1</w:t>
            </w:r>
          </w:p>
        </w:tc>
        <w:tc>
          <w:tcPr>
            <w:tcW w:w="1481" w:type="dxa"/>
            <w:shd w:val="clear" w:color="auto" w:fill="auto"/>
          </w:tcPr>
          <w:p>
            <w:pPr>
              <w:jc w:val="right"/>
              <w:rPr>
                <w:noProof/>
                <w:lang w:val="en-IE"/>
              </w:rPr>
            </w:pPr>
            <w:r>
              <w:rPr>
                <w:noProof/>
                <w:lang w:val="en-IE"/>
              </w:rPr>
              <w:t>421.1</w:t>
            </w:r>
          </w:p>
        </w:tc>
      </w:tr>
    </w:tbl>
    <w:p>
      <w:pPr>
        <w:spacing w:before="240" w:after="240"/>
        <w:rPr>
          <w:noProof/>
          <w:lang w:val="en-IE"/>
        </w:rPr>
      </w:pPr>
      <w:r>
        <w:rPr>
          <w:noProof/>
          <w:lang w:val="en-IE"/>
        </w:rPr>
        <w:t>At 31 December 2018, the total capital outstanding of guaranteed loans related to Syria amounted to EUR 555 million of principal</w:t>
      </w:r>
      <w:r>
        <w:rPr>
          <w:rStyle w:val="FootnoteReference"/>
          <w:noProof/>
          <w:lang w:val="en-IE"/>
        </w:rPr>
        <w:footnoteReference w:id="41"/>
      </w:r>
      <w:r>
        <w:rPr>
          <w:noProof/>
          <w:lang w:val="en-IE"/>
        </w:rPr>
        <w:t>, with the final loan maturity in 2030.</w:t>
      </w:r>
    </w:p>
    <w:p>
      <w:pPr>
        <w:spacing w:before="100" w:beforeAutospacing="1"/>
        <w:rPr>
          <w:i/>
          <w:noProof/>
          <w:u w:val="single"/>
          <w:lang w:val="fr-BE"/>
        </w:rPr>
      </w:pPr>
      <w:r>
        <w:rPr>
          <w:i/>
          <w:noProof/>
          <w:u w:val="single"/>
          <w:lang w:val="fr-BE"/>
        </w:rPr>
        <w:t>TAV Tunisie S.A. (Enfidha airport)</w:t>
      </w:r>
    </w:p>
    <w:p>
      <w:pPr>
        <w:spacing w:before="100" w:beforeAutospacing="1"/>
        <w:rPr>
          <w:noProof/>
          <w:szCs w:val="20"/>
          <w:lang w:val="en-IE"/>
        </w:rPr>
      </w:pPr>
      <w:r>
        <w:rPr>
          <w:noProof/>
          <w:szCs w:val="20"/>
          <w:lang w:val="en-IE"/>
        </w:rPr>
        <w:t>In 2016 the EIB called the EU guarantee under the external lending mandate in relation to a loan to TAV Tunisie S.A. (Enfidha airport).</w:t>
      </w:r>
    </w:p>
    <w:p>
      <w:pPr>
        <w:spacing w:before="0" w:after="240"/>
        <w:rPr>
          <w:noProof/>
          <w:lang w:val="en-IE"/>
        </w:rPr>
      </w:pPr>
      <w:r>
        <w:rPr>
          <w:noProof/>
          <w:lang w:val="en-IE"/>
        </w:rPr>
        <w:t xml:space="preserve">On 15 January 2018, EUR 0.14 million recovered from Enfidha Airport were credited to the Guarantee Fund </w:t>
      </w:r>
      <w:r>
        <w:rPr>
          <w:noProof/>
          <w:szCs w:val="20"/>
          <w:lang w:val="en-IE"/>
        </w:rPr>
        <w:t>for External Actions</w:t>
      </w:r>
      <w:r>
        <w:rPr>
          <w:noProof/>
          <w:lang w:val="en-IE"/>
        </w:rPr>
        <w:t>. This amount had already been recognised as an asset (receivable) in the balance sheet of 31 December 2017.</w:t>
      </w:r>
    </w:p>
    <w:p>
      <w:pPr>
        <w:spacing w:before="0"/>
        <w:jc w:val="left"/>
        <w:rPr>
          <w:noProof/>
          <w:szCs w:val="20"/>
          <w:lang w:val="en-IE"/>
        </w:rPr>
      </w:pPr>
      <w:r>
        <w:rPr>
          <w:noProof/>
          <w:szCs w:val="20"/>
          <w:lang w:val="en-IE"/>
        </w:rPr>
        <w:t>The calls on the Fund corresponding to the defaulting loan to TAV Tunisie S.A. (Enfidha airport) are presented in Table 4b.</w:t>
      </w:r>
    </w:p>
    <w:p>
      <w:pPr>
        <w:keepNext/>
        <w:spacing w:after="0"/>
        <w:rPr>
          <w:noProof/>
          <w:sz w:val="18"/>
          <w:lang w:val="en-IE"/>
        </w:rPr>
      </w:pPr>
      <w:r>
        <w:rPr>
          <w:noProof/>
          <w:sz w:val="18"/>
          <w:lang w:val="en-IE"/>
        </w:rPr>
        <w:t>Table 4b: Call on the Guarantee Fund relating to TAV Tunisie S.A. (Enfidha airport) (in EUR million)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1430"/>
        <w:gridCol w:w="1407"/>
        <w:gridCol w:w="1417"/>
        <w:gridCol w:w="1418"/>
        <w:gridCol w:w="1417"/>
      </w:tblGrid>
      <w:tr>
        <w:trPr>
          <w:trHeight w:val="1231"/>
        </w:trPr>
        <w:tc>
          <w:tcPr>
            <w:tcW w:w="1416" w:type="dxa"/>
            <w:shd w:val="clear" w:color="auto" w:fill="auto"/>
          </w:tcPr>
          <w:p>
            <w:pPr>
              <w:keepNext/>
              <w:spacing w:after="240"/>
              <w:jc w:val="center"/>
              <w:rPr>
                <w:noProof/>
                <w:sz w:val="22"/>
                <w:lang w:val="en-IE"/>
              </w:rPr>
            </w:pPr>
            <w:r>
              <w:rPr>
                <w:noProof/>
                <w:sz w:val="22"/>
                <w:szCs w:val="22"/>
                <w:lang w:val="en-IE"/>
              </w:rPr>
              <w:t>Year</w:t>
            </w:r>
            <w:r>
              <w:rPr>
                <w:noProof/>
                <w:lang w:val="en-IE"/>
              </w:rPr>
              <w:t xml:space="preserve"> </w:t>
            </w:r>
            <w:r>
              <w:rPr>
                <w:noProof/>
                <w:sz w:val="22"/>
                <w:szCs w:val="22"/>
                <w:lang w:val="en-IE"/>
              </w:rPr>
              <w:t>of withdrawal</w:t>
            </w:r>
            <w:r>
              <w:rPr>
                <w:noProof/>
                <w:sz w:val="22"/>
                <w:lang w:val="en-IE"/>
              </w:rPr>
              <w:t xml:space="preserve"> </w:t>
            </w:r>
          </w:p>
        </w:tc>
        <w:tc>
          <w:tcPr>
            <w:tcW w:w="1430" w:type="dxa"/>
            <w:shd w:val="clear" w:color="auto" w:fill="auto"/>
          </w:tcPr>
          <w:p>
            <w:pPr>
              <w:keepNext/>
              <w:spacing w:after="240"/>
              <w:jc w:val="center"/>
              <w:rPr>
                <w:noProof/>
                <w:sz w:val="22"/>
                <w:lang w:val="en-IE"/>
              </w:rPr>
            </w:pPr>
            <w:r>
              <w:rPr>
                <w:noProof/>
                <w:sz w:val="22"/>
                <w:lang w:val="en-IE"/>
              </w:rPr>
              <w:t>Number of calls paid</w:t>
            </w:r>
          </w:p>
        </w:tc>
        <w:tc>
          <w:tcPr>
            <w:tcW w:w="1407" w:type="dxa"/>
            <w:shd w:val="clear" w:color="auto" w:fill="auto"/>
          </w:tcPr>
          <w:p>
            <w:pPr>
              <w:keepNext/>
              <w:spacing w:after="240"/>
              <w:jc w:val="center"/>
              <w:rPr>
                <w:noProof/>
                <w:sz w:val="22"/>
                <w:lang w:val="en-IE"/>
              </w:rPr>
            </w:pPr>
            <w:r>
              <w:rPr>
                <w:noProof/>
                <w:sz w:val="22"/>
                <w:lang w:val="en-IE"/>
              </w:rPr>
              <w:t>Amount of due instalments</w:t>
            </w:r>
          </w:p>
        </w:tc>
        <w:tc>
          <w:tcPr>
            <w:tcW w:w="1417" w:type="dxa"/>
            <w:shd w:val="clear" w:color="auto" w:fill="auto"/>
          </w:tcPr>
          <w:p>
            <w:pPr>
              <w:keepNext/>
              <w:spacing w:after="240"/>
              <w:jc w:val="center"/>
              <w:rPr>
                <w:noProof/>
                <w:sz w:val="22"/>
                <w:lang w:val="en-IE"/>
              </w:rPr>
            </w:pPr>
            <w:r>
              <w:rPr>
                <w:noProof/>
                <w:sz w:val="22"/>
                <w:lang w:val="en-IE"/>
              </w:rPr>
              <w:t>Penalties and accrued interest</w:t>
            </w:r>
            <w:r>
              <w:rPr>
                <w:noProof/>
                <w:sz w:val="22"/>
                <w:vertAlign w:val="superscript"/>
                <w:lang w:val="en-IE"/>
              </w:rPr>
              <w:t>32</w:t>
            </w:r>
            <w:r>
              <w:rPr>
                <w:noProof/>
                <w:sz w:val="22"/>
                <w:lang w:val="en-IE"/>
              </w:rPr>
              <w:t xml:space="preserve"> </w:t>
            </w:r>
          </w:p>
        </w:tc>
        <w:tc>
          <w:tcPr>
            <w:tcW w:w="1418" w:type="dxa"/>
            <w:shd w:val="clear" w:color="auto" w:fill="auto"/>
          </w:tcPr>
          <w:p>
            <w:pPr>
              <w:keepNext/>
              <w:spacing w:after="240"/>
              <w:jc w:val="center"/>
              <w:rPr>
                <w:noProof/>
                <w:sz w:val="22"/>
                <w:lang w:val="en-IE"/>
              </w:rPr>
            </w:pPr>
            <w:r>
              <w:rPr>
                <w:noProof/>
                <w:sz w:val="22"/>
                <w:lang w:val="en-IE"/>
              </w:rPr>
              <w:t>Amount recovered</w:t>
            </w:r>
          </w:p>
        </w:tc>
        <w:tc>
          <w:tcPr>
            <w:tcW w:w="1417" w:type="dxa"/>
            <w:shd w:val="clear" w:color="auto" w:fill="auto"/>
          </w:tcPr>
          <w:p>
            <w:pPr>
              <w:keepNext/>
              <w:spacing w:after="240"/>
              <w:jc w:val="center"/>
              <w:rPr>
                <w:noProof/>
                <w:sz w:val="22"/>
                <w:lang w:val="en-IE"/>
              </w:rPr>
            </w:pPr>
            <w:r>
              <w:rPr>
                <w:noProof/>
                <w:sz w:val="22"/>
                <w:lang w:val="en-IE"/>
              </w:rPr>
              <w:t>Total</w:t>
            </w:r>
          </w:p>
        </w:tc>
      </w:tr>
      <w:tr>
        <w:tc>
          <w:tcPr>
            <w:tcW w:w="1416" w:type="dxa"/>
            <w:shd w:val="clear" w:color="auto" w:fill="auto"/>
            <w:vAlign w:val="center"/>
          </w:tcPr>
          <w:p>
            <w:pPr>
              <w:keepNext/>
              <w:spacing w:after="240"/>
              <w:jc w:val="center"/>
              <w:rPr>
                <w:noProof/>
                <w:sz w:val="22"/>
                <w:lang w:val="en-IE"/>
              </w:rPr>
            </w:pPr>
            <w:r>
              <w:rPr>
                <w:noProof/>
                <w:sz w:val="22"/>
                <w:szCs w:val="22"/>
                <w:lang w:val="en-IE"/>
              </w:rPr>
              <w:t>2016</w:t>
            </w:r>
          </w:p>
        </w:tc>
        <w:tc>
          <w:tcPr>
            <w:tcW w:w="1430" w:type="dxa"/>
            <w:shd w:val="clear" w:color="auto" w:fill="auto"/>
            <w:vAlign w:val="center"/>
          </w:tcPr>
          <w:p>
            <w:pPr>
              <w:keepNext/>
              <w:spacing w:after="240"/>
              <w:jc w:val="right"/>
              <w:rPr>
                <w:noProof/>
                <w:sz w:val="22"/>
                <w:lang w:val="en-IE"/>
              </w:rPr>
            </w:pPr>
            <w:r>
              <w:rPr>
                <w:noProof/>
                <w:sz w:val="22"/>
                <w:szCs w:val="22"/>
                <w:lang w:val="en-IE"/>
              </w:rPr>
              <w:t>1</w:t>
            </w:r>
          </w:p>
        </w:tc>
        <w:tc>
          <w:tcPr>
            <w:tcW w:w="1407" w:type="dxa"/>
            <w:shd w:val="clear" w:color="auto" w:fill="auto"/>
            <w:vAlign w:val="center"/>
          </w:tcPr>
          <w:p>
            <w:pPr>
              <w:keepNext/>
              <w:spacing w:after="240"/>
              <w:jc w:val="right"/>
              <w:rPr>
                <w:noProof/>
                <w:sz w:val="22"/>
                <w:lang w:val="en-IE"/>
              </w:rPr>
            </w:pPr>
            <w:r>
              <w:rPr>
                <w:noProof/>
                <w:sz w:val="22"/>
                <w:szCs w:val="22"/>
                <w:lang w:val="en-IE"/>
              </w:rPr>
              <w:t>4.63</w:t>
            </w:r>
          </w:p>
        </w:tc>
        <w:tc>
          <w:tcPr>
            <w:tcW w:w="1417" w:type="dxa"/>
            <w:shd w:val="clear" w:color="auto" w:fill="auto"/>
            <w:vAlign w:val="center"/>
          </w:tcPr>
          <w:p>
            <w:pPr>
              <w:keepNext/>
              <w:spacing w:after="240"/>
              <w:jc w:val="right"/>
              <w:rPr>
                <w:noProof/>
                <w:sz w:val="22"/>
                <w:lang w:val="en-IE"/>
              </w:rPr>
            </w:pPr>
            <w:r>
              <w:rPr>
                <w:noProof/>
                <w:sz w:val="22"/>
                <w:szCs w:val="22"/>
                <w:lang w:val="en-IE"/>
              </w:rPr>
              <w:t>0.03</w:t>
            </w:r>
          </w:p>
        </w:tc>
        <w:tc>
          <w:tcPr>
            <w:tcW w:w="1418" w:type="dxa"/>
            <w:shd w:val="clear" w:color="auto" w:fill="auto"/>
            <w:vAlign w:val="center"/>
          </w:tcPr>
          <w:p>
            <w:pPr>
              <w:keepNext/>
              <w:spacing w:after="240"/>
              <w:jc w:val="right"/>
              <w:rPr>
                <w:noProof/>
                <w:sz w:val="22"/>
                <w:lang w:val="en-IE"/>
              </w:rPr>
            </w:pPr>
            <w:r>
              <w:rPr>
                <w:noProof/>
                <w:sz w:val="22"/>
                <w:szCs w:val="22"/>
                <w:lang w:val="en-IE"/>
              </w:rPr>
              <w:t>0.00</w:t>
            </w:r>
          </w:p>
        </w:tc>
        <w:tc>
          <w:tcPr>
            <w:tcW w:w="1417" w:type="dxa"/>
            <w:shd w:val="clear" w:color="auto" w:fill="auto"/>
            <w:vAlign w:val="center"/>
          </w:tcPr>
          <w:p>
            <w:pPr>
              <w:keepNext/>
              <w:spacing w:after="240"/>
              <w:jc w:val="right"/>
              <w:rPr>
                <w:noProof/>
                <w:sz w:val="22"/>
                <w:lang w:val="en-IE"/>
              </w:rPr>
            </w:pPr>
            <w:r>
              <w:rPr>
                <w:noProof/>
                <w:sz w:val="22"/>
                <w:szCs w:val="22"/>
                <w:lang w:val="en-IE"/>
              </w:rPr>
              <w:t>4.65</w:t>
            </w:r>
          </w:p>
        </w:tc>
      </w:tr>
      <w:tr>
        <w:tc>
          <w:tcPr>
            <w:tcW w:w="1416" w:type="dxa"/>
            <w:shd w:val="clear" w:color="auto" w:fill="auto"/>
          </w:tcPr>
          <w:p>
            <w:pPr>
              <w:keepNext/>
              <w:spacing w:after="240"/>
              <w:jc w:val="center"/>
              <w:rPr>
                <w:noProof/>
                <w:sz w:val="22"/>
                <w:szCs w:val="22"/>
                <w:lang w:val="en-IE"/>
              </w:rPr>
            </w:pPr>
            <w:r>
              <w:rPr>
                <w:noProof/>
                <w:sz w:val="22"/>
                <w:szCs w:val="22"/>
                <w:lang w:val="en-IE"/>
              </w:rPr>
              <w:t>2017</w:t>
            </w:r>
          </w:p>
        </w:tc>
        <w:tc>
          <w:tcPr>
            <w:tcW w:w="1430" w:type="dxa"/>
            <w:shd w:val="clear" w:color="auto" w:fill="auto"/>
            <w:vAlign w:val="center"/>
          </w:tcPr>
          <w:p>
            <w:pPr>
              <w:keepNext/>
              <w:spacing w:after="240"/>
              <w:jc w:val="right"/>
              <w:rPr>
                <w:noProof/>
                <w:sz w:val="22"/>
                <w:szCs w:val="22"/>
                <w:lang w:val="en-IE"/>
              </w:rPr>
            </w:pPr>
            <w:r>
              <w:rPr>
                <w:noProof/>
                <w:sz w:val="22"/>
                <w:szCs w:val="22"/>
                <w:lang w:val="en-IE"/>
              </w:rPr>
              <w:t>3</w:t>
            </w:r>
          </w:p>
        </w:tc>
        <w:tc>
          <w:tcPr>
            <w:tcW w:w="1407" w:type="dxa"/>
            <w:shd w:val="clear" w:color="auto" w:fill="auto"/>
          </w:tcPr>
          <w:p>
            <w:pPr>
              <w:keepNext/>
              <w:spacing w:after="240"/>
              <w:jc w:val="right"/>
              <w:rPr>
                <w:noProof/>
                <w:sz w:val="22"/>
                <w:szCs w:val="22"/>
                <w:lang w:val="en-IE"/>
              </w:rPr>
            </w:pPr>
            <w:r>
              <w:rPr>
                <w:noProof/>
                <w:sz w:val="22"/>
                <w:szCs w:val="22"/>
                <w:lang w:val="en-IE"/>
              </w:rPr>
              <w:t xml:space="preserve"> 30.16 </w:t>
            </w:r>
          </w:p>
        </w:tc>
        <w:tc>
          <w:tcPr>
            <w:tcW w:w="1417" w:type="dxa"/>
            <w:shd w:val="clear" w:color="auto" w:fill="auto"/>
          </w:tcPr>
          <w:p>
            <w:pPr>
              <w:keepNext/>
              <w:spacing w:after="240"/>
              <w:jc w:val="right"/>
              <w:rPr>
                <w:noProof/>
                <w:sz w:val="22"/>
                <w:szCs w:val="22"/>
                <w:lang w:val="en-IE"/>
              </w:rPr>
            </w:pPr>
            <w:r>
              <w:rPr>
                <w:noProof/>
                <w:sz w:val="22"/>
                <w:szCs w:val="22"/>
                <w:lang w:val="en-IE"/>
              </w:rPr>
              <w:t xml:space="preserve"> 0.01 </w:t>
            </w:r>
          </w:p>
        </w:tc>
        <w:tc>
          <w:tcPr>
            <w:tcW w:w="1418" w:type="dxa"/>
            <w:shd w:val="clear" w:color="auto" w:fill="auto"/>
          </w:tcPr>
          <w:p>
            <w:pPr>
              <w:keepNext/>
              <w:spacing w:after="240"/>
              <w:jc w:val="right"/>
              <w:rPr>
                <w:noProof/>
                <w:sz w:val="22"/>
                <w:szCs w:val="22"/>
                <w:lang w:val="en-IE"/>
              </w:rPr>
            </w:pPr>
            <w:r>
              <w:rPr>
                <w:noProof/>
                <w:sz w:val="22"/>
                <w:szCs w:val="22"/>
                <w:lang w:val="en-IE"/>
              </w:rPr>
              <w:t>0.00</w:t>
            </w:r>
          </w:p>
        </w:tc>
        <w:tc>
          <w:tcPr>
            <w:tcW w:w="1417" w:type="dxa"/>
            <w:shd w:val="clear" w:color="auto" w:fill="auto"/>
          </w:tcPr>
          <w:p>
            <w:pPr>
              <w:keepNext/>
              <w:spacing w:after="240"/>
              <w:jc w:val="right"/>
              <w:rPr>
                <w:noProof/>
                <w:sz w:val="22"/>
                <w:szCs w:val="22"/>
                <w:lang w:val="en-IE"/>
              </w:rPr>
            </w:pPr>
            <w:r>
              <w:rPr>
                <w:noProof/>
                <w:sz w:val="22"/>
                <w:szCs w:val="22"/>
                <w:lang w:val="en-IE"/>
              </w:rPr>
              <w:t xml:space="preserve"> 30.17 </w:t>
            </w:r>
          </w:p>
        </w:tc>
      </w:tr>
      <w:tr>
        <w:tc>
          <w:tcPr>
            <w:tcW w:w="1416" w:type="dxa"/>
            <w:shd w:val="clear" w:color="auto" w:fill="auto"/>
          </w:tcPr>
          <w:p>
            <w:pPr>
              <w:keepNext/>
              <w:spacing w:after="240"/>
              <w:jc w:val="center"/>
              <w:rPr>
                <w:noProof/>
                <w:sz w:val="22"/>
                <w:szCs w:val="22"/>
                <w:lang w:val="en-IE"/>
              </w:rPr>
            </w:pPr>
            <w:r>
              <w:rPr>
                <w:noProof/>
                <w:sz w:val="22"/>
                <w:szCs w:val="22"/>
                <w:lang w:val="en-IE"/>
              </w:rPr>
              <w:t>2018</w:t>
            </w:r>
          </w:p>
        </w:tc>
        <w:tc>
          <w:tcPr>
            <w:tcW w:w="1430" w:type="dxa"/>
            <w:shd w:val="clear" w:color="auto" w:fill="auto"/>
            <w:vAlign w:val="center"/>
          </w:tcPr>
          <w:p>
            <w:pPr>
              <w:keepNext/>
              <w:spacing w:after="240"/>
              <w:jc w:val="right"/>
              <w:rPr>
                <w:noProof/>
                <w:sz w:val="22"/>
                <w:szCs w:val="22"/>
                <w:lang w:val="en-IE"/>
              </w:rPr>
            </w:pPr>
            <w:r>
              <w:rPr>
                <w:noProof/>
                <w:sz w:val="22"/>
                <w:szCs w:val="22"/>
                <w:lang w:val="en-IE"/>
              </w:rPr>
              <w:t>0</w:t>
            </w:r>
          </w:p>
        </w:tc>
        <w:tc>
          <w:tcPr>
            <w:tcW w:w="1407" w:type="dxa"/>
            <w:shd w:val="clear" w:color="auto" w:fill="auto"/>
            <w:vAlign w:val="center"/>
          </w:tcPr>
          <w:p>
            <w:pPr>
              <w:keepNext/>
              <w:spacing w:after="240"/>
              <w:jc w:val="right"/>
              <w:rPr>
                <w:noProof/>
                <w:sz w:val="22"/>
                <w:szCs w:val="22"/>
                <w:lang w:val="en-IE"/>
              </w:rPr>
            </w:pPr>
            <w:r>
              <w:rPr>
                <w:noProof/>
                <w:sz w:val="22"/>
                <w:szCs w:val="22"/>
                <w:lang w:val="en-IE"/>
              </w:rPr>
              <w:t>0.0</w:t>
            </w:r>
          </w:p>
        </w:tc>
        <w:tc>
          <w:tcPr>
            <w:tcW w:w="1417" w:type="dxa"/>
            <w:shd w:val="clear" w:color="auto" w:fill="auto"/>
            <w:vAlign w:val="center"/>
          </w:tcPr>
          <w:p>
            <w:pPr>
              <w:keepNext/>
              <w:spacing w:after="240"/>
              <w:jc w:val="right"/>
              <w:rPr>
                <w:noProof/>
                <w:sz w:val="22"/>
                <w:szCs w:val="22"/>
                <w:lang w:val="en-IE"/>
              </w:rPr>
            </w:pPr>
            <w:r>
              <w:rPr>
                <w:noProof/>
                <w:sz w:val="22"/>
                <w:szCs w:val="22"/>
                <w:lang w:val="en-IE"/>
              </w:rPr>
              <w:t>0.0</w:t>
            </w:r>
          </w:p>
        </w:tc>
        <w:tc>
          <w:tcPr>
            <w:tcW w:w="1418" w:type="dxa"/>
            <w:shd w:val="clear" w:color="auto" w:fill="auto"/>
            <w:vAlign w:val="center"/>
          </w:tcPr>
          <w:p>
            <w:pPr>
              <w:keepNext/>
              <w:spacing w:after="240"/>
              <w:jc w:val="right"/>
              <w:rPr>
                <w:noProof/>
                <w:sz w:val="22"/>
                <w:szCs w:val="22"/>
                <w:lang w:val="en-IE"/>
              </w:rPr>
            </w:pPr>
            <w:r>
              <w:rPr>
                <w:noProof/>
                <w:sz w:val="22"/>
                <w:szCs w:val="22"/>
                <w:lang w:val="en-IE"/>
              </w:rPr>
              <w:t>0.14</w:t>
            </w:r>
          </w:p>
        </w:tc>
        <w:tc>
          <w:tcPr>
            <w:tcW w:w="1417" w:type="dxa"/>
            <w:shd w:val="clear" w:color="auto" w:fill="auto"/>
            <w:vAlign w:val="center"/>
          </w:tcPr>
          <w:p>
            <w:pPr>
              <w:keepNext/>
              <w:spacing w:after="240"/>
              <w:jc w:val="right"/>
              <w:rPr>
                <w:noProof/>
                <w:sz w:val="22"/>
                <w:szCs w:val="22"/>
                <w:lang w:val="en-IE"/>
              </w:rPr>
            </w:pPr>
            <w:r>
              <w:rPr>
                <w:noProof/>
                <w:sz w:val="22"/>
                <w:szCs w:val="22"/>
                <w:lang w:val="en-IE"/>
              </w:rPr>
              <w:t>-0.14</w:t>
            </w:r>
          </w:p>
        </w:tc>
      </w:tr>
      <w:tr>
        <w:tc>
          <w:tcPr>
            <w:tcW w:w="1416" w:type="dxa"/>
            <w:shd w:val="clear" w:color="auto" w:fill="auto"/>
          </w:tcPr>
          <w:p>
            <w:pPr>
              <w:keepNext/>
              <w:spacing w:after="240"/>
              <w:jc w:val="center"/>
              <w:rPr>
                <w:noProof/>
                <w:sz w:val="22"/>
                <w:szCs w:val="22"/>
                <w:lang w:val="en-IE"/>
              </w:rPr>
            </w:pPr>
            <w:r>
              <w:rPr>
                <w:noProof/>
                <w:sz w:val="22"/>
                <w:szCs w:val="22"/>
                <w:lang w:val="en-IE"/>
              </w:rPr>
              <w:t>Total</w:t>
            </w:r>
          </w:p>
        </w:tc>
        <w:tc>
          <w:tcPr>
            <w:tcW w:w="1430" w:type="dxa"/>
            <w:shd w:val="clear" w:color="auto" w:fill="auto"/>
            <w:vAlign w:val="center"/>
          </w:tcPr>
          <w:p>
            <w:pPr>
              <w:keepNext/>
              <w:spacing w:after="240"/>
              <w:jc w:val="right"/>
              <w:rPr>
                <w:noProof/>
                <w:sz w:val="22"/>
                <w:szCs w:val="22"/>
                <w:lang w:val="en-IE"/>
              </w:rPr>
            </w:pPr>
            <w:r>
              <w:rPr>
                <w:noProof/>
                <w:sz w:val="22"/>
                <w:szCs w:val="22"/>
                <w:lang w:val="en-IE"/>
              </w:rPr>
              <w:t>4</w:t>
            </w:r>
          </w:p>
        </w:tc>
        <w:tc>
          <w:tcPr>
            <w:tcW w:w="1407" w:type="dxa"/>
            <w:shd w:val="clear" w:color="auto" w:fill="auto"/>
          </w:tcPr>
          <w:p>
            <w:pPr>
              <w:keepNext/>
              <w:spacing w:after="240"/>
              <w:jc w:val="right"/>
              <w:rPr>
                <w:noProof/>
                <w:sz w:val="22"/>
                <w:szCs w:val="22"/>
                <w:lang w:val="en-IE"/>
              </w:rPr>
            </w:pPr>
            <w:r>
              <w:rPr>
                <w:noProof/>
                <w:sz w:val="22"/>
                <w:szCs w:val="22"/>
                <w:lang w:val="en-IE"/>
              </w:rPr>
              <w:t xml:space="preserve"> 34.78 </w:t>
            </w:r>
          </w:p>
        </w:tc>
        <w:tc>
          <w:tcPr>
            <w:tcW w:w="1417" w:type="dxa"/>
            <w:shd w:val="clear" w:color="auto" w:fill="auto"/>
          </w:tcPr>
          <w:p>
            <w:pPr>
              <w:keepNext/>
              <w:spacing w:after="240"/>
              <w:jc w:val="right"/>
              <w:rPr>
                <w:noProof/>
                <w:sz w:val="22"/>
                <w:szCs w:val="22"/>
                <w:lang w:val="en-IE"/>
              </w:rPr>
            </w:pPr>
            <w:r>
              <w:rPr>
                <w:noProof/>
                <w:sz w:val="22"/>
                <w:szCs w:val="22"/>
                <w:lang w:val="en-IE"/>
              </w:rPr>
              <w:t xml:space="preserve"> 0.04 </w:t>
            </w:r>
          </w:p>
        </w:tc>
        <w:tc>
          <w:tcPr>
            <w:tcW w:w="1418" w:type="dxa"/>
            <w:shd w:val="clear" w:color="auto" w:fill="auto"/>
          </w:tcPr>
          <w:p>
            <w:pPr>
              <w:keepNext/>
              <w:spacing w:after="240"/>
              <w:jc w:val="right"/>
              <w:rPr>
                <w:noProof/>
                <w:sz w:val="22"/>
                <w:szCs w:val="22"/>
                <w:lang w:val="en-IE"/>
              </w:rPr>
            </w:pPr>
            <w:r>
              <w:rPr>
                <w:noProof/>
                <w:sz w:val="22"/>
                <w:szCs w:val="22"/>
                <w:lang w:val="en-IE"/>
              </w:rPr>
              <w:t xml:space="preserve"> 0.14 </w:t>
            </w:r>
          </w:p>
        </w:tc>
        <w:tc>
          <w:tcPr>
            <w:tcW w:w="1417" w:type="dxa"/>
            <w:shd w:val="clear" w:color="auto" w:fill="auto"/>
          </w:tcPr>
          <w:p>
            <w:pPr>
              <w:keepNext/>
              <w:spacing w:after="240"/>
              <w:jc w:val="right"/>
              <w:rPr>
                <w:noProof/>
                <w:sz w:val="22"/>
                <w:szCs w:val="22"/>
                <w:lang w:val="en-IE"/>
              </w:rPr>
            </w:pPr>
            <w:r>
              <w:rPr>
                <w:noProof/>
                <w:sz w:val="22"/>
                <w:szCs w:val="22"/>
                <w:lang w:val="en-IE"/>
              </w:rPr>
              <w:t xml:space="preserve"> 34.68 </w:t>
            </w:r>
          </w:p>
        </w:tc>
      </w:tr>
    </w:tbl>
    <w:p>
      <w:pPr>
        <w:spacing w:before="0" w:after="240"/>
        <w:rPr>
          <w:noProof/>
          <w:lang w:val="en-IE"/>
        </w:rPr>
      </w:pPr>
    </w:p>
    <w:p>
      <w:pPr>
        <w:spacing w:before="0" w:after="240"/>
        <w:rPr>
          <w:noProof/>
          <w:u w:val="single"/>
          <w:lang w:val="en-IE"/>
        </w:rPr>
      </w:pPr>
      <w:r>
        <w:rPr>
          <w:noProof/>
          <w:u w:val="single"/>
          <w:lang w:val="en-IE"/>
        </w:rPr>
        <w:t>Developments subsequent to 31 December 2018 (until 30 June 2019)</w:t>
      </w:r>
    </w:p>
    <w:p>
      <w:pPr>
        <w:spacing w:before="0"/>
        <w:rPr>
          <w:noProof/>
          <w:lang w:val="en-IE"/>
        </w:rPr>
      </w:pPr>
      <w:r>
        <w:rPr>
          <w:noProof/>
          <w:lang w:val="en-IE"/>
        </w:rPr>
        <w:t>In February and March 2019, EUR 10.6 million in total were paid in two calls for defaulted payments of Syria (EUR 3.2 million and EUR 7.4 million including penalties applied by EIB).</w:t>
      </w:r>
    </w:p>
    <w:p>
      <w:pPr>
        <w:pStyle w:val="ManualHeading2"/>
        <w:tabs>
          <w:tab w:val="clear" w:pos="850"/>
        </w:tabs>
        <w:ind w:left="567" w:hanging="567"/>
        <w:rPr>
          <w:noProof/>
          <w:lang w:val="en-IE"/>
        </w:rPr>
      </w:pPr>
      <w:bookmarkStart w:id="372" w:name="_Toc390944405"/>
      <w:bookmarkStart w:id="373" w:name="_Toc393969976"/>
      <w:bookmarkStart w:id="374" w:name="_Toc417461982"/>
      <w:bookmarkStart w:id="375" w:name="_Toc417998616"/>
      <w:bookmarkStart w:id="376" w:name="_Toc418157643"/>
      <w:bookmarkStart w:id="377" w:name="_Toc418160324"/>
      <w:bookmarkStart w:id="378" w:name="_Toc446577191"/>
      <w:bookmarkStart w:id="379" w:name="_Toc452646737"/>
      <w:bookmarkStart w:id="380" w:name="_Toc453161376"/>
      <w:bookmarkStart w:id="381" w:name="_Toc486601279"/>
      <w:bookmarkStart w:id="382" w:name="_Toc18597244"/>
      <w:r>
        <w:rPr>
          <w:noProof/>
          <w:lang w:val="en-IE"/>
        </w:rPr>
        <w:t>5.3</w:t>
      </w:r>
      <w:r>
        <w:rPr>
          <w:noProof/>
          <w:lang w:val="en-IE"/>
        </w:rPr>
        <w:tab/>
        <w:t>Evolution of the Fund</w:t>
      </w:r>
      <w:bookmarkEnd w:id="372"/>
      <w:bookmarkEnd w:id="373"/>
      <w:bookmarkEnd w:id="374"/>
      <w:bookmarkEnd w:id="375"/>
      <w:bookmarkEnd w:id="376"/>
      <w:bookmarkEnd w:id="377"/>
      <w:bookmarkEnd w:id="378"/>
      <w:bookmarkEnd w:id="379"/>
      <w:bookmarkEnd w:id="380"/>
      <w:bookmarkEnd w:id="381"/>
      <w:bookmarkEnd w:id="382"/>
    </w:p>
    <w:p>
      <w:pPr>
        <w:rPr>
          <w:noProof/>
          <w:lang w:val="en-IE"/>
        </w:rPr>
      </w:pPr>
      <w:r>
        <w:rPr>
          <w:noProof/>
          <w:lang w:val="en-IE"/>
        </w:rPr>
        <w:t>In accordance with the Regulation establishing the Guarantee Fund for External Actions ("the Guarantee Fund Regulation")</w:t>
      </w:r>
      <w:r>
        <w:rPr>
          <w:noProof/>
          <w:vertAlign w:val="superscript"/>
          <w:lang w:val="en-IE"/>
        </w:rPr>
        <w:footnoteReference w:id="42"/>
      </w:r>
      <w:r>
        <w:rPr>
          <w:noProof/>
          <w:lang w:val="en-IE"/>
        </w:rPr>
        <w:t>, the appropriate level (target amount) is set at 9% of the total outstanding capital liabilities arising from each operation, plus accrued interest. A provisioning mechanism is in place to ensure the target amount is met.</w:t>
      </w:r>
    </w:p>
    <w:p>
      <w:pPr>
        <w:rPr>
          <w:noProof/>
          <w:lang w:val="en-IE"/>
        </w:rPr>
      </w:pPr>
      <w:r>
        <w:rPr>
          <w:noProof/>
          <w:lang w:val="en-IE"/>
        </w:rPr>
        <w:t xml:space="preserve">On the basis of the provisioning mechanism, the EU budget paid </w:t>
      </w:r>
      <w:r>
        <w:rPr>
          <w:noProof/>
          <w:color w:val="000000"/>
          <w:lang w:val="en-IE"/>
        </w:rPr>
        <w:t>EUR </w:t>
      </w:r>
      <w:r>
        <w:rPr>
          <w:noProof/>
          <w:lang w:val="en-IE"/>
        </w:rPr>
        <w:t>137.8 </w:t>
      </w:r>
      <w:r>
        <w:rPr>
          <w:noProof/>
          <w:color w:val="000000"/>
          <w:lang w:val="en-IE"/>
        </w:rPr>
        <w:t xml:space="preserve">million to the Fund </w:t>
      </w:r>
      <w:r>
        <w:rPr>
          <w:noProof/>
          <w:lang w:val="en-IE"/>
        </w:rPr>
        <w:t xml:space="preserve">in February 2018, </w:t>
      </w:r>
      <w:r>
        <w:rPr>
          <w:noProof/>
          <w:color w:val="000000"/>
          <w:lang w:val="en-IE"/>
        </w:rPr>
        <w:t xml:space="preserve">while </w:t>
      </w:r>
      <w:r>
        <w:rPr>
          <w:noProof/>
          <w:lang w:val="en-IE"/>
        </w:rPr>
        <w:t>in February 2019 the respective payment amounted to EUR 103.2 million.</w:t>
      </w:r>
    </w:p>
    <w:p>
      <w:pPr>
        <w:rPr>
          <w:noProof/>
          <w:lang w:val="en-IE"/>
        </w:rPr>
      </w:pPr>
      <w:r>
        <w:rPr>
          <w:noProof/>
          <w:lang w:val="en-IE"/>
        </w:rPr>
        <w:t>At 31 December 2018, the net assets</w:t>
      </w:r>
      <w:r>
        <w:rPr>
          <w:rStyle w:val="Funotenzeichen"/>
          <w:noProof/>
          <w:lang w:val="en-IE"/>
        </w:rPr>
        <w:footnoteReference w:id="43"/>
      </w:r>
      <w:r>
        <w:rPr>
          <w:noProof/>
          <w:lang w:val="en-IE"/>
        </w:rPr>
        <w:t xml:space="preserve"> of the Fund amounted to</w:t>
      </w:r>
      <w:r>
        <w:rPr>
          <w:noProof/>
          <w:color w:val="000000"/>
          <w:lang w:val="en-IE"/>
        </w:rPr>
        <w:t xml:space="preserve"> EUR 2</w:t>
      </w:r>
      <w:r>
        <w:rPr>
          <w:noProof/>
          <w:lang w:val="en-IE"/>
        </w:rPr>
        <w:t> </w:t>
      </w:r>
      <w:r>
        <w:rPr>
          <w:noProof/>
          <w:color w:val="000000"/>
          <w:lang w:val="en-IE"/>
        </w:rPr>
        <w:t>608.84</w:t>
      </w:r>
      <w:r>
        <w:rPr>
          <w:noProof/>
          <w:lang w:val="en-IE"/>
        </w:rPr>
        <w:t> </w:t>
      </w:r>
      <w:r>
        <w:rPr>
          <w:noProof/>
          <w:color w:val="000000"/>
          <w:lang w:val="en-IE"/>
        </w:rPr>
        <w:t xml:space="preserve">million. </w:t>
      </w:r>
      <w:r>
        <w:rPr>
          <w:noProof/>
          <w:lang w:val="en-IE"/>
        </w:rPr>
        <w:t xml:space="preserve">Therefore, as the net assets of the Fund </w:t>
      </w:r>
      <w:r>
        <w:rPr>
          <w:noProof/>
          <w:color w:val="000000"/>
          <w:lang w:val="en-IE"/>
        </w:rPr>
        <w:t>were</w:t>
      </w:r>
      <w:r>
        <w:rPr>
          <w:noProof/>
          <w:lang w:val="en-IE"/>
        </w:rPr>
        <w:t xml:space="preserve"> lower than the target amount</w:t>
      </w:r>
      <w:r>
        <w:rPr>
          <w:rStyle w:val="FootnoteReference"/>
          <w:noProof/>
          <w:lang w:val="en-IE"/>
        </w:rPr>
        <w:footnoteReference w:id="44"/>
      </w:r>
      <w:r>
        <w:rPr>
          <w:noProof/>
          <w:lang w:val="en-IE"/>
        </w:rPr>
        <w:t xml:space="preserve"> (</w:t>
      </w:r>
      <w:r>
        <w:rPr>
          <w:noProof/>
          <w:color w:val="000000"/>
          <w:lang w:val="en-IE"/>
        </w:rPr>
        <w:t>EUR 2,848.99</w:t>
      </w:r>
      <w:r>
        <w:rPr>
          <w:noProof/>
          <w:lang w:val="en-IE"/>
        </w:rPr>
        <w:t> million</w:t>
      </w:r>
      <w:r>
        <w:rPr>
          <w:noProof/>
          <w:color w:val="000000"/>
          <w:lang w:val="en-IE"/>
        </w:rPr>
        <w:t>)</w:t>
      </w:r>
      <w:r>
        <w:rPr>
          <w:noProof/>
          <w:lang w:val="en-IE"/>
        </w:rPr>
        <w:t xml:space="preserve">, the Guarantee Fund will be provisioned by </w:t>
      </w:r>
      <w:r>
        <w:rPr>
          <w:noProof/>
          <w:color w:val="000000"/>
          <w:lang w:val="en-IE"/>
        </w:rPr>
        <w:t>EUR 240.15</w:t>
      </w:r>
      <w:r>
        <w:rPr>
          <w:noProof/>
          <w:lang w:val="en-IE"/>
        </w:rPr>
        <w:t> </w:t>
      </w:r>
      <w:r>
        <w:rPr>
          <w:noProof/>
          <w:color w:val="000000"/>
          <w:lang w:val="en-IE"/>
        </w:rPr>
        <w:t>million </w:t>
      </w:r>
      <w:r>
        <w:rPr>
          <w:noProof/>
          <w:lang w:val="en-IE"/>
        </w:rPr>
        <w:t xml:space="preserve"> in 2020.</w:t>
      </w:r>
    </w:p>
    <w:p>
      <w:pPr>
        <w:autoSpaceDE w:val="0"/>
        <w:autoSpaceDN w:val="0"/>
        <w:adjustRightInd w:val="0"/>
        <w:rPr>
          <w:noProof/>
          <w:lang w:val="en-IE"/>
        </w:rPr>
      </w:pPr>
      <w:r>
        <w:rPr>
          <w:noProof/>
          <w:lang w:val="en-IE"/>
        </w:rPr>
        <w:t xml:space="preserve">A review to assess the main parameters of the Fund, in particular the target amount, should be undertaken at the time of the mid-term review of the EIB external lending mandate. Therefore, an evaluation of the Guarantee Fund was carried out by an external contractor taking into account the risk profile of the Fund and its effectiveness in the light of the evolution of the external financing covered by the Fund and the related risks. The report was delivered in August 2016 and the main </w:t>
      </w:r>
      <w:r>
        <w:rPr>
          <w:bCs/>
          <w:noProof/>
          <w:lang w:val="en-IE"/>
        </w:rPr>
        <w:t>conclusion was that a</w:t>
      </w:r>
      <w:r>
        <w:rPr>
          <w:noProof/>
          <w:lang w:val="en-IE"/>
        </w:rPr>
        <w:t xml:space="preserve"> 9% Target Amount was still deemed optimal for the current risk level of the loan portfolio, even under a scenario of further rating downgrades of the main obligors. Therefore, the 9% Target Amount was kept unchanged.</w:t>
      </w:r>
    </w:p>
    <w:p>
      <w:pPr>
        <w:pStyle w:val="ManualHeading1"/>
        <w:tabs>
          <w:tab w:val="clear" w:pos="850"/>
          <w:tab w:val="left" w:pos="567"/>
        </w:tabs>
        <w:ind w:left="567" w:hanging="567"/>
        <w:rPr>
          <w:noProof/>
          <w:lang w:val="en-IE"/>
        </w:rPr>
      </w:pPr>
      <w:bookmarkStart w:id="383" w:name="_Toc18597245"/>
      <w:r>
        <w:rPr>
          <w:noProof/>
          <w:lang w:val="en-IE"/>
        </w:rPr>
        <w:t>6.</w:t>
      </w:r>
      <w:r>
        <w:rPr>
          <w:noProof/>
          <w:lang w:val="en-IE"/>
        </w:rPr>
        <w:tab/>
        <w:t>The European Fund for Strategic Investments (EFSI)</w:t>
      </w:r>
      <w:r>
        <w:rPr>
          <w:rStyle w:val="FootnoteReference"/>
          <w:noProof/>
          <w:lang w:val="en-IE"/>
        </w:rPr>
        <w:t xml:space="preserve"> </w:t>
      </w:r>
      <w:r>
        <w:rPr>
          <w:rStyle w:val="FootnoteReference"/>
          <w:noProof/>
          <w:lang w:val="en-IE"/>
        </w:rPr>
        <w:footnoteReference w:id="45"/>
      </w:r>
      <w:bookmarkEnd w:id="383"/>
    </w:p>
    <w:p>
      <w:pPr>
        <w:rPr>
          <w:noProof/>
          <w:lang w:val="en-IE"/>
        </w:rPr>
      </w:pPr>
      <w:r>
        <w:rPr>
          <w:noProof/>
          <w:lang w:val="en-IE"/>
        </w:rPr>
        <w:t>The EFSI Guarantee Fund is provisioned progressively taking into account the increase in exposure borne by the EU Guarantee.</w:t>
      </w:r>
    </w:p>
    <w:p>
      <w:pPr>
        <w:rPr>
          <w:noProof/>
          <w:lang w:val="en-IE"/>
        </w:rPr>
      </w:pPr>
      <w:r>
        <w:rPr>
          <w:noProof/>
          <w:lang w:val="en-IE"/>
        </w:rPr>
        <w:t>According to Article 12(4) of the EFSI Regulation, the resources of the EFSI GF are directly managed by the Commission and invested in accordance with the principle of sound financial management following appropriate prudential rules.</w:t>
      </w:r>
    </w:p>
    <w:p>
      <w:pPr>
        <w:rPr>
          <w:noProof/>
          <w:lang w:val="en-IE"/>
        </w:rPr>
      </w:pPr>
      <w:r>
        <w:rPr>
          <w:noProof/>
          <w:lang w:val="en-IE"/>
        </w:rPr>
        <w:t>The EIB and the EIF are responsible for assessing and monitoring the risk of the individual operations backed by the EU Guarantee. On the basis of this reporting and of coherent and prudent assumptions on future activity, the Commission ensures the adequacy of the target amount and the level of the EFSI GF under review. In line with Article 16(3) of the EFSI Regulation, the EIB and the EIF reported back to the Commission and the European Court of Auditors in March 2019.</w:t>
      </w:r>
    </w:p>
    <w:p>
      <w:pPr>
        <w:rPr>
          <w:noProof/>
          <w:lang w:val="en-IE"/>
        </w:rPr>
      </w:pPr>
      <w:r>
        <w:rPr>
          <w:noProof/>
          <w:lang w:val="en-IE"/>
        </w:rPr>
        <w:t>Pursuant to Article 16(2) of the EFSI Regulation, the annual report of the EIB to the European Parliament and Council shall contain specific information on the aggregate risk associated with the financing and investment operations carried out under the EFSI as well as on guarantee calls.</w:t>
      </w:r>
    </w:p>
    <w:p>
      <w:pPr>
        <w:rPr>
          <w:noProof/>
          <w:u w:val="single"/>
          <w:lang w:val="en-IE"/>
        </w:rPr>
      </w:pPr>
      <w:r>
        <w:rPr>
          <w:noProof/>
          <w:u w:val="single"/>
          <w:lang w:val="en-IE"/>
        </w:rPr>
        <w:t>Developments during 2018</w:t>
      </w:r>
      <w:r>
        <w:rPr>
          <w:rStyle w:val="FootnoteReference"/>
          <w:noProof/>
          <w:lang w:val="en-IE"/>
        </w:rPr>
        <w:footnoteReference w:id="46"/>
      </w:r>
    </w:p>
    <w:p>
      <w:pPr>
        <w:widowControl w:val="0"/>
        <w:autoSpaceDE w:val="0"/>
        <w:autoSpaceDN w:val="0"/>
        <w:adjustRightInd w:val="0"/>
        <w:rPr>
          <w:noProof/>
          <w:lang w:val="en-IE" w:eastAsia="en-GB"/>
        </w:rPr>
      </w:pPr>
      <w:r>
        <w:rPr>
          <w:noProof/>
          <w:lang w:val="en-IE" w:eastAsia="en-GB"/>
        </w:rPr>
        <w:t>As of 31 December 2018, total cumulated signatures under EFSI amounted to EUR 53.6 billion covering 28 Member States, of which EUR</w:t>
      </w:r>
      <w:r>
        <w:rPr>
          <w:noProof/>
          <w:lang w:val="en-IE"/>
        </w:rPr>
        <w:t> </w:t>
      </w:r>
      <w:r>
        <w:rPr>
          <w:noProof/>
          <w:lang w:val="en-IE" w:eastAsia="en-GB"/>
        </w:rPr>
        <w:t>39.1</w:t>
      </w:r>
      <w:r>
        <w:rPr>
          <w:noProof/>
          <w:lang w:val="en-IE"/>
        </w:rPr>
        <w:t> </w:t>
      </w:r>
      <w:r>
        <w:rPr>
          <w:noProof/>
          <w:lang w:val="en-IE" w:eastAsia="en-GB"/>
        </w:rPr>
        <w:t xml:space="preserve">billion were signed under the </w:t>
      </w:r>
      <w:r>
        <w:rPr>
          <w:rFonts w:eastAsia="Calibri"/>
          <w:noProof/>
          <w:lang w:val="en-IE"/>
        </w:rPr>
        <w:t>Innovation Window (</w:t>
      </w:r>
      <w:r>
        <w:rPr>
          <w:noProof/>
          <w:lang w:val="en-IE"/>
        </w:rPr>
        <w:t>IIW)</w:t>
      </w:r>
      <w:r>
        <w:rPr>
          <w:noProof/>
          <w:lang w:val="en-IE" w:eastAsia="en-GB"/>
        </w:rPr>
        <w:t xml:space="preserve"> (407 operations) and EUR</w:t>
      </w:r>
      <w:r>
        <w:rPr>
          <w:noProof/>
          <w:lang w:val="en-IE"/>
        </w:rPr>
        <w:t> </w:t>
      </w:r>
      <w:r>
        <w:rPr>
          <w:noProof/>
          <w:lang w:val="en-IE" w:eastAsia="en-GB"/>
        </w:rPr>
        <w:t>14.5</w:t>
      </w:r>
      <w:r>
        <w:rPr>
          <w:noProof/>
          <w:lang w:val="en-IE"/>
        </w:rPr>
        <w:t> </w:t>
      </w:r>
      <w:r>
        <w:rPr>
          <w:noProof/>
          <w:lang w:val="en-IE" w:eastAsia="en-GB"/>
        </w:rPr>
        <w:t>billion were signed under the SME window (SMEW) (470 operations). Overall, this represents a significant increase compared to 2017, at the end of which total signatures amounted to EUR</w:t>
      </w:r>
      <w:r>
        <w:rPr>
          <w:noProof/>
          <w:lang w:val="en-IE"/>
        </w:rPr>
        <w:t> </w:t>
      </w:r>
      <w:r>
        <w:rPr>
          <w:noProof/>
          <w:lang w:val="en-IE" w:eastAsia="en-GB"/>
        </w:rPr>
        <w:t>37.4</w:t>
      </w:r>
      <w:r>
        <w:rPr>
          <w:noProof/>
          <w:lang w:val="en-IE"/>
        </w:rPr>
        <w:t> </w:t>
      </w:r>
      <w:r>
        <w:rPr>
          <w:noProof/>
          <w:lang w:val="en-IE" w:eastAsia="en-GB"/>
        </w:rPr>
        <w:t xml:space="preserve">billion. </w:t>
      </w:r>
    </w:p>
    <w:p>
      <w:pPr>
        <w:widowControl w:val="0"/>
        <w:autoSpaceDE w:val="0"/>
        <w:autoSpaceDN w:val="0"/>
        <w:adjustRightInd w:val="0"/>
        <w:rPr>
          <w:noProof/>
          <w:lang w:val="en-IE" w:eastAsia="en-GB"/>
        </w:rPr>
      </w:pPr>
      <w:r>
        <w:rPr>
          <w:noProof/>
          <w:lang w:val="en-IE" w:eastAsia="en-GB"/>
        </w:rPr>
        <w:t>As of 31 December 2018, the overall outstanding disbursed exposure covered by the EU Guarantee amounted to nearly EUR</w:t>
      </w:r>
      <w:r>
        <w:rPr>
          <w:noProof/>
          <w:lang w:val="en-IE"/>
        </w:rPr>
        <w:t> </w:t>
      </w:r>
      <w:r>
        <w:rPr>
          <w:noProof/>
          <w:lang w:val="en-IE" w:eastAsia="en-GB"/>
        </w:rPr>
        <w:t>15.8</w:t>
      </w:r>
      <w:r>
        <w:rPr>
          <w:noProof/>
          <w:lang w:val="en-IE"/>
        </w:rPr>
        <w:t> </w:t>
      </w:r>
      <w:r>
        <w:rPr>
          <w:noProof/>
          <w:lang w:val="en-IE" w:eastAsia="en-GB"/>
        </w:rPr>
        <w:t>billion, up from EUR</w:t>
      </w:r>
      <w:r>
        <w:rPr>
          <w:noProof/>
          <w:lang w:val="en-IE"/>
        </w:rPr>
        <w:t> </w:t>
      </w:r>
      <w:r>
        <w:rPr>
          <w:noProof/>
          <w:lang w:val="en-IE" w:eastAsia="en-GB"/>
        </w:rPr>
        <w:t>10.1</w:t>
      </w:r>
      <w:r>
        <w:rPr>
          <w:noProof/>
          <w:lang w:val="en-IE"/>
        </w:rPr>
        <w:t> </w:t>
      </w:r>
      <w:r>
        <w:rPr>
          <w:noProof/>
          <w:lang w:val="en-IE" w:eastAsia="en-GB"/>
        </w:rPr>
        <w:t xml:space="preserve">billion in 2017. </w:t>
      </w:r>
    </w:p>
    <w:p>
      <w:pPr>
        <w:widowControl w:val="0"/>
        <w:autoSpaceDE w:val="0"/>
        <w:autoSpaceDN w:val="0"/>
        <w:adjustRightInd w:val="0"/>
        <w:rPr>
          <w:noProof/>
          <w:lang w:val="en-IE" w:eastAsia="en-GB"/>
        </w:rPr>
      </w:pPr>
      <w:r>
        <w:rPr>
          <w:noProof/>
          <w:lang w:val="en-IE" w:eastAsia="en-GB"/>
        </w:rPr>
        <w:t>The exposure of the EU budget to possible future payments under the EU Guarantee in terms of signed operations (disbursed and undisbursed) amounted to EUR</w:t>
      </w:r>
      <w:r>
        <w:rPr>
          <w:noProof/>
          <w:lang w:val="en-IE"/>
        </w:rPr>
        <w:t> </w:t>
      </w:r>
      <w:r>
        <w:rPr>
          <w:noProof/>
          <w:lang w:val="en-IE" w:eastAsia="en-GB"/>
        </w:rPr>
        <w:t>19.8</w:t>
      </w:r>
      <w:r>
        <w:rPr>
          <w:noProof/>
          <w:lang w:val="en-IE"/>
        </w:rPr>
        <w:t> </w:t>
      </w:r>
      <w:r>
        <w:rPr>
          <w:noProof/>
          <w:lang w:val="en-IE" w:eastAsia="en-GB"/>
        </w:rPr>
        <w:t>billion.</w:t>
      </w:r>
    </w:p>
    <w:p>
      <w:pPr>
        <w:widowControl w:val="0"/>
        <w:autoSpaceDE w:val="0"/>
        <w:autoSpaceDN w:val="0"/>
        <w:adjustRightInd w:val="0"/>
        <w:rPr>
          <w:noProof/>
          <w:lang w:val="en-IE" w:eastAsia="en-GB"/>
        </w:rPr>
      </w:pPr>
      <w:r>
        <w:rPr>
          <w:noProof/>
          <w:lang w:val="en-IE"/>
        </w:rPr>
        <w:t>The guarantee exposure of the EU in relation to disbursed outstanding EFSI operations by the EIB Group amounted to EUR 15.8 billion, as at 31 December 2018, out of the net available legal commitment</w:t>
      </w:r>
      <w:r>
        <w:rPr>
          <w:noProof/>
          <w:vertAlign w:val="superscript"/>
          <w:lang w:val="en-IE" w:eastAsia="en-GB"/>
        </w:rPr>
        <w:footnoteReference w:id="47"/>
      </w:r>
      <w:r>
        <w:rPr>
          <w:noProof/>
          <w:lang w:val="en-IE" w:eastAsia="en-GB"/>
        </w:rPr>
        <w:t xml:space="preserve"> </w:t>
      </w:r>
      <w:r>
        <w:rPr>
          <w:noProof/>
          <w:lang w:val="en-IE"/>
        </w:rPr>
        <w:t>of EUR 25.9 billion guaranteed by the EU. The amount of EUR 15.8 billion is recorded as a contingent liability in the notes to the 2018 financial statements of the EU.</w:t>
      </w:r>
    </w:p>
    <w:p>
      <w:pPr>
        <w:widowControl w:val="0"/>
        <w:autoSpaceDE w:val="0"/>
        <w:autoSpaceDN w:val="0"/>
        <w:adjustRightInd w:val="0"/>
        <w:rPr>
          <w:noProof/>
          <w:lang w:val="en-IE" w:eastAsia="en-GB"/>
        </w:rPr>
      </w:pPr>
      <w:r>
        <w:rPr>
          <w:noProof/>
          <w:lang w:val="en-IE" w:eastAsia="en-GB"/>
        </w:rPr>
        <w:t>Under the Infrastructure and Innovation Window (IIW), the outstanding disbursed exposure covered by the EU Guarantee was EUR</w:t>
      </w:r>
      <w:r>
        <w:rPr>
          <w:noProof/>
          <w:lang w:val="en-IE"/>
        </w:rPr>
        <w:t> </w:t>
      </w:r>
      <w:r>
        <w:rPr>
          <w:noProof/>
          <w:lang w:val="en-IE" w:eastAsia="en-GB"/>
        </w:rPr>
        <w:t>14.8</w:t>
      </w:r>
      <w:r>
        <w:rPr>
          <w:noProof/>
          <w:lang w:val="en-IE"/>
        </w:rPr>
        <w:t> </w:t>
      </w:r>
      <w:r>
        <w:rPr>
          <w:noProof/>
          <w:lang w:val="en-IE" w:eastAsia="en-GB"/>
        </w:rPr>
        <w:t>billion, of which EUR</w:t>
      </w:r>
      <w:r>
        <w:rPr>
          <w:noProof/>
          <w:lang w:val="en-IE"/>
        </w:rPr>
        <w:t> </w:t>
      </w:r>
      <w:r>
        <w:rPr>
          <w:noProof/>
          <w:lang w:val="en-IE" w:eastAsia="en-GB"/>
        </w:rPr>
        <w:t>14.2</w:t>
      </w:r>
      <w:r>
        <w:rPr>
          <w:noProof/>
          <w:lang w:val="en-IE"/>
        </w:rPr>
        <w:t> </w:t>
      </w:r>
      <w:r>
        <w:rPr>
          <w:noProof/>
          <w:lang w:val="en-IE" w:eastAsia="en-GB"/>
        </w:rPr>
        <w:t>billion for debt operations and EUR</w:t>
      </w:r>
      <w:r>
        <w:rPr>
          <w:noProof/>
          <w:lang w:val="en-IE"/>
        </w:rPr>
        <w:t> </w:t>
      </w:r>
      <w:r>
        <w:rPr>
          <w:noProof/>
          <w:lang w:val="en-IE" w:eastAsia="en-GB"/>
        </w:rPr>
        <w:t>600</w:t>
      </w:r>
      <w:r>
        <w:rPr>
          <w:noProof/>
          <w:lang w:val="en-IE"/>
        </w:rPr>
        <w:t> </w:t>
      </w:r>
      <w:r>
        <w:rPr>
          <w:noProof/>
          <w:lang w:val="en-IE" w:eastAsia="en-GB"/>
        </w:rPr>
        <w:t>million for equity-type operations.</w:t>
      </w:r>
    </w:p>
    <w:p>
      <w:pPr>
        <w:widowControl w:val="0"/>
        <w:autoSpaceDE w:val="0"/>
        <w:autoSpaceDN w:val="0"/>
        <w:adjustRightInd w:val="0"/>
        <w:rPr>
          <w:noProof/>
          <w:lang w:val="en-IE" w:eastAsia="en-GB"/>
        </w:rPr>
      </w:pPr>
      <w:r>
        <w:rPr>
          <w:noProof/>
          <w:lang w:val="en-IE" w:eastAsia="en-GB"/>
        </w:rPr>
        <w:t xml:space="preserve">In 2018, </w:t>
      </w:r>
      <w:r>
        <w:rPr>
          <w:rFonts w:eastAsia="Calibri"/>
          <w:noProof/>
          <w:lang w:val="en-IE"/>
        </w:rPr>
        <w:t>EFSI operations managed by the EIB under the Infrastructure and Innovation Window (</w:t>
      </w:r>
      <w:r>
        <w:rPr>
          <w:noProof/>
          <w:lang w:val="en-IE"/>
        </w:rPr>
        <w:t>IIW)</w:t>
      </w:r>
      <w:r>
        <w:rPr>
          <w:rFonts w:eastAsia="Calibri"/>
          <w:noProof/>
          <w:lang w:val="en-IE"/>
        </w:rPr>
        <w:t xml:space="preserve"> generated a net revenue of EUR</w:t>
      </w:r>
      <w:r>
        <w:rPr>
          <w:noProof/>
          <w:lang w:val="en-IE"/>
        </w:rPr>
        <w:t> </w:t>
      </w:r>
      <w:r>
        <w:rPr>
          <w:noProof/>
          <w:lang w:val="en-IE" w:eastAsia="en-GB"/>
        </w:rPr>
        <w:t>112.7</w:t>
      </w:r>
      <w:r>
        <w:rPr>
          <w:noProof/>
          <w:lang w:val="en-IE"/>
        </w:rPr>
        <w:t> </w:t>
      </w:r>
      <w:r>
        <w:rPr>
          <w:rFonts w:eastAsia="Calibri"/>
          <w:noProof/>
          <w:lang w:val="en-IE"/>
        </w:rPr>
        <w:t xml:space="preserve">million for the EU. Of this amount, </w:t>
      </w:r>
      <w:r>
        <w:rPr>
          <w:noProof/>
          <w:lang w:val="en-IE" w:eastAsia="en-GB"/>
        </w:rPr>
        <w:t>a net receivable of the Commission from the EIB as at 31 December 2018 of EUR 38.9 million</w:t>
      </w:r>
      <w:r>
        <w:rPr>
          <w:noProof/>
          <w:vertAlign w:val="superscript"/>
          <w:lang w:val="en-IE" w:eastAsia="en-GB"/>
        </w:rPr>
        <w:footnoteReference w:id="48"/>
      </w:r>
      <w:r>
        <w:rPr>
          <w:noProof/>
          <w:lang w:val="en-IE" w:eastAsia="en-GB"/>
        </w:rPr>
        <w:t xml:space="preserve"> was recorded in the 2018 EU financial statements. </w:t>
      </w:r>
    </w:p>
    <w:p>
      <w:pPr>
        <w:widowControl w:val="0"/>
        <w:autoSpaceDE w:val="0"/>
        <w:autoSpaceDN w:val="0"/>
        <w:adjustRightInd w:val="0"/>
        <w:rPr>
          <w:noProof/>
          <w:lang w:val="en-IE" w:eastAsia="en-GB"/>
        </w:rPr>
      </w:pPr>
      <w:r>
        <w:rPr>
          <w:noProof/>
          <w:lang w:val="en-IE" w:eastAsia="en-GB"/>
        </w:rPr>
        <w:t>As of 31 December 2018, under SME window (SMEW), the total outstanding exposure covered by the EU Guarantee was EUR</w:t>
      </w:r>
      <w:r>
        <w:rPr>
          <w:noProof/>
          <w:lang w:val="en-IE"/>
        </w:rPr>
        <w:t> </w:t>
      </w:r>
      <w:r>
        <w:rPr>
          <w:noProof/>
          <w:lang w:val="en-IE" w:eastAsia="en-GB"/>
        </w:rPr>
        <w:t>995</w:t>
      </w:r>
      <w:r>
        <w:rPr>
          <w:noProof/>
          <w:lang w:val="en-IE"/>
        </w:rPr>
        <w:t> </w:t>
      </w:r>
      <w:r>
        <w:rPr>
          <w:noProof/>
          <w:lang w:val="en-IE" w:eastAsia="en-GB"/>
        </w:rPr>
        <w:t>million, of which EUR</w:t>
      </w:r>
      <w:r>
        <w:rPr>
          <w:noProof/>
          <w:lang w:val="en-IE"/>
        </w:rPr>
        <w:t> </w:t>
      </w:r>
      <w:r>
        <w:rPr>
          <w:noProof/>
          <w:lang w:val="en-IE" w:eastAsia="en-GB"/>
        </w:rPr>
        <w:t>880</w:t>
      </w:r>
      <w:r>
        <w:rPr>
          <w:noProof/>
          <w:lang w:val="en-IE"/>
        </w:rPr>
        <w:t> </w:t>
      </w:r>
      <w:r>
        <w:rPr>
          <w:noProof/>
          <w:lang w:val="en-IE" w:eastAsia="en-GB"/>
        </w:rPr>
        <w:t>million for guarantee operations and EUR</w:t>
      </w:r>
      <w:r>
        <w:rPr>
          <w:noProof/>
          <w:lang w:val="en-IE"/>
        </w:rPr>
        <w:t> </w:t>
      </w:r>
      <w:r>
        <w:rPr>
          <w:noProof/>
          <w:lang w:val="en-IE" w:eastAsia="en-GB"/>
        </w:rPr>
        <w:t>115</w:t>
      </w:r>
      <w:r>
        <w:rPr>
          <w:noProof/>
          <w:lang w:val="en-IE"/>
        </w:rPr>
        <w:t> </w:t>
      </w:r>
      <w:r>
        <w:rPr>
          <w:noProof/>
          <w:lang w:val="en-IE" w:eastAsia="en-GB"/>
        </w:rPr>
        <w:t>million for equity operations.</w:t>
      </w:r>
    </w:p>
    <w:p>
      <w:pPr>
        <w:widowControl w:val="0"/>
        <w:autoSpaceDE w:val="0"/>
        <w:autoSpaceDN w:val="0"/>
        <w:adjustRightInd w:val="0"/>
        <w:rPr>
          <w:rFonts w:eastAsia="Calibri"/>
          <w:noProof/>
          <w:lang w:val="en-IE"/>
        </w:rPr>
      </w:pPr>
      <w:r>
        <w:rPr>
          <w:rFonts w:eastAsia="Calibri"/>
          <w:noProof/>
          <w:lang w:val="en-IE"/>
        </w:rPr>
        <w:t>For the EFSI operations under the SME Window (SMEW), the EU incurred costs of EUR 30.3</w:t>
      </w:r>
      <w:r>
        <w:rPr>
          <w:noProof/>
          <w:lang w:val="en-IE"/>
        </w:rPr>
        <w:t> </w:t>
      </w:r>
      <w:r>
        <w:rPr>
          <w:rFonts w:eastAsia="Calibri"/>
          <w:noProof/>
          <w:lang w:val="en-IE"/>
        </w:rPr>
        <w:t>million in 2018. Out of this, EIF administrative fees of EUR</w:t>
      </w:r>
      <w:r>
        <w:rPr>
          <w:noProof/>
          <w:lang w:val="en-IE"/>
        </w:rPr>
        <w:t> </w:t>
      </w:r>
      <w:r>
        <w:rPr>
          <w:rFonts w:eastAsia="Calibri"/>
          <w:noProof/>
          <w:lang w:val="en-IE"/>
        </w:rPr>
        <w:t>21.9</w:t>
      </w:r>
      <w:r>
        <w:rPr>
          <w:noProof/>
          <w:lang w:val="en-IE"/>
        </w:rPr>
        <w:t> </w:t>
      </w:r>
      <w:r>
        <w:rPr>
          <w:rFonts w:eastAsia="Calibri"/>
          <w:noProof/>
          <w:lang w:val="en-IE"/>
        </w:rPr>
        <w:t>million recorded in the 2018 EU financial statements are payable to the EIF on or after 30 June 2019.</w:t>
      </w:r>
    </w:p>
    <w:p>
      <w:pPr>
        <w:widowControl w:val="0"/>
        <w:autoSpaceDE w:val="0"/>
        <w:autoSpaceDN w:val="0"/>
        <w:adjustRightInd w:val="0"/>
        <w:rPr>
          <w:noProof/>
          <w:lang w:val="en-IE" w:eastAsia="en-GB"/>
        </w:rPr>
      </w:pPr>
      <w:r>
        <w:rPr>
          <w:noProof/>
          <w:lang w:val="en-IE" w:eastAsia="en-GB"/>
        </w:rPr>
        <w:t>The total assets of the EFSI GF</w:t>
      </w:r>
      <w:r>
        <w:rPr>
          <w:noProof/>
          <w:sz w:val="20"/>
          <w:szCs w:val="20"/>
          <w:vertAlign w:val="superscript"/>
          <w:lang w:val="en-IE" w:eastAsia="en-GB"/>
        </w:rPr>
        <w:footnoteReference w:id="49"/>
      </w:r>
      <w:r>
        <w:rPr>
          <w:noProof/>
          <w:lang w:val="en-IE" w:eastAsia="en-GB"/>
        </w:rPr>
        <w:t xml:space="preserve"> stood at EUR 5</w:t>
      </w:r>
      <w:r>
        <w:rPr>
          <w:noProof/>
          <w:lang w:val="en-IE"/>
        </w:rPr>
        <w:t> </w:t>
      </w:r>
      <w:r>
        <w:rPr>
          <w:noProof/>
          <w:lang w:val="en-IE" w:eastAsia="en-GB"/>
        </w:rPr>
        <w:t>452</w:t>
      </w:r>
      <w:r>
        <w:rPr>
          <w:noProof/>
          <w:lang w:val="en-IE"/>
        </w:rPr>
        <w:t> </w:t>
      </w:r>
      <w:r>
        <w:rPr>
          <w:noProof/>
          <w:lang w:val="en-IE" w:eastAsia="en-GB"/>
        </w:rPr>
        <w:t>million as at 31 December 2018. The assets comprised the investment securities portfolio, classified as available-for-sale (EUR 5 000</w:t>
      </w:r>
      <w:r>
        <w:rPr>
          <w:noProof/>
          <w:lang w:val="en-IE"/>
        </w:rPr>
        <w:t> </w:t>
      </w:r>
      <w:r>
        <w:rPr>
          <w:noProof/>
          <w:lang w:val="en-IE" w:eastAsia="en-GB"/>
        </w:rPr>
        <w:t>million), an FX forward sale of USD with positive net present value, classified as financial assets at fair value through surplus and deficit (EUR</w:t>
      </w:r>
      <w:r>
        <w:rPr>
          <w:noProof/>
          <w:lang w:val="en-IE"/>
        </w:rPr>
        <w:t> </w:t>
      </w:r>
      <w:r>
        <w:rPr>
          <w:noProof/>
          <w:lang w:val="en-IE" w:eastAsia="en-GB"/>
        </w:rPr>
        <w:t>2</w:t>
      </w:r>
      <w:r>
        <w:rPr>
          <w:noProof/>
          <w:lang w:val="en-IE"/>
        </w:rPr>
        <w:t> </w:t>
      </w:r>
      <w:r>
        <w:rPr>
          <w:noProof/>
          <w:lang w:val="en-IE" w:eastAsia="en-GB"/>
        </w:rPr>
        <w:t>million), and cash and cash equivalents (EUR</w:t>
      </w:r>
      <w:r>
        <w:rPr>
          <w:noProof/>
          <w:lang w:val="en-IE"/>
        </w:rPr>
        <w:t> </w:t>
      </w:r>
      <w:r>
        <w:rPr>
          <w:noProof/>
          <w:lang w:val="en-IE" w:eastAsia="en-GB"/>
        </w:rPr>
        <w:t>450</w:t>
      </w:r>
      <w:r>
        <w:rPr>
          <w:noProof/>
          <w:lang w:val="en-IE"/>
        </w:rPr>
        <w:t> </w:t>
      </w:r>
      <w:r>
        <w:rPr>
          <w:noProof/>
          <w:lang w:val="en-IE" w:eastAsia="en-GB"/>
        </w:rPr>
        <w:t>million).</w:t>
      </w:r>
    </w:p>
    <w:p>
      <w:pPr>
        <w:rPr>
          <w:noProof/>
          <w:u w:val="single"/>
          <w:lang w:val="en-IE"/>
        </w:rPr>
      </w:pPr>
      <w:r>
        <w:rPr>
          <w:noProof/>
          <w:u w:val="single"/>
          <w:lang w:val="en-IE"/>
        </w:rPr>
        <w:t xml:space="preserve">Provisioning of the EFSI Guarantee Fund </w:t>
      </w:r>
      <w:bookmarkStart w:id="384" w:name="_Toc3825655"/>
      <w:bookmarkStart w:id="385" w:name="_Toc5195735"/>
      <w:bookmarkStart w:id="386" w:name="_Toc449689412"/>
      <w:bookmarkStart w:id="387" w:name="_Toc477528176"/>
      <w:bookmarkStart w:id="388" w:name="_Toc477855453"/>
    </w:p>
    <w:bookmarkEnd w:id="384"/>
    <w:bookmarkEnd w:id="385"/>
    <w:bookmarkEnd w:id="386"/>
    <w:bookmarkEnd w:id="387"/>
    <w:bookmarkEnd w:id="388"/>
    <w:p>
      <w:pPr>
        <w:widowControl w:val="0"/>
        <w:autoSpaceDE w:val="0"/>
        <w:autoSpaceDN w:val="0"/>
        <w:adjustRightInd w:val="0"/>
        <w:rPr>
          <w:noProof/>
          <w:szCs w:val="20"/>
          <w:lang w:val="en-IE" w:eastAsia="de-DE"/>
        </w:rPr>
      </w:pPr>
      <w:r>
        <w:rPr>
          <w:noProof/>
          <w:szCs w:val="20"/>
          <w:lang w:val="en-IE" w:eastAsia="de-DE"/>
        </w:rPr>
        <w:t>A total budgetary appropriation of EUR</w:t>
      </w:r>
      <w:r>
        <w:rPr>
          <w:noProof/>
          <w:lang w:val="en-IE"/>
        </w:rPr>
        <w:t> </w:t>
      </w:r>
      <w:r>
        <w:rPr>
          <w:noProof/>
          <w:szCs w:val="20"/>
          <w:lang w:val="en-IE" w:eastAsia="de-DE"/>
        </w:rPr>
        <w:t>2</w:t>
      </w:r>
      <w:r>
        <w:rPr>
          <w:noProof/>
          <w:lang w:val="en-IE"/>
        </w:rPr>
        <w:t> </w:t>
      </w:r>
      <w:r>
        <w:rPr>
          <w:noProof/>
          <w:szCs w:val="20"/>
          <w:lang w:val="en-IE" w:eastAsia="de-DE"/>
        </w:rPr>
        <w:t>069</w:t>
      </w:r>
      <w:r>
        <w:rPr>
          <w:noProof/>
          <w:lang w:val="en-IE"/>
        </w:rPr>
        <w:t> </w:t>
      </w:r>
      <w:r>
        <w:rPr>
          <w:noProof/>
          <w:szCs w:val="20"/>
          <w:lang w:val="en-IE" w:eastAsia="de-DE"/>
        </w:rPr>
        <w:t>million was committed in 2018 relating to the provisioning of the EFSI GF. Of this amount, a budgetary appropriation of EUR</w:t>
      </w:r>
      <w:r>
        <w:rPr>
          <w:noProof/>
          <w:lang w:val="en-IE"/>
        </w:rPr>
        <w:t> </w:t>
      </w:r>
      <w:r>
        <w:rPr>
          <w:noProof/>
          <w:szCs w:val="20"/>
          <w:lang w:val="en-IE" w:eastAsia="de-DE"/>
        </w:rPr>
        <w:t>1</w:t>
      </w:r>
      <w:r>
        <w:rPr>
          <w:noProof/>
          <w:lang w:val="en-IE"/>
        </w:rPr>
        <w:t> </w:t>
      </w:r>
      <w:r>
        <w:rPr>
          <w:noProof/>
          <w:szCs w:val="20"/>
          <w:lang w:val="en-IE" w:eastAsia="de-DE"/>
        </w:rPr>
        <w:t>905</w:t>
      </w:r>
      <w:r>
        <w:rPr>
          <w:noProof/>
          <w:lang w:val="en-IE"/>
        </w:rPr>
        <w:t> </w:t>
      </w:r>
      <w:r>
        <w:rPr>
          <w:noProof/>
          <w:szCs w:val="20"/>
          <w:lang w:val="en-IE" w:eastAsia="de-DE"/>
        </w:rPr>
        <w:t>million was committed in compliance with Commission Decision C(2018)307. Additional commitment appropriations for an amount of EUR</w:t>
      </w:r>
      <w:r>
        <w:rPr>
          <w:noProof/>
          <w:lang w:val="en-IE"/>
        </w:rPr>
        <w:t> </w:t>
      </w:r>
      <w:r>
        <w:rPr>
          <w:noProof/>
          <w:szCs w:val="20"/>
          <w:lang w:val="en-IE" w:eastAsia="de-DE"/>
        </w:rPr>
        <w:t>105</w:t>
      </w:r>
      <w:r>
        <w:rPr>
          <w:noProof/>
          <w:lang w:val="en-IE"/>
        </w:rPr>
        <w:t> </w:t>
      </w:r>
      <w:r>
        <w:rPr>
          <w:noProof/>
          <w:szCs w:val="20"/>
          <w:lang w:val="en-IE" w:eastAsia="de-DE"/>
        </w:rPr>
        <w:t>million were made available from the budget line "Reserves for Financial Interventions". Finally, an amount of EUR</w:t>
      </w:r>
      <w:r>
        <w:rPr>
          <w:noProof/>
          <w:lang w:val="en-IE"/>
        </w:rPr>
        <w:t> </w:t>
      </w:r>
      <w:r>
        <w:rPr>
          <w:noProof/>
          <w:szCs w:val="20"/>
          <w:lang w:val="en-IE" w:eastAsia="de-DE"/>
        </w:rPr>
        <w:t>59</w:t>
      </w:r>
      <w:r>
        <w:rPr>
          <w:noProof/>
          <w:lang w:val="en-IE"/>
        </w:rPr>
        <w:t> </w:t>
      </w:r>
      <w:r>
        <w:rPr>
          <w:noProof/>
          <w:szCs w:val="20"/>
          <w:lang w:val="en-IE" w:eastAsia="de-DE"/>
        </w:rPr>
        <w:t xml:space="preserve">million was committed as assigned revenue. </w:t>
      </w:r>
    </w:p>
    <w:p>
      <w:pPr>
        <w:widowControl w:val="0"/>
        <w:autoSpaceDE w:val="0"/>
        <w:autoSpaceDN w:val="0"/>
        <w:adjustRightInd w:val="0"/>
        <w:rPr>
          <w:noProof/>
          <w:szCs w:val="20"/>
          <w:lang w:val="en-IE" w:eastAsia="de-DE"/>
        </w:rPr>
      </w:pPr>
      <w:r>
        <w:rPr>
          <w:noProof/>
          <w:szCs w:val="20"/>
          <w:lang w:val="en-IE" w:eastAsia="de-DE"/>
        </w:rPr>
        <w:t>A total amount of EUR</w:t>
      </w:r>
      <w:r>
        <w:rPr>
          <w:noProof/>
          <w:lang w:val="en-IE"/>
        </w:rPr>
        <w:t> </w:t>
      </w:r>
      <w:r>
        <w:rPr>
          <w:noProof/>
          <w:szCs w:val="20"/>
          <w:lang w:val="en-IE" w:eastAsia="de-DE"/>
        </w:rPr>
        <w:t>2</w:t>
      </w:r>
      <w:r>
        <w:rPr>
          <w:noProof/>
          <w:lang w:val="en-IE"/>
        </w:rPr>
        <w:t> </w:t>
      </w:r>
      <w:r>
        <w:rPr>
          <w:noProof/>
          <w:szCs w:val="20"/>
          <w:lang w:val="en-IE" w:eastAsia="de-DE"/>
        </w:rPr>
        <w:t>014</w:t>
      </w:r>
      <w:r>
        <w:rPr>
          <w:noProof/>
          <w:lang w:val="en-IE"/>
        </w:rPr>
        <w:t> </w:t>
      </w:r>
      <w:r>
        <w:rPr>
          <w:noProof/>
          <w:szCs w:val="20"/>
          <w:lang w:val="en-IE" w:eastAsia="de-DE"/>
        </w:rPr>
        <w:t>million was effectively paid into the EFSI GF during the year. Of this, the bulk came from payment appropriations of the general budget of the EU, while an amount of EUR</w:t>
      </w:r>
      <w:r>
        <w:rPr>
          <w:noProof/>
          <w:lang w:val="en-IE"/>
        </w:rPr>
        <w:t> </w:t>
      </w:r>
      <w:r>
        <w:rPr>
          <w:noProof/>
          <w:szCs w:val="20"/>
          <w:lang w:val="en-IE" w:eastAsia="de-DE"/>
        </w:rPr>
        <w:t>59</w:t>
      </w:r>
      <w:r>
        <w:rPr>
          <w:noProof/>
          <w:lang w:val="en-IE"/>
        </w:rPr>
        <w:t> </w:t>
      </w:r>
      <w:r>
        <w:rPr>
          <w:noProof/>
          <w:szCs w:val="20"/>
          <w:lang w:val="en-IE" w:eastAsia="de-DE"/>
        </w:rPr>
        <w:t>million was recovered as assigned revenue (EUR</w:t>
      </w:r>
      <w:r>
        <w:rPr>
          <w:noProof/>
          <w:lang w:val="en-IE"/>
        </w:rPr>
        <w:t> </w:t>
      </w:r>
      <w:r>
        <w:rPr>
          <w:noProof/>
          <w:szCs w:val="20"/>
          <w:lang w:val="en-IE" w:eastAsia="de-DE"/>
        </w:rPr>
        <w:t>53.4</w:t>
      </w:r>
      <w:r>
        <w:rPr>
          <w:noProof/>
          <w:lang w:val="en-IE"/>
        </w:rPr>
        <w:t> </w:t>
      </w:r>
      <w:r>
        <w:rPr>
          <w:noProof/>
          <w:szCs w:val="20"/>
          <w:lang w:val="en-IE" w:eastAsia="de-DE"/>
        </w:rPr>
        <w:t>million from EFSI revenues and EUR</w:t>
      </w:r>
      <w:r>
        <w:rPr>
          <w:noProof/>
          <w:lang w:val="en-IE"/>
        </w:rPr>
        <w:t> </w:t>
      </w:r>
      <w:r>
        <w:rPr>
          <w:noProof/>
          <w:szCs w:val="20"/>
          <w:lang w:val="en-IE" w:eastAsia="de-DE"/>
        </w:rPr>
        <w:t>5.6</w:t>
      </w:r>
      <w:r>
        <w:rPr>
          <w:noProof/>
          <w:lang w:val="en-IE"/>
        </w:rPr>
        <w:t> </w:t>
      </w:r>
      <w:r>
        <w:rPr>
          <w:noProof/>
          <w:szCs w:val="20"/>
          <w:lang w:val="en-IE" w:eastAsia="de-DE"/>
        </w:rPr>
        <w:t>million from Marguerite Fund revenues) and an amount of EUR</w:t>
      </w:r>
      <w:r>
        <w:rPr>
          <w:noProof/>
          <w:lang w:val="en-IE"/>
        </w:rPr>
        <w:t> </w:t>
      </w:r>
      <w:r>
        <w:rPr>
          <w:noProof/>
          <w:szCs w:val="20"/>
          <w:lang w:val="en-IE" w:eastAsia="de-DE"/>
        </w:rPr>
        <w:t>154.9</w:t>
      </w:r>
      <w:r>
        <w:rPr>
          <w:noProof/>
          <w:lang w:val="en-IE"/>
        </w:rPr>
        <w:t> </w:t>
      </w:r>
      <w:r>
        <w:rPr>
          <w:noProof/>
          <w:szCs w:val="20"/>
          <w:lang w:val="en-IE" w:eastAsia="de-DE"/>
        </w:rPr>
        <w:t>million was transferred as additional payment appropriations at the end of the budgetary year.</w:t>
      </w:r>
    </w:p>
    <w:p>
      <w:pPr>
        <w:rPr>
          <w:noProof/>
          <w:u w:val="single"/>
          <w:lang w:val="en-IE"/>
        </w:rPr>
      </w:pPr>
      <w:r>
        <w:rPr>
          <w:noProof/>
          <w:u w:val="single"/>
          <w:lang w:val="en-IE"/>
        </w:rPr>
        <w:t>Calls and use of the EU guarantee</w:t>
      </w:r>
    </w:p>
    <w:p>
      <w:pPr>
        <w:rPr>
          <w:noProof/>
          <w:lang w:val="en-IE"/>
        </w:rPr>
      </w:pPr>
      <w:r>
        <w:rPr>
          <w:noProof/>
          <w:lang w:val="en-IE"/>
        </w:rPr>
        <w:t>In accordance with Article 8.1(a) of the EFSI Agreement, the EU Guarantee was called for an amount of EUR 97.1 million related to a defaulted operation under the Infrastructure and Innovation Window. In accordance with the Article 11 of the EFSI Agreement, the EIB recovered initially the amount of EUR 18.6 million, reducing the amount to be paid to EUR 78.5 million. The call was paid from the EFSI Account (EUR 17.7 million) and from the EFSI GF (EUR 60.8 million). Subsequently, the amount of EUR 1.6 million was recovered. In relation to this defaulted operation, an amount of EUR 1.0 million for recovery costs and EUR 0.6 million for recoverable administrative costs were called by the EIB.</w:t>
      </w:r>
    </w:p>
    <w:p>
      <w:pPr>
        <w:widowControl w:val="0"/>
        <w:autoSpaceDE w:val="0"/>
        <w:autoSpaceDN w:val="0"/>
        <w:adjustRightInd w:val="0"/>
        <w:rPr>
          <w:noProof/>
          <w:szCs w:val="20"/>
          <w:lang w:val="en-IE" w:eastAsia="de-DE"/>
        </w:rPr>
      </w:pPr>
      <w:r>
        <w:rPr>
          <w:noProof/>
          <w:lang w:val="en-IE" w:eastAsia="en-GB"/>
        </w:rPr>
        <w:t>In 2018, an amount of EUR</w:t>
      </w:r>
      <w:r>
        <w:rPr>
          <w:noProof/>
          <w:lang w:val="en-IE"/>
        </w:rPr>
        <w:t> </w:t>
      </w:r>
      <w:r>
        <w:rPr>
          <w:noProof/>
          <w:lang w:val="en-IE" w:eastAsia="en-GB"/>
        </w:rPr>
        <w:t>0.6</w:t>
      </w:r>
      <w:r>
        <w:rPr>
          <w:noProof/>
          <w:lang w:val="en-IE"/>
        </w:rPr>
        <w:t> </w:t>
      </w:r>
      <w:r>
        <w:rPr>
          <w:noProof/>
          <w:lang w:val="en-IE" w:eastAsia="en-GB"/>
        </w:rPr>
        <w:t>million was paid to the EIB for funding costs</w:t>
      </w:r>
      <w:r>
        <w:rPr>
          <w:noProof/>
          <w:vertAlign w:val="superscript"/>
          <w:lang w:val="en-IE" w:eastAsia="en-GB"/>
        </w:rPr>
        <w:footnoteReference w:id="50"/>
      </w:r>
      <w:r>
        <w:rPr>
          <w:noProof/>
          <w:lang w:val="en-IE" w:eastAsia="en-GB"/>
        </w:rPr>
        <w:t xml:space="preserve"> and EUR 10.7  million for value adjustments</w:t>
      </w:r>
      <w:r>
        <w:rPr>
          <w:noProof/>
          <w:vertAlign w:val="superscript"/>
          <w:lang w:val="en-IE" w:eastAsia="en-GB"/>
        </w:rPr>
        <w:footnoteReference w:id="51"/>
      </w:r>
      <w:r>
        <w:rPr>
          <w:noProof/>
          <w:lang w:val="en-IE" w:eastAsia="en-GB"/>
        </w:rPr>
        <w:t>.</w:t>
      </w:r>
    </w:p>
    <w:p>
      <w:pPr>
        <w:rPr>
          <w:noProof/>
          <w:lang w:val="en-IE"/>
        </w:rPr>
      </w:pPr>
      <w:r>
        <w:rPr>
          <w:noProof/>
          <w:lang w:val="en-IE"/>
        </w:rPr>
        <w:t>For more information on the management of the EFSI Guarantee Fund, see the last version of the report from the Commission to the European Parliament, the Council and the Court of Auditors on the management of the Guarantee Fund of the European fund for strategic investments</w:t>
      </w:r>
      <w:r>
        <w:rPr>
          <w:rStyle w:val="FootnoteReference"/>
          <w:noProof/>
          <w:lang w:val="en-IE"/>
        </w:rPr>
        <w:footnoteReference w:id="52"/>
      </w:r>
      <w:r>
        <w:rPr>
          <w:noProof/>
          <w:lang w:val="en-IE"/>
        </w:rPr>
        <w:t xml:space="preserve"> and the associated Staff Working Document (SWD).</w:t>
      </w:r>
    </w:p>
    <w:p>
      <w:pPr>
        <w:pStyle w:val="ManualHeading1"/>
        <w:tabs>
          <w:tab w:val="clear" w:pos="850"/>
          <w:tab w:val="left" w:pos="567"/>
        </w:tabs>
        <w:ind w:left="567" w:hanging="567"/>
        <w:rPr>
          <w:noProof/>
          <w:lang w:val="en-IE"/>
        </w:rPr>
      </w:pPr>
      <w:bookmarkStart w:id="389" w:name="_Toc18597246"/>
      <w:r>
        <w:rPr>
          <w:noProof/>
          <w:lang w:val="en-IE"/>
        </w:rPr>
        <w:t>7.</w:t>
      </w:r>
      <w:r>
        <w:rPr>
          <w:noProof/>
          <w:lang w:val="en-IE"/>
        </w:rPr>
        <w:tab/>
        <w:t>European Fund for Sustainable Development (EFSD)</w:t>
      </w:r>
      <w:r>
        <w:rPr>
          <w:noProof/>
          <w:vertAlign w:val="superscript"/>
          <w:lang w:val="en-IE" w:eastAsia="en-GB"/>
        </w:rPr>
        <w:t xml:space="preserve"> </w:t>
      </w:r>
      <w:bookmarkEnd w:id="389"/>
    </w:p>
    <w:p>
      <w:pPr>
        <w:rPr>
          <w:noProof/>
          <w:lang w:val="en-IE"/>
        </w:rPr>
      </w:pPr>
      <w:r>
        <w:rPr>
          <w:noProof/>
          <w:lang w:val="en-IE"/>
        </w:rPr>
        <w:t xml:space="preserve">The European Commission proposed on 14 September 2016 an External Investment Plan (EIP) to encourage investment in the EU’s partner countries in Africa and the EU Neighbourhood region, to strengthen partnerships and contribute to achieving Sustainable Development Goals, helping to address some root causes of migration. </w:t>
      </w:r>
    </w:p>
    <w:p>
      <w:pPr>
        <w:rPr>
          <w:noProof/>
          <w:lang w:val="en-IE"/>
        </w:rPr>
      </w:pPr>
      <w:r>
        <w:rPr>
          <w:noProof/>
          <w:lang w:val="en-IE"/>
        </w:rPr>
        <w:t>Part of the External Investment Plan (EIP) is the new European Fund for Sustainable Development (EFSD) as an integrated financing mechanism to support investments by public financial institutions and the private sector. By being open to a range of implementing partners, the EFSD is able to leverage much more public and private investment in target countries than would otherwise be possible. It comprises:</w:t>
      </w:r>
    </w:p>
    <w:p>
      <w:pPr>
        <w:numPr>
          <w:ilvl w:val="0"/>
          <w:numId w:val="44"/>
        </w:numPr>
        <w:rPr>
          <w:noProof/>
          <w:lang w:val="en-IE"/>
        </w:rPr>
      </w:pPr>
      <w:r>
        <w:rPr>
          <w:noProof/>
          <w:lang w:val="en-IE"/>
        </w:rPr>
        <w:t>a budgetary guarantee and</w:t>
      </w:r>
    </w:p>
    <w:p>
      <w:pPr>
        <w:numPr>
          <w:ilvl w:val="0"/>
          <w:numId w:val="44"/>
        </w:numPr>
        <w:rPr>
          <w:noProof/>
          <w:lang w:val="en-IE"/>
        </w:rPr>
      </w:pPr>
      <w:r>
        <w:rPr>
          <w:noProof/>
          <w:lang w:val="en-IE"/>
        </w:rPr>
        <w:t>blending instruments.</w:t>
      </w:r>
    </w:p>
    <w:p>
      <w:pPr>
        <w:rPr>
          <w:noProof/>
          <w:lang w:val="en-IE"/>
        </w:rPr>
      </w:pPr>
      <w:r>
        <w:rPr>
          <w:noProof/>
          <w:lang w:val="en-IE"/>
        </w:rPr>
        <w:t>The EFSD Legislation entered into force on 26 September 2017.</w:t>
      </w:r>
      <w:r>
        <w:rPr>
          <w:noProof/>
          <w:vertAlign w:val="superscript"/>
          <w:lang w:val="en-IE" w:eastAsia="en-GB"/>
        </w:rPr>
        <w:t xml:space="preserve"> </w:t>
      </w:r>
      <w:r>
        <w:rPr>
          <w:noProof/>
          <w:vertAlign w:val="superscript"/>
          <w:lang w:val="en-IE" w:eastAsia="en-GB"/>
        </w:rPr>
        <w:footnoteReference w:id="53"/>
      </w:r>
    </w:p>
    <w:p>
      <w:pPr>
        <w:rPr>
          <w:noProof/>
          <w:lang w:val="en-IE"/>
        </w:rPr>
      </w:pPr>
    </w:p>
    <w:p>
      <w:pPr>
        <w:pStyle w:val="ManualHeading2"/>
        <w:tabs>
          <w:tab w:val="clear" w:pos="850"/>
        </w:tabs>
        <w:ind w:left="567" w:hanging="567"/>
        <w:rPr>
          <w:noProof/>
          <w:lang w:val="en-IE"/>
        </w:rPr>
      </w:pPr>
      <w:bookmarkStart w:id="390" w:name="_Toc18597247"/>
      <w:r>
        <w:rPr>
          <w:noProof/>
          <w:lang w:val="en-IE"/>
        </w:rPr>
        <w:t>7.1</w:t>
      </w:r>
      <w:r>
        <w:rPr>
          <w:noProof/>
          <w:lang w:val="en-IE"/>
        </w:rPr>
        <w:tab/>
        <w:t>About the EFSD Guarantee</w:t>
      </w:r>
      <w:bookmarkEnd w:id="390"/>
    </w:p>
    <w:p>
      <w:pPr>
        <w:rPr>
          <w:noProof/>
          <w:lang w:val="en-IE"/>
        </w:rPr>
      </w:pPr>
      <w:r>
        <w:rPr>
          <w:noProof/>
          <w:lang w:val="en-IE"/>
        </w:rPr>
        <w:t xml:space="preserve">The EFSD Guarantee will be used to reduce the risks for investment in sustainable development in partner countries, thus helping mobilise investment, especially from private sources. </w:t>
      </w:r>
    </w:p>
    <w:p>
      <w:pPr>
        <w:rPr>
          <w:noProof/>
          <w:lang w:val="en-IE"/>
        </w:rPr>
      </w:pPr>
      <w:r>
        <w:rPr>
          <w:noProof/>
          <w:lang w:val="en-IE"/>
        </w:rPr>
        <w:t>The guarantee is designed to mobilise private investment worth EUR 1.54 billion. This amount has been allocated to 28 proposed investment programmes, expected to leverage up to EUR 17.5 billion of sustainable investment in partner countries (much of it from private sources). The guarantee can:</w:t>
      </w:r>
    </w:p>
    <w:p>
      <w:pPr>
        <w:numPr>
          <w:ilvl w:val="0"/>
          <w:numId w:val="43"/>
        </w:numPr>
        <w:rPr>
          <w:noProof/>
          <w:lang w:val="en-IE"/>
        </w:rPr>
      </w:pPr>
      <w:r>
        <w:rPr>
          <w:noProof/>
          <w:lang w:val="en-IE"/>
        </w:rPr>
        <w:t>attract financing for some of the initial capital ('equity' or 'risk capital') a project needs to get off the ground;</w:t>
      </w:r>
    </w:p>
    <w:p>
      <w:pPr>
        <w:numPr>
          <w:ilvl w:val="0"/>
          <w:numId w:val="43"/>
        </w:numPr>
        <w:rPr>
          <w:noProof/>
          <w:lang w:val="en-IE"/>
        </w:rPr>
      </w:pPr>
      <w:r>
        <w:rPr>
          <w:noProof/>
          <w:lang w:val="en-IE"/>
        </w:rPr>
        <w:t>serve as a pledge (guarantee) to pay back part of a loan if a borrower incurs losses and defaults on it.</w:t>
      </w:r>
    </w:p>
    <w:p>
      <w:pPr>
        <w:rPr>
          <w:noProof/>
          <w:u w:val="single"/>
          <w:lang w:val="en-IE"/>
        </w:rPr>
      </w:pPr>
      <w:r>
        <w:rPr>
          <w:noProof/>
          <w:u w:val="single"/>
          <w:lang w:val="en-IE"/>
        </w:rPr>
        <w:t>Investment Programmes</w:t>
      </w:r>
    </w:p>
    <w:p>
      <w:pPr>
        <w:rPr>
          <w:noProof/>
          <w:lang w:val="en-IE"/>
        </w:rPr>
      </w:pPr>
      <w:r>
        <w:rPr>
          <w:noProof/>
          <w:lang w:val="en-IE"/>
        </w:rPr>
        <w:t>By April 2018,  a number of partner financial institutions (FIs) had proposed more than 40 investment programmes in excess of EUR 3.5 billion for cover by the EFSD Guarantee under the five priority areas for investment (investment windows), i.e. a) Sustainable Energy and Connectivity, b) Micro, small and medium sized enterprises ('MSME') Financing, c) Sustainable Agriculture, Rural Entrepreneurs and Agribusiness, d) Sustainable Cities and e) Digital for Development.</w:t>
      </w:r>
    </w:p>
    <w:p>
      <w:pPr>
        <w:rPr>
          <w:noProof/>
          <w:lang w:val="en-IE"/>
        </w:rPr>
      </w:pPr>
      <w:r>
        <w:rPr>
          <w:noProof/>
          <w:lang w:val="en-IE"/>
        </w:rPr>
        <w:t xml:space="preserve">In June and November 2018, based on the FIs’ proposals, the EU finally allocated EUR 1.54 billion for 28 guarantees. </w:t>
      </w:r>
    </w:p>
    <w:p>
      <w:pPr>
        <w:rPr>
          <w:noProof/>
          <w:u w:val="single"/>
          <w:lang w:val="en-IE"/>
        </w:rPr>
      </w:pPr>
    </w:p>
    <w:p>
      <w:pPr>
        <w:rPr>
          <w:noProof/>
          <w:u w:val="single"/>
          <w:lang w:val="en-IE"/>
        </w:rPr>
      </w:pPr>
      <w:r>
        <w:rPr>
          <w:noProof/>
          <w:u w:val="single"/>
          <w:lang w:val="en-IE"/>
        </w:rPr>
        <w:t>NASIRA</w:t>
      </w:r>
    </w:p>
    <w:p>
      <w:pPr>
        <w:rPr>
          <w:noProof/>
          <w:lang w:val="en-IE"/>
        </w:rPr>
      </w:pPr>
      <w:r>
        <w:rPr>
          <w:noProof/>
          <w:lang w:val="en-IE"/>
        </w:rPr>
        <w:t xml:space="preserve">The first EFSD Guarantee agreement was signed on 18 December 2018 with the triple A-rated Dutch Development Bank FMO for the NASIRA Risk-Sharing Facility. </w:t>
      </w:r>
    </w:p>
    <w:p>
      <w:pPr>
        <w:rPr>
          <w:noProof/>
          <w:lang w:val="en-IE"/>
        </w:rPr>
      </w:pPr>
      <w:r>
        <w:rPr>
          <w:noProof/>
          <w:lang w:val="en-IE"/>
        </w:rPr>
        <w:t xml:space="preserve">FMO expects that NASIRA will create and support up to 800 000 jobs and benefit small and medium-sized enterprises (SMEs), internally displaced people, refugees, returnees, women and young people. </w:t>
      </w:r>
    </w:p>
    <w:p>
      <w:pPr>
        <w:rPr>
          <w:noProof/>
          <w:lang w:val="en-IE"/>
        </w:rPr>
      </w:pPr>
      <w:r>
        <w:rPr>
          <w:noProof/>
          <w:lang w:val="en-IE"/>
        </w:rPr>
        <w:t>Multiple parallel negotiations with other partner financial institutions (FIs) have been set to commence, and a significant number of them are expected to be concluded before the end of 2019.</w:t>
      </w:r>
    </w:p>
    <w:p>
      <w:pPr>
        <w:pStyle w:val="ManualHeading2"/>
        <w:tabs>
          <w:tab w:val="clear" w:pos="850"/>
        </w:tabs>
        <w:spacing w:before="240"/>
        <w:ind w:left="567" w:hanging="567"/>
        <w:rPr>
          <w:noProof/>
          <w:lang w:val="en-IE"/>
        </w:rPr>
      </w:pPr>
      <w:bookmarkStart w:id="391" w:name="_Toc18597248"/>
      <w:r>
        <w:rPr>
          <w:noProof/>
          <w:lang w:val="en-IE"/>
        </w:rPr>
        <w:t>7.2</w:t>
      </w:r>
      <w:r>
        <w:rPr>
          <w:noProof/>
          <w:lang w:val="en-IE"/>
        </w:rPr>
        <w:tab/>
        <w:t>The EFSD Guarantee Fund</w:t>
      </w:r>
      <w:bookmarkEnd w:id="391"/>
    </w:p>
    <w:p>
      <w:pPr>
        <w:rPr>
          <w:noProof/>
          <w:lang w:val="en-IE"/>
        </w:rPr>
      </w:pPr>
      <w:r>
        <w:rPr>
          <w:noProof/>
          <w:lang w:val="en-IE"/>
        </w:rPr>
        <w:t xml:space="preserve">The EFSD Guarantee Fund shall constitute a liquidity cushion from which the eligible counterparts shall be paid in the event of a call on the EFSD Guarantee further to the conclusion of Guarantee Agreements with eligible counterparts and in line with the corresponding provisions, in accordance with Chapter III of Regulation (EU) No 2017/1601. </w:t>
      </w:r>
    </w:p>
    <w:p>
      <w:pPr>
        <w:rPr>
          <w:noProof/>
          <w:lang w:val="en-IE"/>
        </w:rPr>
      </w:pPr>
      <w:r>
        <w:rPr>
          <w:noProof/>
          <w:lang w:val="en-IE"/>
        </w:rPr>
        <w:t>The resources of the EFSD Guarantee Fund are to be directly managed by the Commission and invested in accordance with the principle of sound financial management under appropriate prudential rules.</w:t>
      </w:r>
    </w:p>
    <w:p>
      <w:pPr>
        <w:rPr>
          <w:noProof/>
          <w:lang w:val="en-IE"/>
        </w:rPr>
      </w:pPr>
      <w:r>
        <w:rPr>
          <w:noProof/>
          <w:lang w:val="en-IE"/>
        </w:rPr>
        <w:t>The EFSD Guarantee Fund is to be endowed by contributions from the budget of the Union and the European Development Fund (EDF) as well as voluntary contributions from Member States and other contributors, and other sources of endowments, in accordance with Article 14 of Regulation (EU) No 2017/1601.</w:t>
      </w:r>
    </w:p>
    <w:p>
      <w:pPr>
        <w:rPr>
          <w:noProof/>
          <w:lang w:val="en-IE"/>
        </w:rPr>
      </w:pPr>
      <w:r>
        <w:rPr>
          <w:noProof/>
          <w:lang w:val="en-IE"/>
        </w:rPr>
        <w:t>The provisioning rate is stablished at 50 % of the total EFSD Guarantee obligations covered by the general budget of the Union.</w:t>
      </w:r>
    </w:p>
    <w:sectPr>
      <w:headerReference w:type="even" r:id="rId24"/>
      <w:headerReference w:type="default" r:id="rId25"/>
      <w:footerReference w:type="even" r:id="rId26"/>
      <w:footerReference w:type="default" r:id="rId27"/>
      <w:headerReference w:type="first" r:id="rId28"/>
      <w:footerReference w:type="first" r:id="rId29"/>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_GOPA TheSerif Light">
    <w:altName w:val="Times New Roman"/>
    <w:charset w:val="00"/>
    <w:family w:val="roman"/>
    <w:pitch w:val="variable"/>
    <w:sig w:usb0="8000006F" w:usb1="5000204A" w:usb2="00000000" w:usb3="00000000" w:csb0="00000093"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rPr>
        <w:noProof/>
      </w:rPr>
      <w:fldChar w:fldCharType="end"/>
    </w:r>
  </w:p>
  <w:p>
    <w:pPr>
      <w:tabs>
        <w:tab w:val="left" w:pos="5070"/>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noProof/>
      </w:rPr>
    </w:pPr>
    <w:r>
      <w:fldChar w:fldCharType="begin"/>
    </w:r>
    <w:r>
      <w:instrText xml:space="preserve"> PAGE   \* MERGEFORMAT </w:instrText>
    </w:r>
    <w:r>
      <w:fldChar w:fldCharType="separate"/>
    </w:r>
    <w:r>
      <w:rPr>
        <w:noProof/>
      </w:rPr>
      <w:t>24</w:t>
    </w:r>
    <w:r>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ind w:left="480" w:hanging="480"/>
      </w:pPr>
      <w:r>
        <w:rPr>
          <w:rStyle w:val="FootnoteReference"/>
        </w:rPr>
        <w:footnoteRef/>
      </w:r>
      <w:r>
        <w:tab/>
        <w:t>Regulation (EU, Euratom) No 966/2012 of the European Parliament and of the Council of 25 October 2012 on the financial rules applicable to the general budget of the Union and repealing Council Regulation (EC, Euratom) No 1605/2002 (OJ L 298, 26.10.2012, p. 1).</w:t>
      </w:r>
    </w:p>
  </w:footnote>
  <w:footnote w:id="3">
    <w:p>
      <w:pPr>
        <w:pStyle w:val="FootnoteText"/>
        <w:ind w:left="480" w:hanging="480"/>
      </w:pPr>
      <w:r>
        <w:rPr>
          <w:rStyle w:val="FootnoteReference"/>
        </w:rPr>
        <w:footnoteRef/>
      </w:r>
      <w:r>
        <w:tab/>
        <w:t>Council Regulation (EC, Euratom) No 2728/94 of 31 October 1994 establishing a Guarantee Fund for external actions (OJ L 293, 12.11.1994, p. 1), and subsequently amended by Council Regulation (EC, Euratom) No 480/2009 (OJ L 145, 10.6.2009, p. 10) and Regulation (EU) 2018/409 (OJ L 76, 19.3.2018, p. 1), the "Guarantee Fund Regulation".</w:t>
      </w:r>
    </w:p>
  </w:footnote>
  <w:footnote w:id="4">
    <w:p>
      <w:pPr>
        <w:pStyle w:val="FootnoteText"/>
        <w:ind w:left="480" w:hanging="480"/>
      </w:pPr>
      <w:r>
        <w:rPr>
          <w:rStyle w:val="FootnoteReference"/>
        </w:rPr>
        <w:footnoteRef/>
      </w:r>
      <w:r>
        <w:tab/>
        <w:t>Regulation (EU) 2015/1017 of the European Parliament and of the Council of 25 June 2015 on the European Fund for Strategic Investments, the European Investment Advisory Hub and the European Investment Project Portal and amending Regulations (EU) No 1291/2013 and (EU) No 1316/2013 — the European Fund for Strategic Investments (the "EFSI Regulation") OJ L 169, 1.7.2015, p. 1. The EFSI Regulation was amended by Regulation (EU) 2017/2396 of the European Parliament and Council of 13 December 2017 as regards the extension of the duration of the European Fund for Strategic Investments as well as the introduction of technical enhancements for that Fund and the European Investment Advisory Hub (the "EFSI 2.0 Amendment") OJ L 345, 27.12.2017, p. 34. The EFSI 2.0 Amendment increased, inter alia, the size of the EU Guarantee and adjusted the target rate. The agreement on the management of the EFSI and on the granting of the EU Guarantee (the "EFSI Agreement") was signed by the European Commission and the European Investment Bank (the "EIB") on 22 July 2015 and was amended and restated on 21 July 2016, 21 November 2017, 9 March 2018 and December 2018.</w:t>
      </w:r>
    </w:p>
  </w:footnote>
  <w:footnote w:id="5">
    <w:p>
      <w:pPr>
        <w:pStyle w:val="FootnoteText"/>
        <w:ind w:left="480" w:hanging="480"/>
      </w:pPr>
      <w:r>
        <w:rPr>
          <w:rStyle w:val="FootnoteReference"/>
        </w:rPr>
        <w:footnoteRef/>
      </w:r>
      <w:r>
        <w:tab/>
        <w:t xml:space="preserve">MFA may also take the form of grants to third countries (not covered by this report). </w:t>
      </w:r>
      <w:r>
        <w:rPr>
          <w:color w:val="000000"/>
        </w:rPr>
        <w:t xml:space="preserve">References to legal </w:t>
      </w:r>
      <w:r>
        <w:t>bases are listed in the Annex of Table A2B of the SWD.</w:t>
      </w:r>
    </w:p>
  </w:footnote>
  <w:footnote w:id="6">
    <w:p>
      <w:pPr>
        <w:pStyle w:val="FootnoteText"/>
        <w:ind w:left="480" w:hanging="480"/>
      </w:pPr>
      <w:r>
        <w:rPr>
          <w:rStyle w:val="FootnoteReference"/>
        </w:rPr>
        <w:footnoteRef/>
      </w:r>
      <w:r>
        <w:tab/>
        <w:t>Council Regulation (EC) N° 332/2002 of 18 February 2002 establishing a facility providing medium-term financial assistance for Member States' balances of payments (OJ L 53, 23.2.2002, p.1).</w:t>
      </w:r>
    </w:p>
  </w:footnote>
  <w:footnote w:id="7">
    <w:p>
      <w:pPr>
        <w:pStyle w:val="FootnoteText"/>
        <w:ind w:left="480" w:hanging="480"/>
      </w:pPr>
      <w:r>
        <w:rPr>
          <w:rStyle w:val="FootnoteReference"/>
        </w:rPr>
        <w:footnoteRef/>
      </w:r>
      <w:r>
        <w:tab/>
        <w:t xml:space="preserve">Council Regulation (EU) No 407/2010 of 11 May 2010 establishing a European financial stabilisation mechanism (OJ L 118, 12.5.2010, p.1). </w:t>
      </w:r>
    </w:p>
  </w:footnote>
  <w:footnote w:id="8">
    <w:p>
      <w:pPr>
        <w:pStyle w:val="FootnoteText"/>
        <w:ind w:left="480" w:hanging="480"/>
      </w:pPr>
      <w:r>
        <w:rPr>
          <w:rStyle w:val="FootnoteReference"/>
          <w:sz w:val="22"/>
        </w:rPr>
        <w:footnoteRef/>
      </w:r>
      <w:r>
        <w:tab/>
        <w:t>Treaty dated 25 March 1957 establishing The European Atomic Energy Community (Euratom) as amended and supplemented.</w:t>
      </w:r>
    </w:p>
  </w:footnote>
  <w:footnote w:id="9">
    <w:p>
      <w:pPr>
        <w:pStyle w:val="FootnoteText"/>
        <w:ind w:left="480" w:hanging="480"/>
      </w:pPr>
      <w:r>
        <w:rPr>
          <w:rStyle w:val="FootnoteReference"/>
        </w:rPr>
        <w:footnoteRef/>
      </w:r>
      <w:r>
        <w:tab/>
        <w:t>For Member States: Council Decision 77/270/Euratom of 29 March 1977 empowering the Commission to issue Euratom loans for the purpose of contributing to the financing of nuclear power stations (Official Journal n° L 88 of 6 April 1977, p. 9) as amended and supplemented.</w:t>
      </w:r>
    </w:p>
  </w:footnote>
  <w:footnote w:id="10">
    <w:p>
      <w:pPr>
        <w:pStyle w:val="FootnoteText"/>
        <w:ind w:left="480" w:hanging="480"/>
      </w:pPr>
      <w:r>
        <w:rPr>
          <w:rStyle w:val="FootnoteReference"/>
        </w:rPr>
        <w:footnoteRef/>
      </w:r>
      <w:r>
        <w:tab/>
        <w:t>For certain non-Member States: Council Decision 94/179/Euratom of 21 March 1994 (Official Journal n° L 84 of 29 March 1994) amending Decision 77/270/Euratom, to authorize the Commission to contract Euratom borrowings in order to contribute to the financing required for improving the degree of safety and efficiency of nuclear power stations in certain non- member countries..</w:t>
      </w:r>
    </w:p>
  </w:footnote>
  <w:footnote w:id="11">
    <w:p>
      <w:pPr>
        <w:pStyle w:val="FootnoteText"/>
        <w:ind w:left="480" w:hanging="480"/>
      </w:pPr>
      <w:r>
        <w:rPr>
          <w:rStyle w:val="FootnoteReference"/>
        </w:rPr>
        <w:footnoteRef/>
      </w:r>
      <w:r>
        <w:tab/>
        <w:t>Decision No 466/2014/EU of the European Parliament and of the Council of 16 April 2014 granting an EU guarantee to the European Investment Bank against losses under financing operations supporting investment projects outside the Union (OJ L135 of 8.5.2014, p.1).</w:t>
      </w:r>
    </w:p>
  </w:footnote>
  <w:footnote w:id="12">
    <w:p>
      <w:pPr>
        <w:pStyle w:val="FootnoteText"/>
        <w:ind w:left="426" w:hanging="426"/>
        <w:rPr>
          <w:lang w:val="en-IE"/>
        </w:rPr>
      </w:pPr>
      <w:r>
        <w:rPr>
          <w:rStyle w:val="FootnoteReference"/>
        </w:rPr>
        <w:footnoteRef/>
      </w:r>
      <w:r>
        <w:t xml:space="preserve"> </w:t>
      </w:r>
      <w:r>
        <w:tab/>
        <w:t>The ACP-EU Partnership Agreement, signed in Cotonou on 23 June 2000, was concluded for a 20-year period from 2000 to 2020. It is the most comprehensive partnership agreement between developing countries and the EU. It is not financed by the EU budget.</w:t>
      </w:r>
    </w:p>
  </w:footnote>
  <w:footnote w:id="13">
    <w:p>
      <w:pPr>
        <w:pStyle w:val="FootnoteText"/>
        <w:ind w:left="426" w:hanging="426"/>
      </w:pPr>
      <w:r>
        <w:rPr>
          <w:rStyle w:val="FootnoteReference"/>
        </w:rPr>
        <w:footnoteRef/>
      </w:r>
      <w:r>
        <w:tab/>
        <w:t>Council Regulation (EC, Euratom) No 480/2009 establishing a Guarantee Fund for external actions (OJ L 145, 10.6.2009, p. 10) as amended by Regulation (EU) 2018/409 (OJ L 76, 19.3.2018, p. 1).</w:t>
      </w:r>
    </w:p>
  </w:footnote>
  <w:footnote w:id="14">
    <w:p>
      <w:pPr>
        <w:pStyle w:val="FootnoteText"/>
        <w:ind w:left="426" w:hanging="426"/>
      </w:pPr>
      <w:r>
        <w:rPr>
          <w:rStyle w:val="FootnoteReference"/>
        </w:rPr>
        <w:footnoteRef/>
      </w:r>
      <w:r>
        <w:rPr>
          <w:lang w:val="en-US"/>
        </w:rPr>
        <w:tab/>
        <w:t xml:space="preserve">Although external risks are covered </w:t>
      </w:r>
      <w:r>
        <w:rPr>
          <w:i/>
          <w:lang w:val="en-US"/>
        </w:rPr>
        <w:t>in fine</w:t>
      </w:r>
      <w:r>
        <w:rPr>
          <w:lang w:val="en-US"/>
        </w:rPr>
        <w:t xml:space="preserve"> by the EU budget, </w:t>
      </w:r>
      <w:r>
        <w:t>the Guarantee Fund acts as an instrument to protect the EU budget against the risk of payment defaults. For the latest 2018 annual report on the Fund and its management (COM(2019) 363 final) and its Staff Working Document (SWD(2019) 314 final) approved on 5.8.2019, they are available</w:t>
      </w:r>
      <w:r>
        <w:rPr>
          <w:lang w:val="en-IE"/>
        </w:rPr>
        <w:t xml:space="preserve"> on </w:t>
      </w:r>
      <w:hyperlink r:id="rId1" w:history="1">
        <w:r>
          <w:rPr>
            <w:rStyle w:val="Hyperlink"/>
            <w:lang w:val="en-IE"/>
          </w:rPr>
          <w:t>http://eur-lex.europa.eu/homepage.html</w:t>
        </w:r>
      </w:hyperlink>
      <w:r>
        <w:rPr>
          <w:noProof/>
        </w:rPr>
        <w:t>.</w:t>
      </w:r>
    </w:p>
  </w:footnote>
  <w:footnote w:id="15">
    <w:p>
      <w:pPr>
        <w:pStyle w:val="FootnoteText"/>
        <w:ind w:left="426" w:hanging="426"/>
      </w:pPr>
      <w:r>
        <w:rPr>
          <w:rStyle w:val="FootnoteReference"/>
        </w:rPr>
        <w:footnoteRef/>
      </w:r>
      <w:r>
        <w:tab/>
        <w:t>For a comprehensive report on the functioning of the Fund and the provisioning target rate, see COM(2014) 214 final of 8.4.2014 and its Staff Working Document (2014) 129 final.</w:t>
      </w:r>
    </w:p>
  </w:footnote>
  <w:footnote w:id="16">
    <w:p>
      <w:pPr>
        <w:pStyle w:val="FootnoteText"/>
        <w:ind w:left="426" w:hanging="426"/>
      </w:pPr>
      <w:r>
        <w:rPr>
          <w:rStyle w:val="FootnoteReference"/>
        </w:rPr>
        <w:footnoteRef/>
      </w:r>
      <w:r>
        <w:rPr>
          <w:lang w:val="sk-SK"/>
        </w:rPr>
        <w:tab/>
        <w:t>The size of the EU Guarantee has been increased from EUR</w:t>
      </w:r>
      <w:r>
        <w:rPr>
          <w:lang w:val="en-IE"/>
        </w:rPr>
        <w:t> </w:t>
      </w:r>
      <w:r>
        <w:rPr>
          <w:lang w:val="sk-SK"/>
        </w:rPr>
        <w:t>16</w:t>
      </w:r>
      <w:r>
        <w:rPr>
          <w:lang w:val="en-IE"/>
        </w:rPr>
        <w:t> </w:t>
      </w:r>
      <w:r>
        <w:rPr>
          <w:lang w:val="sk-SK"/>
        </w:rPr>
        <w:t>billion to EUR</w:t>
      </w:r>
      <w:r>
        <w:rPr>
          <w:lang w:val="en-IE"/>
        </w:rPr>
        <w:t> </w:t>
      </w:r>
      <w:r>
        <w:rPr>
          <w:lang w:val="sk-SK"/>
        </w:rPr>
        <w:t>26</w:t>
      </w:r>
      <w:r>
        <w:rPr>
          <w:lang w:val="en-IE"/>
        </w:rPr>
        <w:t> </w:t>
      </w:r>
      <w:r>
        <w:rPr>
          <w:lang w:val="sk-SK"/>
        </w:rPr>
        <w:t>billion by the EFSI 2.0 Amendment.</w:t>
      </w:r>
    </w:p>
  </w:footnote>
  <w:footnote w:id="17">
    <w:p>
      <w:pPr>
        <w:pStyle w:val="FootnoteText"/>
        <w:ind w:left="426" w:hanging="426"/>
      </w:pPr>
      <w:r>
        <w:rPr>
          <w:rStyle w:val="FootnoteReference"/>
        </w:rPr>
        <w:footnoteRef/>
      </w:r>
      <w:r>
        <w:tab/>
        <w:t xml:space="preserve">The size of EIB Group Guarantee </w:t>
      </w:r>
      <w:r>
        <w:rPr>
          <w:lang w:val="sk-SK"/>
        </w:rPr>
        <w:t xml:space="preserve">has been </w:t>
      </w:r>
      <w:r>
        <w:t>increased from EUR</w:t>
      </w:r>
      <w:r>
        <w:rPr>
          <w:lang w:val="en-IE"/>
        </w:rPr>
        <w:t> </w:t>
      </w:r>
      <w:r>
        <w:t>5</w:t>
      </w:r>
      <w:r>
        <w:rPr>
          <w:lang w:val="en-IE"/>
        </w:rPr>
        <w:t> </w:t>
      </w:r>
      <w:r>
        <w:t>billion to EUR</w:t>
      </w:r>
      <w:r>
        <w:rPr>
          <w:lang w:val="en-IE"/>
        </w:rPr>
        <w:t> </w:t>
      </w:r>
      <w:r>
        <w:t>7.5</w:t>
      </w:r>
      <w:r>
        <w:rPr>
          <w:lang w:val="en-IE"/>
        </w:rPr>
        <w:t> </w:t>
      </w:r>
      <w:r>
        <w:t xml:space="preserve">billion by the EFSI 2.0 Amendment. </w:t>
      </w:r>
    </w:p>
  </w:footnote>
  <w:footnote w:id="18">
    <w:p>
      <w:pPr>
        <w:pStyle w:val="FootnoteText"/>
        <w:ind w:left="480" w:hanging="480"/>
      </w:pPr>
      <w:r>
        <w:rPr>
          <w:rStyle w:val="FootnoteReference"/>
        </w:rPr>
        <w:footnoteRef/>
      </w:r>
      <w:r>
        <w:tab/>
        <w:t xml:space="preserve">For more information on the management of the EFSI Guarantee Fund, see COM(2019) 244 final of 28.05.2019. </w:t>
      </w:r>
    </w:p>
  </w:footnote>
  <w:footnote w:id="19">
    <w:p>
      <w:pPr>
        <w:pStyle w:val="FootnoteText"/>
        <w:ind w:left="426" w:hanging="426"/>
      </w:pPr>
      <w:r>
        <w:rPr>
          <w:rStyle w:val="FootnoteReference"/>
        </w:rPr>
        <w:footnoteRef/>
      </w:r>
      <w:r>
        <w:tab/>
        <w:t>The Target Amount was originally set by Article 12(5) of the EFSI Regulation at 50% of the total EU guarantee obligations. As of the entry into force of the EFSI 2.0 Regulation, the Target Amount is set at 35% of the total EU guarantee obligations.</w:t>
      </w:r>
    </w:p>
  </w:footnote>
  <w:footnote w:id="20">
    <w:p>
      <w:pPr>
        <w:pStyle w:val="FootnoteText"/>
        <w:ind w:left="480" w:hanging="480"/>
        <w:jc w:val="left"/>
      </w:pPr>
      <w:r>
        <w:rPr>
          <w:rStyle w:val="FootnoteReference"/>
        </w:rPr>
        <w:footnoteRef/>
      </w:r>
      <w:r>
        <w:tab/>
        <w:t>About the GLF: http://ec.europa.eu/economy_finance/assistance_eu_ms/greek_loan_facility/index_en.htm.</w:t>
      </w:r>
    </w:p>
  </w:footnote>
  <w:footnote w:id="21">
    <w:p>
      <w:pPr>
        <w:pStyle w:val="FootnoteText"/>
        <w:ind w:left="480" w:hanging="480"/>
        <w:rPr>
          <w:color w:val="000000"/>
        </w:rPr>
      </w:pPr>
      <w:r>
        <w:rPr>
          <w:rStyle w:val="FootnoteReference"/>
        </w:rPr>
        <w:footnoteRef/>
      </w:r>
      <w:r>
        <w:tab/>
      </w:r>
      <w:hyperlink r:id="rId2" w:history="1">
        <w:r>
          <w:rPr>
            <w:rStyle w:val="Hyperlink"/>
            <w:color w:val="auto"/>
            <w:u w:val="none"/>
          </w:rPr>
          <w:t>About the EFSF</w:t>
        </w:r>
      </w:hyperlink>
      <w:r>
        <w:t>:</w:t>
      </w:r>
      <w:r>
        <w:rPr>
          <w:color w:val="000000"/>
        </w:rPr>
        <w:t xml:space="preserve"> http://www.efsf.europa.eu.</w:t>
      </w:r>
    </w:p>
  </w:footnote>
  <w:footnote w:id="22">
    <w:p>
      <w:pPr>
        <w:pStyle w:val="FootnoteText"/>
        <w:ind w:left="480" w:hanging="480"/>
      </w:pPr>
      <w:r>
        <w:rPr>
          <w:rStyle w:val="FootnoteReference"/>
        </w:rPr>
        <w:footnoteRef/>
      </w:r>
      <w:r>
        <w:tab/>
        <w:t>The loans granted under the EU/EFSM are guaranteed by the EU budget.</w:t>
      </w:r>
    </w:p>
  </w:footnote>
  <w:footnote w:id="23">
    <w:p>
      <w:pPr>
        <w:pStyle w:val="FootnoteText"/>
        <w:ind w:left="480" w:hanging="480"/>
      </w:pPr>
      <w:r>
        <w:rPr>
          <w:rStyle w:val="FootnoteReference"/>
        </w:rPr>
        <w:footnoteRef/>
      </w:r>
      <w:r>
        <w:tab/>
        <w:t xml:space="preserve">About the ESM: </w:t>
      </w:r>
      <w:hyperlink r:id="rId3" w:history="1">
        <w:r>
          <w:rPr>
            <w:rStyle w:val="Hyperlink"/>
          </w:rPr>
          <w:t>http://esm.europa.eu</w:t>
        </w:r>
      </w:hyperlink>
      <w:r>
        <w:t>.</w:t>
      </w:r>
    </w:p>
  </w:footnote>
  <w:footnote w:id="24">
    <w:p>
      <w:pPr>
        <w:pStyle w:val="FootnoteText"/>
        <w:ind w:left="480" w:hanging="480"/>
        <w:jc w:val="left"/>
      </w:pPr>
      <w:r>
        <w:rPr>
          <w:rStyle w:val="FootnoteReference"/>
        </w:rPr>
        <w:footnoteRef/>
      </w:r>
      <w:r>
        <w:tab/>
        <w:t>Cf. Press release on extraordinary Ecofin Council meeting 9/10 May 2010 (</w:t>
      </w:r>
      <w:hyperlink r:id="rId4" w:history="1">
        <w:r>
          <w:rPr>
            <w:rStyle w:val="Hyperlink"/>
            <w:color w:val="auto"/>
          </w:rPr>
          <w:t>http://www.consilium.europa.eu/uedocs/cms_data/docs/pressdata/en/ecofin/114324.pdf</w:t>
        </w:r>
      </w:hyperlink>
      <w:r>
        <w:t>).</w:t>
      </w:r>
    </w:p>
  </w:footnote>
  <w:footnote w:id="25">
    <w:p>
      <w:pPr>
        <w:pStyle w:val="FootnoteText"/>
        <w:ind w:left="480" w:hanging="480"/>
      </w:pPr>
      <w:r>
        <w:rPr>
          <w:rStyle w:val="FootnoteReference"/>
        </w:rPr>
        <w:footnoteRef/>
      </w:r>
      <w:r>
        <w:tab/>
      </w:r>
      <w:r>
        <w:rPr>
          <w:noProof/>
        </w:rPr>
        <w:t>Council Regulation (EU) No 407/2010 of 11 May 2010 establishing a European financial stabilisation mechanism (OJ L 118, 12.5.2010, p.1).</w:t>
      </w:r>
    </w:p>
  </w:footnote>
  <w:footnote w:id="26">
    <w:p>
      <w:pPr>
        <w:pStyle w:val="FootnoteText"/>
        <w:ind w:left="480" w:hanging="480"/>
      </w:pPr>
      <w:r>
        <w:rPr>
          <w:rStyle w:val="FootnoteReference"/>
        </w:rPr>
        <w:footnoteRef/>
      </w:r>
      <w:r>
        <w:tab/>
        <w:t>Council Implementing Decision 2011/77/EU of 7 December 2010 on granting Union financial assistance to Ireland (OJ L 30, 4.2.2011, p. 348).</w:t>
      </w:r>
    </w:p>
  </w:footnote>
  <w:footnote w:id="27">
    <w:p>
      <w:pPr>
        <w:pStyle w:val="FootnoteText"/>
        <w:ind w:left="480" w:hanging="480"/>
      </w:pPr>
      <w:r>
        <w:rPr>
          <w:rStyle w:val="FootnoteReference"/>
        </w:rPr>
        <w:footnoteRef/>
      </w:r>
      <w:r>
        <w:tab/>
        <w:t>Council Implementing Decision 2011/344/EU of 30 May 2011 on granting Union financial assistance to Portugal (OJ L 159, 17.6.2011, p. 88); see also corrigendum (OJ L 178, 10.7.2012, p.15).</w:t>
      </w:r>
    </w:p>
  </w:footnote>
  <w:footnote w:id="28">
    <w:p>
      <w:pPr>
        <w:pStyle w:val="FootnoteText"/>
        <w:ind w:left="480" w:hanging="480"/>
      </w:pPr>
      <w:r>
        <w:rPr>
          <w:rStyle w:val="FootnoteReference"/>
        </w:rPr>
        <w:footnoteRef/>
      </w:r>
      <w:r>
        <w:rPr>
          <w:noProof/>
          <w:sz w:val="24"/>
          <w:szCs w:val="24"/>
        </w:rPr>
        <w:tab/>
      </w:r>
      <w:r>
        <w:t>Decision (EU) 2018/598 of the European Parliament and of the Council of 18 April 2018 on providing macro-financial assistance to Georgia (OJ L 103, 23.04.2018, p.8).</w:t>
      </w:r>
    </w:p>
  </w:footnote>
  <w:footnote w:id="29">
    <w:p>
      <w:pPr>
        <w:pStyle w:val="FootnoteText"/>
        <w:ind w:left="480" w:hanging="480"/>
      </w:pPr>
      <w:r>
        <w:rPr>
          <w:rStyle w:val="FootnoteReference"/>
        </w:rPr>
        <w:footnoteRef/>
      </w:r>
      <w:r>
        <w:rPr>
          <w:noProof/>
          <w:sz w:val="24"/>
          <w:szCs w:val="24"/>
        </w:rPr>
        <w:tab/>
      </w:r>
      <w:r>
        <w:t>Decision (EU) 2018/947 of the European Parliament and of the Council of 4 July 2018 on providing macro-financial assistance to Ukraine (OJ L 171, 6.7.2018, p.11).</w:t>
      </w:r>
    </w:p>
  </w:footnote>
  <w:footnote w:id="30">
    <w:p>
      <w:pPr>
        <w:pStyle w:val="FootnoteText"/>
        <w:ind w:left="480" w:hanging="480"/>
      </w:pPr>
      <w:r>
        <w:rPr>
          <w:rStyle w:val="FootnoteReference"/>
        </w:rPr>
        <w:footnoteRef/>
      </w:r>
      <w:r>
        <w:rPr>
          <w:noProof/>
          <w:sz w:val="24"/>
          <w:szCs w:val="24"/>
        </w:rPr>
        <w:tab/>
      </w:r>
      <w:r>
        <w:t xml:space="preserve">Decision (EU) 2017/1565 of the European Parliament and of the Council of 13 September 2017 on providing macro-financial assistance to </w:t>
      </w:r>
      <w:r>
        <w:rPr>
          <w:noProof/>
        </w:rPr>
        <w:t>the Republic of Moldova</w:t>
      </w:r>
      <w:r>
        <w:t xml:space="preserve"> (OJ L 242, 20.09.2017, p.14).</w:t>
      </w:r>
    </w:p>
  </w:footnote>
  <w:footnote w:id="31">
    <w:p>
      <w:pPr>
        <w:pStyle w:val="FootnoteText"/>
        <w:ind w:left="480" w:hanging="480"/>
        <w:rPr>
          <w:lang w:val="en-IE"/>
        </w:rPr>
      </w:pPr>
      <w:r>
        <w:rPr>
          <w:rStyle w:val="FootnoteReference"/>
        </w:rPr>
        <w:footnoteRef/>
      </w:r>
      <w:r>
        <w:tab/>
      </w:r>
      <w:r>
        <w:rPr>
          <w:lang w:val="en-IE"/>
        </w:rPr>
        <w:t>C(2013) 3496.</w:t>
      </w:r>
    </w:p>
  </w:footnote>
  <w:footnote w:id="32">
    <w:p>
      <w:pPr>
        <w:pStyle w:val="FootnoteText"/>
        <w:ind w:left="482" w:hanging="482"/>
      </w:pPr>
      <w:r>
        <w:rPr>
          <w:rStyle w:val="FootnoteReference"/>
        </w:rPr>
        <w:footnoteRef/>
      </w:r>
      <w:r>
        <w:tab/>
        <w:t>See Table 1 of the Report.</w:t>
      </w:r>
    </w:p>
  </w:footnote>
  <w:footnote w:id="33">
    <w:p>
      <w:pPr>
        <w:pStyle w:val="FootnoteText"/>
        <w:spacing w:before="120"/>
        <w:ind w:left="480" w:hanging="480"/>
      </w:pPr>
      <w:r>
        <w:rPr>
          <w:rStyle w:val="FootnoteReference"/>
        </w:rPr>
        <w:footnoteRef/>
      </w:r>
      <w:r>
        <w:tab/>
        <w:t>For the purpose of that calculation, it is assumed that defaulting loans are not accelerated, i.e. only payments due are taken into account (see Tables 2 and 3 of the report and Table A4 of the SWD).</w:t>
      </w:r>
    </w:p>
  </w:footnote>
  <w:footnote w:id="34">
    <w:p>
      <w:pPr>
        <w:pStyle w:val="FootnoteText"/>
        <w:ind w:left="480" w:hanging="480"/>
      </w:pPr>
      <w:r>
        <w:rPr>
          <w:rStyle w:val="FootnoteReference"/>
        </w:rPr>
        <w:footnoteRef/>
      </w:r>
      <w:r>
        <w:tab/>
        <w:t>See Table 1.</w:t>
      </w:r>
    </w:p>
  </w:footnote>
  <w:footnote w:id="35">
    <w:p>
      <w:pPr>
        <w:pStyle w:val="FootnoteText"/>
        <w:ind w:left="480" w:hanging="480"/>
      </w:pPr>
      <w:r>
        <w:rPr>
          <w:rStyle w:val="FootnoteReference"/>
        </w:rPr>
        <w:footnoteRef/>
      </w:r>
      <w:r>
        <w:rPr>
          <w:color w:val="000000"/>
        </w:rPr>
        <w:tab/>
        <w:t>See Article 14 of Council Regulation (EU, Euratom) No 609/2014 of 26 May 2014 on the methods and procedure for making available the traditional, VAT and GNI-based own resources and on the measures to meet cash requirements (OJ L 168, 7.6.2014, p. 39).</w:t>
      </w:r>
    </w:p>
  </w:footnote>
  <w:footnote w:id="36">
    <w:p>
      <w:pPr>
        <w:pStyle w:val="FootnoteText"/>
        <w:ind w:left="480" w:hanging="480"/>
      </w:pPr>
      <w:r>
        <w:rPr>
          <w:rStyle w:val="FootnoteReference"/>
        </w:rPr>
        <w:footnoteRef/>
      </w:r>
      <w:r>
        <w:rPr>
          <w:color w:val="000000"/>
        </w:rPr>
        <w:tab/>
        <w:t>See Article 14(3) of Regulation (EU, Euratom) No 609/2014.</w:t>
      </w:r>
    </w:p>
  </w:footnote>
  <w:footnote w:id="37">
    <w:p>
      <w:pPr>
        <w:pStyle w:val="FootnoteText"/>
        <w:ind w:left="480" w:hanging="480"/>
      </w:pPr>
      <w:r>
        <w:rPr>
          <w:rStyle w:val="FootnoteReference"/>
        </w:rPr>
        <w:footnoteRef/>
      </w:r>
      <w:r>
        <w:rPr>
          <w:color w:val="000000"/>
        </w:rPr>
        <w:tab/>
        <w:t>See Article 8.7 of Decision No 466/2014/EU of the European Parliament and of the Council of 16 April 2014 granting an EU guarantee to the European Investment Bank against losses under financing operations supporting investment projects outside the Union (OJ L 135, 8.5.2014, p. 1), amended by Decision (EU) 2018/412 of the European Parliament and the Council of 14 of March 2018 amending Decision No 466/2014/EU granting an EU guarantee to the European Investment Bank against losses under financing operations supporting investment projects outside the Union (OJ L 76, 19.3.2018, p. 30).</w:t>
      </w:r>
    </w:p>
  </w:footnote>
  <w:footnote w:id="38">
    <w:p>
      <w:pPr>
        <w:pStyle w:val="FootnoteText"/>
        <w:ind w:left="480" w:hanging="480"/>
      </w:pPr>
      <w:r>
        <w:rPr>
          <w:rStyle w:val="FootnoteReference"/>
        </w:rPr>
        <w:footnoteRef/>
      </w:r>
      <w:r>
        <w:tab/>
        <w:t>Except for Bulgaria and Romania which were granted Euratom loans before joining the Union. The loans (and loans guarantees) to accession countries were covered by the Fund until the date of accession. From that date, those that remained outstanding ceased to be external actions of the Union and are therefore covered directly by the EU budget.</w:t>
      </w:r>
    </w:p>
  </w:footnote>
  <w:footnote w:id="39">
    <w:p>
      <w:pPr>
        <w:pStyle w:val="FootnoteText"/>
        <w:ind w:left="482" w:hanging="482"/>
      </w:pPr>
      <w:r>
        <w:rPr>
          <w:rStyle w:val="FootnoteReference"/>
        </w:rPr>
        <w:footnoteRef/>
      </w:r>
      <w:r>
        <w:rPr>
          <w:color w:val="000000"/>
        </w:rPr>
        <w:tab/>
        <w:t>For further information on recovery proceedings, see also the Recovery Agreement signed on 3 October 2018 between the European Union and The European Investment Bank governing modalities and procedures for recovery of payments made by the EU under the guarantees granted by it to the EIB against losses under financing operations supporting investment projects outside the EU.</w:t>
      </w:r>
    </w:p>
  </w:footnote>
  <w:footnote w:id="40">
    <w:p>
      <w:pPr>
        <w:pStyle w:val="FootnoteText"/>
        <w:ind w:left="482" w:hanging="482"/>
      </w:pPr>
      <w:r>
        <w:rPr>
          <w:rStyle w:val="FootnoteReference"/>
        </w:rPr>
        <w:footnoteRef/>
      </w:r>
      <w:r>
        <w:tab/>
      </w:r>
      <w:r>
        <w:rPr>
          <w:noProof/>
        </w:rPr>
        <w:t>Penalties and accrued interests are claimed by the EIB only with the second payment request of each individual loan and run from the default date until the payment date by the Guarantee Fund.</w:t>
      </w:r>
    </w:p>
  </w:footnote>
  <w:footnote w:id="41">
    <w:p>
      <w:pPr>
        <w:pStyle w:val="FootnoteText"/>
        <w:ind w:left="480" w:hanging="480"/>
      </w:pPr>
      <w:r>
        <w:rPr>
          <w:rStyle w:val="FootnoteReference"/>
        </w:rPr>
        <w:footnoteRef/>
      </w:r>
      <w:r>
        <w:tab/>
        <w:t>This includes the amount of EUR</w:t>
      </w:r>
      <w:r>
        <w:rPr>
          <w:lang w:val="en-IE"/>
        </w:rPr>
        <w:t> </w:t>
      </w:r>
      <w:r>
        <w:t>375.39</w:t>
      </w:r>
      <w:r>
        <w:rPr>
          <w:lang w:val="en-IE"/>
        </w:rPr>
        <w:t> </w:t>
      </w:r>
      <w:r>
        <w:t>million (principal) already called by the EIB until 31.12.2018.</w:t>
      </w:r>
    </w:p>
  </w:footnote>
  <w:footnote w:id="42">
    <w:p>
      <w:pPr>
        <w:pStyle w:val="FootnoteText"/>
        <w:ind w:left="426" w:hanging="426"/>
      </w:pPr>
      <w:r>
        <w:rPr>
          <w:rStyle w:val="FootnoteReference"/>
        </w:rPr>
        <w:footnoteRef/>
      </w:r>
      <w:r>
        <w:tab/>
        <w:t>Council Regulation (EC, Euratom) No 480/2009 establishing a Guarantee Fund for external actions (OJ L 145, 10.6.2009, p. 10) as amended by Regulation (EU) 2018/409 (OJ L 76, 19.3.2018, p. 1).</w:t>
      </w:r>
    </w:p>
  </w:footnote>
  <w:footnote w:id="43">
    <w:p>
      <w:pPr>
        <w:pStyle w:val="FootnoteText"/>
        <w:ind w:left="426" w:hanging="426"/>
      </w:pPr>
      <w:r>
        <w:rPr>
          <w:rStyle w:val="FootnoteReference"/>
        </w:rPr>
        <w:footnoteRef/>
      </w:r>
      <w:r>
        <w:tab/>
        <w:t>Total assets of the Fund minus accrued payables (EIB fees and audit fees).</w:t>
      </w:r>
    </w:p>
  </w:footnote>
  <w:footnote w:id="44">
    <w:p>
      <w:pPr>
        <w:pStyle w:val="FootnoteText"/>
        <w:ind w:left="426" w:hanging="426"/>
        <w:rPr>
          <w:lang w:val="en-IE"/>
        </w:rPr>
      </w:pPr>
      <w:r>
        <w:rPr>
          <w:rStyle w:val="FootnoteReference"/>
        </w:rPr>
        <w:footnoteRef/>
      </w:r>
      <w:r>
        <w:tab/>
        <w:t>9% of EUR</w:t>
      </w:r>
      <w:r>
        <w:rPr>
          <w:lang w:val="en-IE"/>
        </w:rPr>
        <w:t> </w:t>
      </w:r>
      <w:r>
        <w:t>31</w:t>
      </w:r>
      <w:r>
        <w:rPr>
          <w:lang w:val="en-IE"/>
        </w:rPr>
        <w:t> </w:t>
      </w:r>
      <w:r>
        <w:t>655.46</w:t>
      </w:r>
      <w:r>
        <w:rPr>
          <w:lang w:val="en-IE"/>
        </w:rPr>
        <w:t> </w:t>
      </w:r>
      <w:r>
        <w:t>million. The target amount is calculated applying a percentage of 9% to the total outstanding capital liabilities arising from each operation, plus accrued interest (MFA, Euratom and EIB loans to third countries) and less the sugrogated loans at the end of year “n–1”.</w:t>
      </w:r>
    </w:p>
  </w:footnote>
  <w:footnote w:id="45">
    <w:p>
      <w:pPr>
        <w:pStyle w:val="FootnoteText"/>
        <w:spacing w:before="120"/>
        <w:ind w:left="480" w:hanging="480"/>
      </w:pPr>
      <w:r>
        <w:rPr>
          <w:rStyle w:val="FootnoteReference"/>
        </w:rPr>
        <w:footnoteRef/>
      </w:r>
      <w:r>
        <w:tab/>
        <w:t xml:space="preserve">Regulation (EU) 2015/1017 of the European Parliament and of the Council of 25 June 2015 on the European Fund for Strategic Investments, the European Investment Advisory Hub and the European Investment Project Portal and amending Regulations (EU) No 1291/2013 and (EU) No 1316/2013 — the European Fund for Strategic Investments  (the "EFSI Regulation") OJ L 169, 1.7.2015, p. 1. The EFSI Regulation was amended by Regulation (EU) 2017/2396 of the European Parliament and Council of 13 December 2017 as regards the extension of the duration of the European Fund for Strategic Investments as well as the introduction of technical enhancements for that Fund and the European Investment Advisory Hub  (the "EFSI 2.0 Amendment"). The EFSI 2.0 Amendment increased, inter alia, the size of the EU Guarantee and adjusted the target rate. The agreement on the management of the EFSI and on the granting of the EU Guarantee (the "EFSI Agreement") was signed by the European Commission and the European Investment Bank (the "EIB") on 22 July 2015 and was amended and restated on 21 July 2016, 21 November 2017, 9 March 2018 and December 2018. </w:t>
      </w:r>
    </w:p>
  </w:footnote>
  <w:footnote w:id="46">
    <w:p>
      <w:pPr>
        <w:pStyle w:val="FootnoteText"/>
        <w:ind w:left="482" w:hanging="482"/>
      </w:pPr>
      <w:r>
        <w:rPr>
          <w:rStyle w:val="FootnoteReference"/>
        </w:rPr>
        <w:footnoteRef/>
      </w:r>
      <w:r>
        <w:tab/>
        <w:t>Information for this section has been extracted from the Report from the Commission to the European Parliament, the Council and the Court of Auditors on the management of the Guarantee Fund of the European Fund for Strategic Investments in 2018 - COM(2019) 244 final of 28.05.2019.</w:t>
      </w:r>
    </w:p>
  </w:footnote>
  <w:footnote w:id="47">
    <w:p>
      <w:pPr>
        <w:pStyle w:val="FootnoteText"/>
        <w:ind w:left="426" w:hanging="426"/>
      </w:pPr>
      <w:r>
        <w:rPr>
          <w:rStyle w:val="FootnoteReference"/>
        </w:rPr>
        <w:footnoteRef/>
      </w:r>
      <w:r>
        <w:tab/>
        <w:t>According to Article 11 of the EFSI 2.0 Amendment, the EU Guarantee shall not, at any time, exceed EUR 26</w:t>
      </w:r>
      <w:r>
        <w:rPr>
          <w:lang w:val="en-IE"/>
        </w:rPr>
        <w:t> </w:t>
      </w:r>
      <w:r>
        <w:t>billion and shall not exceed EUR</w:t>
      </w:r>
      <w:r>
        <w:rPr>
          <w:lang w:val="en-IE"/>
        </w:rPr>
        <w:t> </w:t>
      </w:r>
      <w:r>
        <w:t>16</w:t>
      </w:r>
      <w:r>
        <w:rPr>
          <w:lang w:val="en-IE"/>
        </w:rPr>
        <w:t> </w:t>
      </w:r>
      <w:r>
        <w:t xml:space="preserve">billion before 6 July 2018. Calls and uses of the EU Guarantee, and provisions for portfolio guarantee products under SME Window, are deducted from the maximum amount of the EU Guarantee. </w:t>
      </w:r>
    </w:p>
  </w:footnote>
  <w:footnote w:id="48">
    <w:p>
      <w:pPr>
        <w:pStyle w:val="FootnoteText"/>
        <w:ind w:left="426" w:hanging="426"/>
        <w:rPr>
          <w:rStyle w:val="FootnoteReference"/>
        </w:rPr>
      </w:pPr>
      <w:r>
        <w:rPr>
          <w:rStyle w:val="FootnoteReference"/>
        </w:rPr>
        <w:footnoteRef/>
      </w:r>
      <w:r>
        <w:rPr>
          <w:rStyle w:val="FootnoteReference"/>
        </w:rPr>
        <w:tab/>
      </w:r>
      <w:r>
        <w:t>Net of</w:t>
      </w:r>
      <w:r>
        <w:rPr>
          <w:rStyle w:val="FootnoteReference"/>
        </w:rPr>
        <w:t xml:space="preserve"> </w:t>
      </w:r>
      <w:r>
        <w:t>outstanding recovery costs of</w:t>
      </w:r>
      <w:r>
        <w:rPr>
          <w:rStyle w:val="FootnoteReference"/>
        </w:rPr>
        <w:t xml:space="preserve"> </w:t>
      </w:r>
      <w:r>
        <w:t>EUR</w:t>
      </w:r>
      <w:r>
        <w:rPr>
          <w:lang w:val="en-IE"/>
        </w:rPr>
        <w:t> </w:t>
      </w:r>
      <w:r>
        <w:t>0.5</w:t>
      </w:r>
      <w:r>
        <w:rPr>
          <w:lang w:val="en-IE"/>
        </w:rPr>
        <w:t> </w:t>
      </w:r>
      <w:r>
        <w:t>million payable to the EIB in 2019 in relation to</w:t>
      </w:r>
      <w:r>
        <w:rPr>
          <w:rStyle w:val="FootnoteReference"/>
        </w:rPr>
        <w:t xml:space="preserve"> </w:t>
      </w:r>
      <w:r>
        <w:t>a defaulted operation.</w:t>
      </w:r>
    </w:p>
  </w:footnote>
  <w:footnote w:id="49">
    <w:p>
      <w:pPr>
        <w:pStyle w:val="FootnoteText"/>
        <w:ind w:left="426" w:hanging="426"/>
      </w:pPr>
      <w:r>
        <w:rPr>
          <w:rStyle w:val="FootnoteReference"/>
        </w:rPr>
        <w:footnoteRef/>
      </w:r>
      <w:r>
        <w:tab/>
        <w:t>The audited financial statements of the EFSI Guarantee Fund are disclosed in the staff working document accompanying the EFSI GF report – SWD (2019) 188.</w:t>
      </w:r>
    </w:p>
  </w:footnote>
  <w:footnote w:id="50">
    <w:p>
      <w:pPr>
        <w:pStyle w:val="FootnoteText"/>
        <w:ind w:left="426" w:hanging="426"/>
      </w:pPr>
      <w:r>
        <w:rPr>
          <w:rStyle w:val="FootnoteReference"/>
        </w:rPr>
        <w:footnoteRef/>
      </w:r>
      <w:r>
        <w:tab/>
        <w:t>See Article 8.1(d) of the EFSI Agreement. This amount does not include the EUR</w:t>
      </w:r>
      <w:r>
        <w:rPr>
          <w:lang w:val="en-IE"/>
        </w:rPr>
        <w:t> </w:t>
      </w:r>
      <w:r>
        <w:t>1.6</w:t>
      </w:r>
      <w:r>
        <w:rPr>
          <w:lang w:val="en-IE"/>
        </w:rPr>
        <w:t> </w:t>
      </w:r>
      <w:r>
        <w:t>million of costs related to the call mentioned above.</w:t>
      </w:r>
    </w:p>
  </w:footnote>
  <w:footnote w:id="51">
    <w:p>
      <w:pPr>
        <w:pStyle w:val="FootnoteText"/>
        <w:ind w:left="426" w:hanging="426"/>
      </w:pPr>
      <w:r>
        <w:rPr>
          <w:rStyle w:val="FootnoteReference"/>
        </w:rPr>
        <w:footnoteRef/>
      </w:r>
      <w:r>
        <w:tab/>
        <w:t>See Article 8.1(b) of the EFSI Agreement.</w:t>
      </w:r>
    </w:p>
  </w:footnote>
  <w:footnote w:id="52">
    <w:p>
      <w:pPr>
        <w:pStyle w:val="FootnoteText"/>
        <w:ind w:left="425" w:hanging="425"/>
      </w:pPr>
      <w:r>
        <w:rPr>
          <w:rStyle w:val="FootnoteReference"/>
        </w:rPr>
        <w:footnoteRef/>
      </w:r>
      <w:r>
        <w:tab/>
        <w:t>Last version - COM(2019) 244 final of 28.5.2019.</w:t>
      </w:r>
    </w:p>
  </w:footnote>
  <w:footnote w:id="53">
    <w:p>
      <w:pPr>
        <w:pStyle w:val="FootnoteText"/>
        <w:ind w:left="426" w:hanging="426"/>
      </w:pPr>
      <w:r>
        <w:rPr>
          <w:rStyle w:val="FootnoteReference"/>
        </w:rPr>
        <w:footnoteRef/>
      </w:r>
      <w:r>
        <w:tab/>
        <w:t>Regulation (EU) 2017/1601 of the European Parliament and of the Council of 26 September 2017 establishing the European Fund for Sustainable Development (EFSD), the EFSD Guarantee and the EFSD Guarantee Fund (OJ L 249, 27.9.2017,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13E000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350FB1"/>
    <w:multiLevelType w:val="multilevel"/>
    <w:tmpl w:val="30847FD6"/>
    <w:lvl w:ilvl="0">
      <w:start w:val="1"/>
      <w:numFmt w:val="decimal"/>
      <w:lvlRestart w:val="0"/>
      <w:pStyle w:val="ListNumber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5E43525"/>
    <w:multiLevelType w:val="multilevel"/>
    <w:tmpl w:val="76202BFE"/>
    <w:lvl w:ilvl="0">
      <w:start w:val="1"/>
      <w:numFmt w:val="decimal"/>
      <w:lvlRestart w:val="0"/>
      <w:pStyle w:val="ListNumber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D175C68"/>
    <w:multiLevelType w:val="hybridMultilevel"/>
    <w:tmpl w:val="84CE7842"/>
    <w:lvl w:ilvl="0" w:tplc="785CD484">
      <w:start w:val="7"/>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12DD5905"/>
    <w:multiLevelType w:val="singleLevel"/>
    <w:tmpl w:val="6CB4B73E"/>
    <w:name w:val="List Bullet 2"/>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5">
    <w:nsid w:val="1CD71CE5"/>
    <w:multiLevelType w:val="hybridMultilevel"/>
    <w:tmpl w:val="5D9A372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4E930D7"/>
    <w:multiLevelType w:val="multilevel"/>
    <w:tmpl w:val="EFD2E05E"/>
    <w:lvl w:ilvl="0">
      <w:start w:val="1"/>
      <w:numFmt w:val="decimal"/>
      <w:lvlRestart w:val="0"/>
      <w:pStyle w:val="ListNumber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cs="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AF76E7A"/>
    <w:multiLevelType w:val="singleLevel"/>
    <w:tmpl w:val="C74C5A32"/>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nsid w:val="31F65919"/>
    <w:multiLevelType w:val="hybridMultilevel"/>
    <w:tmpl w:val="A7B2D2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378B083A"/>
    <w:multiLevelType w:val="hybridMultilevel"/>
    <w:tmpl w:val="724C6F0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A5459E8"/>
    <w:multiLevelType w:val="singleLevel"/>
    <w:tmpl w:val="2188C922"/>
    <w:name w:val="Tiret 1"/>
    <w:lvl w:ilvl="0">
      <w:start w:val="1"/>
      <w:numFmt w:val="bullet"/>
      <w:lvlRestart w:val="0"/>
      <w:pStyle w:val="Tiret1"/>
      <w:lvlText w:val="–"/>
      <w:lvlJc w:val="left"/>
      <w:pPr>
        <w:tabs>
          <w:tab w:val="num" w:pos="1417"/>
        </w:tabs>
        <w:ind w:left="1417" w:hanging="567"/>
      </w:pPr>
    </w:lvl>
  </w:abstractNum>
  <w:abstractNum w:abstractNumId="11">
    <w:nsid w:val="3BA736C9"/>
    <w:multiLevelType w:val="singleLevel"/>
    <w:tmpl w:val="F00A6C0C"/>
    <w:name w:val="Tiret 0"/>
    <w:lvl w:ilvl="0">
      <w:start w:val="1"/>
      <w:numFmt w:val="bullet"/>
      <w:lvlRestart w:val="0"/>
      <w:pStyle w:val="Tiret0"/>
      <w:lvlText w:val="–"/>
      <w:lvlJc w:val="left"/>
      <w:pPr>
        <w:tabs>
          <w:tab w:val="num" w:pos="850"/>
        </w:tabs>
        <w:ind w:left="850" w:hanging="850"/>
      </w:pPr>
    </w:lvl>
  </w:abstractNum>
  <w:abstractNum w:abstractNumId="12">
    <w:nsid w:val="3C90278F"/>
    <w:multiLevelType w:val="singleLevel"/>
    <w:tmpl w:val="0FE08974"/>
    <w:name w:val="Tiret 3"/>
    <w:lvl w:ilvl="0">
      <w:start w:val="1"/>
      <w:numFmt w:val="bullet"/>
      <w:lvlRestart w:val="0"/>
      <w:pStyle w:val="Tiret3"/>
      <w:lvlText w:val="–"/>
      <w:lvlJc w:val="left"/>
      <w:pPr>
        <w:tabs>
          <w:tab w:val="num" w:pos="2551"/>
        </w:tabs>
        <w:ind w:left="2551" w:hanging="567"/>
      </w:pPr>
    </w:lvl>
  </w:abstractNum>
  <w:abstractNum w:abstractNumId="13">
    <w:nsid w:val="3E191884"/>
    <w:multiLevelType w:val="singleLevel"/>
    <w:tmpl w:val="3020C764"/>
    <w:name w:val="List Bullet 3"/>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4">
    <w:nsid w:val="40315490"/>
    <w:multiLevelType w:val="singleLevel"/>
    <w:tmpl w:val="1F86C700"/>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5">
    <w:nsid w:val="473508AF"/>
    <w:multiLevelType w:val="hybridMultilevel"/>
    <w:tmpl w:val="863C4C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8842C30"/>
    <w:multiLevelType w:val="singleLevel"/>
    <w:tmpl w:val="4FA60B9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49795E82"/>
    <w:multiLevelType w:val="hybridMultilevel"/>
    <w:tmpl w:val="35E0449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4593082"/>
    <w:multiLevelType w:val="singleLevel"/>
    <w:tmpl w:val="EDE069AC"/>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9">
    <w:nsid w:val="55630FD0"/>
    <w:multiLevelType w:val="hybridMultilevel"/>
    <w:tmpl w:val="B3E027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568864DC"/>
    <w:multiLevelType w:val="singleLevel"/>
    <w:tmpl w:val="485EBDAC"/>
    <w:name w:val="Tiret 4"/>
    <w:lvl w:ilvl="0">
      <w:start w:val="1"/>
      <w:numFmt w:val="bullet"/>
      <w:lvlRestart w:val="0"/>
      <w:pStyle w:val="Tiret4"/>
      <w:lvlText w:val="–"/>
      <w:lvlJc w:val="left"/>
      <w:pPr>
        <w:tabs>
          <w:tab w:val="num" w:pos="3118"/>
        </w:tabs>
        <w:ind w:left="3118" w:hanging="567"/>
      </w:pPr>
    </w:lvl>
  </w:abstractNum>
  <w:abstractNum w:abstractNumId="21">
    <w:nsid w:val="596D67A1"/>
    <w:multiLevelType w:val="singleLevel"/>
    <w:tmpl w:val="9AC8831A"/>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22">
    <w:nsid w:val="59D8701E"/>
    <w:multiLevelType w:val="hybridMultilevel"/>
    <w:tmpl w:val="C9241452"/>
    <w:lvl w:ilvl="0" w:tplc="47B077A8">
      <w:start w:val="6"/>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nsid w:val="5B4A68BD"/>
    <w:multiLevelType w:val="multilevel"/>
    <w:tmpl w:val="141CFBD6"/>
    <w:lvl w:ilvl="0">
      <w:start w:val="1"/>
      <w:numFmt w:val="bullet"/>
      <w:pStyle w:val="DBulletsgelb1"/>
      <w:lvlText w:val=""/>
      <w:lvlJc w:val="left"/>
      <w:pPr>
        <w:ind w:left="530" w:hanging="360"/>
      </w:pPr>
      <w:rPr>
        <w:rFonts w:ascii="Symbol" w:hAnsi="Symbol" w:hint="default"/>
        <w:color w:val="auto"/>
        <w:sz w:val="19"/>
        <w:szCs w:val="18"/>
      </w:rPr>
    </w:lvl>
    <w:lvl w:ilvl="1">
      <w:start w:val="1"/>
      <w:numFmt w:val="bullet"/>
      <w:pStyle w:val="BBullets2"/>
      <w:lvlText w:val="o"/>
      <w:lvlJc w:val="left"/>
      <w:pPr>
        <w:tabs>
          <w:tab w:val="num" w:pos="709"/>
        </w:tabs>
        <w:ind w:left="709" w:hanging="284"/>
      </w:pPr>
      <w:rPr>
        <w:rFonts w:ascii="Symbol" w:hAnsi="Symbol" w:hint="default"/>
        <w:sz w:val="16"/>
      </w:rPr>
    </w:lvl>
    <w:lvl w:ilvl="2">
      <w:start w:val="1"/>
      <w:numFmt w:val="bullet"/>
      <w:lvlText w:val=""/>
      <w:lvlJc w:val="left"/>
      <w:pPr>
        <w:tabs>
          <w:tab w:val="num" w:pos="1990"/>
        </w:tabs>
        <w:ind w:left="1990" w:hanging="360"/>
      </w:pPr>
      <w:rPr>
        <w:rFonts w:ascii="Wingdings" w:hAnsi="Wingdings" w:hint="default"/>
      </w:rPr>
    </w:lvl>
    <w:lvl w:ilvl="3">
      <w:start w:val="1"/>
      <w:numFmt w:val="bullet"/>
      <w:lvlText w:val=""/>
      <w:lvlJc w:val="left"/>
      <w:pPr>
        <w:tabs>
          <w:tab w:val="num" w:pos="2710"/>
        </w:tabs>
        <w:ind w:left="2710" w:hanging="360"/>
      </w:pPr>
      <w:rPr>
        <w:rFonts w:ascii="Symbol" w:hAnsi="Symbol" w:hint="default"/>
      </w:rPr>
    </w:lvl>
    <w:lvl w:ilvl="4">
      <w:start w:val="1"/>
      <w:numFmt w:val="bullet"/>
      <w:lvlText w:val="o"/>
      <w:lvlJc w:val="left"/>
      <w:pPr>
        <w:tabs>
          <w:tab w:val="num" w:pos="3430"/>
        </w:tabs>
        <w:ind w:left="3430" w:hanging="360"/>
      </w:pPr>
      <w:rPr>
        <w:rFonts w:ascii="Courier New" w:hAnsi="Courier New" w:cs="Courier New" w:hint="default"/>
      </w:rPr>
    </w:lvl>
    <w:lvl w:ilvl="5">
      <w:start w:val="1"/>
      <w:numFmt w:val="bullet"/>
      <w:lvlText w:val=""/>
      <w:lvlJc w:val="left"/>
      <w:pPr>
        <w:tabs>
          <w:tab w:val="num" w:pos="4150"/>
        </w:tabs>
        <w:ind w:left="4150" w:hanging="360"/>
      </w:pPr>
      <w:rPr>
        <w:rFonts w:ascii="Wingdings" w:hAnsi="Wingdings" w:hint="default"/>
      </w:rPr>
    </w:lvl>
    <w:lvl w:ilvl="6">
      <w:start w:val="1"/>
      <w:numFmt w:val="bullet"/>
      <w:lvlText w:val=""/>
      <w:lvlJc w:val="left"/>
      <w:pPr>
        <w:tabs>
          <w:tab w:val="num" w:pos="4870"/>
        </w:tabs>
        <w:ind w:left="4870" w:hanging="360"/>
      </w:pPr>
      <w:rPr>
        <w:rFonts w:ascii="Symbol" w:hAnsi="Symbol" w:hint="default"/>
      </w:rPr>
    </w:lvl>
    <w:lvl w:ilvl="7">
      <w:start w:val="1"/>
      <w:numFmt w:val="bullet"/>
      <w:lvlText w:val="o"/>
      <w:lvlJc w:val="left"/>
      <w:pPr>
        <w:tabs>
          <w:tab w:val="num" w:pos="5590"/>
        </w:tabs>
        <w:ind w:left="5590" w:hanging="360"/>
      </w:pPr>
      <w:rPr>
        <w:rFonts w:ascii="Courier New" w:hAnsi="Courier New" w:cs="Courier New" w:hint="default"/>
      </w:rPr>
    </w:lvl>
    <w:lvl w:ilvl="8">
      <w:start w:val="1"/>
      <w:numFmt w:val="bullet"/>
      <w:lvlText w:val=""/>
      <w:lvlJc w:val="left"/>
      <w:pPr>
        <w:tabs>
          <w:tab w:val="num" w:pos="6310"/>
        </w:tabs>
        <w:ind w:left="6310" w:hanging="360"/>
      </w:pPr>
      <w:rPr>
        <w:rFonts w:ascii="Wingdings" w:hAnsi="Wingdings" w:hint="default"/>
      </w:rPr>
    </w:lvl>
  </w:abstractNum>
  <w:abstractNum w:abstractNumId="24">
    <w:nsid w:val="5F342530"/>
    <w:multiLevelType w:val="singleLevel"/>
    <w:tmpl w:val="D5444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5">
    <w:nsid w:val="5F8C3B69"/>
    <w:multiLevelType w:val="multilevel"/>
    <w:tmpl w:val="9B14DAA8"/>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5F9C40AA"/>
    <w:multiLevelType w:val="singleLevel"/>
    <w:tmpl w:val="B89CB5A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7">
    <w:nsid w:val="62970F71"/>
    <w:multiLevelType w:val="singleLevel"/>
    <w:tmpl w:val="5AFA8C72"/>
    <w:name w:val="Tiret 2"/>
    <w:lvl w:ilvl="0">
      <w:start w:val="1"/>
      <w:numFmt w:val="bullet"/>
      <w:lvlRestart w:val="0"/>
      <w:pStyle w:val="Tiret2"/>
      <w:lvlText w:val="–"/>
      <w:lvlJc w:val="left"/>
      <w:pPr>
        <w:tabs>
          <w:tab w:val="num" w:pos="1984"/>
        </w:tabs>
        <w:ind w:left="1984" w:hanging="567"/>
      </w:pPr>
    </w:lvl>
  </w:abstractNum>
  <w:abstractNum w:abstractNumId="28">
    <w:nsid w:val="62A8042C"/>
    <w:multiLevelType w:val="singleLevel"/>
    <w:tmpl w:val="CCF20C06"/>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9">
    <w:nsid w:val="67671EEF"/>
    <w:multiLevelType w:val="singleLevel"/>
    <w:tmpl w:val="249CEA72"/>
    <w:lvl w:ilvl="0">
      <w:start w:val="1"/>
      <w:numFmt w:val="bullet"/>
      <w:lvlText w:val="–"/>
      <w:lvlJc w:val="left"/>
      <w:pPr>
        <w:tabs>
          <w:tab w:val="num" w:pos="765"/>
        </w:tabs>
        <w:ind w:left="765" w:hanging="283"/>
      </w:pPr>
      <w:rPr>
        <w:rFonts w:ascii="Times New Roman" w:hAnsi="Times New Roman"/>
      </w:rPr>
    </w:lvl>
  </w:abstractNum>
  <w:abstractNum w:abstractNumId="30">
    <w:nsid w:val="69995580"/>
    <w:multiLevelType w:val="singleLevel"/>
    <w:tmpl w:val="75CC7CBA"/>
    <w:name w:val="Considérant"/>
    <w:lvl w:ilvl="0">
      <w:start w:val="1"/>
      <w:numFmt w:val="decimal"/>
      <w:lvlRestart w:val="0"/>
      <w:pStyle w:val="Considrant"/>
      <w:lvlText w:val="(%1)"/>
      <w:lvlJc w:val="left"/>
      <w:pPr>
        <w:tabs>
          <w:tab w:val="num" w:pos="709"/>
        </w:tabs>
        <w:ind w:left="709" w:hanging="709"/>
      </w:pPr>
    </w:lvl>
  </w:abstractNum>
  <w:abstractNum w:abstractNumId="31">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2">
    <w:nsid w:val="6D1471E6"/>
    <w:multiLevelType w:val="hybridMultilevel"/>
    <w:tmpl w:val="9544FB5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D2B5511"/>
    <w:multiLevelType w:val="singleLevel"/>
    <w:tmpl w:val="74A09970"/>
    <w:name w:val="List Bullet 1"/>
    <w:lvl w:ilvl="0">
      <w:start w:val="1"/>
      <w:numFmt w:val="bullet"/>
      <w:lvlRestart w:val="0"/>
      <w:lvlText w:val=""/>
      <w:lvlJc w:val="left"/>
      <w:pPr>
        <w:tabs>
          <w:tab w:val="num" w:pos="283"/>
        </w:tabs>
        <w:ind w:left="283" w:hanging="283"/>
      </w:pPr>
      <w:rPr>
        <w:rFonts w:ascii="Symbol" w:hAnsi="Symbol" w:hint="default"/>
      </w:rPr>
    </w:lvl>
  </w:abstractNum>
  <w:abstractNum w:abstractNumId="34">
    <w:nsid w:val="711167E2"/>
    <w:multiLevelType w:val="multilevel"/>
    <w:tmpl w:val="C3843A7A"/>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75C26F71"/>
    <w:multiLevelType w:val="multilevel"/>
    <w:tmpl w:val="E01E7708"/>
    <w:lvl w:ilvl="0">
      <w:start w:val="1"/>
      <w:numFmt w:val="decimal"/>
      <w:lvlRestart w:val="0"/>
      <w:pStyle w:val="Heading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78A241BD"/>
    <w:multiLevelType w:val="singleLevel"/>
    <w:tmpl w:val="53C4DF32"/>
    <w:name w:val="NumPar"/>
    <w:lvl w:ilvl="0">
      <w:start w:val="1"/>
      <w:numFmt w:val="bullet"/>
      <w:lvlRestart w:val="0"/>
      <w:pStyle w:val="ListDash3"/>
      <w:lvlText w:val="–"/>
      <w:lvlJc w:val="left"/>
      <w:pPr>
        <w:tabs>
          <w:tab w:val="num" w:pos="1134"/>
        </w:tabs>
        <w:ind w:left="1134" w:hanging="283"/>
      </w:pPr>
      <w:rPr>
        <w:rFonts w:ascii="Times New Roman" w:hAnsi="Times New Roman" w:cs="Times New Roman"/>
      </w:rPr>
    </w:lvl>
  </w:abstractNum>
  <w:abstractNum w:abstractNumId="37">
    <w:nsid w:val="79C96D36"/>
    <w:multiLevelType w:val="multilevel"/>
    <w:tmpl w:val="BE983CE4"/>
    <w:name w:val="List Dash 3"/>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7BE95D7F"/>
    <w:multiLevelType w:val="multilevel"/>
    <w:tmpl w:val="F126F78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9">
    <w:nsid w:val="7D8820A0"/>
    <w:multiLevelType w:val="singleLevel"/>
    <w:tmpl w:val="54F6C7B4"/>
    <w:name w:val="Heading"/>
    <w:lvl w:ilvl="0">
      <w:start w:val="1"/>
      <w:numFmt w:val="bullet"/>
      <w:lvlRestart w:val="0"/>
      <w:pStyle w:val="ListDash4"/>
      <w:lvlText w:val="–"/>
      <w:lvlJc w:val="left"/>
      <w:pPr>
        <w:tabs>
          <w:tab w:val="num" w:pos="1134"/>
        </w:tabs>
        <w:ind w:left="1134" w:hanging="283"/>
      </w:pPr>
      <w:rPr>
        <w:rFonts w:ascii="Times New Roman" w:hAnsi="Times New Roman" w:cs="Times New Roman"/>
      </w:rPr>
    </w:lvl>
  </w:abstractNum>
  <w:abstractNum w:abstractNumId="40">
    <w:nsid w:val="7F081A4A"/>
    <w:multiLevelType w:val="hybridMultilevel"/>
    <w:tmpl w:val="AB963DFC"/>
    <w:lvl w:ilvl="0" w:tplc="7572F9A4">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F7154E1"/>
    <w:multiLevelType w:val="singleLevel"/>
    <w:tmpl w:val="E3F6D2C6"/>
    <w:name w:val="List Dash 4"/>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18"/>
  </w:num>
  <w:num w:numId="2">
    <w:abstractNumId w:val="7"/>
  </w:num>
  <w:num w:numId="3">
    <w:abstractNumId w:val="26"/>
  </w:num>
  <w:num w:numId="4">
    <w:abstractNumId w:val="24"/>
  </w:num>
  <w:num w:numId="5">
    <w:abstractNumId w:val="16"/>
  </w:num>
  <w:num w:numId="6">
    <w:abstractNumId w:val="30"/>
  </w:num>
  <w:num w:numId="7">
    <w:abstractNumId w:val="35"/>
  </w:num>
  <w:num w:numId="8">
    <w:abstractNumId w:val="35"/>
  </w:num>
  <w:num w:numId="9">
    <w:abstractNumId w:val="34"/>
  </w:num>
  <w:num w:numId="10">
    <w:abstractNumId w:val="38"/>
  </w:num>
  <w:num w:numId="11">
    <w:abstractNumId w:val="11"/>
  </w:num>
  <w:num w:numId="12">
    <w:abstractNumId w:val="10"/>
  </w:num>
  <w:num w:numId="13">
    <w:abstractNumId w:val="27"/>
  </w:num>
  <w:num w:numId="14">
    <w:abstractNumId w:val="12"/>
  </w:num>
  <w:num w:numId="15">
    <w:abstractNumId w:val="20"/>
  </w:num>
  <w:num w:numId="16">
    <w:abstractNumId w:val="25"/>
  </w:num>
  <w:num w:numId="17">
    <w:abstractNumId w:val="37"/>
  </w:num>
  <w:num w:numId="18">
    <w:abstractNumId w:val="6"/>
  </w:num>
  <w:num w:numId="19">
    <w:abstractNumId w:val="2"/>
  </w:num>
  <w:num w:numId="20">
    <w:abstractNumId w:val="1"/>
  </w:num>
  <w:num w:numId="21">
    <w:abstractNumId w:val="31"/>
  </w:num>
  <w:num w:numId="22">
    <w:abstractNumId w:val="4"/>
  </w:num>
  <w:num w:numId="23">
    <w:abstractNumId w:val="13"/>
  </w:num>
  <w:num w:numId="24">
    <w:abstractNumId w:val="41"/>
  </w:num>
  <w:num w:numId="25">
    <w:abstractNumId w:val="14"/>
  </w:num>
  <w:num w:numId="26">
    <w:abstractNumId w:val="28"/>
  </w:num>
  <w:num w:numId="27">
    <w:abstractNumId w:val="21"/>
  </w:num>
  <w:num w:numId="28">
    <w:abstractNumId w:val="36"/>
  </w:num>
  <w:num w:numId="29">
    <w:abstractNumId w:val="39"/>
  </w:num>
  <w:num w:numId="30">
    <w:abstractNumId w:val="0"/>
  </w:num>
  <w:num w:numId="31">
    <w:abstractNumId w:val="35"/>
  </w:num>
  <w:num w:numId="32">
    <w:abstractNumId w:val="35"/>
  </w:num>
  <w:num w:numId="33">
    <w:abstractNumId w:val="23"/>
  </w:num>
  <w:num w:numId="34">
    <w:abstractNumId w:val="29"/>
  </w:num>
  <w:num w:numId="35">
    <w:abstractNumId w:val="15"/>
  </w:num>
  <w:num w:numId="36">
    <w:abstractNumId w:val="19"/>
  </w:num>
  <w:num w:numId="37">
    <w:abstractNumId w:val="17"/>
  </w:num>
  <w:num w:numId="38">
    <w:abstractNumId w:val="5"/>
  </w:num>
  <w:num w:numId="39">
    <w:abstractNumId w:val="32"/>
  </w:num>
  <w:num w:numId="40">
    <w:abstractNumId w:val="9"/>
  </w:num>
  <w:num w:numId="41">
    <w:abstractNumId w:val="8"/>
  </w:num>
  <w:num w:numId="42">
    <w:abstractNumId w:val="40"/>
  </w:num>
  <w:num w:numId="43">
    <w:abstractNumId w:val="22"/>
  </w:num>
  <w:num w:numId="44">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es-E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DocStatus" w:val="Green"/>
    <w:docVar w:name="LW_CORRIGENDUM" w:val="&lt;UNUSED&gt;"/>
    <w:docVar w:name="LW_COVERPAGE_EXISTS" w:val="True"/>
    <w:docVar w:name="LW_COVERPAGE_GUID" w:val="7D48E2A0-50ED-4C0A-85DB-C71FFB42F5D5"/>
    <w:docVar w:name="LW_COVERPAGE_TYPE" w:val="1"/>
    <w:docVar w:name="LW_CROSSREFERENCE" w:val="{SWD(2019) 379 final}"/>
    <w:docVar w:name="LW_DocType" w:val="NORMAL"/>
    <w:docVar w:name="LW_EMISSION" w:val="23.10.2019"/>
    <w:docVar w:name="LW_EMISSION_ISODATE" w:val="2019-10-23"/>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9) 48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on guarantees covered by the general budget_x000d__x000d__x000d__x000d__x000b_Situation at 31 December 2018"/>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jc w:val="both"/>
    </w:pPr>
    <w:rPr>
      <w:sz w:val="24"/>
      <w:szCs w:val="24"/>
      <w:lang w:eastAsia="en-US"/>
    </w:rPr>
  </w:style>
  <w:style w:type="paragraph" w:styleId="Heading1">
    <w:name w:val="heading 1"/>
    <w:basedOn w:val="Normal"/>
    <w:next w:val="Normal"/>
    <w:link w:val="Heading1Char"/>
    <w:qFormat/>
    <w:pPr>
      <w:keepNext/>
      <w:numPr>
        <w:numId w:val="8"/>
      </w:numPr>
      <w:spacing w:before="360"/>
      <w:outlineLvl w:val="0"/>
    </w:pPr>
    <w:rPr>
      <w:b/>
      <w:bCs/>
      <w:smallCaps/>
      <w:szCs w:val="32"/>
    </w:rPr>
  </w:style>
  <w:style w:type="paragraph" w:styleId="Heading2">
    <w:name w:val="heading 2"/>
    <w:basedOn w:val="Normal"/>
    <w:next w:val="Normal"/>
    <w:link w:val="Heading2Char"/>
    <w:qFormat/>
    <w:pPr>
      <w:keepNext/>
      <w:outlineLvl w:val="1"/>
    </w:pPr>
    <w:rPr>
      <w:b/>
      <w:bCs/>
      <w:iCs/>
      <w:noProof/>
      <w:szCs w:val="28"/>
    </w:rPr>
  </w:style>
  <w:style w:type="paragraph" w:styleId="Heading3">
    <w:name w:val="heading 3"/>
    <w:basedOn w:val="Normal"/>
    <w:next w:val="Normal"/>
    <w:qFormat/>
    <w:pPr>
      <w:keepNext/>
      <w:numPr>
        <w:ilvl w:val="2"/>
        <w:numId w:val="8"/>
      </w:numPr>
      <w:outlineLvl w:val="2"/>
    </w:pPr>
    <w:rPr>
      <w:bCs/>
      <w:i/>
      <w:szCs w:val="26"/>
    </w:rPr>
  </w:style>
  <w:style w:type="paragraph" w:styleId="Heading4">
    <w:name w:val="heading 4"/>
    <w:basedOn w:val="Normal"/>
    <w:next w:val="Normal"/>
    <w:qFormat/>
    <w:pPr>
      <w:keepNext/>
      <w:numPr>
        <w:ilvl w:val="3"/>
        <w:numId w:val="8"/>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ompagnant">
    <w:name w:val="Accompagnant"/>
    <w:basedOn w:val="Normal"/>
    <w:next w:val="Normal"/>
    <w:pPr>
      <w:spacing w:before="0" w:after="240"/>
      <w:jc w:val="center"/>
    </w:pPr>
    <w:rPr>
      <w:b/>
      <w:i/>
    </w:rPr>
  </w:style>
  <w:style w:type="paragraph" w:customStyle="1" w:styleId="AccompagnantPagedecouverture">
    <w:name w:val="Accompagnant (Page de couverture)"/>
    <w:basedOn w:val="Accompagnant"/>
    <w:next w:val="Normal"/>
  </w:style>
  <w:style w:type="character" w:customStyle="1" w:styleId="Added">
    <w:name w:val="Added"/>
    <w:rPr>
      <w:b/>
      <w:u w:val="single"/>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Annexetitre">
    <w:name w:val="Annexe titre"/>
    <w:basedOn w:val="Normal"/>
    <w:next w:val="Normal"/>
    <w:pPr>
      <w:jc w:val="center"/>
    </w:pPr>
    <w:rPr>
      <w:b/>
      <w:u w:val="single"/>
    </w:rPr>
  </w:style>
  <w:style w:type="paragraph" w:customStyle="1" w:styleId="Annexetitreexpos">
    <w:name w:val="Annexe titre (exposé)"/>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Normal"/>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Bullet0">
    <w:name w:val="Bullet 0"/>
    <w:basedOn w:val="Normal"/>
    <w:pPr>
      <w:numPr>
        <w:numId w:val="1"/>
      </w:numPr>
    </w:pPr>
  </w:style>
  <w:style w:type="paragraph" w:customStyle="1" w:styleId="Bullet1">
    <w:name w:val="Bullet 1"/>
    <w:basedOn w:val="Normal"/>
    <w:pPr>
      <w:numPr>
        <w:numId w:val="2"/>
      </w:numPr>
    </w:pPr>
  </w:style>
  <w:style w:type="paragraph" w:customStyle="1" w:styleId="Bullet2">
    <w:name w:val="Bullet 2"/>
    <w:basedOn w:val="Normal"/>
    <w:pPr>
      <w:numPr>
        <w:numId w:val="3"/>
      </w:numPr>
    </w:pPr>
  </w:style>
  <w:style w:type="paragraph" w:customStyle="1" w:styleId="Bullet3">
    <w:name w:val="Bullet 3"/>
    <w:basedOn w:val="Normal"/>
    <w:pPr>
      <w:numPr>
        <w:numId w:val="4"/>
      </w:numPr>
    </w:pPr>
  </w:style>
  <w:style w:type="paragraph" w:customStyle="1" w:styleId="Bullet4">
    <w:name w:val="Bullet 4"/>
    <w:basedOn w:val="Normal"/>
    <w:pPr>
      <w:numPr>
        <w:numId w:val="5"/>
      </w:numPr>
    </w:pPr>
  </w:style>
  <w:style w:type="paragraph" w:customStyle="1" w:styleId="ChapterTitle">
    <w:name w:val="ChapterTitle"/>
    <w:basedOn w:val="Normal"/>
    <w:next w:val="Normal"/>
    <w:pPr>
      <w:keepNext/>
      <w:spacing w:after="360"/>
      <w:jc w:val="center"/>
    </w:pPr>
    <w:rPr>
      <w:b/>
      <w:sz w:val="32"/>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Normal"/>
    <w:pPr>
      <w:spacing w:before="240" w:after="240"/>
      <w:ind w:left="5103"/>
    </w:pPr>
    <w:rPr>
      <w:u w:val="single"/>
    </w:rPr>
  </w:style>
  <w:style w:type="paragraph" w:customStyle="1" w:styleId="Considrant">
    <w:name w:val="Considérant"/>
    <w:basedOn w:val="Normal"/>
    <w:pPr>
      <w:numPr>
        <w:numId w:val="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Normal"/>
    <w:pPr>
      <w:spacing w:before="360" w:after="0"/>
      <w:jc w:val="center"/>
    </w:pPr>
    <w:rPr>
      <w:b/>
    </w:rPr>
  </w:style>
  <w:style w:type="paragraph" w:customStyle="1" w:styleId="DatedadoptionPagedecouverture">
    <w:name w:val="Date d'adoption (Page de couverture)"/>
    <w:basedOn w:val="Datedadoption"/>
    <w:next w:val="Normal"/>
  </w:style>
  <w:style w:type="character" w:customStyle="1" w:styleId="Deleted">
    <w:name w:val="Deleted"/>
    <w:rPr>
      <w:strike/>
      <w:shd w:val="clear" w:color="auto" w:fill="auto"/>
    </w:rPr>
  </w:style>
  <w:style w:type="paragraph" w:customStyle="1" w:styleId="Emission">
    <w:name w:val="Emission"/>
    <w:basedOn w:val="Normal"/>
    <w:next w:val="Normal"/>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Normal"/>
    <w:pPr>
      <w:keepNext/>
      <w:spacing w:after="0"/>
    </w:pPr>
  </w:style>
  <w:style w:type="paragraph" w:customStyle="1" w:styleId="Fichefinanciretitre">
    <w:name w:val="Fiche financière titre"/>
    <w:basedOn w:val="Normal"/>
    <w:next w:val="Normal"/>
    <w:pPr>
      <w:jc w:val="center"/>
    </w:pPr>
    <w:rPr>
      <w:b/>
      <w:u w:val="single"/>
    </w:rPr>
  </w:style>
  <w:style w:type="paragraph" w:styleId="Footer">
    <w:name w:val="footer"/>
    <w:basedOn w:val="Normal"/>
    <w:link w:val="FooterChar"/>
    <w:uiPriority w:val="99"/>
    <w:pPr>
      <w:tabs>
        <w:tab w:val="center" w:pos="4535"/>
        <w:tab w:val="right" w:pos="9071"/>
        <w:tab w:val="right" w:pos="9921"/>
      </w:tabs>
      <w:spacing w:before="360" w:after="0"/>
      <w:ind w:left="-850" w:right="-850"/>
      <w:jc w:val="left"/>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aliases w:val="BVI fnr"/>
    <w:uiPriority w:val="99"/>
    <w:semiHidden/>
    <w:rPr>
      <w:shd w:val="clear" w:color="auto" w:fill="auto"/>
      <w:vertAlign w:val="superscript"/>
    </w:rPr>
  </w:style>
  <w:style w:type="paragraph" w:styleId="FootnoteText">
    <w:name w:val="footnote text"/>
    <w:aliases w:val="Fodnotetekst Tegn Tegn Tegn Tegn Tegn Tegn Tegn Char Char,Fodnotetekst Tegn Tegn Tegn Tegn Tegn Tegn Tegn Char Char Char Char,Fodnotetekst Tegn Tegn Tegn Tegn Tegn Tegn Tegn,Fodnotetekst Tegn Tegn Tegn Tegn Tegn Tegn Tegn Tegn Tegn Tegn,ft"/>
    <w:basedOn w:val="Normal"/>
    <w:link w:val="FootnoteTextChar"/>
    <w:uiPriority w:val="99"/>
    <w:pPr>
      <w:spacing w:before="0" w:after="0"/>
      <w:ind w:left="720" w:hanging="720"/>
    </w:pPr>
    <w:rPr>
      <w:sz w:val="20"/>
      <w:szCs w:val="20"/>
    </w:rPr>
  </w:style>
  <w:style w:type="paragraph" w:customStyle="1" w:styleId="Formuledadoption">
    <w:name w:val="Formule d'adoption"/>
    <w:basedOn w:val="Normal"/>
    <w:next w:val="Normal"/>
    <w:pPr>
      <w:keepNext/>
    </w:pPr>
  </w:style>
  <w:style w:type="paragraph" w:styleId="Header">
    <w:name w:val="header"/>
    <w:basedOn w:val="Normal"/>
    <w:pPr>
      <w:tabs>
        <w:tab w:val="center" w:pos="4535"/>
        <w:tab w:val="right" w:pos="9071"/>
      </w:tabs>
    </w:pPr>
  </w:style>
  <w:style w:type="paragraph" w:customStyle="1" w:styleId="HeaderLandscape">
    <w:name w:val="HeaderLandscape"/>
    <w:basedOn w:val="Normal"/>
    <w:pPr>
      <w:tabs>
        <w:tab w:val="center" w:pos="7285"/>
        <w:tab w:val="right" w:pos="14003"/>
      </w:tabs>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Normal"/>
    <w:pPr>
      <w:keepNext/>
      <w:tabs>
        <w:tab w:val="left" w:pos="4252"/>
      </w:tabs>
      <w:spacing w:before="720" w:after="0"/>
    </w:pPr>
    <w:rPr>
      <w:i/>
    </w:rPr>
  </w:style>
  <w:style w:type="paragraph" w:customStyle="1" w:styleId="Languesfaisantfoi">
    <w:name w:val="Langues faisant foi"/>
    <w:basedOn w:val="Normal"/>
    <w:next w:val="Normal"/>
    <w:pPr>
      <w:spacing w:before="360" w:after="0"/>
      <w:jc w:val="center"/>
    </w:p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Normal"/>
  </w:style>
  <w:style w:type="paragraph" w:customStyle="1" w:styleId="Langue">
    <w:name w:val="Langue"/>
    <w:basedOn w:val="Normal"/>
    <w:next w:val="Normal"/>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ormal"/>
    <w:next w:val="Normal"/>
    <w:pPr>
      <w:spacing w:before="360" w:after="0"/>
      <w:jc w:val="center"/>
    </w:pPr>
  </w:style>
  <w:style w:type="paragraph" w:customStyle="1" w:styleId="ManualConsidrant">
    <w:name w:val="Manual Considérant"/>
    <w:basedOn w:val="Normal"/>
    <w:pPr>
      <w:ind w:left="709" w:hanging="709"/>
    </w:pPr>
  </w:style>
  <w:style w:type="paragraph" w:customStyle="1" w:styleId="ManualHeading1">
    <w:name w:val="Manual Heading 1"/>
    <w:basedOn w:val="Normal"/>
    <w:next w:val="Normal"/>
    <w:pPr>
      <w:keepNext/>
      <w:tabs>
        <w:tab w:val="left" w:pos="850"/>
      </w:tabs>
      <w:spacing w:before="360"/>
      <w:ind w:left="850" w:hanging="850"/>
      <w:outlineLvl w:val="0"/>
    </w:pPr>
    <w:rPr>
      <w:b/>
      <w:smallCaps/>
    </w:rPr>
  </w:style>
  <w:style w:type="paragraph" w:customStyle="1" w:styleId="ManualHeading2">
    <w:name w:val="Manual Heading 2"/>
    <w:basedOn w:val="Normal"/>
    <w:next w:val="Normal"/>
    <w:pPr>
      <w:keepNext/>
      <w:tabs>
        <w:tab w:val="left" w:pos="850"/>
      </w:tabs>
      <w:ind w:left="850" w:hanging="850"/>
      <w:outlineLvl w:val="1"/>
    </w:pPr>
    <w:rPr>
      <w:b/>
    </w:rPr>
  </w:style>
  <w:style w:type="paragraph" w:customStyle="1" w:styleId="ManualHeading3">
    <w:name w:val="Manual Heading 3"/>
    <w:basedOn w:val="Normal"/>
    <w:next w:val="Normal"/>
    <w:pPr>
      <w:keepNext/>
      <w:tabs>
        <w:tab w:val="left" w:pos="850"/>
      </w:tabs>
      <w:ind w:left="850" w:hanging="850"/>
      <w:outlineLvl w:val="2"/>
    </w:pPr>
    <w:rPr>
      <w:i/>
    </w:rPr>
  </w:style>
  <w:style w:type="paragraph" w:customStyle="1" w:styleId="ManualHeading4">
    <w:name w:val="Manual Heading 4"/>
    <w:basedOn w:val="Normal"/>
    <w:next w:val="Normal"/>
    <w:pPr>
      <w:keepNext/>
      <w:tabs>
        <w:tab w:val="left" w:pos="850"/>
      </w:tabs>
      <w:ind w:left="850" w:hanging="850"/>
      <w:outlineLvl w:val="3"/>
    </w:pPr>
  </w:style>
  <w:style w:type="paragraph" w:customStyle="1" w:styleId="ManualNumPar1">
    <w:name w:val="Manual NumPar 1"/>
    <w:basedOn w:val="Normal"/>
    <w:next w:val="Normal"/>
    <w:pPr>
      <w:ind w:left="850" w:hanging="850"/>
    </w:pPr>
  </w:style>
  <w:style w:type="paragraph" w:customStyle="1" w:styleId="ManualNumPar2">
    <w:name w:val="Manual NumPar 2"/>
    <w:basedOn w:val="Normal"/>
    <w:next w:val="Normal"/>
    <w:pPr>
      <w:ind w:left="850" w:hanging="850"/>
    </w:pPr>
  </w:style>
  <w:style w:type="paragraph" w:customStyle="1" w:styleId="ManualNumPar3">
    <w:name w:val="Manual NumPar 3"/>
    <w:basedOn w:val="Normal"/>
    <w:next w:val="Normal"/>
    <w:pPr>
      <w:ind w:left="850" w:hanging="850"/>
    </w:pPr>
  </w:style>
  <w:style w:type="paragraph" w:customStyle="1" w:styleId="ManualNumPar4">
    <w:name w:val="Manual NumPar 4"/>
    <w:basedOn w:val="Normal"/>
    <w:next w:val="Normal"/>
    <w:pPr>
      <w:ind w:left="850" w:hanging="850"/>
    </w:p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umPar1">
    <w:name w:val="NumPar 1"/>
    <w:basedOn w:val="Normal"/>
    <w:next w:val="Normal"/>
    <w:pPr>
      <w:numPr>
        <w:numId w:val="9"/>
      </w:numPr>
    </w:pPr>
  </w:style>
  <w:style w:type="paragraph" w:customStyle="1" w:styleId="NumPar2">
    <w:name w:val="NumPar 2"/>
    <w:basedOn w:val="Normal"/>
    <w:next w:val="Normal"/>
    <w:pPr>
      <w:numPr>
        <w:ilvl w:val="1"/>
        <w:numId w:val="9"/>
      </w:numPr>
    </w:pPr>
  </w:style>
  <w:style w:type="paragraph" w:customStyle="1" w:styleId="NumPar3">
    <w:name w:val="NumPar 3"/>
    <w:basedOn w:val="Normal"/>
    <w:next w:val="Normal"/>
    <w:pPr>
      <w:numPr>
        <w:ilvl w:val="2"/>
        <w:numId w:val="9"/>
      </w:numPr>
    </w:pPr>
  </w:style>
  <w:style w:type="paragraph" w:customStyle="1" w:styleId="NumPar4">
    <w:name w:val="NumPar 4"/>
    <w:basedOn w:val="Normal"/>
    <w:next w:val="Normal"/>
    <w:pPr>
      <w:numPr>
        <w:ilvl w:val="3"/>
        <w:numId w:val="9"/>
      </w:numPr>
    </w:pPr>
  </w:style>
  <w:style w:type="paragraph" w:customStyle="1" w:styleId="Objetacteprincipal">
    <w:name w:val="Objet acte principal"/>
    <w:basedOn w:val="Normal"/>
    <w:next w:val="Normal"/>
    <w:pPr>
      <w:spacing w:before="0" w:after="360"/>
      <w:jc w:val="center"/>
    </w:pPr>
    <w:rPr>
      <w:b/>
    </w:rPr>
  </w:style>
  <w:style w:type="paragraph" w:customStyle="1" w:styleId="ObjetacteprincipalPagedecouverture">
    <w:name w:val="Objet acte principal (Page de couverture)"/>
    <w:basedOn w:val="Objetacteprincipal"/>
    <w:next w:val="Normal"/>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style>
  <w:style w:type="paragraph" w:customStyle="1" w:styleId="PartTitle">
    <w:name w:val="PartTitle"/>
    <w:basedOn w:val="Normal"/>
    <w:next w:val="ChapterTitle"/>
    <w:pPr>
      <w:keepNext/>
      <w:pageBreakBefore/>
      <w:spacing w:after="360"/>
      <w:jc w:val="center"/>
    </w:pPr>
    <w:rPr>
      <w:b/>
      <w:sz w:val="36"/>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Point0">
    <w:name w:val="Point 0"/>
    <w:basedOn w:val="Normal"/>
    <w:pPr>
      <w:ind w:left="850" w:hanging="850"/>
    </w:pPr>
  </w:style>
  <w:style w:type="paragraph" w:customStyle="1" w:styleId="Point0letter">
    <w:name w:val="Point 0 (letter)"/>
    <w:basedOn w:val="Normal"/>
    <w:pPr>
      <w:numPr>
        <w:ilvl w:val="1"/>
        <w:numId w:val="10"/>
      </w:numPr>
    </w:pPr>
  </w:style>
  <w:style w:type="paragraph" w:customStyle="1" w:styleId="Point0number">
    <w:name w:val="Point 0 (number)"/>
    <w:basedOn w:val="Normal"/>
    <w:pPr>
      <w:numPr>
        <w:numId w:val="10"/>
      </w:numPr>
    </w:pPr>
  </w:style>
  <w:style w:type="paragraph" w:customStyle="1" w:styleId="Point1">
    <w:name w:val="Point 1"/>
    <w:basedOn w:val="Normal"/>
    <w:pPr>
      <w:ind w:left="1417" w:hanging="567"/>
    </w:pPr>
  </w:style>
  <w:style w:type="paragraph" w:customStyle="1" w:styleId="Point1letter">
    <w:name w:val="Point 1 (letter)"/>
    <w:basedOn w:val="Normal"/>
    <w:pPr>
      <w:numPr>
        <w:ilvl w:val="3"/>
        <w:numId w:val="10"/>
      </w:numPr>
    </w:pPr>
  </w:style>
  <w:style w:type="paragraph" w:customStyle="1" w:styleId="Point1number">
    <w:name w:val="Point 1 (number)"/>
    <w:basedOn w:val="Normal"/>
    <w:pPr>
      <w:numPr>
        <w:ilvl w:val="2"/>
        <w:numId w:val="10"/>
      </w:numPr>
    </w:pPr>
  </w:style>
  <w:style w:type="paragraph" w:customStyle="1" w:styleId="Point2">
    <w:name w:val="Point 2"/>
    <w:basedOn w:val="Normal"/>
    <w:pPr>
      <w:ind w:left="1984" w:hanging="567"/>
    </w:pPr>
  </w:style>
  <w:style w:type="paragraph" w:customStyle="1" w:styleId="Point2letter">
    <w:name w:val="Point 2 (letter)"/>
    <w:basedOn w:val="Normal"/>
    <w:pPr>
      <w:numPr>
        <w:ilvl w:val="5"/>
        <w:numId w:val="10"/>
      </w:numPr>
    </w:pPr>
  </w:style>
  <w:style w:type="paragraph" w:customStyle="1" w:styleId="Point2number">
    <w:name w:val="Point 2 (number)"/>
    <w:basedOn w:val="Normal"/>
    <w:pPr>
      <w:numPr>
        <w:ilvl w:val="4"/>
        <w:numId w:val="10"/>
      </w:numPr>
    </w:pPr>
  </w:style>
  <w:style w:type="paragraph" w:customStyle="1" w:styleId="Point3">
    <w:name w:val="Point 3"/>
    <w:basedOn w:val="Normal"/>
    <w:pPr>
      <w:ind w:left="2551" w:hanging="567"/>
    </w:pPr>
  </w:style>
  <w:style w:type="paragraph" w:customStyle="1" w:styleId="Point3letter">
    <w:name w:val="Point 3 (letter)"/>
    <w:basedOn w:val="Normal"/>
    <w:pPr>
      <w:numPr>
        <w:ilvl w:val="7"/>
        <w:numId w:val="10"/>
      </w:numPr>
    </w:pPr>
  </w:style>
  <w:style w:type="paragraph" w:customStyle="1" w:styleId="Point3number">
    <w:name w:val="Point 3 (number)"/>
    <w:basedOn w:val="Normal"/>
    <w:pPr>
      <w:numPr>
        <w:ilvl w:val="6"/>
        <w:numId w:val="10"/>
      </w:numPr>
    </w:pPr>
  </w:style>
  <w:style w:type="paragraph" w:customStyle="1" w:styleId="Point4">
    <w:name w:val="Point 4"/>
    <w:basedOn w:val="Normal"/>
    <w:pPr>
      <w:ind w:left="3118" w:hanging="567"/>
    </w:pPr>
  </w:style>
  <w:style w:type="paragraph" w:customStyle="1" w:styleId="Point4letter">
    <w:name w:val="Point 4 (letter)"/>
    <w:basedOn w:val="Normal"/>
    <w:pPr>
      <w:numPr>
        <w:ilvl w:val="8"/>
        <w:numId w:val="1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QuotedNumPar">
    <w:name w:val="Quoted NumPar"/>
    <w:basedOn w:val="Normal"/>
    <w:pPr>
      <w:ind w:left="1417" w:hanging="567"/>
    </w:pPr>
  </w:style>
  <w:style w:type="paragraph" w:customStyle="1" w:styleId="QuotedText">
    <w:name w:val="Quoted Text"/>
    <w:basedOn w:val="Normal"/>
    <w:pPr>
      <w:ind w:left="1417"/>
    </w:pPr>
  </w:style>
  <w:style w:type="paragraph" w:customStyle="1" w:styleId="Rfrencecroise">
    <w:name w:val="Référence croisée"/>
    <w:basedOn w:val="Normal"/>
    <w:pPr>
      <w:spacing w:before="0" w:after="0"/>
      <w:jc w:val="center"/>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Normal"/>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Rfrenceinterne">
    <w:name w:val="Référence interne"/>
    <w:basedOn w:val="Normal"/>
    <w:next w:val="Rfrenceinterinstitutionnelle"/>
    <w:pPr>
      <w:spacing w:before="0" w:after="0"/>
      <w:ind w:left="5103"/>
      <w:jc w:val="left"/>
    </w:pPr>
  </w:style>
  <w:style w:type="paragraph" w:customStyle="1" w:styleId="SectionTitle">
    <w:name w:val="SectionTitle"/>
    <w:basedOn w:val="Normal"/>
    <w:next w:val="Heading1"/>
    <w:pPr>
      <w:keepNext/>
      <w:spacing w:after="360"/>
      <w:jc w:val="center"/>
    </w:pPr>
    <w:rPr>
      <w:b/>
      <w:smallCaps/>
      <w:sz w:val="28"/>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Statut">
    <w:name w:val="Statut"/>
    <w:basedOn w:val="Normal"/>
    <w:next w:val="Normal"/>
    <w:pPr>
      <w:spacing w:before="360" w:after="0"/>
      <w:jc w:val="center"/>
    </w:pPr>
  </w:style>
  <w:style w:type="paragraph" w:customStyle="1" w:styleId="StatutPagedecouverture">
    <w:name w:val="Statut (Page de couverture)"/>
    <w:basedOn w:val="Statut"/>
    <w:next w:val="Normal"/>
  </w:style>
  <w:style w:type="paragraph" w:customStyle="1" w:styleId="Supertitre">
    <w:name w:val="Supertitre"/>
    <w:basedOn w:val="Normal"/>
    <w:next w:val="Normal"/>
    <w:pPr>
      <w:spacing w:before="0" w:after="600"/>
      <w:jc w:val="center"/>
    </w:pPr>
    <w:rPr>
      <w:b/>
    </w:rPr>
  </w:style>
  <w:style w:type="paragraph" w:customStyle="1" w:styleId="TableTitle">
    <w:name w:val="Table Title"/>
    <w:basedOn w:val="Normal"/>
    <w:next w:val="Normal"/>
    <w:pPr>
      <w:jc w:val="center"/>
    </w:pPr>
    <w:rPr>
      <w:b/>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itreobjetPagedecouverture">
    <w:name w:val="Titre objet (Page de couverture)"/>
    <w:basedOn w:val="Titreobjet"/>
    <w:next w:val="Sous-titreobjetPagedecouverture"/>
  </w:style>
  <w:style w:type="paragraph" w:styleId="TOC1">
    <w:name w:val="toc 1"/>
    <w:basedOn w:val="Normal"/>
    <w:next w:val="Normal"/>
    <w:uiPriority w:val="39"/>
    <w:qFormat/>
    <w:pPr>
      <w:tabs>
        <w:tab w:val="right" w:leader="dot" w:pos="9071"/>
      </w:tabs>
      <w:spacing w:before="60"/>
      <w:ind w:left="850" w:hanging="850"/>
      <w:jc w:val="left"/>
    </w:pPr>
  </w:style>
  <w:style w:type="paragraph" w:styleId="TOC2">
    <w:name w:val="toc 2"/>
    <w:basedOn w:val="Normal"/>
    <w:next w:val="Normal"/>
    <w:uiPriority w:val="39"/>
    <w:qFormat/>
    <w:pPr>
      <w:tabs>
        <w:tab w:val="right" w:leader="dot" w:pos="9071"/>
      </w:tabs>
      <w:spacing w:before="60"/>
      <w:ind w:left="850" w:hanging="850"/>
      <w:jc w:val="left"/>
    </w:pPr>
  </w:style>
  <w:style w:type="paragraph" w:styleId="TOC3">
    <w:name w:val="toc 3"/>
    <w:basedOn w:val="Normal"/>
    <w:next w:val="Normal"/>
    <w:uiPriority w:val="39"/>
    <w:qFormat/>
    <w:pPr>
      <w:tabs>
        <w:tab w:val="right" w:leader="dot" w:pos="9071"/>
      </w:tabs>
      <w:spacing w:before="60"/>
      <w:ind w:left="850" w:hanging="850"/>
      <w:jc w:val="left"/>
    </w:pPr>
  </w:style>
  <w:style w:type="paragraph" w:styleId="TOC4">
    <w:name w:val="toc 4"/>
    <w:basedOn w:val="Normal"/>
    <w:next w:val="Normal"/>
    <w:semiHidden/>
    <w:pPr>
      <w:tabs>
        <w:tab w:val="right" w:leader="dot" w:pos="9071"/>
      </w:tabs>
      <w:spacing w:before="60"/>
      <w:ind w:left="850" w:hanging="850"/>
      <w:jc w:val="left"/>
    </w:pPr>
  </w:style>
  <w:style w:type="paragraph" w:styleId="TOC5">
    <w:name w:val="toc 5"/>
    <w:basedOn w:val="Normal"/>
    <w:next w:val="Normal"/>
    <w:semiHidden/>
    <w:pPr>
      <w:tabs>
        <w:tab w:val="right" w:leader="dot" w:pos="9071"/>
      </w:tabs>
      <w:spacing w:before="300"/>
      <w:jc w:val="left"/>
    </w:pPr>
  </w:style>
  <w:style w:type="paragraph" w:styleId="TOC6">
    <w:name w:val="toc 6"/>
    <w:basedOn w:val="Normal"/>
    <w:next w:val="Normal"/>
    <w:semiHidden/>
    <w:pPr>
      <w:tabs>
        <w:tab w:val="right" w:leader="dot" w:pos="9071"/>
      </w:tabs>
      <w:spacing w:before="240"/>
      <w:jc w:val="left"/>
    </w:pPr>
  </w:style>
  <w:style w:type="paragraph" w:styleId="TOC7">
    <w:name w:val="toc 7"/>
    <w:basedOn w:val="Normal"/>
    <w:next w:val="Normal"/>
    <w:semiHidden/>
    <w:pPr>
      <w:tabs>
        <w:tab w:val="right" w:leader="dot" w:pos="9071"/>
      </w:tabs>
      <w:spacing w:before="180"/>
      <w:jc w:val="left"/>
    </w:pPr>
  </w:style>
  <w:style w:type="paragraph" w:styleId="TOC8">
    <w:name w:val="toc 8"/>
    <w:basedOn w:val="Normal"/>
    <w:next w:val="Normal"/>
    <w:semiHidden/>
    <w:pPr>
      <w:tabs>
        <w:tab w:val="right" w:leader="dot" w:pos="9071"/>
      </w:tabs>
      <w:jc w:val="left"/>
    </w:pPr>
  </w:style>
  <w:style w:type="paragraph" w:styleId="TOC9">
    <w:name w:val="toc 9"/>
    <w:basedOn w:val="Normal"/>
    <w:next w:val="Normal"/>
    <w:semiHidden/>
    <w:pPr>
      <w:tabs>
        <w:tab w:val="right" w:leader="dot" w:pos="9071"/>
      </w:tabs>
    </w:pPr>
  </w:style>
  <w:style w:type="paragraph" w:styleId="TOCHeading">
    <w:name w:val="TOC Heading"/>
    <w:basedOn w:val="Normal"/>
    <w:next w:val="Normal"/>
    <w:link w:val="TOCHeadingChar"/>
    <w:uiPriority w:val="39"/>
    <w:qFormat/>
    <w:pPr>
      <w:spacing w:after="240"/>
      <w:jc w:val="center"/>
    </w:pPr>
    <w:rPr>
      <w:b/>
      <w:sz w:val="28"/>
    </w:rPr>
  </w:style>
  <w:style w:type="paragraph" w:customStyle="1" w:styleId="Typeacteprincipal">
    <w:name w:val="Type acte principal"/>
    <w:basedOn w:val="Normal"/>
    <w:next w:val="Objetacteprincipal"/>
    <w:pPr>
      <w:spacing w:before="0" w:after="240"/>
      <w:jc w:val="center"/>
    </w:pPr>
    <w:rPr>
      <w:b/>
    </w:rPr>
  </w:style>
  <w:style w:type="paragraph" w:customStyle="1" w:styleId="TypeacteprincipalPagedecouverture">
    <w:name w:val="Type acte principal (Page de couverture)"/>
    <w:basedOn w:val="Typeacteprincipal"/>
    <w:next w:val="ObjetacteprincipalPagedecouverture"/>
  </w:style>
  <w:style w:type="paragraph" w:customStyle="1" w:styleId="Typedudocument">
    <w:name w:val="Type du document"/>
    <w:basedOn w:val="Normal"/>
    <w:next w:val="Titreobjet"/>
    <w:pPr>
      <w:spacing w:before="360" w:after="0"/>
      <w:jc w:val="center"/>
    </w:pPr>
    <w:rPr>
      <w:b/>
    </w:rPr>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character" w:customStyle="1" w:styleId="Funotenzeichen">
    <w:name w:val="Fußnotenzeichen"/>
    <w:rPr>
      <w:rFonts w:cs="Times New Roman"/>
      <w:shd w:val="clear" w:color="auto" w:fill="auto"/>
      <w:vertAlign w:val="superscript"/>
    </w:rPr>
  </w:style>
  <w:style w:type="character" w:styleId="Hyperlink">
    <w:name w:val="Hyperlink"/>
    <w:uiPriority w:val="99"/>
    <w:rPr>
      <w:rFonts w:cs="Times New Roman"/>
      <w:color w:val="0000FF"/>
      <w:u w:val="single"/>
      <w:shd w:val="clear" w:color="auto" w:fill="auto"/>
    </w:rPr>
  </w:style>
  <w:style w:type="character" w:styleId="Emphasis">
    <w:name w:val="Emphasis"/>
    <w:qFormat/>
    <w:rPr>
      <w:rFonts w:cs="Times New Roman"/>
      <w:i/>
      <w:iCs/>
      <w:shd w:val="clear" w:color="auto" w:fill="auto"/>
    </w:rPr>
  </w:style>
  <w:style w:type="paragraph" w:styleId="ListBullet">
    <w:name w:val="List Bullet"/>
    <w:basedOn w:val="Normal"/>
    <w:pPr>
      <w:numPr>
        <w:numId w:val="30"/>
      </w:numPr>
    </w:pPr>
    <w:rPr>
      <w:lang w:eastAsia="de-DE"/>
    </w:rPr>
  </w:style>
  <w:style w:type="paragraph" w:styleId="ListNumber">
    <w:name w:val="List Number"/>
    <w:basedOn w:val="Normal"/>
    <w:pPr>
      <w:numPr>
        <w:numId w:val="16"/>
      </w:numPr>
    </w:pPr>
    <w:rPr>
      <w:lang w:eastAsia="de-DE"/>
    </w:rPr>
  </w:style>
  <w:style w:type="paragraph" w:customStyle="1" w:styleId="ListDash">
    <w:name w:val="List Dash"/>
    <w:basedOn w:val="Normal"/>
    <w:pPr>
      <w:numPr>
        <w:numId w:val="25"/>
      </w:numPr>
    </w:pPr>
    <w:rPr>
      <w:lang w:eastAsia="de-DE"/>
    </w:rPr>
  </w:style>
  <w:style w:type="paragraph" w:customStyle="1" w:styleId="ListNumberLevel2">
    <w:name w:val="List Number (Level 2)"/>
    <w:basedOn w:val="Normal"/>
    <w:pPr>
      <w:numPr>
        <w:ilvl w:val="1"/>
        <w:numId w:val="16"/>
      </w:numPr>
    </w:pPr>
    <w:rPr>
      <w:lang w:eastAsia="de-DE"/>
    </w:rPr>
  </w:style>
  <w:style w:type="paragraph" w:customStyle="1" w:styleId="ListNumberLevel3">
    <w:name w:val="List Number (Level 3)"/>
    <w:basedOn w:val="Normal"/>
    <w:pPr>
      <w:numPr>
        <w:ilvl w:val="2"/>
        <w:numId w:val="16"/>
      </w:numPr>
    </w:pPr>
    <w:rPr>
      <w:lang w:eastAsia="de-DE"/>
    </w:rPr>
  </w:style>
  <w:style w:type="paragraph" w:customStyle="1" w:styleId="ListNumberLevel4">
    <w:name w:val="List Number (Level 4)"/>
    <w:basedOn w:val="Normal"/>
    <w:pPr>
      <w:numPr>
        <w:ilvl w:val="3"/>
        <w:numId w:val="16"/>
      </w:numPr>
    </w:pPr>
    <w:rPr>
      <w:lang w:eastAsia="de-DE"/>
    </w:rPr>
  </w:style>
  <w:style w:type="paragraph" w:styleId="Caption">
    <w:name w:val="caption"/>
    <w:basedOn w:val="Normal"/>
    <w:next w:val="Normal"/>
    <w:qFormat/>
    <w:rPr>
      <w:b/>
      <w:bCs/>
      <w:sz w:val="20"/>
      <w:szCs w:val="20"/>
    </w:rPr>
  </w:style>
  <w:style w:type="paragraph" w:styleId="TableofFigures">
    <w:name w:val="table of figures"/>
    <w:basedOn w:val="Normal"/>
    <w:next w:val="Normal"/>
  </w:style>
  <w:style w:type="character" w:styleId="CommentReference">
    <w:name w:val="annotation reference"/>
    <w:rPr>
      <w:sz w:val="16"/>
      <w:szCs w:val="16"/>
      <w:shd w:val="clear" w:color="auto" w:fill="auto"/>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shd w:val="clear" w:color="auto" w:fill="auto"/>
      <w:lang w:eastAsia="en-US"/>
    </w:rPr>
  </w:style>
  <w:style w:type="paragraph" w:styleId="ListNumber2">
    <w:name w:val="List Number 2"/>
    <w:basedOn w:val="Normal"/>
    <w:pPr>
      <w:numPr>
        <w:numId w:val="18"/>
      </w:numPr>
    </w:pPr>
    <w:rPr>
      <w:lang w:eastAsia="de-DE"/>
    </w:rPr>
  </w:style>
  <w:style w:type="paragraph" w:styleId="ListNumber3">
    <w:name w:val="List Number 3"/>
    <w:basedOn w:val="Normal"/>
    <w:pPr>
      <w:numPr>
        <w:numId w:val="19"/>
      </w:numPr>
    </w:pPr>
    <w:rPr>
      <w:lang w:eastAsia="de-DE"/>
    </w:rPr>
  </w:style>
  <w:style w:type="paragraph" w:styleId="ListNumber4">
    <w:name w:val="List Number 4"/>
    <w:basedOn w:val="Normal"/>
    <w:pPr>
      <w:numPr>
        <w:numId w:val="20"/>
      </w:numPr>
    </w:pPr>
    <w:rPr>
      <w:lang w:eastAsia="de-DE"/>
    </w:rPr>
  </w:style>
  <w:style w:type="paragraph" w:customStyle="1" w:styleId="ListNumber1">
    <w:name w:val="List Number 1"/>
    <w:basedOn w:val="Text1"/>
    <w:pPr>
      <w:numPr>
        <w:numId w:val="17"/>
      </w:numPr>
    </w:pPr>
    <w:rPr>
      <w:lang w:eastAsia="de-DE"/>
    </w:rPr>
  </w:style>
  <w:style w:type="paragraph" w:customStyle="1" w:styleId="ListNumber1Level2">
    <w:name w:val="List Number 1 (Level 2)"/>
    <w:basedOn w:val="Text1"/>
    <w:pPr>
      <w:numPr>
        <w:ilvl w:val="1"/>
        <w:numId w:val="17"/>
      </w:numPr>
    </w:pPr>
    <w:rPr>
      <w:lang w:eastAsia="de-DE"/>
    </w:rPr>
  </w:style>
  <w:style w:type="paragraph" w:customStyle="1" w:styleId="ListNumber2Level2">
    <w:name w:val="List Number 2 (Level 2)"/>
    <w:basedOn w:val="Text2"/>
    <w:pPr>
      <w:numPr>
        <w:ilvl w:val="1"/>
        <w:numId w:val="18"/>
      </w:numPr>
    </w:pPr>
    <w:rPr>
      <w:lang w:eastAsia="de-DE"/>
    </w:rPr>
  </w:style>
  <w:style w:type="paragraph" w:customStyle="1" w:styleId="ListNumber3Level2">
    <w:name w:val="List Number 3 (Level 2)"/>
    <w:basedOn w:val="Text3"/>
    <w:pPr>
      <w:numPr>
        <w:ilvl w:val="1"/>
        <w:numId w:val="19"/>
      </w:numPr>
    </w:pPr>
    <w:rPr>
      <w:lang w:eastAsia="de-DE"/>
    </w:rPr>
  </w:style>
  <w:style w:type="paragraph" w:customStyle="1" w:styleId="ListNumber4Level2">
    <w:name w:val="List Number 4 (Level 2)"/>
    <w:basedOn w:val="Text4"/>
    <w:pPr>
      <w:numPr>
        <w:ilvl w:val="1"/>
        <w:numId w:val="20"/>
      </w:numPr>
    </w:pPr>
    <w:rPr>
      <w:lang w:eastAsia="de-DE"/>
    </w:rPr>
  </w:style>
  <w:style w:type="paragraph" w:customStyle="1" w:styleId="ListNumber1Level3">
    <w:name w:val="List Number 1 (Level 3)"/>
    <w:basedOn w:val="Text1"/>
    <w:pPr>
      <w:numPr>
        <w:ilvl w:val="2"/>
        <w:numId w:val="17"/>
      </w:numPr>
    </w:pPr>
    <w:rPr>
      <w:lang w:eastAsia="de-DE"/>
    </w:rPr>
  </w:style>
  <w:style w:type="paragraph" w:customStyle="1" w:styleId="ListNumber2Level3">
    <w:name w:val="List Number 2 (Level 3)"/>
    <w:basedOn w:val="Text2"/>
    <w:pPr>
      <w:numPr>
        <w:ilvl w:val="2"/>
        <w:numId w:val="18"/>
      </w:numPr>
    </w:pPr>
    <w:rPr>
      <w:lang w:eastAsia="de-DE"/>
    </w:rPr>
  </w:style>
  <w:style w:type="paragraph" w:customStyle="1" w:styleId="ListNumber3Level3">
    <w:name w:val="List Number 3 (Level 3)"/>
    <w:basedOn w:val="Text3"/>
    <w:pPr>
      <w:numPr>
        <w:ilvl w:val="2"/>
        <w:numId w:val="19"/>
      </w:numPr>
    </w:pPr>
    <w:rPr>
      <w:lang w:eastAsia="de-DE"/>
    </w:rPr>
  </w:style>
  <w:style w:type="paragraph" w:customStyle="1" w:styleId="ListNumber4Level3">
    <w:name w:val="List Number 4 (Level 3)"/>
    <w:basedOn w:val="Text4"/>
    <w:pPr>
      <w:numPr>
        <w:ilvl w:val="2"/>
        <w:numId w:val="20"/>
      </w:numPr>
    </w:pPr>
    <w:rPr>
      <w:lang w:eastAsia="de-DE"/>
    </w:rPr>
  </w:style>
  <w:style w:type="paragraph" w:customStyle="1" w:styleId="ListNumber1Level4">
    <w:name w:val="List Number 1 (Level 4)"/>
    <w:basedOn w:val="Text1"/>
    <w:pPr>
      <w:numPr>
        <w:ilvl w:val="3"/>
        <w:numId w:val="17"/>
      </w:numPr>
    </w:pPr>
    <w:rPr>
      <w:lang w:eastAsia="de-DE"/>
    </w:rPr>
  </w:style>
  <w:style w:type="paragraph" w:customStyle="1" w:styleId="ListNumber2Level4">
    <w:name w:val="List Number 2 (Level 4)"/>
    <w:basedOn w:val="Text2"/>
    <w:pPr>
      <w:numPr>
        <w:ilvl w:val="3"/>
        <w:numId w:val="18"/>
      </w:numPr>
    </w:pPr>
    <w:rPr>
      <w:lang w:eastAsia="de-DE"/>
    </w:rPr>
  </w:style>
  <w:style w:type="paragraph" w:customStyle="1" w:styleId="ListNumber3Level4">
    <w:name w:val="List Number 3 (Level 4)"/>
    <w:basedOn w:val="Text3"/>
    <w:pPr>
      <w:numPr>
        <w:ilvl w:val="3"/>
        <w:numId w:val="19"/>
      </w:numPr>
    </w:pPr>
    <w:rPr>
      <w:lang w:eastAsia="de-DE"/>
    </w:rPr>
  </w:style>
  <w:style w:type="paragraph" w:customStyle="1" w:styleId="ListNumber4Level4">
    <w:name w:val="List Number 4 (Level 4)"/>
    <w:basedOn w:val="Text4"/>
    <w:pPr>
      <w:numPr>
        <w:ilvl w:val="3"/>
        <w:numId w:val="20"/>
      </w:numPr>
    </w:pPr>
    <w:rPr>
      <w:lang w:eastAsia="de-DE"/>
    </w:rPr>
  </w:style>
  <w:style w:type="paragraph" w:customStyle="1" w:styleId="ListBullet1">
    <w:name w:val="List Bullet 1"/>
    <w:basedOn w:val="Normal"/>
    <w:pPr>
      <w:numPr>
        <w:numId w:val="21"/>
      </w:numPr>
    </w:pPr>
    <w:rPr>
      <w:lang w:eastAsia="de-DE"/>
    </w:rPr>
  </w:style>
  <w:style w:type="paragraph" w:styleId="ListBullet2">
    <w:name w:val="List Bullet 2"/>
    <w:basedOn w:val="Normal"/>
    <w:pPr>
      <w:numPr>
        <w:numId w:val="22"/>
      </w:numPr>
    </w:pPr>
    <w:rPr>
      <w:lang w:eastAsia="de-DE"/>
    </w:rPr>
  </w:style>
  <w:style w:type="paragraph" w:styleId="ListBullet3">
    <w:name w:val="List Bullet 3"/>
    <w:basedOn w:val="Normal"/>
    <w:pPr>
      <w:numPr>
        <w:numId w:val="23"/>
      </w:numPr>
    </w:pPr>
    <w:rPr>
      <w:lang w:eastAsia="de-DE"/>
    </w:rPr>
  </w:style>
  <w:style w:type="paragraph" w:styleId="ListBullet4">
    <w:name w:val="List Bullet 4"/>
    <w:basedOn w:val="Normal"/>
    <w:pPr>
      <w:numPr>
        <w:numId w:val="24"/>
      </w:numPr>
    </w:pPr>
    <w:rPr>
      <w:lang w:eastAsia="de-DE"/>
    </w:rPr>
  </w:style>
  <w:style w:type="paragraph" w:customStyle="1" w:styleId="ListDash1">
    <w:name w:val="List Dash 1"/>
    <w:basedOn w:val="Normal"/>
    <w:pPr>
      <w:numPr>
        <w:numId w:val="26"/>
      </w:numPr>
    </w:pPr>
    <w:rPr>
      <w:lang w:eastAsia="de-DE"/>
    </w:rPr>
  </w:style>
  <w:style w:type="paragraph" w:customStyle="1" w:styleId="ListDash2">
    <w:name w:val="List Dash 2"/>
    <w:basedOn w:val="Normal"/>
    <w:pPr>
      <w:numPr>
        <w:numId w:val="27"/>
      </w:numPr>
    </w:pPr>
    <w:rPr>
      <w:lang w:eastAsia="de-DE"/>
    </w:rPr>
  </w:style>
  <w:style w:type="paragraph" w:customStyle="1" w:styleId="ListDash3">
    <w:name w:val="List Dash 3"/>
    <w:basedOn w:val="Normal"/>
    <w:pPr>
      <w:numPr>
        <w:numId w:val="28"/>
      </w:numPr>
    </w:pPr>
    <w:rPr>
      <w:lang w:eastAsia="de-DE"/>
    </w:rPr>
  </w:style>
  <w:style w:type="paragraph" w:customStyle="1" w:styleId="ListDash4">
    <w:name w:val="List Dash 4"/>
    <w:basedOn w:val="Normal"/>
    <w:pPr>
      <w:numPr>
        <w:numId w:val="29"/>
      </w:numPr>
    </w:pPr>
    <w:rPr>
      <w:lang w:eastAsia="de-DE"/>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shd w:val="clear" w:color="auto" w:fill="auto"/>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shd w:val="clear" w:color="auto" w:fill="auto"/>
      <w:lang w:eastAsia="en-US"/>
    </w:rPr>
  </w:style>
  <w:style w:type="paragraph" w:customStyle="1" w:styleId="Default">
    <w:name w:val="Default"/>
    <w:pPr>
      <w:autoSpaceDE w:val="0"/>
      <w:autoSpaceDN w:val="0"/>
      <w:adjustRightInd w:val="0"/>
    </w:pPr>
    <w:rPr>
      <w:color w:val="000000"/>
      <w:sz w:val="24"/>
      <w:szCs w:val="24"/>
    </w:rPr>
  </w:style>
  <w:style w:type="paragraph" w:styleId="DocumentMap">
    <w:name w:val="Document Map"/>
    <w:basedOn w:val="Normal"/>
    <w:link w:val="DocumentMapChar"/>
    <w:pPr>
      <w:shd w:val="clear" w:color="auto" w:fill="000080"/>
    </w:pPr>
    <w:rPr>
      <w:rFonts w:ascii="Tahoma" w:hAnsi="Tahoma" w:cs="Tahoma"/>
      <w:sz w:val="20"/>
      <w:szCs w:val="20"/>
    </w:rPr>
  </w:style>
  <w:style w:type="character" w:customStyle="1" w:styleId="DocumentMapChar">
    <w:name w:val="Document Map Char"/>
    <w:link w:val="DocumentMap"/>
    <w:rPr>
      <w:rFonts w:ascii="Tahoma" w:hAnsi="Tahoma" w:cs="Tahoma"/>
      <w:shd w:val="clear" w:color="auto" w:fill="000080"/>
      <w:lang w:eastAsia="en-US"/>
    </w:rPr>
  </w:style>
  <w:style w:type="character" w:customStyle="1" w:styleId="FootnoteTextChar">
    <w:name w:val="Footnote Text Char"/>
    <w:aliases w:val="Fodnotetekst Tegn Tegn Tegn Tegn Tegn Tegn Tegn Char Char Char,Fodnotetekst Tegn Tegn Tegn Tegn Tegn Tegn Tegn Char Char Char Char Char,Fodnotetekst Tegn Tegn Tegn Tegn Tegn Tegn Tegn Char,ft Char"/>
    <w:link w:val="FootnoteText"/>
    <w:uiPriority w:val="99"/>
    <w:rPr>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link w:val="TOCHeading"/>
    <w:uiPriority w:val="39"/>
    <w:rPr>
      <w:b/>
      <w:sz w:val="28"/>
      <w:szCs w:val="24"/>
      <w:shd w:val="clear" w:color="auto" w:fill="auto"/>
      <w:lang w:eastAsia="en-US"/>
    </w:rPr>
  </w:style>
  <w:style w:type="character" w:customStyle="1" w:styleId="FooterCoverPageChar">
    <w:name w:val="Footer Cover Page Char"/>
    <w:link w:val="FooterCoverPage"/>
    <w:rPr>
      <w:sz w:val="24"/>
      <w:szCs w:val="24"/>
      <w:lang w:eastAsia="en-US"/>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link w:val="HeaderCoverPage"/>
    <w:rPr>
      <w:sz w:val="24"/>
      <w:szCs w:val="24"/>
      <w:lang w:eastAsia="en-US"/>
    </w:rPr>
  </w:style>
  <w:style w:type="character" w:customStyle="1" w:styleId="FooterChar">
    <w:name w:val="Footer Char"/>
    <w:link w:val="Footer"/>
    <w:uiPriority w:val="99"/>
    <w:rPr>
      <w:sz w:val="24"/>
      <w:szCs w:val="24"/>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pPr>
      <w:spacing w:after="60"/>
      <w:jc w:val="center"/>
      <w:outlineLvl w:val="1"/>
    </w:pPr>
    <w:rPr>
      <w:rFonts w:ascii="Cambria" w:hAnsi="Cambria"/>
    </w:rPr>
  </w:style>
  <w:style w:type="character" w:customStyle="1" w:styleId="SubtitleChar">
    <w:name w:val="Subtitle Char"/>
    <w:link w:val="Subtitle"/>
    <w:rPr>
      <w:rFonts w:ascii="Cambria" w:eastAsia="Times New Roman" w:hAnsi="Cambria" w:cs="Times New Roman"/>
      <w:sz w:val="24"/>
      <w:szCs w:val="24"/>
      <w:shd w:val="clear" w:color="auto" w:fill="auto"/>
      <w:lang w:eastAsia="en-US"/>
    </w:rPr>
  </w:style>
  <w:style w:type="paragraph" w:styleId="NormalWeb">
    <w:name w:val="Normal (Web)"/>
    <w:basedOn w:val="Normal"/>
    <w:uiPriority w:val="99"/>
    <w:unhideWhenUsed/>
    <w:pPr>
      <w:spacing w:before="100" w:beforeAutospacing="1" w:after="100" w:afterAutospacing="1"/>
      <w:jc w:val="left"/>
    </w:pPr>
    <w:rPr>
      <w:lang w:eastAsia="en-GB"/>
    </w:rPr>
  </w:style>
  <w:style w:type="character" w:styleId="Strong">
    <w:name w:val="Strong"/>
    <w:uiPriority w:val="22"/>
    <w:qFormat/>
    <w:rPr>
      <w:b/>
      <w:bCs/>
      <w:shd w:val="clear" w:color="auto" w:fill="auto"/>
    </w:rPr>
  </w:style>
  <w:style w:type="paragraph" w:styleId="Revision">
    <w:name w:val="Revision"/>
    <w:hidden/>
    <w:uiPriority w:val="99"/>
    <w:semiHidden/>
    <w:rPr>
      <w:sz w:val="24"/>
      <w:szCs w:val="24"/>
      <w:lang w:eastAsia="en-US"/>
    </w:rPr>
  </w:style>
  <w:style w:type="character" w:customStyle="1" w:styleId="Heading1Char">
    <w:name w:val="Heading 1 Char"/>
    <w:link w:val="Heading1"/>
    <w:rPr>
      <w:b/>
      <w:bCs/>
      <w:smallCaps/>
      <w:sz w:val="24"/>
      <w:szCs w:val="32"/>
      <w:lang w:eastAsia="en-US"/>
    </w:rPr>
  </w:style>
  <w:style w:type="character" w:customStyle="1" w:styleId="Heading2Char">
    <w:name w:val="Heading 2 Char"/>
    <w:link w:val="Heading2"/>
    <w:rPr>
      <w:b/>
      <w:bCs/>
      <w:iCs/>
      <w:noProof/>
      <w:sz w:val="24"/>
      <w:szCs w:val="28"/>
      <w:lang w:eastAsia="en-US"/>
    </w:rPr>
  </w:style>
  <w:style w:type="character" w:styleId="FollowedHyperlink">
    <w:name w:val="FollowedHyperlink"/>
    <w:rPr>
      <w:color w:val="800080"/>
      <w:u w:val="single"/>
      <w:shd w:val="clear" w:color="auto" w:fill="auto"/>
    </w:rPr>
  </w:style>
  <w:style w:type="paragraph" w:styleId="EndnoteText">
    <w:name w:val="endnote text"/>
    <w:basedOn w:val="Normal"/>
    <w:link w:val="EndnoteTextChar"/>
    <w:rPr>
      <w:sz w:val="20"/>
      <w:szCs w:val="20"/>
    </w:rPr>
  </w:style>
  <w:style w:type="character" w:customStyle="1" w:styleId="EndnoteTextChar">
    <w:name w:val="Endnote Text Char"/>
    <w:link w:val="EndnoteText"/>
    <w:rPr>
      <w:shd w:val="clear" w:color="auto" w:fill="auto"/>
      <w:lang w:eastAsia="en-US"/>
    </w:rPr>
  </w:style>
  <w:style w:type="character" w:styleId="EndnoteReference">
    <w:name w:val="endnote reference"/>
    <w:rPr>
      <w:shd w:val="clear" w:color="auto" w:fill="auto"/>
      <w:vertAlign w:val="superscript"/>
    </w:rPr>
  </w:style>
  <w:style w:type="paragraph" w:customStyle="1" w:styleId="BBullets2">
    <w:name w:val="B Bullets 2"/>
    <w:uiPriority w:val="20"/>
    <w:qFormat/>
    <w:pPr>
      <w:numPr>
        <w:ilvl w:val="1"/>
        <w:numId w:val="33"/>
      </w:numPr>
      <w:spacing w:before="60" w:after="60" w:line="320" w:lineRule="exact"/>
    </w:pPr>
    <w:rPr>
      <w:rFonts w:ascii="_GOPA TheSerif Light" w:eastAsia="Calibri" w:hAnsi="_GOPA TheSerif Light"/>
      <w:color w:val="000000"/>
      <w:sz w:val="19"/>
      <w:szCs w:val="22"/>
      <w:lang w:eastAsia="en-US"/>
    </w:rPr>
  </w:style>
  <w:style w:type="paragraph" w:customStyle="1" w:styleId="DBulletsgelb1">
    <w:name w:val="D Bullets gelb 1"/>
    <w:link w:val="DBulletsgelb1Zchn"/>
    <w:uiPriority w:val="54"/>
    <w:qFormat/>
    <w:pPr>
      <w:numPr>
        <w:numId w:val="33"/>
      </w:numPr>
      <w:pBdr>
        <w:top w:val="single" w:sz="4" w:space="0" w:color="FCF6E9"/>
        <w:left w:val="single" w:sz="4" w:space="8" w:color="FCF6E9"/>
        <w:bottom w:val="single" w:sz="4" w:space="0" w:color="FCF6E9"/>
        <w:right w:val="single" w:sz="4" w:space="4" w:color="FCF6E9"/>
      </w:pBdr>
      <w:shd w:val="clear" w:color="auto" w:fill="FCF6E9"/>
      <w:spacing w:line="320" w:lineRule="exact"/>
      <w:ind w:left="425" w:right="113" w:hanging="255"/>
    </w:pPr>
    <w:rPr>
      <w:rFonts w:ascii="_GOPA TheSerif Light" w:eastAsia="Calibri" w:hAnsi="_GOPA TheSerif Light"/>
      <w:color w:val="000000"/>
      <w:sz w:val="19"/>
      <w:szCs w:val="22"/>
      <w:lang w:eastAsia="de-DE"/>
    </w:rPr>
  </w:style>
  <w:style w:type="character" w:customStyle="1" w:styleId="DBulletsgelb1Zchn">
    <w:name w:val="D Bullets gelb 1 Zchn"/>
    <w:link w:val="DBulletsgelb1"/>
    <w:uiPriority w:val="54"/>
    <w:rPr>
      <w:rFonts w:ascii="_GOPA TheSerif Light" w:eastAsia="Calibri" w:hAnsi="_GOPA TheSerif Light"/>
      <w:color w:val="000000"/>
      <w:sz w:val="19"/>
      <w:szCs w:val="22"/>
      <w:shd w:val="clear" w:color="auto" w:fill="FCF6E9"/>
      <w:lang w:eastAsia="de-DE"/>
    </w:rPr>
  </w:style>
  <w:style w:type="character" w:customStyle="1" w:styleId="BHighlight1">
    <w:name w:val="B Highlight 1"/>
    <w:qFormat/>
    <w:rPr>
      <w:rFonts w:ascii="_GOPA TheSerif Light" w:hAnsi="_GOPA TheSerif Light"/>
      <w:b/>
      <w:color w:val="DC9300"/>
      <w:sz w:val="19"/>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szCs w:val="24"/>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DefaultParagraphFont"/>
    <w:link w:val="HeaderSensitivity"/>
    <w:rPr>
      <w:b/>
      <w:sz w:val="32"/>
      <w:szCs w:val="24"/>
      <w:lang w:eastAsia="en-US"/>
    </w:rPr>
  </w:style>
  <w:style w:type="paragraph" w:customStyle="1" w:styleId="SecurityMarking">
    <w:name w:val="SecurityMarking"/>
    <w:basedOn w:val="Normal"/>
    <w:pPr>
      <w:spacing w:before="0" w:after="0" w:line="276" w:lineRule="auto"/>
      <w:ind w:left="5103"/>
      <w:jc w:val="left"/>
    </w:pPr>
    <w:rPr>
      <w:rFonts w:eastAsiaTheme="minorHAnsi"/>
      <w:sz w:val="28"/>
      <w:szCs w:val="22"/>
    </w:rPr>
  </w:style>
  <w:style w:type="paragraph" w:customStyle="1" w:styleId="DateMarking">
    <w:name w:val="DateMarking"/>
    <w:basedOn w:val="Normal"/>
    <w:pPr>
      <w:spacing w:before="0" w:after="0" w:line="276" w:lineRule="auto"/>
      <w:ind w:left="5103"/>
      <w:jc w:val="left"/>
    </w:pPr>
    <w:rPr>
      <w:rFonts w:eastAsiaTheme="minorHAnsi"/>
      <w:i/>
      <w:sz w:val="28"/>
      <w:szCs w:val="22"/>
    </w:rPr>
  </w:style>
  <w:style w:type="paragraph" w:customStyle="1" w:styleId="ReleasableTo">
    <w:name w:val="ReleasableTo"/>
    <w:basedOn w:val="Normal"/>
    <w:pPr>
      <w:spacing w:before="0" w:after="0" w:line="276" w:lineRule="auto"/>
      <w:ind w:left="5103"/>
      <w:jc w:val="left"/>
    </w:pPr>
    <w:rPr>
      <w:rFonts w:eastAsiaTheme="minorHAnsi"/>
      <w:i/>
      <w:sz w:val="28"/>
      <w:szCs w:val="22"/>
    </w:rPr>
  </w:style>
  <w:style w:type="paragraph" w:customStyle="1" w:styleId="HeaderSensitivityRight">
    <w:name w:val="Header Sensitivity Right"/>
    <w:basedOn w:val="Normal"/>
    <w:pPr>
      <w:spacing w:before="0"/>
      <w:jc w:val="right"/>
    </w:pPr>
    <w:rPr>
      <w:sz w:val="28"/>
    </w:rPr>
  </w:style>
  <w:style w:type="character" w:customStyle="1" w:styleId="e24kjd">
    <w:name w:val="e24kjd"/>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jc w:val="both"/>
    </w:pPr>
    <w:rPr>
      <w:sz w:val="24"/>
      <w:szCs w:val="24"/>
      <w:lang w:eastAsia="en-US"/>
    </w:rPr>
  </w:style>
  <w:style w:type="paragraph" w:styleId="Heading1">
    <w:name w:val="heading 1"/>
    <w:basedOn w:val="Normal"/>
    <w:next w:val="Normal"/>
    <w:link w:val="Heading1Char"/>
    <w:qFormat/>
    <w:pPr>
      <w:keepNext/>
      <w:numPr>
        <w:numId w:val="8"/>
      </w:numPr>
      <w:spacing w:before="360"/>
      <w:outlineLvl w:val="0"/>
    </w:pPr>
    <w:rPr>
      <w:b/>
      <w:bCs/>
      <w:smallCaps/>
      <w:szCs w:val="32"/>
    </w:rPr>
  </w:style>
  <w:style w:type="paragraph" w:styleId="Heading2">
    <w:name w:val="heading 2"/>
    <w:basedOn w:val="Normal"/>
    <w:next w:val="Normal"/>
    <w:link w:val="Heading2Char"/>
    <w:qFormat/>
    <w:pPr>
      <w:keepNext/>
      <w:outlineLvl w:val="1"/>
    </w:pPr>
    <w:rPr>
      <w:b/>
      <w:bCs/>
      <w:iCs/>
      <w:noProof/>
      <w:szCs w:val="28"/>
    </w:rPr>
  </w:style>
  <w:style w:type="paragraph" w:styleId="Heading3">
    <w:name w:val="heading 3"/>
    <w:basedOn w:val="Normal"/>
    <w:next w:val="Normal"/>
    <w:qFormat/>
    <w:pPr>
      <w:keepNext/>
      <w:numPr>
        <w:ilvl w:val="2"/>
        <w:numId w:val="8"/>
      </w:numPr>
      <w:outlineLvl w:val="2"/>
    </w:pPr>
    <w:rPr>
      <w:bCs/>
      <w:i/>
      <w:szCs w:val="26"/>
    </w:rPr>
  </w:style>
  <w:style w:type="paragraph" w:styleId="Heading4">
    <w:name w:val="heading 4"/>
    <w:basedOn w:val="Normal"/>
    <w:next w:val="Normal"/>
    <w:qFormat/>
    <w:pPr>
      <w:keepNext/>
      <w:numPr>
        <w:ilvl w:val="3"/>
        <w:numId w:val="8"/>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ompagnant">
    <w:name w:val="Accompagnant"/>
    <w:basedOn w:val="Normal"/>
    <w:next w:val="Normal"/>
    <w:pPr>
      <w:spacing w:before="0" w:after="240"/>
      <w:jc w:val="center"/>
    </w:pPr>
    <w:rPr>
      <w:b/>
      <w:i/>
    </w:rPr>
  </w:style>
  <w:style w:type="paragraph" w:customStyle="1" w:styleId="AccompagnantPagedecouverture">
    <w:name w:val="Accompagnant (Page de couverture)"/>
    <w:basedOn w:val="Accompagnant"/>
    <w:next w:val="Normal"/>
  </w:style>
  <w:style w:type="character" w:customStyle="1" w:styleId="Added">
    <w:name w:val="Added"/>
    <w:rPr>
      <w:b/>
      <w:u w:val="single"/>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Annexetitre">
    <w:name w:val="Annexe titre"/>
    <w:basedOn w:val="Normal"/>
    <w:next w:val="Normal"/>
    <w:pPr>
      <w:jc w:val="center"/>
    </w:pPr>
    <w:rPr>
      <w:b/>
      <w:u w:val="single"/>
    </w:rPr>
  </w:style>
  <w:style w:type="paragraph" w:customStyle="1" w:styleId="Annexetitreexpos">
    <w:name w:val="Annexe titre (exposé)"/>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Normal"/>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Bullet0">
    <w:name w:val="Bullet 0"/>
    <w:basedOn w:val="Normal"/>
    <w:pPr>
      <w:numPr>
        <w:numId w:val="1"/>
      </w:numPr>
    </w:pPr>
  </w:style>
  <w:style w:type="paragraph" w:customStyle="1" w:styleId="Bullet1">
    <w:name w:val="Bullet 1"/>
    <w:basedOn w:val="Normal"/>
    <w:pPr>
      <w:numPr>
        <w:numId w:val="2"/>
      </w:numPr>
    </w:pPr>
  </w:style>
  <w:style w:type="paragraph" w:customStyle="1" w:styleId="Bullet2">
    <w:name w:val="Bullet 2"/>
    <w:basedOn w:val="Normal"/>
    <w:pPr>
      <w:numPr>
        <w:numId w:val="3"/>
      </w:numPr>
    </w:pPr>
  </w:style>
  <w:style w:type="paragraph" w:customStyle="1" w:styleId="Bullet3">
    <w:name w:val="Bullet 3"/>
    <w:basedOn w:val="Normal"/>
    <w:pPr>
      <w:numPr>
        <w:numId w:val="4"/>
      </w:numPr>
    </w:pPr>
  </w:style>
  <w:style w:type="paragraph" w:customStyle="1" w:styleId="Bullet4">
    <w:name w:val="Bullet 4"/>
    <w:basedOn w:val="Normal"/>
    <w:pPr>
      <w:numPr>
        <w:numId w:val="5"/>
      </w:numPr>
    </w:pPr>
  </w:style>
  <w:style w:type="paragraph" w:customStyle="1" w:styleId="ChapterTitle">
    <w:name w:val="ChapterTitle"/>
    <w:basedOn w:val="Normal"/>
    <w:next w:val="Normal"/>
    <w:pPr>
      <w:keepNext/>
      <w:spacing w:after="360"/>
      <w:jc w:val="center"/>
    </w:pPr>
    <w:rPr>
      <w:b/>
      <w:sz w:val="32"/>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Normal"/>
    <w:pPr>
      <w:spacing w:before="240" w:after="240"/>
      <w:ind w:left="5103"/>
    </w:pPr>
    <w:rPr>
      <w:u w:val="single"/>
    </w:rPr>
  </w:style>
  <w:style w:type="paragraph" w:customStyle="1" w:styleId="Considrant">
    <w:name w:val="Considérant"/>
    <w:basedOn w:val="Normal"/>
    <w:pPr>
      <w:numPr>
        <w:numId w:val="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Normal"/>
    <w:pPr>
      <w:spacing w:before="360" w:after="0"/>
      <w:jc w:val="center"/>
    </w:pPr>
    <w:rPr>
      <w:b/>
    </w:rPr>
  </w:style>
  <w:style w:type="paragraph" w:customStyle="1" w:styleId="DatedadoptionPagedecouverture">
    <w:name w:val="Date d'adoption (Page de couverture)"/>
    <w:basedOn w:val="Datedadoption"/>
    <w:next w:val="Normal"/>
  </w:style>
  <w:style w:type="character" w:customStyle="1" w:styleId="Deleted">
    <w:name w:val="Deleted"/>
    <w:rPr>
      <w:strike/>
      <w:shd w:val="clear" w:color="auto" w:fill="auto"/>
    </w:rPr>
  </w:style>
  <w:style w:type="paragraph" w:customStyle="1" w:styleId="Emission">
    <w:name w:val="Emission"/>
    <w:basedOn w:val="Normal"/>
    <w:next w:val="Normal"/>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Normal"/>
    <w:pPr>
      <w:keepNext/>
      <w:spacing w:after="0"/>
    </w:pPr>
  </w:style>
  <w:style w:type="paragraph" w:customStyle="1" w:styleId="Fichefinanciretitre">
    <w:name w:val="Fiche financière titre"/>
    <w:basedOn w:val="Normal"/>
    <w:next w:val="Normal"/>
    <w:pPr>
      <w:jc w:val="center"/>
    </w:pPr>
    <w:rPr>
      <w:b/>
      <w:u w:val="single"/>
    </w:rPr>
  </w:style>
  <w:style w:type="paragraph" w:styleId="Footer">
    <w:name w:val="footer"/>
    <w:basedOn w:val="Normal"/>
    <w:link w:val="FooterChar"/>
    <w:uiPriority w:val="99"/>
    <w:pPr>
      <w:tabs>
        <w:tab w:val="center" w:pos="4535"/>
        <w:tab w:val="right" w:pos="9071"/>
        <w:tab w:val="right" w:pos="9921"/>
      </w:tabs>
      <w:spacing w:before="360" w:after="0"/>
      <w:ind w:left="-850" w:right="-850"/>
      <w:jc w:val="left"/>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aliases w:val="BVI fnr"/>
    <w:uiPriority w:val="99"/>
    <w:semiHidden/>
    <w:rPr>
      <w:shd w:val="clear" w:color="auto" w:fill="auto"/>
      <w:vertAlign w:val="superscript"/>
    </w:rPr>
  </w:style>
  <w:style w:type="paragraph" w:styleId="FootnoteText">
    <w:name w:val="footnote text"/>
    <w:aliases w:val="Fodnotetekst Tegn Tegn Tegn Tegn Tegn Tegn Tegn Char Char,Fodnotetekst Tegn Tegn Tegn Tegn Tegn Tegn Tegn Char Char Char Char,Fodnotetekst Tegn Tegn Tegn Tegn Tegn Tegn Tegn,Fodnotetekst Tegn Tegn Tegn Tegn Tegn Tegn Tegn Tegn Tegn Tegn,ft"/>
    <w:basedOn w:val="Normal"/>
    <w:link w:val="FootnoteTextChar"/>
    <w:uiPriority w:val="99"/>
    <w:pPr>
      <w:spacing w:before="0" w:after="0"/>
      <w:ind w:left="720" w:hanging="720"/>
    </w:pPr>
    <w:rPr>
      <w:sz w:val="20"/>
      <w:szCs w:val="20"/>
    </w:rPr>
  </w:style>
  <w:style w:type="paragraph" w:customStyle="1" w:styleId="Formuledadoption">
    <w:name w:val="Formule d'adoption"/>
    <w:basedOn w:val="Normal"/>
    <w:next w:val="Normal"/>
    <w:pPr>
      <w:keepNext/>
    </w:pPr>
  </w:style>
  <w:style w:type="paragraph" w:styleId="Header">
    <w:name w:val="header"/>
    <w:basedOn w:val="Normal"/>
    <w:pPr>
      <w:tabs>
        <w:tab w:val="center" w:pos="4535"/>
        <w:tab w:val="right" w:pos="9071"/>
      </w:tabs>
    </w:pPr>
  </w:style>
  <w:style w:type="paragraph" w:customStyle="1" w:styleId="HeaderLandscape">
    <w:name w:val="HeaderLandscape"/>
    <w:basedOn w:val="Normal"/>
    <w:pPr>
      <w:tabs>
        <w:tab w:val="center" w:pos="7285"/>
        <w:tab w:val="right" w:pos="14003"/>
      </w:tabs>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Normal"/>
    <w:pPr>
      <w:keepNext/>
      <w:tabs>
        <w:tab w:val="left" w:pos="4252"/>
      </w:tabs>
      <w:spacing w:before="720" w:after="0"/>
    </w:pPr>
    <w:rPr>
      <w:i/>
    </w:rPr>
  </w:style>
  <w:style w:type="paragraph" w:customStyle="1" w:styleId="Languesfaisantfoi">
    <w:name w:val="Langues faisant foi"/>
    <w:basedOn w:val="Normal"/>
    <w:next w:val="Normal"/>
    <w:pPr>
      <w:spacing w:before="360" w:after="0"/>
      <w:jc w:val="center"/>
    </w:p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Normal"/>
  </w:style>
  <w:style w:type="paragraph" w:customStyle="1" w:styleId="Langue">
    <w:name w:val="Langue"/>
    <w:basedOn w:val="Normal"/>
    <w:next w:val="Normal"/>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ormal"/>
    <w:next w:val="Normal"/>
    <w:pPr>
      <w:spacing w:before="360" w:after="0"/>
      <w:jc w:val="center"/>
    </w:pPr>
  </w:style>
  <w:style w:type="paragraph" w:customStyle="1" w:styleId="ManualConsidrant">
    <w:name w:val="Manual Considérant"/>
    <w:basedOn w:val="Normal"/>
    <w:pPr>
      <w:ind w:left="709" w:hanging="709"/>
    </w:pPr>
  </w:style>
  <w:style w:type="paragraph" w:customStyle="1" w:styleId="ManualHeading1">
    <w:name w:val="Manual Heading 1"/>
    <w:basedOn w:val="Normal"/>
    <w:next w:val="Normal"/>
    <w:pPr>
      <w:keepNext/>
      <w:tabs>
        <w:tab w:val="left" w:pos="850"/>
      </w:tabs>
      <w:spacing w:before="360"/>
      <w:ind w:left="850" w:hanging="850"/>
      <w:outlineLvl w:val="0"/>
    </w:pPr>
    <w:rPr>
      <w:b/>
      <w:smallCaps/>
    </w:rPr>
  </w:style>
  <w:style w:type="paragraph" w:customStyle="1" w:styleId="ManualHeading2">
    <w:name w:val="Manual Heading 2"/>
    <w:basedOn w:val="Normal"/>
    <w:next w:val="Normal"/>
    <w:pPr>
      <w:keepNext/>
      <w:tabs>
        <w:tab w:val="left" w:pos="850"/>
      </w:tabs>
      <w:ind w:left="850" w:hanging="850"/>
      <w:outlineLvl w:val="1"/>
    </w:pPr>
    <w:rPr>
      <w:b/>
    </w:rPr>
  </w:style>
  <w:style w:type="paragraph" w:customStyle="1" w:styleId="ManualHeading3">
    <w:name w:val="Manual Heading 3"/>
    <w:basedOn w:val="Normal"/>
    <w:next w:val="Normal"/>
    <w:pPr>
      <w:keepNext/>
      <w:tabs>
        <w:tab w:val="left" w:pos="850"/>
      </w:tabs>
      <w:ind w:left="850" w:hanging="850"/>
      <w:outlineLvl w:val="2"/>
    </w:pPr>
    <w:rPr>
      <w:i/>
    </w:rPr>
  </w:style>
  <w:style w:type="paragraph" w:customStyle="1" w:styleId="ManualHeading4">
    <w:name w:val="Manual Heading 4"/>
    <w:basedOn w:val="Normal"/>
    <w:next w:val="Normal"/>
    <w:pPr>
      <w:keepNext/>
      <w:tabs>
        <w:tab w:val="left" w:pos="850"/>
      </w:tabs>
      <w:ind w:left="850" w:hanging="850"/>
      <w:outlineLvl w:val="3"/>
    </w:pPr>
  </w:style>
  <w:style w:type="paragraph" w:customStyle="1" w:styleId="ManualNumPar1">
    <w:name w:val="Manual NumPar 1"/>
    <w:basedOn w:val="Normal"/>
    <w:next w:val="Normal"/>
    <w:pPr>
      <w:ind w:left="850" w:hanging="850"/>
    </w:pPr>
  </w:style>
  <w:style w:type="paragraph" w:customStyle="1" w:styleId="ManualNumPar2">
    <w:name w:val="Manual NumPar 2"/>
    <w:basedOn w:val="Normal"/>
    <w:next w:val="Normal"/>
    <w:pPr>
      <w:ind w:left="850" w:hanging="850"/>
    </w:pPr>
  </w:style>
  <w:style w:type="paragraph" w:customStyle="1" w:styleId="ManualNumPar3">
    <w:name w:val="Manual NumPar 3"/>
    <w:basedOn w:val="Normal"/>
    <w:next w:val="Normal"/>
    <w:pPr>
      <w:ind w:left="850" w:hanging="850"/>
    </w:pPr>
  </w:style>
  <w:style w:type="paragraph" w:customStyle="1" w:styleId="ManualNumPar4">
    <w:name w:val="Manual NumPar 4"/>
    <w:basedOn w:val="Normal"/>
    <w:next w:val="Normal"/>
    <w:pPr>
      <w:ind w:left="850" w:hanging="850"/>
    </w:p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umPar1">
    <w:name w:val="NumPar 1"/>
    <w:basedOn w:val="Normal"/>
    <w:next w:val="Normal"/>
    <w:pPr>
      <w:numPr>
        <w:numId w:val="9"/>
      </w:numPr>
    </w:pPr>
  </w:style>
  <w:style w:type="paragraph" w:customStyle="1" w:styleId="NumPar2">
    <w:name w:val="NumPar 2"/>
    <w:basedOn w:val="Normal"/>
    <w:next w:val="Normal"/>
    <w:pPr>
      <w:numPr>
        <w:ilvl w:val="1"/>
        <w:numId w:val="9"/>
      </w:numPr>
    </w:pPr>
  </w:style>
  <w:style w:type="paragraph" w:customStyle="1" w:styleId="NumPar3">
    <w:name w:val="NumPar 3"/>
    <w:basedOn w:val="Normal"/>
    <w:next w:val="Normal"/>
    <w:pPr>
      <w:numPr>
        <w:ilvl w:val="2"/>
        <w:numId w:val="9"/>
      </w:numPr>
    </w:pPr>
  </w:style>
  <w:style w:type="paragraph" w:customStyle="1" w:styleId="NumPar4">
    <w:name w:val="NumPar 4"/>
    <w:basedOn w:val="Normal"/>
    <w:next w:val="Normal"/>
    <w:pPr>
      <w:numPr>
        <w:ilvl w:val="3"/>
        <w:numId w:val="9"/>
      </w:numPr>
    </w:pPr>
  </w:style>
  <w:style w:type="paragraph" w:customStyle="1" w:styleId="Objetacteprincipal">
    <w:name w:val="Objet acte principal"/>
    <w:basedOn w:val="Normal"/>
    <w:next w:val="Normal"/>
    <w:pPr>
      <w:spacing w:before="0" w:after="360"/>
      <w:jc w:val="center"/>
    </w:pPr>
    <w:rPr>
      <w:b/>
    </w:rPr>
  </w:style>
  <w:style w:type="paragraph" w:customStyle="1" w:styleId="ObjetacteprincipalPagedecouverture">
    <w:name w:val="Objet acte principal (Page de couverture)"/>
    <w:basedOn w:val="Objetacteprincipal"/>
    <w:next w:val="Normal"/>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style>
  <w:style w:type="paragraph" w:customStyle="1" w:styleId="PartTitle">
    <w:name w:val="PartTitle"/>
    <w:basedOn w:val="Normal"/>
    <w:next w:val="ChapterTitle"/>
    <w:pPr>
      <w:keepNext/>
      <w:pageBreakBefore/>
      <w:spacing w:after="360"/>
      <w:jc w:val="center"/>
    </w:pPr>
    <w:rPr>
      <w:b/>
      <w:sz w:val="36"/>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Point0">
    <w:name w:val="Point 0"/>
    <w:basedOn w:val="Normal"/>
    <w:pPr>
      <w:ind w:left="850" w:hanging="850"/>
    </w:pPr>
  </w:style>
  <w:style w:type="paragraph" w:customStyle="1" w:styleId="Point0letter">
    <w:name w:val="Point 0 (letter)"/>
    <w:basedOn w:val="Normal"/>
    <w:pPr>
      <w:numPr>
        <w:ilvl w:val="1"/>
        <w:numId w:val="10"/>
      </w:numPr>
    </w:pPr>
  </w:style>
  <w:style w:type="paragraph" w:customStyle="1" w:styleId="Point0number">
    <w:name w:val="Point 0 (number)"/>
    <w:basedOn w:val="Normal"/>
    <w:pPr>
      <w:numPr>
        <w:numId w:val="10"/>
      </w:numPr>
    </w:pPr>
  </w:style>
  <w:style w:type="paragraph" w:customStyle="1" w:styleId="Point1">
    <w:name w:val="Point 1"/>
    <w:basedOn w:val="Normal"/>
    <w:pPr>
      <w:ind w:left="1417" w:hanging="567"/>
    </w:pPr>
  </w:style>
  <w:style w:type="paragraph" w:customStyle="1" w:styleId="Point1letter">
    <w:name w:val="Point 1 (letter)"/>
    <w:basedOn w:val="Normal"/>
    <w:pPr>
      <w:numPr>
        <w:ilvl w:val="3"/>
        <w:numId w:val="10"/>
      </w:numPr>
    </w:pPr>
  </w:style>
  <w:style w:type="paragraph" w:customStyle="1" w:styleId="Point1number">
    <w:name w:val="Point 1 (number)"/>
    <w:basedOn w:val="Normal"/>
    <w:pPr>
      <w:numPr>
        <w:ilvl w:val="2"/>
        <w:numId w:val="10"/>
      </w:numPr>
    </w:pPr>
  </w:style>
  <w:style w:type="paragraph" w:customStyle="1" w:styleId="Point2">
    <w:name w:val="Point 2"/>
    <w:basedOn w:val="Normal"/>
    <w:pPr>
      <w:ind w:left="1984" w:hanging="567"/>
    </w:pPr>
  </w:style>
  <w:style w:type="paragraph" w:customStyle="1" w:styleId="Point2letter">
    <w:name w:val="Point 2 (letter)"/>
    <w:basedOn w:val="Normal"/>
    <w:pPr>
      <w:numPr>
        <w:ilvl w:val="5"/>
        <w:numId w:val="10"/>
      </w:numPr>
    </w:pPr>
  </w:style>
  <w:style w:type="paragraph" w:customStyle="1" w:styleId="Point2number">
    <w:name w:val="Point 2 (number)"/>
    <w:basedOn w:val="Normal"/>
    <w:pPr>
      <w:numPr>
        <w:ilvl w:val="4"/>
        <w:numId w:val="10"/>
      </w:numPr>
    </w:pPr>
  </w:style>
  <w:style w:type="paragraph" w:customStyle="1" w:styleId="Point3">
    <w:name w:val="Point 3"/>
    <w:basedOn w:val="Normal"/>
    <w:pPr>
      <w:ind w:left="2551" w:hanging="567"/>
    </w:pPr>
  </w:style>
  <w:style w:type="paragraph" w:customStyle="1" w:styleId="Point3letter">
    <w:name w:val="Point 3 (letter)"/>
    <w:basedOn w:val="Normal"/>
    <w:pPr>
      <w:numPr>
        <w:ilvl w:val="7"/>
        <w:numId w:val="10"/>
      </w:numPr>
    </w:pPr>
  </w:style>
  <w:style w:type="paragraph" w:customStyle="1" w:styleId="Point3number">
    <w:name w:val="Point 3 (number)"/>
    <w:basedOn w:val="Normal"/>
    <w:pPr>
      <w:numPr>
        <w:ilvl w:val="6"/>
        <w:numId w:val="10"/>
      </w:numPr>
    </w:pPr>
  </w:style>
  <w:style w:type="paragraph" w:customStyle="1" w:styleId="Point4">
    <w:name w:val="Point 4"/>
    <w:basedOn w:val="Normal"/>
    <w:pPr>
      <w:ind w:left="3118" w:hanging="567"/>
    </w:pPr>
  </w:style>
  <w:style w:type="paragraph" w:customStyle="1" w:styleId="Point4letter">
    <w:name w:val="Point 4 (letter)"/>
    <w:basedOn w:val="Normal"/>
    <w:pPr>
      <w:numPr>
        <w:ilvl w:val="8"/>
        <w:numId w:val="1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QuotedNumPar">
    <w:name w:val="Quoted NumPar"/>
    <w:basedOn w:val="Normal"/>
    <w:pPr>
      <w:ind w:left="1417" w:hanging="567"/>
    </w:pPr>
  </w:style>
  <w:style w:type="paragraph" w:customStyle="1" w:styleId="QuotedText">
    <w:name w:val="Quoted Text"/>
    <w:basedOn w:val="Normal"/>
    <w:pPr>
      <w:ind w:left="1417"/>
    </w:pPr>
  </w:style>
  <w:style w:type="paragraph" w:customStyle="1" w:styleId="Rfrencecroise">
    <w:name w:val="Référence croisée"/>
    <w:basedOn w:val="Normal"/>
    <w:pPr>
      <w:spacing w:before="0" w:after="0"/>
      <w:jc w:val="center"/>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Normal"/>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Rfrenceinterne">
    <w:name w:val="Référence interne"/>
    <w:basedOn w:val="Normal"/>
    <w:next w:val="Rfrenceinterinstitutionnelle"/>
    <w:pPr>
      <w:spacing w:before="0" w:after="0"/>
      <w:ind w:left="5103"/>
      <w:jc w:val="left"/>
    </w:pPr>
  </w:style>
  <w:style w:type="paragraph" w:customStyle="1" w:styleId="SectionTitle">
    <w:name w:val="SectionTitle"/>
    <w:basedOn w:val="Normal"/>
    <w:next w:val="Heading1"/>
    <w:pPr>
      <w:keepNext/>
      <w:spacing w:after="360"/>
      <w:jc w:val="center"/>
    </w:pPr>
    <w:rPr>
      <w:b/>
      <w:smallCaps/>
      <w:sz w:val="28"/>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Statut">
    <w:name w:val="Statut"/>
    <w:basedOn w:val="Normal"/>
    <w:next w:val="Normal"/>
    <w:pPr>
      <w:spacing w:before="360" w:after="0"/>
      <w:jc w:val="center"/>
    </w:pPr>
  </w:style>
  <w:style w:type="paragraph" w:customStyle="1" w:styleId="StatutPagedecouverture">
    <w:name w:val="Statut (Page de couverture)"/>
    <w:basedOn w:val="Statut"/>
    <w:next w:val="Normal"/>
  </w:style>
  <w:style w:type="paragraph" w:customStyle="1" w:styleId="Supertitre">
    <w:name w:val="Supertitre"/>
    <w:basedOn w:val="Normal"/>
    <w:next w:val="Normal"/>
    <w:pPr>
      <w:spacing w:before="0" w:after="600"/>
      <w:jc w:val="center"/>
    </w:pPr>
    <w:rPr>
      <w:b/>
    </w:rPr>
  </w:style>
  <w:style w:type="paragraph" w:customStyle="1" w:styleId="TableTitle">
    <w:name w:val="Table Title"/>
    <w:basedOn w:val="Normal"/>
    <w:next w:val="Normal"/>
    <w:pPr>
      <w:jc w:val="center"/>
    </w:pPr>
    <w:rPr>
      <w:b/>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itreobjetPagedecouverture">
    <w:name w:val="Titre objet (Page de couverture)"/>
    <w:basedOn w:val="Titreobjet"/>
    <w:next w:val="Sous-titreobjetPagedecouverture"/>
  </w:style>
  <w:style w:type="paragraph" w:styleId="TOC1">
    <w:name w:val="toc 1"/>
    <w:basedOn w:val="Normal"/>
    <w:next w:val="Normal"/>
    <w:uiPriority w:val="39"/>
    <w:qFormat/>
    <w:pPr>
      <w:tabs>
        <w:tab w:val="right" w:leader="dot" w:pos="9071"/>
      </w:tabs>
      <w:spacing w:before="60"/>
      <w:ind w:left="850" w:hanging="850"/>
      <w:jc w:val="left"/>
    </w:pPr>
  </w:style>
  <w:style w:type="paragraph" w:styleId="TOC2">
    <w:name w:val="toc 2"/>
    <w:basedOn w:val="Normal"/>
    <w:next w:val="Normal"/>
    <w:uiPriority w:val="39"/>
    <w:qFormat/>
    <w:pPr>
      <w:tabs>
        <w:tab w:val="right" w:leader="dot" w:pos="9071"/>
      </w:tabs>
      <w:spacing w:before="60"/>
      <w:ind w:left="850" w:hanging="850"/>
      <w:jc w:val="left"/>
    </w:pPr>
  </w:style>
  <w:style w:type="paragraph" w:styleId="TOC3">
    <w:name w:val="toc 3"/>
    <w:basedOn w:val="Normal"/>
    <w:next w:val="Normal"/>
    <w:uiPriority w:val="39"/>
    <w:qFormat/>
    <w:pPr>
      <w:tabs>
        <w:tab w:val="right" w:leader="dot" w:pos="9071"/>
      </w:tabs>
      <w:spacing w:before="60"/>
      <w:ind w:left="850" w:hanging="850"/>
      <w:jc w:val="left"/>
    </w:pPr>
  </w:style>
  <w:style w:type="paragraph" w:styleId="TOC4">
    <w:name w:val="toc 4"/>
    <w:basedOn w:val="Normal"/>
    <w:next w:val="Normal"/>
    <w:semiHidden/>
    <w:pPr>
      <w:tabs>
        <w:tab w:val="right" w:leader="dot" w:pos="9071"/>
      </w:tabs>
      <w:spacing w:before="60"/>
      <w:ind w:left="850" w:hanging="850"/>
      <w:jc w:val="left"/>
    </w:pPr>
  </w:style>
  <w:style w:type="paragraph" w:styleId="TOC5">
    <w:name w:val="toc 5"/>
    <w:basedOn w:val="Normal"/>
    <w:next w:val="Normal"/>
    <w:semiHidden/>
    <w:pPr>
      <w:tabs>
        <w:tab w:val="right" w:leader="dot" w:pos="9071"/>
      </w:tabs>
      <w:spacing w:before="300"/>
      <w:jc w:val="left"/>
    </w:pPr>
  </w:style>
  <w:style w:type="paragraph" w:styleId="TOC6">
    <w:name w:val="toc 6"/>
    <w:basedOn w:val="Normal"/>
    <w:next w:val="Normal"/>
    <w:semiHidden/>
    <w:pPr>
      <w:tabs>
        <w:tab w:val="right" w:leader="dot" w:pos="9071"/>
      </w:tabs>
      <w:spacing w:before="240"/>
      <w:jc w:val="left"/>
    </w:pPr>
  </w:style>
  <w:style w:type="paragraph" w:styleId="TOC7">
    <w:name w:val="toc 7"/>
    <w:basedOn w:val="Normal"/>
    <w:next w:val="Normal"/>
    <w:semiHidden/>
    <w:pPr>
      <w:tabs>
        <w:tab w:val="right" w:leader="dot" w:pos="9071"/>
      </w:tabs>
      <w:spacing w:before="180"/>
      <w:jc w:val="left"/>
    </w:pPr>
  </w:style>
  <w:style w:type="paragraph" w:styleId="TOC8">
    <w:name w:val="toc 8"/>
    <w:basedOn w:val="Normal"/>
    <w:next w:val="Normal"/>
    <w:semiHidden/>
    <w:pPr>
      <w:tabs>
        <w:tab w:val="right" w:leader="dot" w:pos="9071"/>
      </w:tabs>
      <w:jc w:val="left"/>
    </w:pPr>
  </w:style>
  <w:style w:type="paragraph" w:styleId="TOC9">
    <w:name w:val="toc 9"/>
    <w:basedOn w:val="Normal"/>
    <w:next w:val="Normal"/>
    <w:semiHidden/>
    <w:pPr>
      <w:tabs>
        <w:tab w:val="right" w:leader="dot" w:pos="9071"/>
      </w:tabs>
    </w:pPr>
  </w:style>
  <w:style w:type="paragraph" w:styleId="TOCHeading">
    <w:name w:val="TOC Heading"/>
    <w:basedOn w:val="Normal"/>
    <w:next w:val="Normal"/>
    <w:link w:val="TOCHeadingChar"/>
    <w:uiPriority w:val="39"/>
    <w:qFormat/>
    <w:pPr>
      <w:spacing w:after="240"/>
      <w:jc w:val="center"/>
    </w:pPr>
    <w:rPr>
      <w:b/>
      <w:sz w:val="28"/>
    </w:rPr>
  </w:style>
  <w:style w:type="paragraph" w:customStyle="1" w:styleId="Typeacteprincipal">
    <w:name w:val="Type acte principal"/>
    <w:basedOn w:val="Normal"/>
    <w:next w:val="Objetacteprincipal"/>
    <w:pPr>
      <w:spacing w:before="0" w:after="240"/>
      <w:jc w:val="center"/>
    </w:pPr>
    <w:rPr>
      <w:b/>
    </w:rPr>
  </w:style>
  <w:style w:type="paragraph" w:customStyle="1" w:styleId="TypeacteprincipalPagedecouverture">
    <w:name w:val="Type acte principal (Page de couverture)"/>
    <w:basedOn w:val="Typeacteprincipal"/>
    <w:next w:val="ObjetacteprincipalPagedecouverture"/>
  </w:style>
  <w:style w:type="paragraph" w:customStyle="1" w:styleId="Typedudocument">
    <w:name w:val="Type du document"/>
    <w:basedOn w:val="Normal"/>
    <w:next w:val="Titreobjet"/>
    <w:pPr>
      <w:spacing w:before="360" w:after="0"/>
      <w:jc w:val="center"/>
    </w:pPr>
    <w:rPr>
      <w:b/>
    </w:rPr>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character" w:customStyle="1" w:styleId="Funotenzeichen">
    <w:name w:val="Fußnotenzeichen"/>
    <w:rPr>
      <w:rFonts w:cs="Times New Roman"/>
      <w:shd w:val="clear" w:color="auto" w:fill="auto"/>
      <w:vertAlign w:val="superscript"/>
    </w:rPr>
  </w:style>
  <w:style w:type="character" w:styleId="Hyperlink">
    <w:name w:val="Hyperlink"/>
    <w:uiPriority w:val="99"/>
    <w:rPr>
      <w:rFonts w:cs="Times New Roman"/>
      <w:color w:val="0000FF"/>
      <w:u w:val="single"/>
      <w:shd w:val="clear" w:color="auto" w:fill="auto"/>
    </w:rPr>
  </w:style>
  <w:style w:type="character" w:styleId="Emphasis">
    <w:name w:val="Emphasis"/>
    <w:qFormat/>
    <w:rPr>
      <w:rFonts w:cs="Times New Roman"/>
      <w:i/>
      <w:iCs/>
      <w:shd w:val="clear" w:color="auto" w:fill="auto"/>
    </w:rPr>
  </w:style>
  <w:style w:type="paragraph" w:styleId="ListBullet">
    <w:name w:val="List Bullet"/>
    <w:basedOn w:val="Normal"/>
    <w:pPr>
      <w:numPr>
        <w:numId w:val="30"/>
      </w:numPr>
    </w:pPr>
    <w:rPr>
      <w:lang w:eastAsia="de-DE"/>
    </w:rPr>
  </w:style>
  <w:style w:type="paragraph" w:styleId="ListNumber">
    <w:name w:val="List Number"/>
    <w:basedOn w:val="Normal"/>
    <w:pPr>
      <w:numPr>
        <w:numId w:val="16"/>
      </w:numPr>
    </w:pPr>
    <w:rPr>
      <w:lang w:eastAsia="de-DE"/>
    </w:rPr>
  </w:style>
  <w:style w:type="paragraph" w:customStyle="1" w:styleId="ListDash">
    <w:name w:val="List Dash"/>
    <w:basedOn w:val="Normal"/>
    <w:pPr>
      <w:numPr>
        <w:numId w:val="25"/>
      </w:numPr>
    </w:pPr>
    <w:rPr>
      <w:lang w:eastAsia="de-DE"/>
    </w:rPr>
  </w:style>
  <w:style w:type="paragraph" w:customStyle="1" w:styleId="ListNumberLevel2">
    <w:name w:val="List Number (Level 2)"/>
    <w:basedOn w:val="Normal"/>
    <w:pPr>
      <w:numPr>
        <w:ilvl w:val="1"/>
        <w:numId w:val="16"/>
      </w:numPr>
    </w:pPr>
    <w:rPr>
      <w:lang w:eastAsia="de-DE"/>
    </w:rPr>
  </w:style>
  <w:style w:type="paragraph" w:customStyle="1" w:styleId="ListNumberLevel3">
    <w:name w:val="List Number (Level 3)"/>
    <w:basedOn w:val="Normal"/>
    <w:pPr>
      <w:numPr>
        <w:ilvl w:val="2"/>
        <w:numId w:val="16"/>
      </w:numPr>
    </w:pPr>
    <w:rPr>
      <w:lang w:eastAsia="de-DE"/>
    </w:rPr>
  </w:style>
  <w:style w:type="paragraph" w:customStyle="1" w:styleId="ListNumberLevel4">
    <w:name w:val="List Number (Level 4)"/>
    <w:basedOn w:val="Normal"/>
    <w:pPr>
      <w:numPr>
        <w:ilvl w:val="3"/>
        <w:numId w:val="16"/>
      </w:numPr>
    </w:pPr>
    <w:rPr>
      <w:lang w:eastAsia="de-DE"/>
    </w:rPr>
  </w:style>
  <w:style w:type="paragraph" w:styleId="Caption">
    <w:name w:val="caption"/>
    <w:basedOn w:val="Normal"/>
    <w:next w:val="Normal"/>
    <w:qFormat/>
    <w:rPr>
      <w:b/>
      <w:bCs/>
      <w:sz w:val="20"/>
      <w:szCs w:val="20"/>
    </w:rPr>
  </w:style>
  <w:style w:type="paragraph" w:styleId="TableofFigures">
    <w:name w:val="table of figures"/>
    <w:basedOn w:val="Normal"/>
    <w:next w:val="Normal"/>
  </w:style>
  <w:style w:type="character" w:styleId="CommentReference">
    <w:name w:val="annotation reference"/>
    <w:rPr>
      <w:sz w:val="16"/>
      <w:szCs w:val="16"/>
      <w:shd w:val="clear" w:color="auto" w:fill="auto"/>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shd w:val="clear" w:color="auto" w:fill="auto"/>
      <w:lang w:eastAsia="en-US"/>
    </w:rPr>
  </w:style>
  <w:style w:type="paragraph" w:styleId="ListNumber2">
    <w:name w:val="List Number 2"/>
    <w:basedOn w:val="Normal"/>
    <w:pPr>
      <w:numPr>
        <w:numId w:val="18"/>
      </w:numPr>
    </w:pPr>
    <w:rPr>
      <w:lang w:eastAsia="de-DE"/>
    </w:rPr>
  </w:style>
  <w:style w:type="paragraph" w:styleId="ListNumber3">
    <w:name w:val="List Number 3"/>
    <w:basedOn w:val="Normal"/>
    <w:pPr>
      <w:numPr>
        <w:numId w:val="19"/>
      </w:numPr>
    </w:pPr>
    <w:rPr>
      <w:lang w:eastAsia="de-DE"/>
    </w:rPr>
  </w:style>
  <w:style w:type="paragraph" w:styleId="ListNumber4">
    <w:name w:val="List Number 4"/>
    <w:basedOn w:val="Normal"/>
    <w:pPr>
      <w:numPr>
        <w:numId w:val="20"/>
      </w:numPr>
    </w:pPr>
    <w:rPr>
      <w:lang w:eastAsia="de-DE"/>
    </w:rPr>
  </w:style>
  <w:style w:type="paragraph" w:customStyle="1" w:styleId="ListNumber1">
    <w:name w:val="List Number 1"/>
    <w:basedOn w:val="Text1"/>
    <w:pPr>
      <w:numPr>
        <w:numId w:val="17"/>
      </w:numPr>
    </w:pPr>
    <w:rPr>
      <w:lang w:eastAsia="de-DE"/>
    </w:rPr>
  </w:style>
  <w:style w:type="paragraph" w:customStyle="1" w:styleId="ListNumber1Level2">
    <w:name w:val="List Number 1 (Level 2)"/>
    <w:basedOn w:val="Text1"/>
    <w:pPr>
      <w:numPr>
        <w:ilvl w:val="1"/>
        <w:numId w:val="17"/>
      </w:numPr>
    </w:pPr>
    <w:rPr>
      <w:lang w:eastAsia="de-DE"/>
    </w:rPr>
  </w:style>
  <w:style w:type="paragraph" w:customStyle="1" w:styleId="ListNumber2Level2">
    <w:name w:val="List Number 2 (Level 2)"/>
    <w:basedOn w:val="Text2"/>
    <w:pPr>
      <w:numPr>
        <w:ilvl w:val="1"/>
        <w:numId w:val="18"/>
      </w:numPr>
    </w:pPr>
    <w:rPr>
      <w:lang w:eastAsia="de-DE"/>
    </w:rPr>
  </w:style>
  <w:style w:type="paragraph" w:customStyle="1" w:styleId="ListNumber3Level2">
    <w:name w:val="List Number 3 (Level 2)"/>
    <w:basedOn w:val="Text3"/>
    <w:pPr>
      <w:numPr>
        <w:ilvl w:val="1"/>
        <w:numId w:val="19"/>
      </w:numPr>
    </w:pPr>
    <w:rPr>
      <w:lang w:eastAsia="de-DE"/>
    </w:rPr>
  </w:style>
  <w:style w:type="paragraph" w:customStyle="1" w:styleId="ListNumber4Level2">
    <w:name w:val="List Number 4 (Level 2)"/>
    <w:basedOn w:val="Text4"/>
    <w:pPr>
      <w:numPr>
        <w:ilvl w:val="1"/>
        <w:numId w:val="20"/>
      </w:numPr>
    </w:pPr>
    <w:rPr>
      <w:lang w:eastAsia="de-DE"/>
    </w:rPr>
  </w:style>
  <w:style w:type="paragraph" w:customStyle="1" w:styleId="ListNumber1Level3">
    <w:name w:val="List Number 1 (Level 3)"/>
    <w:basedOn w:val="Text1"/>
    <w:pPr>
      <w:numPr>
        <w:ilvl w:val="2"/>
        <w:numId w:val="17"/>
      </w:numPr>
    </w:pPr>
    <w:rPr>
      <w:lang w:eastAsia="de-DE"/>
    </w:rPr>
  </w:style>
  <w:style w:type="paragraph" w:customStyle="1" w:styleId="ListNumber2Level3">
    <w:name w:val="List Number 2 (Level 3)"/>
    <w:basedOn w:val="Text2"/>
    <w:pPr>
      <w:numPr>
        <w:ilvl w:val="2"/>
        <w:numId w:val="18"/>
      </w:numPr>
    </w:pPr>
    <w:rPr>
      <w:lang w:eastAsia="de-DE"/>
    </w:rPr>
  </w:style>
  <w:style w:type="paragraph" w:customStyle="1" w:styleId="ListNumber3Level3">
    <w:name w:val="List Number 3 (Level 3)"/>
    <w:basedOn w:val="Text3"/>
    <w:pPr>
      <w:numPr>
        <w:ilvl w:val="2"/>
        <w:numId w:val="19"/>
      </w:numPr>
    </w:pPr>
    <w:rPr>
      <w:lang w:eastAsia="de-DE"/>
    </w:rPr>
  </w:style>
  <w:style w:type="paragraph" w:customStyle="1" w:styleId="ListNumber4Level3">
    <w:name w:val="List Number 4 (Level 3)"/>
    <w:basedOn w:val="Text4"/>
    <w:pPr>
      <w:numPr>
        <w:ilvl w:val="2"/>
        <w:numId w:val="20"/>
      </w:numPr>
    </w:pPr>
    <w:rPr>
      <w:lang w:eastAsia="de-DE"/>
    </w:rPr>
  </w:style>
  <w:style w:type="paragraph" w:customStyle="1" w:styleId="ListNumber1Level4">
    <w:name w:val="List Number 1 (Level 4)"/>
    <w:basedOn w:val="Text1"/>
    <w:pPr>
      <w:numPr>
        <w:ilvl w:val="3"/>
        <w:numId w:val="17"/>
      </w:numPr>
    </w:pPr>
    <w:rPr>
      <w:lang w:eastAsia="de-DE"/>
    </w:rPr>
  </w:style>
  <w:style w:type="paragraph" w:customStyle="1" w:styleId="ListNumber2Level4">
    <w:name w:val="List Number 2 (Level 4)"/>
    <w:basedOn w:val="Text2"/>
    <w:pPr>
      <w:numPr>
        <w:ilvl w:val="3"/>
        <w:numId w:val="18"/>
      </w:numPr>
    </w:pPr>
    <w:rPr>
      <w:lang w:eastAsia="de-DE"/>
    </w:rPr>
  </w:style>
  <w:style w:type="paragraph" w:customStyle="1" w:styleId="ListNumber3Level4">
    <w:name w:val="List Number 3 (Level 4)"/>
    <w:basedOn w:val="Text3"/>
    <w:pPr>
      <w:numPr>
        <w:ilvl w:val="3"/>
        <w:numId w:val="19"/>
      </w:numPr>
    </w:pPr>
    <w:rPr>
      <w:lang w:eastAsia="de-DE"/>
    </w:rPr>
  </w:style>
  <w:style w:type="paragraph" w:customStyle="1" w:styleId="ListNumber4Level4">
    <w:name w:val="List Number 4 (Level 4)"/>
    <w:basedOn w:val="Text4"/>
    <w:pPr>
      <w:numPr>
        <w:ilvl w:val="3"/>
        <w:numId w:val="20"/>
      </w:numPr>
    </w:pPr>
    <w:rPr>
      <w:lang w:eastAsia="de-DE"/>
    </w:rPr>
  </w:style>
  <w:style w:type="paragraph" w:customStyle="1" w:styleId="ListBullet1">
    <w:name w:val="List Bullet 1"/>
    <w:basedOn w:val="Normal"/>
    <w:pPr>
      <w:numPr>
        <w:numId w:val="21"/>
      </w:numPr>
    </w:pPr>
    <w:rPr>
      <w:lang w:eastAsia="de-DE"/>
    </w:rPr>
  </w:style>
  <w:style w:type="paragraph" w:styleId="ListBullet2">
    <w:name w:val="List Bullet 2"/>
    <w:basedOn w:val="Normal"/>
    <w:pPr>
      <w:numPr>
        <w:numId w:val="22"/>
      </w:numPr>
    </w:pPr>
    <w:rPr>
      <w:lang w:eastAsia="de-DE"/>
    </w:rPr>
  </w:style>
  <w:style w:type="paragraph" w:styleId="ListBullet3">
    <w:name w:val="List Bullet 3"/>
    <w:basedOn w:val="Normal"/>
    <w:pPr>
      <w:numPr>
        <w:numId w:val="23"/>
      </w:numPr>
    </w:pPr>
    <w:rPr>
      <w:lang w:eastAsia="de-DE"/>
    </w:rPr>
  </w:style>
  <w:style w:type="paragraph" w:styleId="ListBullet4">
    <w:name w:val="List Bullet 4"/>
    <w:basedOn w:val="Normal"/>
    <w:pPr>
      <w:numPr>
        <w:numId w:val="24"/>
      </w:numPr>
    </w:pPr>
    <w:rPr>
      <w:lang w:eastAsia="de-DE"/>
    </w:rPr>
  </w:style>
  <w:style w:type="paragraph" w:customStyle="1" w:styleId="ListDash1">
    <w:name w:val="List Dash 1"/>
    <w:basedOn w:val="Normal"/>
    <w:pPr>
      <w:numPr>
        <w:numId w:val="26"/>
      </w:numPr>
    </w:pPr>
    <w:rPr>
      <w:lang w:eastAsia="de-DE"/>
    </w:rPr>
  </w:style>
  <w:style w:type="paragraph" w:customStyle="1" w:styleId="ListDash2">
    <w:name w:val="List Dash 2"/>
    <w:basedOn w:val="Normal"/>
    <w:pPr>
      <w:numPr>
        <w:numId w:val="27"/>
      </w:numPr>
    </w:pPr>
    <w:rPr>
      <w:lang w:eastAsia="de-DE"/>
    </w:rPr>
  </w:style>
  <w:style w:type="paragraph" w:customStyle="1" w:styleId="ListDash3">
    <w:name w:val="List Dash 3"/>
    <w:basedOn w:val="Normal"/>
    <w:pPr>
      <w:numPr>
        <w:numId w:val="28"/>
      </w:numPr>
    </w:pPr>
    <w:rPr>
      <w:lang w:eastAsia="de-DE"/>
    </w:rPr>
  </w:style>
  <w:style w:type="paragraph" w:customStyle="1" w:styleId="ListDash4">
    <w:name w:val="List Dash 4"/>
    <w:basedOn w:val="Normal"/>
    <w:pPr>
      <w:numPr>
        <w:numId w:val="29"/>
      </w:numPr>
    </w:pPr>
    <w:rPr>
      <w:lang w:eastAsia="de-DE"/>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shd w:val="clear" w:color="auto" w:fill="auto"/>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shd w:val="clear" w:color="auto" w:fill="auto"/>
      <w:lang w:eastAsia="en-US"/>
    </w:rPr>
  </w:style>
  <w:style w:type="paragraph" w:customStyle="1" w:styleId="Default">
    <w:name w:val="Default"/>
    <w:pPr>
      <w:autoSpaceDE w:val="0"/>
      <w:autoSpaceDN w:val="0"/>
      <w:adjustRightInd w:val="0"/>
    </w:pPr>
    <w:rPr>
      <w:color w:val="000000"/>
      <w:sz w:val="24"/>
      <w:szCs w:val="24"/>
    </w:rPr>
  </w:style>
  <w:style w:type="paragraph" w:styleId="DocumentMap">
    <w:name w:val="Document Map"/>
    <w:basedOn w:val="Normal"/>
    <w:link w:val="DocumentMapChar"/>
    <w:pPr>
      <w:shd w:val="clear" w:color="auto" w:fill="000080"/>
    </w:pPr>
    <w:rPr>
      <w:rFonts w:ascii="Tahoma" w:hAnsi="Tahoma" w:cs="Tahoma"/>
      <w:sz w:val="20"/>
      <w:szCs w:val="20"/>
    </w:rPr>
  </w:style>
  <w:style w:type="character" w:customStyle="1" w:styleId="DocumentMapChar">
    <w:name w:val="Document Map Char"/>
    <w:link w:val="DocumentMap"/>
    <w:rPr>
      <w:rFonts w:ascii="Tahoma" w:hAnsi="Tahoma" w:cs="Tahoma"/>
      <w:shd w:val="clear" w:color="auto" w:fill="000080"/>
      <w:lang w:eastAsia="en-US"/>
    </w:rPr>
  </w:style>
  <w:style w:type="character" w:customStyle="1" w:styleId="FootnoteTextChar">
    <w:name w:val="Footnote Text Char"/>
    <w:aliases w:val="Fodnotetekst Tegn Tegn Tegn Tegn Tegn Tegn Tegn Char Char Char,Fodnotetekst Tegn Tegn Tegn Tegn Tegn Tegn Tegn Char Char Char Char Char,Fodnotetekst Tegn Tegn Tegn Tegn Tegn Tegn Tegn Char,ft Char"/>
    <w:link w:val="FootnoteText"/>
    <w:uiPriority w:val="99"/>
    <w:rPr>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link w:val="TOCHeading"/>
    <w:uiPriority w:val="39"/>
    <w:rPr>
      <w:b/>
      <w:sz w:val="28"/>
      <w:szCs w:val="24"/>
      <w:shd w:val="clear" w:color="auto" w:fill="auto"/>
      <w:lang w:eastAsia="en-US"/>
    </w:rPr>
  </w:style>
  <w:style w:type="character" w:customStyle="1" w:styleId="FooterCoverPageChar">
    <w:name w:val="Footer Cover Page Char"/>
    <w:link w:val="FooterCoverPage"/>
    <w:rPr>
      <w:sz w:val="24"/>
      <w:szCs w:val="24"/>
      <w:lang w:eastAsia="en-US"/>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link w:val="HeaderCoverPage"/>
    <w:rPr>
      <w:sz w:val="24"/>
      <w:szCs w:val="24"/>
      <w:lang w:eastAsia="en-US"/>
    </w:rPr>
  </w:style>
  <w:style w:type="character" w:customStyle="1" w:styleId="FooterChar">
    <w:name w:val="Footer Char"/>
    <w:link w:val="Footer"/>
    <w:uiPriority w:val="99"/>
    <w:rPr>
      <w:sz w:val="24"/>
      <w:szCs w:val="24"/>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pPr>
      <w:spacing w:after="60"/>
      <w:jc w:val="center"/>
      <w:outlineLvl w:val="1"/>
    </w:pPr>
    <w:rPr>
      <w:rFonts w:ascii="Cambria" w:hAnsi="Cambria"/>
    </w:rPr>
  </w:style>
  <w:style w:type="character" w:customStyle="1" w:styleId="SubtitleChar">
    <w:name w:val="Subtitle Char"/>
    <w:link w:val="Subtitle"/>
    <w:rPr>
      <w:rFonts w:ascii="Cambria" w:eastAsia="Times New Roman" w:hAnsi="Cambria" w:cs="Times New Roman"/>
      <w:sz w:val="24"/>
      <w:szCs w:val="24"/>
      <w:shd w:val="clear" w:color="auto" w:fill="auto"/>
      <w:lang w:eastAsia="en-US"/>
    </w:rPr>
  </w:style>
  <w:style w:type="paragraph" w:styleId="NormalWeb">
    <w:name w:val="Normal (Web)"/>
    <w:basedOn w:val="Normal"/>
    <w:uiPriority w:val="99"/>
    <w:unhideWhenUsed/>
    <w:pPr>
      <w:spacing w:before="100" w:beforeAutospacing="1" w:after="100" w:afterAutospacing="1"/>
      <w:jc w:val="left"/>
    </w:pPr>
    <w:rPr>
      <w:lang w:eastAsia="en-GB"/>
    </w:rPr>
  </w:style>
  <w:style w:type="character" w:styleId="Strong">
    <w:name w:val="Strong"/>
    <w:uiPriority w:val="22"/>
    <w:qFormat/>
    <w:rPr>
      <w:b/>
      <w:bCs/>
      <w:shd w:val="clear" w:color="auto" w:fill="auto"/>
    </w:rPr>
  </w:style>
  <w:style w:type="paragraph" w:styleId="Revision">
    <w:name w:val="Revision"/>
    <w:hidden/>
    <w:uiPriority w:val="99"/>
    <w:semiHidden/>
    <w:rPr>
      <w:sz w:val="24"/>
      <w:szCs w:val="24"/>
      <w:lang w:eastAsia="en-US"/>
    </w:rPr>
  </w:style>
  <w:style w:type="character" w:customStyle="1" w:styleId="Heading1Char">
    <w:name w:val="Heading 1 Char"/>
    <w:link w:val="Heading1"/>
    <w:rPr>
      <w:b/>
      <w:bCs/>
      <w:smallCaps/>
      <w:sz w:val="24"/>
      <w:szCs w:val="32"/>
      <w:lang w:eastAsia="en-US"/>
    </w:rPr>
  </w:style>
  <w:style w:type="character" w:customStyle="1" w:styleId="Heading2Char">
    <w:name w:val="Heading 2 Char"/>
    <w:link w:val="Heading2"/>
    <w:rPr>
      <w:b/>
      <w:bCs/>
      <w:iCs/>
      <w:noProof/>
      <w:sz w:val="24"/>
      <w:szCs w:val="28"/>
      <w:lang w:eastAsia="en-US"/>
    </w:rPr>
  </w:style>
  <w:style w:type="character" w:styleId="FollowedHyperlink">
    <w:name w:val="FollowedHyperlink"/>
    <w:rPr>
      <w:color w:val="800080"/>
      <w:u w:val="single"/>
      <w:shd w:val="clear" w:color="auto" w:fill="auto"/>
    </w:rPr>
  </w:style>
  <w:style w:type="paragraph" w:styleId="EndnoteText">
    <w:name w:val="endnote text"/>
    <w:basedOn w:val="Normal"/>
    <w:link w:val="EndnoteTextChar"/>
    <w:rPr>
      <w:sz w:val="20"/>
      <w:szCs w:val="20"/>
    </w:rPr>
  </w:style>
  <w:style w:type="character" w:customStyle="1" w:styleId="EndnoteTextChar">
    <w:name w:val="Endnote Text Char"/>
    <w:link w:val="EndnoteText"/>
    <w:rPr>
      <w:shd w:val="clear" w:color="auto" w:fill="auto"/>
      <w:lang w:eastAsia="en-US"/>
    </w:rPr>
  </w:style>
  <w:style w:type="character" w:styleId="EndnoteReference">
    <w:name w:val="endnote reference"/>
    <w:rPr>
      <w:shd w:val="clear" w:color="auto" w:fill="auto"/>
      <w:vertAlign w:val="superscript"/>
    </w:rPr>
  </w:style>
  <w:style w:type="paragraph" w:customStyle="1" w:styleId="BBullets2">
    <w:name w:val="B Bullets 2"/>
    <w:uiPriority w:val="20"/>
    <w:qFormat/>
    <w:pPr>
      <w:numPr>
        <w:ilvl w:val="1"/>
        <w:numId w:val="33"/>
      </w:numPr>
      <w:spacing w:before="60" w:after="60" w:line="320" w:lineRule="exact"/>
    </w:pPr>
    <w:rPr>
      <w:rFonts w:ascii="_GOPA TheSerif Light" w:eastAsia="Calibri" w:hAnsi="_GOPA TheSerif Light"/>
      <w:color w:val="000000"/>
      <w:sz w:val="19"/>
      <w:szCs w:val="22"/>
      <w:lang w:eastAsia="en-US"/>
    </w:rPr>
  </w:style>
  <w:style w:type="paragraph" w:customStyle="1" w:styleId="DBulletsgelb1">
    <w:name w:val="D Bullets gelb 1"/>
    <w:link w:val="DBulletsgelb1Zchn"/>
    <w:uiPriority w:val="54"/>
    <w:qFormat/>
    <w:pPr>
      <w:numPr>
        <w:numId w:val="33"/>
      </w:numPr>
      <w:pBdr>
        <w:top w:val="single" w:sz="4" w:space="0" w:color="FCF6E9"/>
        <w:left w:val="single" w:sz="4" w:space="8" w:color="FCF6E9"/>
        <w:bottom w:val="single" w:sz="4" w:space="0" w:color="FCF6E9"/>
        <w:right w:val="single" w:sz="4" w:space="4" w:color="FCF6E9"/>
      </w:pBdr>
      <w:shd w:val="clear" w:color="auto" w:fill="FCF6E9"/>
      <w:spacing w:line="320" w:lineRule="exact"/>
      <w:ind w:left="425" w:right="113" w:hanging="255"/>
    </w:pPr>
    <w:rPr>
      <w:rFonts w:ascii="_GOPA TheSerif Light" w:eastAsia="Calibri" w:hAnsi="_GOPA TheSerif Light"/>
      <w:color w:val="000000"/>
      <w:sz w:val="19"/>
      <w:szCs w:val="22"/>
      <w:lang w:eastAsia="de-DE"/>
    </w:rPr>
  </w:style>
  <w:style w:type="character" w:customStyle="1" w:styleId="DBulletsgelb1Zchn">
    <w:name w:val="D Bullets gelb 1 Zchn"/>
    <w:link w:val="DBulletsgelb1"/>
    <w:uiPriority w:val="54"/>
    <w:rPr>
      <w:rFonts w:ascii="_GOPA TheSerif Light" w:eastAsia="Calibri" w:hAnsi="_GOPA TheSerif Light"/>
      <w:color w:val="000000"/>
      <w:sz w:val="19"/>
      <w:szCs w:val="22"/>
      <w:shd w:val="clear" w:color="auto" w:fill="FCF6E9"/>
      <w:lang w:eastAsia="de-DE"/>
    </w:rPr>
  </w:style>
  <w:style w:type="character" w:customStyle="1" w:styleId="BHighlight1">
    <w:name w:val="B Highlight 1"/>
    <w:qFormat/>
    <w:rPr>
      <w:rFonts w:ascii="_GOPA TheSerif Light" w:hAnsi="_GOPA TheSerif Light"/>
      <w:b/>
      <w:color w:val="DC9300"/>
      <w:sz w:val="19"/>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szCs w:val="24"/>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DefaultParagraphFont"/>
    <w:link w:val="HeaderSensitivity"/>
    <w:rPr>
      <w:b/>
      <w:sz w:val="32"/>
      <w:szCs w:val="24"/>
      <w:lang w:eastAsia="en-US"/>
    </w:rPr>
  </w:style>
  <w:style w:type="paragraph" w:customStyle="1" w:styleId="SecurityMarking">
    <w:name w:val="SecurityMarking"/>
    <w:basedOn w:val="Normal"/>
    <w:pPr>
      <w:spacing w:before="0" w:after="0" w:line="276" w:lineRule="auto"/>
      <w:ind w:left="5103"/>
      <w:jc w:val="left"/>
    </w:pPr>
    <w:rPr>
      <w:rFonts w:eastAsiaTheme="minorHAnsi"/>
      <w:sz w:val="28"/>
      <w:szCs w:val="22"/>
    </w:rPr>
  </w:style>
  <w:style w:type="paragraph" w:customStyle="1" w:styleId="DateMarking">
    <w:name w:val="DateMarking"/>
    <w:basedOn w:val="Normal"/>
    <w:pPr>
      <w:spacing w:before="0" w:after="0" w:line="276" w:lineRule="auto"/>
      <w:ind w:left="5103"/>
      <w:jc w:val="left"/>
    </w:pPr>
    <w:rPr>
      <w:rFonts w:eastAsiaTheme="minorHAnsi"/>
      <w:i/>
      <w:sz w:val="28"/>
      <w:szCs w:val="22"/>
    </w:rPr>
  </w:style>
  <w:style w:type="paragraph" w:customStyle="1" w:styleId="ReleasableTo">
    <w:name w:val="ReleasableTo"/>
    <w:basedOn w:val="Normal"/>
    <w:pPr>
      <w:spacing w:before="0" w:after="0" w:line="276" w:lineRule="auto"/>
      <w:ind w:left="5103"/>
      <w:jc w:val="left"/>
    </w:pPr>
    <w:rPr>
      <w:rFonts w:eastAsiaTheme="minorHAnsi"/>
      <w:i/>
      <w:sz w:val="28"/>
      <w:szCs w:val="22"/>
    </w:rPr>
  </w:style>
  <w:style w:type="paragraph" w:customStyle="1" w:styleId="HeaderSensitivityRight">
    <w:name w:val="Header Sensitivity Right"/>
    <w:basedOn w:val="Normal"/>
    <w:pPr>
      <w:spacing w:before="0"/>
      <w:jc w:val="right"/>
    </w:pPr>
    <w:rPr>
      <w:sz w:val="28"/>
    </w:rPr>
  </w:style>
  <w:style w:type="character" w:customStyle="1" w:styleId="e24kjd">
    <w:name w:val="e24kjd"/>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65135">
      <w:bodyDiv w:val="1"/>
      <w:marLeft w:val="0"/>
      <w:marRight w:val="0"/>
      <w:marTop w:val="0"/>
      <w:marBottom w:val="0"/>
      <w:divBdr>
        <w:top w:val="none" w:sz="0" w:space="0" w:color="auto"/>
        <w:left w:val="none" w:sz="0" w:space="0" w:color="auto"/>
        <w:bottom w:val="none" w:sz="0" w:space="0" w:color="auto"/>
        <w:right w:val="none" w:sz="0" w:space="0" w:color="auto"/>
      </w:divBdr>
    </w:div>
    <w:div w:id="339546453">
      <w:bodyDiv w:val="1"/>
      <w:marLeft w:val="0"/>
      <w:marRight w:val="0"/>
      <w:marTop w:val="0"/>
      <w:marBottom w:val="0"/>
      <w:divBdr>
        <w:top w:val="none" w:sz="0" w:space="0" w:color="auto"/>
        <w:left w:val="none" w:sz="0" w:space="0" w:color="auto"/>
        <w:bottom w:val="none" w:sz="0" w:space="0" w:color="auto"/>
        <w:right w:val="none" w:sz="0" w:space="0" w:color="auto"/>
      </w:divBdr>
    </w:div>
    <w:div w:id="357388917">
      <w:bodyDiv w:val="1"/>
      <w:marLeft w:val="0"/>
      <w:marRight w:val="0"/>
      <w:marTop w:val="0"/>
      <w:marBottom w:val="0"/>
      <w:divBdr>
        <w:top w:val="none" w:sz="0" w:space="0" w:color="auto"/>
        <w:left w:val="none" w:sz="0" w:space="0" w:color="auto"/>
        <w:bottom w:val="none" w:sz="0" w:space="0" w:color="auto"/>
        <w:right w:val="none" w:sz="0" w:space="0" w:color="auto"/>
      </w:divBdr>
    </w:div>
    <w:div w:id="419453083">
      <w:bodyDiv w:val="1"/>
      <w:marLeft w:val="0"/>
      <w:marRight w:val="0"/>
      <w:marTop w:val="0"/>
      <w:marBottom w:val="0"/>
      <w:divBdr>
        <w:top w:val="none" w:sz="0" w:space="0" w:color="auto"/>
        <w:left w:val="none" w:sz="0" w:space="0" w:color="auto"/>
        <w:bottom w:val="none" w:sz="0" w:space="0" w:color="auto"/>
        <w:right w:val="none" w:sz="0" w:space="0" w:color="auto"/>
      </w:divBdr>
    </w:div>
    <w:div w:id="552615252">
      <w:bodyDiv w:val="1"/>
      <w:marLeft w:val="0"/>
      <w:marRight w:val="0"/>
      <w:marTop w:val="0"/>
      <w:marBottom w:val="0"/>
      <w:divBdr>
        <w:top w:val="none" w:sz="0" w:space="0" w:color="auto"/>
        <w:left w:val="none" w:sz="0" w:space="0" w:color="auto"/>
        <w:bottom w:val="none" w:sz="0" w:space="0" w:color="auto"/>
        <w:right w:val="none" w:sz="0" w:space="0" w:color="auto"/>
      </w:divBdr>
    </w:div>
    <w:div w:id="790244039">
      <w:bodyDiv w:val="1"/>
      <w:marLeft w:val="0"/>
      <w:marRight w:val="0"/>
      <w:marTop w:val="0"/>
      <w:marBottom w:val="0"/>
      <w:divBdr>
        <w:top w:val="none" w:sz="0" w:space="0" w:color="auto"/>
        <w:left w:val="none" w:sz="0" w:space="0" w:color="auto"/>
        <w:bottom w:val="none" w:sz="0" w:space="0" w:color="auto"/>
        <w:right w:val="none" w:sz="0" w:space="0" w:color="auto"/>
      </w:divBdr>
    </w:div>
    <w:div w:id="983241643">
      <w:bodyDiv w:val="1"/>
      <w:marLeft w:val="0"/>
      <w:marRight w:val="0"/>
      <w:marTop w:val="0"/>
      <w:marBottom w:val="0"/>
      <w:divBdr>
        <w:top w:val="none" w:sz="0" w:space="0" w:color="auto"/>
        <w:left w:val="none" w:sz="0" w:space="0" w:color="auto"/>
        <w:bottom w:val="none" w:sz="0" w:space="0" w:color="auto"/>
        <w:right w:val="none" w:sz="0" w:space="0" w:color="auto"/>
      </w:divBdr>
    </w:div>
    <w:div w:id="1113477509">
      <w:bodyDiv w:val="1"/>
      <w:marLeft w:val="0"/>
      <w:marRight w:val="0"/>
      <w:marTop w:val="0"/>
      <w:marBottom w:val="0"/>
      <w:divBdr>
        <w:top w:val="none" w:sz="0" w:space="0" w:color="auto"/>
        <w:left w:val="none" w:sz="0" w:space="0" w:color="auto"/>
        <w:bottom w:val="none" w:sz="0" w:space="0" w:color="auto"/>
        <w:right w:val="none" w:sz="0" w:space="0" w:color="auto"/>
      </w:divBdr>
    </w:div>
    <w:div w:id="1249382966">
      <w:bodyDiv w:val="1"/>
      <w:marLeft w:val="0"/>
      <w:marRight w:val="0"/>
      <w:marTop w:val="0"/>
      <w:marBottom w:val="0"/>
      <w:divBdr>
        <w:top w:val="none" w:sz="0" w:space="0" w:color="auto"/>
        <w:left w:val="none" w:sz="0" w:space="0" w:color="auto"/>
        <w:bottom w:val="none" w:sz="0" w:space="0" w:color="auto"/>
        <w:right w:val="none" w:sz="0" w:space="0" w:color="auto"/>
      </w:divBdr>
    </w:div>
    <w:div w:id="1435828464">
      <w:bodyDiv w:val="1"/>
      <w:marLeft w:val="0"/>
      <w:marRight w:val="0"/>
      <w:marTop w:val="0"/>
      <w:marBottom w:val="0"/>
      <w:divBdr>
        <w:top w:val="none" w:sz="0" w:space="0" w:color="auto"/>
        <w:left w:val="none" w:sz="0" w:space="0" w:color="auto"/>
        <w:bottom w:val="none" w:sz="0" w:space="0" w:color="auto"/>
        <w:right w:val="none" w:sz="0" w:space="0" w:color="auto"/>
      </w:divBdr>
    </w:div>
    <w:div w:id="1449197605">
      <w:bodyDiv w:val="1"/>
      <w:marLeft w:val="0"/>
      <w:marRight w:val="0"/>
      <w:marTop w:val="0"/>
      <w:marBottom w:val="0"/>
      <w:divBdr>
        <w:top w:val="none" w:sz="0" w:space="0" w:color="auto"/>
        <w:left w:val="none" w:sz="0" w:space="0" w:color="auto"/>
        <w:bottom w:val="none" w:sz="0" w:space="0" w:color="auto"/>
        <w:right w:val="none" w:sz="0" w:space="0" w:color="auto"/>
      </w:divBdr>
      <w:divsChild>
        <w:div w:id="1638997413">
          <w:marLeft w:val="0"/>
          <w:marRight w:val="0"/>
          <w:marTop w:val="0"/>
          <w:marBottom w:val="0"/>
          <w:divBdr>
            <w:top w:val="none" w:sz="0" w:space="0" w:color="auto"/>
            <w:left w:val="none" w:sz="0" w:space="0" w:color="auto"/>
            <w:bottom w:val="none" w:sz="0" w:space="0" w:color="auto"/>
            <w:right w:val="none" w:sz="0" w:space="0" w:color="auto"/>
          </w:divBdr>
          <w:divsChild>
            <w:div w:id="1195967791">
              <w:marLeft w:val="-300"/>
              <w:marRight w:val="0"/>
              <w:marTop w:val="0"/>
              <w:marBottom w:val="270"/>
              <w:divBdr>
                <w:top w:val="none" w:sz="0" w:space="0" w:color="auto"/>
                <w:left w:val="none" w:sz="0" w:space="0" w:color="auto"/>
                <w:bottom w:val="none" w:sz="0" w:space="0" w:color="auto"/>
                <w:right w:val="none" w:sz="0" w:space="0" w:color="auto"/>
              </w:divBdr>
              <w:divsChild>
                <w:div w:id="1963266378">
                  <w:marLeft w:val="0"/>
                  <w:marRight w:val="0"/>
                  <w:marTop w:val="0"/>
                  <w:marBottom w:val="0"/>
                  <w:divBdr>
                    <w:top w:val="none" w:sz="0" w:space="0" w:color="auto"/>
                    <w:left w:val="none" w:sz="0" w:space="0" w:color="auto"/>
                    <w:bottom w:val="none" w:sz="0" w:space="0" w:color="auto"/>
                    <w:right w:val="none" w:sz="0" w:space="0" w:color="auto"/>
                  </w:divBdr>
                  <w:divsChild>
                    <w:div w:id="969550347">
                      <w:marLeft w:val="0"/>
                      <w:marRight w:val="0"/>
                      <w:marTop w:val="0"/>
                      <w:marBottom w:val="270"/>
                      <w:divBdr>
                        <w:top w:val="none" w:sz="0" w:space="0" w:color="auto"/>
                        <w:left w:val="none" w:sz="0" w:space="0" w:color="auto"/>
                        <w:bottom w:val="none" w:sz="0" w:space="0" w:color="auto"/>
                        <w:right w:val="none" w:sz="0" w:space="0" w:color="auto"/>
                      </w:divBdr>
                      <w:divsChild>
                        <w:div w:id="1118140803">
                          <w:marLeft w:val="0"/>
                          <w:marRight w:val="0"/>
                          <w:marTop w:val="0"/>
                          <w:marBottom w:val="0"/>
                          <w:divBdr>
                            <w:top w:val="none" w:sz="0" w:space="0" w:color="auto"/>
                            <w:left w:val="none" w:sz="0" w:space="0" w:color="auto"/>
                            <w:bottom w:val="none" w:sz="0" w:space="0" w:color="auto"/>
                            <w:right w:val="none" w:sz="0" w:space="0" w:color="auto"/>
                          </w:divBdr>
                          <w:divsChild>
                            <w:div w:id="2042395949">
                              <w:marLeft w:val="0"/>
                              <w:marRight w:val="0"/>
                              <w:marTop w:val="0"/>
                              <w:marBottom w:val="0"/>
                              <w:divBdr>
                                <w:top w:val="none" w:sz="0" w:space="0" w:color="auto"/>
                                <w:left w:val="none" w:sz="0" w:space="0" w:color="auto"/>
                                <w:bottom w:val="none" w:sz="0" w:space="0" w:color="auto"/>
                                <w:right w:val="none" w:sz="0" w:space="0" w:color="auto"/>
                              </w:divBdr>
                              <w:divsChild>
                                <w:div w:id="59836253">
                                  <w:marLeft w:val="0"/>
                                  <w:marRight w:val="0"/>
                                  <w:marTop w:val="0"/>
                                  <w:marBottom w:val="0"/>
                                  <w:divBdr>
                                    <w:top w:val="none" w:sz="0" w:space="0" w:color="auto"/>
                                    <w:left w:val="none" w:sz="0" w:space="0" w:color="auto"/>
                                    <w:bottom w:val="none" w:sz="0" w:space="0" w:color="auto"/>
                                    <w:right w:val="none" w:sz="0" w:space="0" w:color="auto"/>
                                  </w:divBdr>
                                  <w:divsChild>
                                    <w:div w:id="157007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0337983">
      <w:bodyDiv w:val="1"/>
      <w:marLeft w:val="0"/>
      <w:marRight w:val="0"/>
      <w:marTop w:val="0"/>
      <w:marBottom w:val="0"/>
      <w:divBdr>
        <w:top w:val="none" w:sz="0" w:space="0" w:color="auto"/>
        <w:left w:val="none" w:sz="0" w:space="0" w:color="auto"/>
        <w:bottom w:val="none" w:sz="0" w:space="0" w:color="auto"/>
        <w:right w:val="none" w:sz="0" w:space="0" w:color="auto"/>
      </w:divBdr>
      <w:divsChild>
        <w:div w:id="557279205">
          <w:marLeft w:val="0"/>
          <w:marRight w:val="0"/>
          <w:marTop w:val="0"/>
          <w:marBottom w:val="0"/>
          <w:divBdr>
            <w:top w:val="none" w:sz="0" w:space="0" w:color="auto"/>
            <w:left w:val="none" w:sz="0" w:space="0" w:color="auto"/>
            <w:bottom w:val="none" w:sz="0" w:space="0" w:color="auto"/>
            <w:right w:val="none" w:sz="0" w:space="0" w:color="auto"/>
          </w:divBdr>
          <w:divsChild>
            <w:div w:id="1843855925">
              <w:marLeft w:val="0"/>
              <w:marRight w:val="0"/>
              <w:marTop w:val="0"/>
              <w:marBottom w:val="0"/>
              <w:divBdr>
                <w:top w:val="none" w:sz="0" w:space="0" w:color="auto"/>
                <w:left w:val="none" w:sz="0" w:space="0" w:color="auto"/>
                <w:bottom w:val="none" w:sz="0" w:space="0" w:color="auto"/>
                <w:right w:val="none" w:sz="0" w:space="0" w:color="auto"/>
              </w:divBdr>
              <w:divsChild>
                <w:div w:id="335615287">
                  <w:marLeft w:val="0"/>
                  <w:marRight w:val="0"/>
                  <w:marTop w:val="0"/>
                  <w:marBottom w:val="0"/>
                  <w:divBdr>
                    <w:top w:val="none" w:sz="0" w:space="0" w:color="auto"/>
                    <w:left w:val="none" w:sz="0" w:space="0" w:color="auto"/>
                    <w:bottom w:val="none" w:sz="0" w:space="0" w:color="auto"/>
                    <w:right w:val="none" w:sz="0" w:space="0" w:color="auto"/>
                  </w:divBdr>
                  <w:divsChild>
                    <w:div w:id="125254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020335">
      <w:bodyDiv w:val="1"/>
      <w:marLeft w:val="0"/>
      <w:marRight w:val="0"/>
      <w:marTop w:val="0"/>
      <w:marBottom w:val="0"/>
      <w:divBdr>
        <w:top w:val="none" w:sz="0" w:space="0" w:color="auto"/>
        <w:left w:val="none" w:sz="0" w:space="0" w:color="auto"/>
        <w:bottom w:val="none" w:sz="0" w:space="0" w:color="auto"/>
        <w:right w:val="none" w:sz="0" w:space="0" w:color="auto"/>
      </w:divBdr>
    </w:div>
    <w:div w:id="1760590565">
      <w:bodyDiv w:val="1"/>
      <w:marLeft w:val="0"/>
      <w:marRight w:val="0"/>
      <w:marTop w:val="0"/>
      <w:marBottom w:val="0"/>
      <w:divBdr>
        <w:top w:val="none" w:sz="0" w:space="0" w:color="auto"/>
        <w:left w:val="none" w:sz="0" w:space="0" w:color="auto"/>
        <w:bottom w:val="none" w:sz="0" w:space="0" w:color="auto"/>
        <w:right w:val="none" w:sz="0" w:space="0" w:color="auto"/>
      </w:divBdr>
    </w:div>
    <w:div w:id="202809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emf"/><Relationship Id="rId28" Type="http://schemas.openxmlformats.org/officeDocument/2006/relationships/header" Target="header9.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emf"/><Relationship Id="rId27" Type="http://schemas.openxmlformats.org/officeDocument/2006/relationships/footer" Target="footer8.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sm.europa.eu" TargetMode="External"/><Relationship Id="rId2" Type="http://schemas.openxmlformats.org/officeDocument/2006/relationships/hyperlink" Target="file://C:\Users\stosklo\AppData\Local\AppData\Local\Microsoft\Windows\Temporary%20Internet%20Files\AppData\Local\Microsoft\Windows\Temporary%20Internet%20Files\skrynna\AppData\Local\Microsoft\Windows\skrynna\AppData\Local\Microsoft\Windows\Temporary%20Internet%20Files\sinesca\AppData\Local\Microsoft\Windows\Temporary%20Internet%20Files\skrynna\AppData\Local\Microsoft\Windows\Temporary%20Internet%20Files\skrynna\AppData\Local\Microsoft\Windows\steimpa\AppData\Local\Microsoft\Windows\Temporary%20Internet%20Files\Content.Outlook\ASMTF00S\About%20the%20EFSF" TargetMode="External"/><Relationship Id="rId1" Type="http://schemas.openxmlformats.org/officeDocument/2006/relationships/hyperlink" Target="http://eur-lex.europa.eu/homepage.html" TargetMode="External"/><Relationship Id="rId4" Type="http://schemas.openxmlformats.org/officeDocument/2006/relationships/hyperlink" Target="http://www.consilium.europa.eu/uedocs/cms_data/docs/pressdata/en/ecofin/1143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180C6-162E-4E1F-A8E7-18054AEDD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Pages>
  <Words>7531</Words>
  <Characters>38109</Characters>
  <Application>Microsoft Office Word</Application>
  <DocSecurity>0</DocSecurity>
  <Lines>977</Lines>
  <Paragraphs>616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45024</CharactersWithSpaces>
  <SharedDoc>false</SharedDoc>
  <HLinks>
    <vt:vector size="156" baseType="variant">
      <vt:variant>
        <vt:i4>1835064</vt:i4>
      </vt:variant>
      <vt:variant>
        <vt:i4>131</vt:i4>
      </vt:variant>
      <vt:variant>
        <vt:i4>0</vt:i4>
      </vt:variant>
      <vt:variant>
        <vt:i4>5</vt:i4>
      </vt:variant>
      <vt:variant>
        <vt:lpwstr/>
      </vt:variant>
      <vt:variant>
        <vt:lpwstr>_Toc485288193</vt:lpwstr>
      </vt:variant>
      <vt:variant>
        <vt:i4>1835064</vt:i4>
      </vt:variant>
      <vt:variant>
        <vt:i4>125</vt:i4>
      </vt:variant>
      <vt:variant>
        <vt:i4>0</vt:i4>
      </vt:variant>
      <vt:variant>
        <vt:i4>5</vt:i4>
      </vt:variant>
      <vt:variant>
        <vt:lpwstr/>
      </vt:variant>
      <vt:variant>
        <vt:lpwstr>_Toc485288192</vt:lpwstr>
      </vt:variant>
      <vt:variant>
        <vt:i4>1835064</vt:i4>
      </vt:variant>
      <vt:variant>
        <vt:i4>119</vt:i4>
      </vt:variant>
      <vt:variant>
        <vt:i4>0</vt:i4>
      </vt:variant>
      <vt:variant>
        <vt:i4>5</vt:i4>
      </vt:variant>
      <vt:variant>
        <vt:lpwstr/>
      </vt:variant>
      <vt:variant>
        <vt:lpwstr>_Toc485288191</vt:lpwstr>
      </vt:variant>
      <vt:variant>
        <vt:i4>1835064</vt:i4>
      </vt:variant>
      <vt:variant>
        <vt:i4>113</vt:i4>
      </vt:variant>
      <vt:variant>
        <vt:i4>0</vt:i4>
      </vt:variant>
      <vt:variant>
        <vt:i4>5</vt:i4>
      </vt:variant>
      <vt:variant>
        <vt:lpwstr/>
      </vt:variant>
      <vt:variant>
        <vt:lpwstr>_Toc485288190</vt:lpwstr>
      </vt:variant>
      <vt:variant>
        <vt:i4>1900600</vt:i4>
      </vt:variant>
      <vt:variant>
        <vt:i4>107</vt:i4>
      </vt:variant>
      <vt:variant>
        <vt:i4>0</vt:i4>
      </vt:variant>
      <vt:variant>
        <vt:i4>5</vt:i4>
      </vt:variant>
      <vt:variant>
        <vt:lpwstr/>
      </vt:variant>
      <vt:variant>
        <vt:lpwstr>_Toc485288189</vt:lpwstr>
      </vt:variant>
      <vt:variant>
        <vt:i4>1900600</vt:i4>
      </vt:variant>
      <vt:variant>
        <vt:i4>101</vt:i4>
      </vt:variant>
      <vt:variant>
        <vt:i4>0</vt:i4>
      </vt:variant>
      <vt:variant>
        <vt:i4>5</vt:i4>
      </vt:variant>
      <vt:variant>
        <vt:lpwstr/>
      </vt:variant>
      <vt:variant>
        <vt:lpwstr>_Toc485288188</vt:lpwstr>
      </vt:variant>
      <vt:variant>
        <vt:i4>1900600</vt:i4>
      </vt:variant>
      <vt:variant>
        <vt:i4>95</vt:i4>
      </vt:variant>
      <vt:variant>
        <vt:i4>0</vt:i4>
      </vt:variant>
      <vt:variant>
        <vt:i4>5</vt:i4>
      </vt:variant>
      <vt:variant>
        <vt:lpwstr/>
      </vt:variant>
      <vt:variant>
        <vt:lpwstr>_Toc485288187</vt:lpwstr>
      </vt:variant>
      <vt:variant>
        <vt:i4>1900600</vt:i4>
      </vt:variant>
      <vt:variant>
        <vt:i4>89</vt:i4>
      </vt:variant>
      <vt:variant>
        <vt:i4>0</vt:i4>
      </vt:variant>
      <vt:variant>
        <vt:i4>5</vt:i4>
      </vt:variant>
      <vt:variant>
        <vt:lpwstr/>
      </vt:variant>
      <vt:variant>
        <vt:lpwstr>_Toc485288186</vt:lpwstr>
      </vt:variant>
      <vt:variant>
        <vt:i4>1900600</vt:i4>
      </vt:variant>
      <vt:variant>
        <vt:i4>83</vt:i4>
      </vt:variant>
      <vt:variant>
        <vt:i4>0</vt:i4>
      </vt:variant>
      <vt:variant>
        <vt:i4>5</vt:i4>
      </vt:variant>
      <vt:variant>
        <vt:lpwstr/>
      </vt:variant>
      <vt:variant>
        <vt:lpwstr>_Toc485288185</vt:lpwstr>
      </vt:variant>
      <vt:variant>
        <vt:i4>1900600</vt:i4>
      </vt:variant>
      <vt:variant>
        <vt:i4>77</vt:i4>
      </vt:variant>
      <vt:variant>
        <vt:i4>0</vt:i4>
      </vt:variant>
      <vt:variant>
        <vt:i4>5</vt:i4>
      </vt:variant>
      <vt:variant>
        <vt:lpwstr/>
      </vt:variant>
      <vt:variant>
        <vt:lpwstr>_Toc485288184</vt:lpwstr>
      </vt:variant>
      <vt:variant>
        <vt:i4>1900600</vt:i4>
      </vt:variant>
      <vt:variant>
        <vt:i4>71</vt:i4>
      </vt:variant>
      <vt:variant>
        <vt:i4>0</vt:i4>
      </vt:variant>
      <vt:variant>
        <vt:i4>5</vt:i4>
      </vt:variant>
      <vt:variant>
        <vt:lpwstr/>
      </vt:variant>
      <vt:variant>
        <vt:lpwstr>_Toc485288183</vt:lpwstr>
      </vt:variant>
      <vt:variant>
        <vt:i4>1900600</vt:i4>
      </vt:variant>
      <vt:variant>
        <vt:i4>65</vt:i4>
      </vt:variant>
      <vt:variant>
        <vt:i4>0</vt:i4>
      </vt:variant>
      <vt:variant>
        <vt:i4>5</vt:i4>
      </vt:variant>
      <vt:variant>
        <vt:lpwstr/>
      </vt:variant>
      <vt:variant>
        <vt:lpwstr>_Toc485288182</vt:lpwstr>
      </vt:variant>
      <vt:variant>
        <vt:i4>1900600</vt:i4>
      </vt:variant>
      <vt:variant>
        <vt:i4>59</vt:i4>
      </vt:variant>
      <vt:variant>
        <vt:i4>0</vt:i4>
      </vt:variant>
      <vt:variant>
        <vt:i4>5</vt:i4>
      </vt:variant>
      <vt:variant>
        <vt:lpwstr/>
      </vt:variant>
      <vt:variant>
        <vt:lpwstr>_Toc485288181</vt:lpwstr>
      </vt:variant>
      <vt:variant>
        <vt:i4>1900600</vt:i4>
      </vt:variant>
      <vt:variant>
        <vt:i4>53</vt:i4>
      </vt:variant>
      <vt:variant>
        <vt:i4>0</vt:i4>
      </vt:variant>
      <vt:variant>
        <vt:i4>5</vt:i4>
      </vt:variant>
      <vt:variant>
        <vt:lpwstr/>
      </vt:variant>
      <vt:variant>
        <vt:lpwstr>_Toc485288180</vt:lpwstr>
      </vt:variant>
      <vt:variant>
        <vt:i4>1179704</vt:i4>
      </vt:variant>
      <vt:variant>
        <vt:i4>47</vt:i4>
      </vt:variant>
      <vt:variant>
        <vt:i4>0</vt:i4>
      </vt:variant>
      <vt:variant>
        <vt:i4>5</vt:i4>
      </vt:variant>
      <vt:variant>
        <vt:lpwstr/>
      </vt:variant>
      <vt:variant>
        <vt:lpwstr>_Toc485288179</vt:lpwstr>
      </vt:variant>
      <vt:variant>
        <vt:i4>1179704</vt:i4>
      </vt:variant>
      <vt:variant>
        <vt:i4>41</vt:i4>
      </vt:variant>
      <vt:variant>
        <vt:i4>0</vt:i4>
      </vt:variant>
      <vt:variant>
        <vt:i4>5</vt:i4>
      </vt:variant>
      <vt:variant>
        <vt:lpwstr/>
      </vt:variant>
      <vt:variant>
        <vt:lpwstr>_Toc485288178</vt:lpwstr>
      </vt:variant>
      <vt:variant>
        <vt:i4>1179704</vt:i4>
      </vt:variant>
      <vt:variant>
        <vt:i4>35</vt:i4>
      </vt:variant>
      <vt:variant>
        <vt:i4>0</vt:i4>
      </vt:variant>
      <vt:variant>
        <vt:i4>5</vt:i4>
      </vt:variant>
      <vt:variant>
        <vt:lpwstr/>
      </vt:variant>
      <vt:variant>
        <vt:lpwstr>_Toc485288177</vt:lpwstr>
      </vt:variant>
      <vt:variant>
        <vt:i4>1179704</vt:i4>
      </vt:variant>
      <vt:variant>
        <vt:i4>29</vt:i4>
      </vt:variant>
      <vt:variant>
        <vt:i4>0</vt:i4>
      </vt:variant>
      <vt:variant>
        <vt:i4>5</vt:i4>
      </vt:variant>
      <vt:variant>
        <vt:lpwstr/>
      </vt:variant>
      <vt:variant>
        <vt:lpwstr>_Toc485288176</vt:lpwstr>
      </vt:variant>
      <vt:variant>
        <vt:i4>1179704</vt:i4>
      </vt:variant>
      <vt:variant>
        <vt:i4>23</vt:i4>
      </vt:variant>
      <vt:variant>
        <vt:i4>0</vt:i4>
      </vt:variant>
      <vt:variant>
        <vt:i4>5</vt:i4>
      </vt:variant>
      <vt:variant>
        <vt:lpwstr/>
      </vt:variant>
      <vt:variant>
        <vt:lpwstr>_Toc485288175</vt:lpwstr>
      </vt:variant>
      <vt:variant>
        <vt:i4>1179704</vt:i4>
      </vt:variant>
      <vt:variant>
        <vt:i4>17</vt:i4>
      </vt:variant>
      <vt:variant>
        <vt:i4>0</vt:i4>
      </vt:variant>
      <vt:variant>
        <vt:i4>5</vt:i4>
      </vt:variant>
      <vt:variant>
        <vt:lpwstr/>
      </vt:variant>
      <vt:variant>
        <vt:lpwstr>_Toc485288174</vt:lpwstr>
      </vt:variant>
      <vt:variant>
        <vt:i4>1179704</vt:i4>
      </vt:variant>
      <vt:variant>
        <vt:i4>11</vt:i4>
      </vt:variant>
      <vt:variant>
        <vt:i4>0</vt:i4>
      </vt:variant>
      <vt:variant>
        <vt:i4>5</vt:i4>
      </vt:variant>
      <vt:variant>
        <vt:lpwstr/>
      </vt:variant>
      <vt:variant>
        <vt:lpwstr>_Toc485288173</vt:lpwstr>
      </vt:variant>
      <vt:variant>
        <vt:i4>1179704</vt:i4>
      </vt:variant>
      <vt:variant>
        <vt:i4>5</vt:i4>
      </vt:variant>
      <vt:variant>
        <vt:i4>0</vt:i4>
      </vt:variant>
      <vt:variant>
        <vt:i4>5</vt:i4>
      </vt:variant>
      <vt:variant>
        <vt:lpwstr/>
      </vt:variant>
      <vt:variant>
        <vt:lpwstr>_Toc485288172</vt:lpwstr>
      </vt:variant>
      <vt:variant>
        <vt:i4>786490</vt:i4>
      </vt:variant>
      <vt:variant>
        <vt:i4>9</vt:i4>
      </vt:variant>
      <vt:variant>
        <vt:i4>0</vt:i4>
      </vt:variant>
      <vt:variant>
        <vt:i4>5</vt:i4>
      </vt:variant>
      <vt:variant>
        <vt:lpwstr>http://www.consilium.europa.eu/uedocs/cms_data/docs/pressdata/en/ecofin/114324.pdf</vt:lpwstr>
      </vt:variant>
      <vt:variant>
        <vt:lpwstr/>
      </vt:variant>
      <vt:variant>
        <vt:i4>2031690</vt:i4>
      </vt:variant>
      <vt:variant>
        <vt:i4>6</vt:i4>
      </vt:variant>
      <vt:variant>
        <vt:i4>0</vt:i4>
      </vt:variant>
      <vt:variant>
        <vt:i4>5</vt:i4>
      </vt:variant>
      <vt:variant>
        <vt:lpwstr>http://esm.europa.eu/</vt:lpwstr>
      </vt:variant>
      <vt:variant>
        <vt:lpwstr/>
      </vt:variant>
      <vt:variant>
        <vt:i4>2883619</vt:i4>
      </vt:variant>
      <vt:variant>
        <vt:i4>3</vt:i4>
      </vt:variant>
      <vt:variant>
        <vt:i4>0</vt:i4>
      </vt:variant>
      <vt:variant>
        <vt:i4>5</vt:i4>
      </vt:variant>
      <vt:variant>
        <vt:lpwstr>../../AppData/Local/Microsoft/Windows/Temporary Internet Files/AppData/Local/Microsoft/Windows/Temporary Internet Files/skrynna/AppData/Local/Microsoft/Windows/skrynna/AppData/Local/Microsoft/Windows/Temporary Internet Files/sinesca/AppData/Local/Microsoft/Windows/Temporary Internet Files/skrynna/AppData/Local/Microsoft/Windows/Temporary Internet Files/skrynna/AppData/Local/Microsoft/Windows/steimpa/AppData/Local/Microsoft/Windows/Temporary Internet Files/Content.Outlook/ASMTF00S/About the EFSF</vt:lpwstr>
      </vt:variant>
      <vt:variant>
        <vt:lpwstr/>
      </vt:variant>
      <vt:variant>
        <vt:i4>3145760</vt:i4>
      </vt:variant>
      <vt:variant>
        <vt:i4>0</vt:i4>
      </vt:variant>
      <vt:variant>
        <vt:i4>0</vt:i4>
      </vt:variant>
      <vt:variant>
        <vt:i4>5</vt:i4>
      </vt:variant>
      <vt:variant>
        <vt:lpwstr>http://eur-lex.europa.eu/homepage.html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17</cp:revision>
  <cp:lastPrinted>2019-06-28T08:39:00Z</cp:lastPrinted>
  <dcterms:created xsi:type="dcterms:W3CDTF">2019-09-25T11:54:00Z</dcterms:created>
  <dcterms:modified xsi:type="dcterms:W3CDTF">2019-10-14T10:03:00Z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Created using">
    <vt:lpwstr>LW 6.0.1, Build 20180503</vt:lpwstr>
  </property>
  <property fmtid="{D5CDD505-2E9C-101B-9397-08002B2CF9AE}" pid="8" name="CPTemplateID">
    <vt:lpwstr>CP-006</vt:lpwstr>
  </property>
</Properties>
</file>