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CA8EA56-F87B-4885-B64B-44E2DC58E728" style="width:455.25pt;height:40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134" w:bottom="1134" w:left="1134" w:header="567" w:footer="567" w:gutter="0"/>
          <w:pgNumType w:start="0"/>
          <w:cols w:space="720"/>
          <w:docGrid w:linePitch="326"/>
        </w:sectPr>
      </w:pPr>
    </w:p>
    <w:p>
      <w:pPr>
        <w:pStyle w:val="Annexetitre"/>
        <w:rPr>
          <w:noProof/>
        </w:rPr>
      </w:pPr>
      <w:bookmarkStart w:id="0" w:name="_GoBack"/>
      <w:bookmarkEnd w:id="0"/>
      <w:r>
        <w:rPr>
          <w:noProof/>
        </w:rPr>
        <w:lastRenderedPageBreak/>
        <w:t>ANNEXE II A</w:t>
      </w:r>
    </w:p>
    <w:p>
      <w:pPr>
        <w:pStyle w:val="NormalCentered"/>
        <w:rPr>
          <w:noProof/>
        </w:rPr>
      </w:pPr>
      <w:r>
        <w:rPr>
          <w:noProof/>
        </w:rPr>
        <w:t>EFFORT DE PÊCHE APPLICABLE AUX NAVIRES DANS LE CADRE</w:t>
      </w:r>
      <w:r>
        <w:rPr>
          <w:noProof/>
        </w:rPr>
        <w:br/>
        <w:t>DE LA GESTION DES STOCKS DE SOLE DE LA MANCHE</w:t>
      </w:r>
      <w:r>
        <w:rPr>
          <w:noProof/>
        </w:rPr>
        <w:br/>
        <w:t>OCCIDENTALE DANS LA DIVISION CIEM 7e</w:t>
      </w:r>
      <w:r>
        <w:rPr>
          <w:noProof/>
        </w:rPr>
        <w:cr/>
      </w:r>
      <w:r>
        <w:rPr>
          <w:noProof/>
        </w:rPr>
        <w:br/>
      </w:r>
    </w:p>
    <w:p>
      <w:pPr>
        <w:pStyle w:val="ChapterTitle"/>
        <w:rPr>
          <w:noProof/>
        </w:rPr>
      </w:pPr>
      <w:r>
        <w:rPr>
          <w:noProof/>
        </w:rPr>
        <w:t>Chapitre I</w:t>
      </w:r>
      <w:r>
        <w:rPr>
          <w:noProof/>
        </w:rPr>
        <w:br/>
        <w:t>Dispositions générales</w:t>
      </w:r>
    </w:p>
    <w:p>
      <w:pPr>
        <w:pStyle w:val="Point0"/>
        <w:rPr>
          <w:noProof/>
        </w:rPr>
      </w:pPr>
      <w:r>
        <w:rPr>
          <w:noProof/>
        </w:rPr>
        <w:t>1.</w:t>
      </w:r>
      <w:r>
        <w:rPr>
          <w:noProof/>
        </w:rPr>
        <w:tab/>
        <w:t>CHAMP D'APPLICATION</w:t>
      </w:r>
    </w:p>
    <w:p>
      <w:pPr>
        <w:pStyle w:val="Point0"/>
        <w:rPr>
          <w:noProof/>
        </w:rPr>
      </w:pPr>
      <w:r>
        <w:rPr>
          <w:noProof/>
        </w:rPr>
        <w:t>1.1.</w:t>
      </w:r>
      <w:r>
        <w:rPr>
          <w:noProof/>
        </w:rPr>
        <w:tab/>
        <w:t>La présente annexe s'applique aux navires de pêche de l'Union d'une longueur hors tout supérieure ou égale à 10 mètres, détenant à bord ou déployant des chaluts à perche d'un maillage supérieur ou égal à 80 mm et des filets fixes, y compris des filets maillants, des trémails et des filets emmêlants, d'un maillage inférieur ou égal à 220 mm conformément au règlement (CE) nº 509/2007, et présents dans la division CIEM 7e.</w:t>
      </w:r>
    </w:p>
    <w:p>
      <w:pPr>
        <w:pStyle w:val="Point0"/>
        <w:rPr>
          <w:noProof/>
        </w:rPr>
      </w:pPr>
      <w:r>
        <w:rPr>
          <w:noProof/>
        </w:rPr>
        <w:t>1.2.</w:t>
      </w:r>
      <w:r>
        <w:rPr>
          <w:noProof/>
        </w:rPr>
        <w:tab/>
        <w:t>Les navires pêchant au moyen de filets fixes d'un maillage supérieur ou égal à 120 mm, et ayant un historique des captures de moins de 300 kg de sole en poids vif par an pour les trois années précédentes d'après leur historique de pêche, sont exemptés de l'application de la présente annexe, à condition que:</w:t>
      </w:r>
    </w:p>
    <w:p>
      <w:pPr>
        <w:pStyle w:val="Point1"/>
        <w:rPr>
          <w:noProof/>
        </w:rPr>
      </w:pPr>
      <w:r>
        <w:rPr>
          <w:noProof/>
        </w:rPr>
        <w:t>(a)</w:t>
      </w:r>
      <w:r>
        <w:rPr>
          <w:noProof/>
        </w:rPr>
        <w:tab/>
        <w:t>ces navires pêchent moins de 300 kg de sole en poids vif au cours de la période de gestion 2018;</w:t>
      </w:r>
    </w:p>
    <w:p>
      <w:pPr>
        <w:pStyle w:val="Point1"/>
        <w:rPr>
          <w:noProof/>
        </w:rPr>
      </w:pPr>
      <w:r>
        <w:rPr>
          <w:noProof/>
        </w:rPr>
        <w:t>(b)</w:t>
      </w:r>
      <w:r>
        <w:rPr>
          <w:noProof/>
        </w:rPr>
        <w:tab/>
        <w:t>ces navires ne transbordent aucun poisson sur un autre navire pendant qu'ils sont en mer;</w:t>
      </w:r>
    </w:p>
    <w:p>
      <w:pPr>
        <w:pStyle w:val="Point1"/>
        <w:rPr>
          <w:noProof/>
        </w:rPr>
      </w:pPr>
      <w:r>
        <w:rPr>
          <w:noProof/>
        </w:rPr>
        <w:t>(c)</w:t>
      </w:r>
      <w:r>
        <w:rPr>
          <w:noProof/>
        </w:rPr>
        <w:tab/>
        <w:t>au plus tard le 31 juillet 2020 et le 31 janvier 2021, chaque État membre concerné fasse rapport à la Commission sur l'historique des captures de sole de ces navires pour les trois années précédentes ainsi que sur les captures de sole effectuées par ces navires en 2020.</w:t>
      </w:r>
    </w:p>
    <w:p>
      <w:pPr>
        <w:pStyle w:val="Text1"/>
        <w:rPr>
          <w:noProof/>
        </w:rPr>
      </w:pPr>
      <w:r>
        <w:rPr>
          <w:noProof/>
        </w:rPr>
        <w:t>Lorsqu'une de ces conditions n'est pas remplie, les navires concernés cessent d'être exemptés de l'application de la présente annexe, avec effet immédiat.</w:t>
      </w:r>
    </w:p>
    <w:p>
      <w:pPr>
        <w:pStyle w:val="Point0"/>
        <w:rPr>
          <w:noProof/>
        </w:rPr>
      </w:pPr>
      <w:r>
        <w:rPr>
          <w:noProof/>
        </w:rPr>
        <w:t>2.</w:t>
      </w:r>
      <w:r>
        <w:rPr>
          <w:noProof/>
        </w:rPr>
        <w:tab/>
        <w:t>DÉFINITIONS</w:t>
      </w:r>
    </w:p>
    <w:p>
      <w:pPr>
        <w:pStyle w:val="Text1"/>
        <w:rPr>
          <w:noProof/>
        </w:rPr>
      </w:pPr>
      <w:r>
        <w:rPr>
          <w:noProof/>
        </w:rPr>
        <w:t>Aux fins de la présente annexe, on entend par:</w:t>
      </w:r>
    </w:p>
    <w:p>
      <w:pPr>
        <w:pStyle w:val="Point1"/>
        <w:rPr>
          <w:noProof/>
        </w:rPr>
      </w:pPr>
      <w:r>
        <w:rPr>
          <w:noProof/>
        </w:rPr>
        <w:t>(a)</w:t>
      </w:r>
      <w:r>
        <w:rPr>
          <w:noProof/>
        </w:rPr>
        <w:tab/>
        <w:t>«groupe d'engins»: l'ensemble constitué des deux catégories d'engins suivantes:</w:t>
      </w:r>
    </w:p>
    <w:p>
      <w:pPr>
        <w:pStyle w:val="Point2"/>
        <w:rPr>
          <w:noProof/>
        </w:rPr>
      </w:pPr>
      <w:r>
        <w:rPr>
          <w:noProof/>
        </w:rPr>
        <w:t>(i)</w:t>
      </w:r>
      <w:r>
        <w:rPr>
          <w:noProof/>
        </w:rPr>
        <w:tab/>
        <w:t>les chaluts à perche d'un maillage supérieur ou égal à 80 mm, et</w:t>
      </w:r>
    </w:p>
    <w:p>
      <w:pPr>
        <w:pStyle w:val="Point2"/>
        <w:rPr>
          <w:noProof/>
        </w:rPr>
      </w:pPr>
      <w:r>
        <w:rPr>
          <w:noProof/>
        </w:rPr>
        <w:t>(ii)</w:t>
      </w:r>
      <w:r>
        <w:rPr>
          <w:noProof/>
        </w:rPr>
        <w:tab/>
        <w:t>les filets fixes, y compris les filets maillants, les trémails et les filets emmêlants, d'un maillage inférieur ou égal à 220 mm;</w:t>
      </w:r>
    </w:p>
    <w:p>
      <w:pPr>
        <w:pStyle w:val="Point1"/>
        <w:rPr>
          <w:noProof/>
        </w:rPr>
      </w:pPr>
      <w:r>
        <w:rPr>
          <w:noProof/>
        </w:rPr>
        <w:t>(b)</w:t>
      </w:r>
      <w:r>
        <w:rPr>
          <w:noProof/>
        </w:rPr>
        <w:tab/>
        <w:t>«engin réglementé»: tout engin des deux catégories relevant du groupe d'engins;</w:t>
      </w:r>
    </w:p>
    <w:p>
      <w:pPr>
        <w:pStyle w:val="Point1"/>
        <w:rPr>
          <w:noProof/>
        </w:rPr>
      </w:pPr>
      <w:r>
        <w:rPr>
          <w:noProof/>
        </w:rPr>
        <w:t>(c)</w:t>
      </w:r>
      <w:r>
        <w:rPr>
          <w:noProof/>
        </w:rPr>
        <w:tab/>
        <w:t>«zone»: la division CIEM 7e;</w:t>
      </w:r>
    </w:p>
    <w:p>
      <w:pPr>
        <w:pStyle w:val="Point1"/>
        <w:rPr>
          <w:noProof/>
        </w:rPr>
      </w:pPr>
      <w:r>
        <w:rPr>
          <w:noProof/>
        </w:rPr>
        <w:t>(d)</w:t>
      </w:r>
      <w:r>
        <w:rPr>
          <w:noProof/>
        </w:rPr>
        <w:tab/>
        <w:t>«période de gestion en cours»: la période allant du 1</w:t>
      </w:r>
      <w:r>
        <w:rPr>
          <w:noProof/>
          <w:vertAlign w:val="superscript"/>
        </w:rPr>
        <w:t>er</w:t>
      </w:r>
      <w:r>
        <w:rPr>
          <w:noProof/>
        </w:rPr>
        <w:t> février 2020 au 31 janvier 2021.</w:t>
      </w:r>
    </w:p>
    <w:p>
      <w:pPr>
        <w:pStyle w:val="Point0"/>
        <w:rPr>
          <w:noProof/>
        </w:rPr>
      </w:pPr>
      <w:r>
        <w:rPr>
          <w:noProof/>
        </w:rPr>
        <w:t>3.</w:t>
      </w:r>
      <w:r>
        <w:rPr>
          <w:noProof/>
        </w:rPr>
        <w:tab/>
        <w:t>LIMITATIONS DE L'ACTIVITÉ</w:t>
      </w:r>
    </w:p>
    <w:p>
      <w:pPr>
        <w:pStyle w:val="Text1"/>
        <w:rPr>
          <w:noProof/>
        </w:rPr>
      </w:pPr>
      <w:r>
        <w:rPr>
          <w:noProof/>
        </w:rPr>
        <w:t>Sans préjudice de l'article 29 du règlement (CE) nº 1224/2009, chaque État membre veille à ce que, lorsqu'ils détiennent à bord un engin réglementé, les navires de pêche de l'Union battant son pavillon et immatriculés dans l'Union ne soient présents dans la zone que pendant un nombre de jours inférieur ou égal à celui qui est indiqué au chapitre III de la présente annexe.</w:t>
      </w:r>
    </w:p>
    <w:p>
      <w:pPr>
        <w:pStyle w:val="ChapterTitle"/>
        <w:rPr>
          <w:noProof/>
        </w:rPr>
      </w:pPr>
      <w:r>
        <w:rPr>
          <w:noProof/>
        </w:rPr>
        <w:t>Chapitre II</w:t>
      </w:r>
      <w:r>
        <w:rPr>
          <w:noProof/>
        </w:rPr>
        <w:br/>
        <w:t>Autorisations</w:t>
      </w:r>
    </w:p>
    <w:p>
      <w:pPr>
        <w:pStyle w:val="Point0"/>
        <w:rPr>
          <w:noProof/>
        </w:rPr>
      </w:pPr>
      <w:r>
        <w:rPr>
          <w:noProof/>
        </w:rPr>
        <w:t>4.</w:t>
      </w:r>
      <w:r>
        <w:rPr>
          <w:noProof/>
        </w:rPr>
        <w:tab/>
        <w:t>NAVIRES AUTORISÉS</w:t>
      </w:r>
    </w:p>
    <w:p>
      <w:pPr>
        <w:pStyle w:val="Point0"/>
        <w:rPr>
          <w:noProof/>
        </w:rPr>
      </w:pPr>
      <w:r>
        <w:rPr>
          <w:noProof/>
        </w:rPr>
        <w:t>4.1</w:t>
      </w:r>
      <w:r>
        <w:rPr>
          <w:noProof/>
        </w:rPr>
        <w:tab/>
        <w:t>Les États membres interdisent la pêche au moyen de tout engin réglementé dans la zone à tous les navires battant leur pavillon qui n'ont pas pratiqué une telle activité de pêche dans la zone au cours de la période allant de 2002 à 2018, à l'exclusion des activités de pêche résultant d'un transfert de jours entre navires de pêche, à moins qu'ils ne veillent à interdire toute pêche dans la zone à un ou plusieurs navires de pêche d'une capacité globale équivalente, mesurée en kilowatts.</w:t>
      </w:r>
    </w:p>
    <w:p>
      <w:pPr>
        <w:pStyle w:val="Point0"/>
        <w:rPr>
          <w:noProof/>
        </w:rPr>
      </w:pPr>
      <w:r>
        <w:rPr>
          <w:noProof/>
        </w:rPr>
        <w:t>4.2</w:t>
      </w:r>
      <w:r>
        <w:rPr>
          <w:noProof/>
        </w:rPr>
        <w:tab/>
        <w:t>Toutefois, un navire ayant un historique d'utilisation d'un engin réglementé peut être autorisé à utiliser un engin de pêche différent, pour autant que le nombre de jours accordé à ce dernier engin soit supérieur ou égal au nombre de jours accordé à l'engin réglementé.</w:t>
      </w:r>
    </w:p>
    <w:p>
      <w:pPr>
        <w:pStyle w:val="Point0"/>
        <w:rPr>
          <w:noProof/>
        </w:rPr>
      </w:pPr>
      <w:r>
        <w:rPr>
          <w:noProof/>
        </w:rPr>
        <w:t>4.3</w:t>
      </w:r>
      <w:r>
        <w:rPr>
          <w:noProof/>
        </w:rPr>
        <w:tab/>
        <w:t>Il est interdit à tout navire battant pavillon d'un État membre qui ne dispose pas de quota dans la zone de pêcher dans cette zone au moyen d'un engin réglementé, à moins qu'un quota ne lui ait été attribué à la suite d'un transfert autorisé conformément à l'article 16, paragraphe 8, du règlement (UE) nº 1380/2013 et que des jours de présence en mer ne lui aient été attribués conformément au point 10 ou 11 de la présente annexe.</w:t>
      </w:r>
    </w:p>
    <w:p>
      <w:pPr>
        <w:pStyle w:val="ChapterTitle"/>
        <w:rPr>
          <w:noProof/>
        </w:rPr>
      </w:pPr>
      <w:r>
        <w:rPr>
          <w:noProof/>
        </w:rPr>
        <w:t>Chapitre III</w:t>
      </w:r>
      <w:r>
        <w:rPr>
          <w:noProof/>
        </w:rPr>
        <w:br/>
        <w:t>Nombre de jours de présence dans la zone attribués aux navires de pêche de l'Union</w:t>
      </w:r>
    </w:p>
    <w:p>
      <w:pPr>
        <w:pStyle w:val="Point0"/>
        <w:rPr>
          <w:noProof/>
        </w:rPr>
      </w:pPr>
      <w:r>
        <w:rPr>
          <w:noProof/>
        </w:rPr>
        <w:t>5.</w:t>
      </w:r>
      <w:r>
        <w:rPr>
          <w:noProof/>
        </w:rPr>
        <w:tab/>
        <w:t>NOMBRE MAXIMAL DE JOURS</w:t>
      </w:r>
    </w:p>
    <w:p>
      <w:pPr>
        <w:pStyle w:val="Text1"/>
        <w:rPr>
          <w:noProof/>
        </w:rPr>
      </w:pPr>
      <w:r>
        <w:rPr>
          <w:noProof/>
        </w:rPr>
        <w:t>Au cours de la période de gestion en cours, le nombre maximal de jours en mer pendant lesquels un État membre peut autoriser un navire battant son pavillon à être présent dans la zone tout en transportant à bord un engin réglementé est indiqué dans le tableau I.</w:t>
      </w:r>
    </w:p>
    <w:p>
      <w:pPr>
        <w:pStyle w:val="NormalCentered"/>
        <w:rPr>
          <w:noProof/>
        </w:rPr>
      </w:pPr>
      <w:r>
        <w:rPr>
          <w:noProof/>
        </w:rPr>
        <w:t>Tableau I</w:t>
      </w:r>
      <w:r>
        <w:rPr>
          <w:noProof/>
        </w:rPr>
        <w:br/>
        <w:t xml:space="preserve">Nombre maximal de jours pendant lesquels un navire peut être présent dans la zone, </w:t>
      </w:r>
      <w:r>
        <w:rPr>
          <w:noProof/>
        </w:rPr>
        <w:br/>
        <w:t>par engin de pêche réglementé et par an</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Engin réglementé</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Nombre maximal de jours</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Chaluts à perche d'un maillage ≥ 80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Belgique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France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Royaume-Uni</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Filets fixes d'un maillage ≤ 220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Belgique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France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Royaume-Uni</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bl>
    <w:p>
      <w:pPr>
        <w:rPr>
          <w:noProof/>
        </w:rPr>
      </w:pPr>
    </w:p>
    <w:p>
      <w:pPr>
        <w:pStyle w:val="Point0"/>
        <w:rPr>
          <w:noProof/>
        </w:rPr>
      </w:pPr>
      <w:r>
        <w:rPr>
          <w:noProof/>
        </w:rPr>
        <w:t>6.</w:t>
      </w:r>
      <w:r>
        <w:rPr>
          <w:noProof/>
        </w:rPr>
        <w:tab/>
        <w:t>SYSTÈME DE KILOWATTS-JOURS</w:t>
      </w:r>
    </w:p>
    <w:p>
      <w:pPr>
        <w:pStyle w:val="Point0"/>
        <w:rPr>
          <w:noProof/>
        </w:rPr>
      </w:pPr>
      <w:r>
        <w:rPr>
          <w:noProof/>
        </w:rPr>
        <w:t>6.1.</w:t>
      </w:r>
      <w:r>
        <w:rPr>
          <w:noProof/>
        </w:rPr>
        <w:tab/>
        <w:t>Au cours de la période de gestion en cours, tout État membre peut gérer l'effort de pêche qui lui a été attribué selon un système de kilowatts-jours. Grâce à ce système, il peut autoriser tout navire concerné, pour tout engin réglementé figurant dans le tableau I, à être présent dans la zone pendant un nombre maximal de jours différent de celui qui est indiqué dans ledit tableau, pour autant que soit respecté le nombre total de kilowatts-jours correspondant à l'engin réglementé.</w:t>
      </w:r>
    </w:p>
    <w:p>
      <w:pPr>
        <w:pStyle w:val="Point0"/>
        <w:rPr>
          <w:noProof/>
        </w:rPr>
      </w:pPr>
      <w:r>
        <w:rPr>
          <w:noProof/>
        </w:rPr>
        <w:t>6.2.</w:t>
      </w:r>
      <w:r>
        <w:rPr>
          <w:noProof/>
        </w:rPr>
        <w:tab/>
        <w:t>Ce nombre total de kilowatts-jours équivaut à la somme de tous les efforts de pêche attribués aux navires battant le pavillon de cet État membre et remplissant les exigences correspondant à l'engin réglementé. Ces efforts de pêche individuels sont calculés en kilowatts-jours en multipliant la puissance motrice de chaque navire par le nombre de jours en mer qui lui seraient attribués, conformément au tableau I, si le point 6.1 n'était pas appliqué.</w:t>
      </w:r>
    </w:p>
    <w:p>
      <w:pPr>
        <w:pStyle w:val="Point0"/>
        <w:rPr>
          <w:noProof/>
        </w:rPr>
      </w:pPr>
      <w:r>
        <w:rPr>
          <w:noProof/>
        </w:rPr>
        <w:t>6.3.</w:t>
      </w:r>
      <w:r>
        <w:rPr>
          <w:noProof/>
        </w:rPr>
        <w:tab/>
        <w:t>Tout État membre souhaitant bénéficier du système visé au point 6.1 adresse à la Commission une demande accompagnée de rapports sous format électronique détaillant, pour l'engin réglementé figurant dans le tableau I, les calculs réalisés en se fondant sur:</w:t>
      </w:r>
    </w:p>
    <w:p>
      <w:pPr>
        <w:pStyle w:val="Point1"/>
        <w:rPr>
          <w:noProof/>
        </w:rPr>
      </w:pPr>
      <w:r>
        <w:rPr>
          <w:noProof/>
        </w:rPr>
        <w:t>(a)</w:t>
      </w:r>
      <w:r>
        <w:rPr>
          <w:noProof/>
        </w:rPr>
        <w:tab/>
        <w:t>la liste des navires autorisés à pêcher, en précisant leur numéro dans le fichier de la flotte de pêche de l'Union et leur puissance motrice;</w:t>
      </w:r>
    </w:p>
    <w:p>
      <w:pPr>
        <w:pStyle w:val="Point1"/>
        <w:rPr>
          <w:noProof/>
        </w:rPr>
      </w:pPr>
      <w:r>
        <w:rPr>
          <w:noProof/>
        </w:rPr>
        <w:t>(b)</w:t>
      </w:r>
      <w:r>
        <w:rPr>
          <w:noProof/>
        </w:rPr>
        <w:tab/>
        <w:t>le nombre de jours en mer pendant lesquels chaque navire aurait été initialement autorisé à pêcher conformément au tableau I, ainsi que le nombre de jours en mer dont bénéficierait chaque navire si le point 6.1 était appliqué.</w:t>
      </w:r>
    </w:p>
    <w:p>
      <w:pPr>
        <w:pStyle w:val="Point0"/>
        <w:rPr>
          <w:noProof/>
        </w:rPr>
      </w:pPr>
      <w:r>
        <w:rPr>
          <w:noProof/>
        </w:rPr>
        <w:t>6.4.</w:t>
      </w:r>
      <w:r>
        <w:rPr>
          <w:noProof/>
        </w:rPr>
        <w:tab/>
        <w:t>Sur la base de cette demande, la Commission évalue si les conditions visées au point 6 sont respectées et, lorsqu'il y a lieu, peut autoriser cet État membre à bénéficier du système visé au point 6.1.</w:t>
      </w:r>
    </w:p>
    <w:p>
      <w:pPr>
        <w:pStyle w:val="Point0"/>
        <w:rPr>
          <w:noProof/>
        </w:rPr>
      </w:pPr>
      <w:r>
        <w:rPr>
          <w:noProof/>
        </w:rPr>
        <w:t>7.</w:t>
      </w:r>
      <w:r>
        <w:rPr>
          <w:noProof/>
        </w:rPr>
        <w:tab/>
        <w:t>ATTRIBUTION DE JOURS SUPPLÉMENTAIRES POUR ARRÊT DÉFINITIF DES ACTIVITÉS DE PÊCHE</w:t>
      </w:r>
    </w:p>
    <w:p>
      <w:pPr>
        <w:pStyle w:val="Point0"/>
        <w:rPr>
          <w:noProof/>
        </w:rPr>
      </w:pPr>
      <w:r>
        <w:rPr>
          <w:noProof/>
        </w:rPr>
        <w:t>7.1.</w:t>
      </w:r>
      <w:r>
        <w:rPr>
          <w:noProof/>
        </w:rPr>
        <w:tab/>
        <w:t>Un nombre supplémentaire de jours pendant lesquels un navire peut être autorisé par son État membre de pavillon à être présent dans la zone tout en détenant à bord un engin de pêche réglementé peut être attribué aux États membres par la Commission sur la base des arrêts définitifs des activités de pêche qui sont intervenus au cours de la période de gestion précédente, que ce soit au titre de l'article 23 du règlement (CE) nº 1198/2006 ou du règlement (CE) nº 744/2008. Les arrêts définitifs en raison de toute autre circonstance peuvent être évalués par la Commission au cas par cas, à la suite d'une demande écrite et dûment motivée présentée par l'État membre concerné. Une telle demande écrite indique les navires concernés et confirme, pour chacun d'entre eux, qu'ils ne reprendront jamais d'activités de pêche.</w:t>
      </w:r>
    </w:p>
    <w:p>
      <w:pPr>
        <w:pStyle w:val="Point0"/>
        <w:rPr>
          <w:noProof/>
        </w:rPr>
      </w:pPr>
      <w:r>
        <w:rPr>
          <w:noProof/>
        </w:rPr>
        <w:t>7.2.</w:t>
      </w:r>
      <w:r>
        <w:rPr>
          <w:noProof/>
        </w:rPr>
        <w:tab/>
        <w:t>L'effort de pêche déployé en 2003, mesuré en kilowatts-jours, des navires retirés utilisant un groupe d'engins donné est divisé par l'effort déployé par tous les navires utilisant ce groupe d'engins en 2003. Le nombre supplémentaire de jours en mer est alors calculé comme le produit du résultat ainsi obtenu et du nombre de jours qui aurait été attribué conformément au tableau I. Toute fraction de journée résultant de ce calcul est arrondie au nombre entier de jours le plus proche.</w:t>
      </w:r>
    </w:p>
    <w:p>
      <w:pPr>
        <w:pStyle w:val="Point0"/>
        <w:rPr>
          <w:noProof/>
        </w:rPr>
      </w:pPr>
      <w:r>
        <w:rPr>
          <w:noProof/>
        </w:rPr>
        <w:t>7.3.</w:t>
      </w:r>
      <w:r>
        <w:rPr>
          <w:noProof/>
        </w:rPr>
        <w:tab/>
        <w:t>Les points 7.1 et 7.2 ne s'appliquent pas lorsqu'un navire a été remplacé conformément au point 4.2, ou lorsque le retrait a déjà été utilisé au cours des années précédentes en vue d'obtenir un nombre supplémentaire de jours en mer.</w:t>
      </w:r>
    </w:p>
    <w:p>
      <w:pPr>
        <w:pStyle w:val="Point0"/>
        <w:rPr>
          <w:noProof/>
        </w:rPr>
      </w:pPr>
      <w:r>
        <w:rPr>
          <w:noProof/>
        </w:rPr>
        <w:t>7.4.</w:t>
      </w:r>
      <w:r>
        <w:rPr>
          <w:noProof/>
        </w:rPr>
        <w:tab/>
        <w:t>L'État membre souhaitant bénéficier de la possibilité d'attribution de jours visée au point 7.1 adresse à la Commission, au plus tard le 15 juin de la période de gestion en cours, une demande accompagnée de rapports sous format électronique détaillant, pour le groupe d'engins de pêche établi au tableau I, les calculs réalisés en se fondant sur:</w:t>
      </w:r>
    </w:p>
    <w:p>
      <w:pPr>
        <w:pStyle w:val="Point1"/>
        <w:rPr>
          <w:noProof/>
        </w:rPr>
      </w:pPr>
      <w:r>
        <w:rPr>
          <w:noProof/>
        </w:rPr>
        <w:t>(a)</w:t>
      </w:r>
      <w:r>
        <w:rPr>
          <w:noProof/>
        </w:rPr>
        <w:tab/>
        <w:t>la liste des navires retirés, en précisant leur numéro dans le fichier de la flotte de pêche de l'Union et leur puissance motrice;</w:t>
      </w:r>
    </w:p>
    <w:p>
      <w:pPr>
        <w:pStyle w:val="Point1"/>
        <w:rPr>
          <w:noProof/>
        </w:rPr>
      </w:pPr>
      <w:r>
        <w:rPr>
          <w:noProof/>
        </w:rPr>
        <w:t>(b)</w:t>
      </w:r>
      <w:r>
        <w:rPr>
          <w:noProof/>
        </w:rPr>
        <w:tab/>
        <w:t>l'activité de pêche exercée par ces navires en 2003, calculée en jours de présence en mer par groupe d'engins de pêche.</w:t>
      </w:r>
    </w:p>
    <w:p>
      <w:pPr>
        <w:pStyle w:val="Point0"/>
        <w:rPr>
          <w:noProof/>
        </w:rPr>
      </w:pPr>
      <w:r>
        <w:rPr>
          <w:noProof/>
        </w:rPr>
        <w:t>7.5.</w:t>
      </w:r>
      <w:r>
        <w:rPr>
          <w:noProof/>
        </w:rPr>
        <w:tab/>
        <w:t>Au cours de la période de gestion en cours, un État membre peut réattribuer des jours en mer supplémentaires à l'ensemble ou à une partie des navires restant dans la flotte et remplissant les exigences correspondant aux engins réglementés.</w:t>
      </w:r>
    </w:p>
    <w:p>
      <w:pPr>
        <w:pStyle w:val="Point0"/>
        <w:rPr>
          <w:noProof/>
        </w:rPr>
      </w:pPr>
      <w:r>
        <w:rPr>
          <w:noProof/>
        </w:rPr>
        <w:t>7.6.</w:t>
      </w:r>
      <w:r>
        <w:rPr>
          <w:noProof/>
        </w:rPr>
        <w:tab/>
        <w:t>Lorsque la Commission attribue des jours en mer supplémentaires en raison d'un arrêt définitif des activités de pêche au cours de la période de gestion précédente, le nombre maximal de jours en mer par État membre et par engin indiqué au tableau I est ajusté en conséquence pour la période de gestion en cours.</w:t>
      </w:r>
    </w:p>
    <w:p>
      <w:pPr>
        <w:pStyle w:val="Point0"/>
        <w:rPr>
          <w:noProof/>
        </w:rPr>
      </w:pPr>
      <w:r>
        <w:rPr>
          <w:noProof/>
        </w:rPr>
        <w:t>8.</w:t>
      </w:r>
      <w:r>
        <w:rPr>
          <w:noProof/>
        </w:rPr>
        <w:tab/>
        <w:t>ATTRIBUTION DE JOURS SUPPLÉMENTAIRES POUR ACCROISSEMENT DU NIVEAU DE PRÉSENCE DES OBSERVATEURS SCIENTIFIQUES</w:t>
      </w:r>
    </w:p>
    <w:p>
      <w:pPr>
        <w:pStyle w:val="Point0"/>
        <w:rPr>
          <w:noProof/>
        </w:rPr>
      </w:pPr>
      <w:r>
        <w:rPr>
          <w:noProof/>
        </w:rPr>
        <w:t>8.1.</w:t>
      </w:r>
      <w:r>
        <w:rPr>
          <w:noProof/>
        </w:rPr>
        <w:tab/>
        <w:t>Trois jours supplémentaires pendant lesquels un navire peut être présent dans la zone tout en transportant à son bord un engin réglementé peuvent être attribués aux États membres par la Commission entre le 1</w:t>
      </w:r>
      <w:r>
        <w:rPr>
          <w:noProof/>
          <w:vertAlign w:val="superscript"/>
        </w:rPr>
        <w:t>er</w:t>
      </w:r>
      <w:r>
        <w:rPr>
          <w:noProof/>
        </w:rPr>
        <w:t> février 2020 et le 31 janvier 2021 sur la base d'un programme visant à renforcer la présence d'observateurs scientifiques dans le cadre d'un partenariat entre les scientifiques et le secteur de la pêche. Ce programme porte en particulier sur les niveaux des rejets ainsi que sur la composition des captures et va au-delà des exigences relatives à la collecte des données, établies par le règlement (CE) nº 199/2008, ainsi que ses modalités d'application concernant les programmes nationaux.</w:t>
      </w:r>
    </w:p>
    <w:p>
      <w:pPr>
        <w:pStyle w:val="Point0"/>
        <w:rPr>
          <w:noProof/>
        </w:rPr>
      </w:pPr>
      <w:r>
        <w:rPr>
          <w:noProof/>
        </w:rPr>
        <w:t>8.2.</w:t>
      </w:r>
      <w:r>
        <w:rPr>
          <w:noProof/>
        </w:rPr>
        <w:tab/>
        <w:t>Les observateurs scientifiques sont indépendants du propriétaire, du capitaine du navire et de tout membre de l'équipage.</w:t>
      </w:r>
    </w:p>
    <w:p>
      <w:pPr>
        <w:pStyle w:val="Point0"/>
        <w:rPr>
          <w:noProof/>
        </w:rPr>
      </w:pPr>
      <w:r>
        <w:rPr>
          <w:noProof/>
        </w:rPr>
        <w:t>8.3.</w:t>
      </w:r>
      <w:r>
        <w:rPr>
          <w:noProof/>
        </w:rPr>
        <w:tab/>
        <w:t>Un État membre souhaitant bénéficier de la possibilité visée au point 8.1 présente à la Commission, pour approbation, une description de son programme visant à renforcer la présence d'observateurs scientifiques.</w:t>
      </w:r>
    </w:p>
    <w:p>
      <w:pPr>
        <w:pStyle w:val="Point0"/>
        <w:rPr>
          <w:noProof/>
        </w:rPr>
      </w:pPr>
      <w:r>
        <w:rPr>
          <w:noProof/>
        </w:rPr>
        <w:t>8.4.</w:t>
      </w:r>
      <w:r>
        <w:rPr>
          <w:noProof/>
        </w:rPr>
        <w:tab/>
        <w:t>S'il souhaite continuer à appliquer en l'état un programme visant à renforcer la présence d'observateurs scientifiques qu'il a déjà présenté dans le passé et qui a été approuvé par la Commission, l'État membre informe la Commission de la poursuite dudit programme quatre semaines avant le début de sa nouvelle période d'application.</w:t>
      </w:r>
    </w:p>
    <w:p>
      <w:pPr>
        <w:pStyle w:val="ChapterTitle"/>
        <w:rPr>
          <w:noProof/>
        </w:rPr>
      </w:pPr>
      <w:r>
        <w:rPr>
          <w:noProof/>
        </w:rPr>
        <w:t>Chapitre IV</w:t>
      </w:r>
      <w:r>
        <w:rPr>
          <w:noProof/>
        </w:rPr>
        <w:br/>
        <w:t>Gestion</w:t>
      </w:r>
    </w:p>
    <w:p>
      <w:pPr>
        <w:pStyle w:val="Point0"/>
        <w:rPr>
          <w:noProof/>
        </w:rPr>
      </w:pPr>
      <w:r>
        <w:rPr>
          <w:noProof/>
        </w:rPr>
        <w:t>9.</w:t>
      </w:r>
      <w:r>
        <w:rPr>
          <w:noProof/>
        </w:rPr>
        <w:tab/>
        <w:t>OBLIGATION GÉNÉRALE</w:t>
      </w:r>
    </w:p>
    <w:p>
      <w:pPr>
        <w:pStyle w:val="Text1"/>
        <w:rPr>
          <w:noProof/>
        </w:rPr>
      </w:pPr>
      <w:r>
        <w:rPr>
          <w:noProof/>
        </w:rPr>
        <w:t>Les États membres gèrent l'effort maximal autorisé conformément aux articles 26 à 35 du règlement (CE) nº 1224/2009.</w:t>
      </w:r>
    </w:p>
    <w:p>
      <w:pPr>
        <w:pStyle w:val="Point0"/>
        <w:rPr>
          <w:noProof/>
        </w:rPr>
      </w:pPr>
      <w:r>
        <w:rPr>
          <w:noProof/>
        </w:rPr>
        <w:t>10.</w:t>
      </w:r>
      <w:r>
        <w:rPr>
          <w:noProof/>
        </w:rPr>
        <w:tab/>
        <w:t>PÉRIODES DE GESTION</w:t>
      </w:r>
    </w:p>
    <w:p>
      <w:pPr>
        <w:pStyle w:val="Point0"/>
        <w:rPr>
          <w:noProof/>
        </w:rPr>
      </w:pPr>
      <w:r>
        <w:rPr>
          <w:noProof/>
        </w:rPr>
        <w:t>10.1.</w:t>
      </w:r>
      <w:r>
        <w:rPr>
          <w:noProof/>
        </w:rPr>
        <w:tab/>
        <w:t>Tout État membre peut diviser les jours de présence dans la zone indiqués dans le tableau I en périodes de gestion d'une durée allant d'un à plusieurs mois civils.</w:t>
      </w:r>
    </w:p>
    <w:p>
      <w:pPr>
        <w:pStyle w:val="Point0"/>
        <w:rPr>
          <w:noProof/>
        </w:rPr>
      </w:pPr>
      <w:r>
        <w:rPr>
          <w:noProof/>
        </w:rPr>
        <w:t>10.2.</w:t>
      </w:r>
      <w:r>
        <w:rPr>
          <w:noProof/>
        </w:rPr>
        <w:tab/>
        <w:t>Le nombre de jours ou d'heures pendant lesquels un navire peut être présent dans la zone au cours d'une période de gestion donnée est fixé par l'État membre concerné.</w:t>
      </w:r>
    </w:p>
    <w:p>
      <w:pPr>
        <w:pStyle w:val="Point0"/>
        <w:rPr>
          <w:noProof/>
        </w:rPr>
      </w:pPr>
      <w:r>
        <w:rPr>
          <w:noProof/>
        </w:rPr>
        <w:t>10.3.</w:t>
      </w:r>
      <w:r>
        <w:rPr>
          <w:noProof/>
        </w:rPr>
        <w:tab/>
        <w:t>Lorsqu'un État membre autorise les navires battant son pavillon à être présents dans la zone pendant un nombre d'heures donné, il continue à mesurer la consommation des jours conformément au point 9. À la demande de la Commission, l'État membre apporte la preuve qu'il a pris les mesures de précaution nécessaires pour éviter une consommation excessive de jours dans la zone considérée en raison du fait qu'un navire achève ses périodes de présence dans cette zone avant la fin d'une période de 24 heures.</w:t>
      </w:r>
    </w:p>
    <w:p>
      <w:pPr>
        <w:pStyle w:val="ChapterTitle"/>
        <w:rPr>
          <w:noProof/>
        </w:rPr>
      </w:pPr>
      <w:r>
        <w:rPr>
          <w:noProof/>
        </w:rPr>
        <w:t>Chapitre V</w:t>
      </w:r>
      <w:r>
        <w:rPr>
          <w:noProof/>
        </w:rPr>
        <w:br/>
        <w:t>Échanges de contingents d'effort de pêche</w:t>
      </w:r>
    </w:p>
    <w:p>
      <w:pPr>
        <w:pStyle w:val="Point0"/>
        <w:rPr>
          <w:noProof/>
        </w:rPr>
      </w:pPr>
      <w:r>
        <w:rPr>
          <w:noProof/>
        </w:rPr>
        <w:t>11.</w:t>
      </w:r>
      <w:r>
        <w:rPr>
          <w:noProof/>
        </w:rPr>
        <w:tab/>
        <w:t>TRANSFERT DE JOURS ENTRE NAVIRES DE PÊCHE BATTANT PAVILLON D'UN MÊME ÉTAT MEMBRE</w:t>
      </w:r>
    </w:p>
    <w:p>
      <w:pPr>
        <w:pStyle w:val="Point0"/>
        <w:rPr>
          <w:noProof/>
        </w:rPr>
      </w:pPr>
      <w:r>
        <w:rPr>
          <w:noProof/>
        </w:rPr>
        <w:t>11.1.</w:t>
      </w:r>
      <w:r>
        <w:rPr>
          <w:noProof/>
        </w:rPr>
        <w:tab/>
        <w:t>Un État membre peut autoriser un navire de pêche battant son pavillon à transférer les jours de présence dans la zone auxquels il a droit à un autre navire battant son pavillon dans la zone, à condition que le produit du nombre de jours reçus par un navire et de la puissance motrice de celui-ci, exprimée en kilowatts (kilowatts-jours), soit inférieur ou égal au produit du nombre de jours transférés par le navire donneur et de la puissance motrice de ce dernier, exprimée en kilowatts. La puissance motrice des navires, exprimée en kilowatts, est celle inscrite pour chaque navire dans le fichier de la flotte de pêche de l'Union.</w:t>
      </w:r>
    </w:p>
    <w:p>
      <w:pPr>
        <w:pStyle w:val="Point0"/>
        <w:rPr>
          <w:noProof/>
        </w:rPr>
      </w:pPr>
      <w:r>
        <w:rPr>
          <w:noProof/>
        </w:rPr>
        <w:t>11.2.</w:t>
      </w:r>
      <w:r>
        <w:rPr>
          <w:noProof/>
        </w:rPr>
        <w:tab/>
        <w:t>Le nombre total de jours de présence dans la zone transféré en application du point 11.1, multiplié par la puissance motrice, exprimée en kilowatts, du navire donneur ne dépasse pas le nombre moyen annuel de jours de l'historique du navire dans la zone, attesté par le journal de pêche pendant les années 2001, 2002, 2003, 2004 et 2005, multiplié par la puissance motrice, exprimée en kilowatts, de ce navire.</w:t>
      </w:r>
    </w:p>
    <w:p>
      <w:pPr>
        <w:pStyle w:val="Point0"/>
        <w:rPr>
          <w:noProof/>
        </w:rPr>
      </w:pPr>
      <w:r>
        <w:rPr>
          <w:noProof/>
        </w:rPr>
        <w:t>11.3.</w:t>
      </w:r>
      <w:r>
        <w:rPr>
          <w:noProof/>
        </w:rPr>
        <w:tab/>
        <w:t>Le transfert de jours décrit au point 11.1 est autorisé entre des navires utilisant un engin réglementé, quel qu'il soit, et pendant la même période de gestion.</w:t>
      </w:r>
    </w:p>
    <w:p>
      <w:pPr>
        <w:pStyle w:val="Point0"/>
        <w:rPr>
          <w:noProof/>
        </w:rPr>
      </w:pPr>
      <w:r>
        <w:rPr>
          <w:noProof/>
        </w:rPr>
        <w:t>11.4.</w:t>
      </w:r>
      <w:r>
        <w:rPr>
          <w:noProof/>
        </w:rPr>
        <w:tab/>
        <w:t>À la demande de la Commission, les États membres fournissent des informations sur les transferts effectués. Les formats des feuilles de calcul utilisées pour la collecte et la communication de ces informations peuvent être fixés par la Commission par voie d'actes d'exécution. Ces actes d'exécution sont adoptés en conformité avec la procédure d'examen visée à l'article 50, paragraphe 2.</w:t>
      </w:r>
    </w:p>
    <w:p>
      <w:pPr>
        <w:pStyle w:val="Point0"/>
        <w:rPr>
          <w:noProof/>
        </w:rPr>
      </w:pPr>
      <w:r>
        <w:rPr>
          <w:noProof/>
        </w:rPr>
        <w:t>12.</w:t>
      </w:r>
      <w:r>
        <w:rPr>
          <w:noProof/>
        </w:rPr>
        <w:tab/>
        <w:t>TRANSFERT DE JOURS ENTRE NAVIRES DE PÊCHE BATTANT PAVILLON D'ÉTATS MEMBRES DIFFÉRENTS</w:t>
      </w:r>
    </w:p>
    <w:p>
      <w:pPr>
        <w:pStyle w:val="Text1"/>
        <w:rPr>
          <w:noProof/>
        </w:rPr>
      </w:pPr>
      <w:r>
        <w:rPr>
          <w:noProof/>
        </w:rPr>
        <w:t>Les États membres peuvent autoriser le transfert de jours de présence dans la zone, pour la même période de gestion et à l'intérieur de la zone, entre navires de pêche battant leurs pavillons respectifs, pourvu que s'appliquent mutatis mutandis les points 4.2, 4.4, 5, 6 et 10. Lorsque des États membres décident d'autoriser un tel transfert, ils communiquent à la Commission le détail du transfert, avant que ce dernier n'ait lieu, notamment en ce qui concerne le nombre de jours à transférer, l'effort de pêche et, le cas échéant, les quotas correspondants.</w:t>
      </w:r>
    </w:p>
    <w:p>
      <w:pPr>
        <w:pStyle w:val="ChapterTitle"/>
        <w:rPr>
          <w:noProof/>
        </w:rPr>
      </w:pPr>
      <w:r>
        <w:rPr>
          <w:noProof/>
        </w:rPr>
        <w:t>Chapitre VI</w:t>
      </w:r>
      <w:r>
        <w:rPr>
          <w:noProof/>
        </w:rPr>
        <w:br/>
        <w:t>Obligations en matière de communication d'informations</w:t>
      </w:r>
    </w:p>
    <w:p>
      <w:pPr>
        <w:pStyle w:val="Point0"/>
        <w:rPr>
          <w:noProof/>
        </w:rPr>
      </w:pPr>
      <w:r>
        <w:rPr>
          <w:noProof/>
        </w:rPr>
        <w:t>13.</w:t>
      </w:r>
      <w:r>
        <w:rPr>
          <w:noProof/>
        </w:rPr>
        <w:tab/>
        <w:t>RELEVÉ DE L'EFFORT DE PÊCHE</w:t>
      </w:r>
    </w:p>
    <w:p>
      <w:pPr>
        <w:pStyle w:val="Text1"/>
        <w:rPr>
          <w:noProof/>
        </w:rPr>
      </w:pPr>
      <w:r>
        <w:rPr>
          <w:noProof/>
        </w:rPr>
        <w:t>L'article 28 du règlement (CE) nº 1224/2009 s'applique aux navires relevant du champ d'application de la présente annexe. La zone géographique visée audit article s'entend comme la zone mentionnée au point 2 de la présente annexe.</w:t>
      </w:r>
    </w:p>
    <w:p>
      <w:pPr>
        <w:pStyle w:val="Point0"/>
        <w:rPr>
          <w:noProof/>
        </w:rPr>
      </w:pPr>
      <w:r>
        <w:rPr>
          <w:noProof/>
        </w:rPr>
        <w:t>14.</w:t>
      </w:r>
      <w:r>
        <w:rPr>
          <w:noProof/>
        </w:rPr>
        <w:tab/>
        <w:t>COLLECTE DE DONNÉES PERTINENTES</w:t>
      </w:r>
    </w:p>
    <w:p>
      <w:pPr>
        <w:pStyle w:val="Text1"/>
        <w:rPr>
          <w:noProof/>
        </w:rPr>
      </w:pPr>
      <w:r>
        <w:rPr>
          <w:noProof/>
        </w:rPr>
        <w:t>Les États membres, sur la base des informations utilisées pour la gestion des jours de pêche dans la zone visée dans la présente annexe, collectent, pour chaque trimestre, les informations relatives à l'effort de pêche total déployé dans la zone pour les engins traînants et les engins fixes et à l'effort déployé par les navires utilisant différents types d'engins dans la zone, ainsi qu'à la puissance motrice de ces navires, exprimée en kilowatts-jours.</w:t>
      </w:r>
    </w:p>
    <w:p>
      <w:pPr>
        <w:pStyle w:val="Point0"/>
        <w:rPr>
          <w:noProof/>
        </w:rPr>
      </w:pPr>
      <w:r>
        <w:rPr>
          <w:noProof/>
        </w:rPr>
        <w:t>15.</w:t>
      </w:r>
      <w:r>
        <w:rPr>
          <w:noProof/>
        </w:rPr>
        <w:tab/>
        <w:t>COMMUNICATION DE DONNÉES PERTINENTES</w:t>
      </w:r>
    </w:p>
    <w:p>
      <w:pPr>
        <w:pStyle w:val="Text1"/>
        <w:rPr>
          <w:noProof/>
        </w:rPr>
      </w:pPr>
      <w:r>
        <w:rPr>
          <w:noProof/>
        </w:rPr>
        <w:t>À la demande de la Commission, les États membres fournissent à cette dernière une feuille de calcul comprenant les données mentionnées au point 14 et présentées au format indiqué dans les tableaux II et III, qu'ils envoient à l'adresse électronique appropriée, indiquée par la Commission. Toujours à la demande de la Commission, les États membres font parvenir à cette dernière des informations détaillées sur l'attribution et la consommation de l'effort pour tout ou partie des périodes de gestion 2018 et 2019, en respectant le format de données indiqué dans les tableaux IV et V.</w:t>
      </w:r>
    </w:p>
    <w:p>
      <w:pPr>
        <w:rPr>
          <w:noProof/>
        </w:rPr>
        <w:sectPr>
          <w:footerReference w:type="default" r:id="rId16"/>
          <w:footerReference w:type="first" r:id="rId17"/>
          <w:footnotePr>
            <w:numRestart w:val="eachPage"/>
          </w:footnotePr>
          <w:pgSz w:w="11906" w:h="16838"/>
          <w:pgMar w:top="1134" w:right="1134" w:bottom="1134" w:left="1134" w:header="567" w:footer="567" w:gutter="0"/>
          <w:pgNumType w:start="1"/>
          <w:cols w:space="720"/>
          <w:docGrid w:linePitch="326"/>
        </w:sectPr>
      </w:pPr>
    </w:p>
    <w:p>
      <w:pPr>
        <w:pStyle w:val="NormalCentered"/>
        <w:rPr>
          <w:noProof/>
        </w:rPr>
      </w:pPr>
      <w:r>
        <w:rPr>
          <w:noProof/>
        </w:rPr>
        <w:t>Tableau II</w:t>
      </w:r>
      <w:r>
        <w:rPr>
          <w:noProof/>
        </w:rPr>
        <w:br/>
        <w:t>Format du rapport pour les données relatives aux kW-jours, par période de gestion</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État membre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Engin</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Période de gestion</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Déclaration de l'effort de pêche cumulé</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(4)</w:t>
            </w:r>
          </w:p>
        </w:tc>
      </w:tr>
    </w:tbl>
    <w:p>
      <w:pPr>
        <w:rPr>
          <w:noProof/>
        </w:rPr>
      </w:pPr>
    </w:p>
    <w:p>
      <w:pPr>
        <w:pStyle w:val="NormalCentered"/>
        <w:rPr>
          <w:noProof/>
        </w:rPr>
      </w:pPr>
      <w:r>
        <w:rPr>
          <w:noProof/>
        </w:rPr>
        <w:t>Tableau III</w:t>
      </w:r>
      <w:r>
        <w:rPr>
          <w:noProof/>
        </w:rPr>
        <w:br/>
        <w:t>Format des données relatives aux kW-jours, par période de gestion</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Nom du champ</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Nombre maximal de caractères/chiffres</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Alignement</w:t>
            </w:r>
            <w:r>
              <w:rPr>
                <w:b/>
                <w:bCs/>
                <w:noProof/>
                <w:sz w:val="22"/>
                <w:szCs w:val="20"/>
                <w:vertAlign w:val="superscript"/>
              </w:rPr>
              <w:t>(1)</w:t>
            </w:r>
          </w:p>
          <w:p>
            <w:pPr>
              <w:spacing w:before="60" w:after="60"/>
              <w:contextualSpacing/>
              <w:jc w:val="center"/>
              <w:rPr>
                <w:noProof/>
                <w:szCs w:val="20"/>
              </w:rPr>
            </w:pPr>
            <w:r>
              <w:rPr>
                <w:noProof/>
                <w:sz w:val="22"/>
                <w:szCs w:val="20"/>
              </w:rPr>
              <w:t>G(auche)/D(roite)</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contextualSpacing/>
              <w:jc w:val="center"/>
              <w:rPr>
                <w:noProof/>
                <w:szCs w:val="20"/>
              </w:rPr>
            </w:pPr>
            <w:r>
              <w:rPr>
                <w:noProof/>
                <w:sz w:val="22"/>
                <w:szCs w:val="20"/>
              </w:rPr>
              <w:t>Définition et remarques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(1)</w:t>
            </w:r>
            <w:r>
              <w:rPr>
                <w:noProof/>
                <w:sz w:val="22"/>
                <w:szCs w:val="20"/>
              </w:rPr>
              <w:tab/>
              <w:t>État membre</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État membre (code ISO Alpha3) dans lequel le navire est immatriculé</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(2)</w:t>
            </w:r>
            <w:r>
              <w:rPr>
                <w:noProof/>
                <w:sz w:val="22"/>
                <w:szCs w:val="20"/>
              </w:rPr>
              <w:tab/>
              <w:t>Engin</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Un des types d'engins suivants:</w:t>
            </w:r>
          </w:p>
          <w:p>
            <w:pPr>
              <w:spacing w:before="60" w:after="60"/>
              <w:contextualSpacing/>
              <w:rPr>
                <w:noProof/>
                <w:szCs w:val="20"/>
              </w:rPr>
            </w:pPr>
            <w:r>
              <w:rPr>
                <w:noProof/>
                <w:sz w:val="22"/>
                <w:szCs w:val="20"/>
              </w:rPr>
              <w:t>BT = chaluts à perche ≥ 80 mm</w:t>
            </w:r>
          </w:p>
          <w:p>
            <w:pPr>
              <w:spacing w:before="60" w:after="60"/>
              <w:contextualSpacing/>
              <w:rPr>
                <w:noProof/>
                <w:szCs w:val="20"/>
              </w:rPr>
            </w:pPr>
            <w:r>
              <w:rPr>
                <w:noProof/>
                <w:sz w:val="22"/>
                <w:szCs w:val="20"/>
              </w:rPr>
              <w:t>GN = filets maillants &lt; 220 mm</w:t>
            </w:r>
          </w:p>
          <w:p>
            <w:pPr>
              <w:spacing w:before="60" w:after="60"/>
              <w:contextualSpacing/>
              <w:rPr>
                <w:noProof/>
                <w:szCs w:val="20"/>
              </w:rPr>
            </w:pPr>
            <w:r>
              <w:rPr>
                <w:noProof/>
                <w:sz w:val="22"/>
                <w:szCs w:val="20"/>
              </w:rPr>
              <w:t>TN = trémails et filets emmêlants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(3)</w:t>
            </w:r>
            <w:r>
              <w:rPr>
                <w:noProof/>
                <w:sz w:val="22"/>
                <w:szCs w:val="20"/>
              </w:rPr>
              <w:tab/>
              <w:t>Période de gestion</w:t>
            </w:r>
          </w:p>
        </w:tc>
        <w:tc>
          <w:tcPr>
            <w:tcW w:w="2551" w:type="dxa"/>
            <w:tcBorders>
              <w:top w:val="single" w:sz="4" w:space="0" w:color="000000"/>
              <w:left w:val="single" w:sz="4" w:space="0" w:color="000000"/>
              <w:bottom w:val="single" w:sz="4" w:space="0" w:color="000000"/>
            </w:tcBorders>
            <w:shd w:val="clear" w:color="auto" w:fill="auto"/>
          </w:tcPr>
          <w:p>
            <w:pPr>
              <w:pageBreakBefore/>
              <w:spacing w:before="60" w:after="60"/>
              <w:contextualSpacing/>
              <w:jc w:val="center"/>
              <w:rPr>
                <w:noProof/>
                <w:szCs w:val="20"/>
              </w:rPr>
            </w:pPr>
            <w:r>
              <w:rPr>
                <w:noProof/>
                <w:sz w:val="22"/>
                <w:szCs w:val="20"/>
              </w:rPr>
              <w:t>4</w:t>
            </w:r>
          </w:p>
        </w:tc>
        <w:tc>
          <w:tcPr>
            <w:tcW w:w="2552" w:type="dxa"/>
            <w:tcBorders>
              <w:top w:val="single" w:sz="4" w:space="0" w:color="000000"/>
              <w:left w:val="single" w:sz="4" w:space="0" w:color="000000"/>
              <w:bottom w:val="single" w:sz="4" w:space="0" w:color="000000"/>
            </w:tcBorders>
            <w:shd w:val="clear" w:color="auto" w:fill="auto"/>
          </w:tcPr>
          <w:p>
            <w:pPr>
              <w:pageBreakBefore/>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contextualSpacing/>
              <w:rPr>
                <w:noProof/>
                <w:szCs w:val="20"/>
              </w:rPr>
            </w:pPr>
            <w:r>
              <w:rPr>
                <w:noProof/>
                <w:sz w:val="22"/>
                <w:szCs w:val="20"/>
              </w:rPr>
              <w:t>Un an au cours de la période comprise entre la période de gestion 2006 et la période de gestion en cours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(4)</w:t>
            </w:r>
            <w:r>
              <w:rPr>
                <w:noProof/>
                <w:sz w:val="22"/>
                <w:szCs w:val="20"/>
              </w:rPr>
              <w:tab/>
              <w:t>Déclaration de l'effort de pêche cumulé</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D</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Effort de pêche cumulé, exprimé en kilowatts-jours, déployé entre le 1</w:t>
            </w:r>
            <w:r>
              <w:rPr>
                <w:noProof/>
                <w:sz w:val="22"/>
                <w:szCs w:val="20"/>
                <w:vertAlign w:val="superscript"/>
              </w:rPr>
              <w:t>er</w:t>
            </w:r>
            <w:r>
              <w:rPr>
                <w:noProof/>
                <w:sz w:val="22"/>
                <w:szCs w:val="20"/>
              </w:rPr>
              <w:t> février et le 31 janvier de la période de gestion considérée</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contextualSpacing/>
              <w:rPr>
                <w:noProof/>
                <w:szCs w:val="20"/>
              </w:rPr>
            </w:pPr>
            <w:r>
              <w:rPr>
                <w:b/>
                <w:bCs/>
                <w:noProof/>
                <w:sz w:val="22"/>
                <w:szCs w:val="20"/>
                <w:vertAlign w:val="superscript"/>
              </w:rPr>
              <w:t>(1)</w:t>
            </w:r>
            <w:r>
              <w:rPr>
                <w:noProof/>
                <w:sz w:val="22"/>
                <w:szCs w:val="20"/>
              </w:rPr>
              <w:tab/>
              <w:t>Information utile pour la transmission de données au moyen de séquences de longueur limitée.</w:t>
            </w:r>
          </w:p>
        </w:tc>
      </w:tr>
    </w:tbl>
    <w:p>
      <w:pPr>
        <w:rPr>
          <w:noProof/>
        </w:rPr>
      </w:pPr>
    </w:p>
    <w:p>
      <w:pPr>
        <w:pStyle w:val="NormalCentered"/>
        <w:rPr>
          <w:noProof/>
        </w:rPr>
      </w:pPr>
      <w:r>
        <w:rPr>
          <w:noProof/>
        </w:rPr>
        <w:t>Tableau IV</w:t>
      </w:r>
      <w:r>
        <w:rPr>
          <w:noProof/>
        </w:rPr>
        <w:br/>
        <w:t>Format du rapport pour les données relatives au navire</w:t>
      </w:r>
    </w:p>
    <w:tbl>
      <w:tblPr>
        <w:tblW w:w="5000" w:type="pct"/>
        <w:tblLook w:val="0000" w:firstRow="0" w:lastRow="0" w:firstColumn="0" w:lastColumn="0" w:noHBand="0" w:noVBand="0"/>
      </w:tblPr>
      <w:tblGrid>
        <w:gridCol w:w="1172"/>
        <w:gridCol w:w="889"/>
        <w:gridCol w:w="1108"/>
        <w:gridCol w:w="954"/>
        <w:gridCol w:w="676"/>
        <w:gridCol w:w="765"/>
        <w:gridCol w:w="765"/>
        <w:gridCol w:w="765"/>
        <w:gridCol w:w="765"/>
        <w:gridCol w:w="765"/>
        <w:gridCol w:w="765"/>
        <w:gridCol w:w="765"/>
        <w:gridCol w:w="676"/>
        <w:gridCol w:w="765"/>
        <w:gridCol w:w="765"/>
        <w:gridCol w:w="768"/>
        <w:gridCol w:w="1658"/>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État membre</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Fichier de la flotte de pêche de l'Union</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Marquage extérieur</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Durée de la période de gestion</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Engins notifiés</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Jours autorisés pour l'utilisation de l'engin ou des engins notifiés</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Jours passés avec l'engin ou les engins notifiés</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Transfert de jours</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Nº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(8)</w:t>
            </w:r>
          </w:p>
        </w:tc>
      </w:tr>
    </w:tbl>
    <w:p>
      <w:pPr>
        <w:rPr>
          <w:noProof/>
        </w:rPr>
      </w:pPr>
    </w:p>
    <w:p>
      <w:pPr>
        <w:pStyle w:val="NormalCentered"/>
        <w:rPr>
          <w:noProof/>
        </w:rPr>
      </w:pPr>
      <w:r>
        <w:rPr>
          <w:noProof/>
        </w:rPr>
        <w:t>Tableau V</w:t>
      </w:r>
      <w:r>
        <w:rPr>
          <w:noProof/>
        </w:rPr>
        <w:br/>
        <w:t>Format des données relatives au navire</w:t>
      </w:r>
    </w:p>
    <w:tbl>
      <w:tblPr>
        <w:tblW w:w="5000" w:type="pct"/>
        <w:tblLook w:val="0000" w:firstRow="0" w:lastRow="0" w:firstColumn="0" w:lastColumn="0" w:noHBand="0" w:noVBand="0"/>
      </w:tblPr>
      <w:tblGrid>
        <w:gridCol w:w="3136"/>
        <w:gridCol w:w="2493"/>
        <w:gridCol w:w="1805"/>
        <w:gridCol w:w="7352"/>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 du champ</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Nombre maximal de caractères/chiffres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Alignement</w:t>
            </w:r>
            <w:r>
              <w:rPr>
                <w:b/>
                <w:bCs/>
                <w:noProof/>
                <w:sz w:val="22"/>
                <w:vertAlign w:val="superscript"/>
              </w:rPr>
              <w:t>(1)</w:t>
            </w:r>
          </w:p>
          <w:p>
            <w:pPr>
              <w:spacing w:before="60" w:after="60"/>
              <w:jc w:val="center"/>
              <w:rPr>
                <w:noProof/>
              </w:rPr>
            </w:pPr>
            <w:r>
              <w:rPr>
                <w:noProof/>
                <w:sz w:val="22"/>
              </w:rPr>
              <w:t>G(auche)/D(roite)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Définition et remarques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(1)</w:t>
            </w:r>
            <w:r>
              <w:rPr>
                <w:noProof/>
                <w:sz w:val="22"/>
              </w:rPr>
              <w:tab/>
              <w:t>État membre</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État membre (code ISO Alpha3) dans lequel le navire est immatriculé</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(2)</w:t>
            </w:r>
            <w:r>
              <w:rPr>
                <w:noProof/>
                <w:sz w:val="22"/>
              </w:rPr>
              <w:tab/>
              <w:t>Fichier de la flotte de pêche de l'Union</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Numéro dans le fichier de la flotte de pêche de l'Union</w:t>
            </w:r>
          </w:p>
          <w:p>
            <w:pPr>
              <w:spacing w:before="60" w:after="60"/>
              <w:rPr>
                <w:noProof/>
              </w:rPr>
            </w:pPr>
            <w:r>
              <w:rPr>
                <w:noProof/>
                <w:sz w:val="22"/>
              </w:rPr>
              <w:t>Numéro d'identification unique d'un navire de pêche</w:t>
            </w:r>
          </w:p>
          <w:p>
            <w:pPr>
              <w:spacing w:before="60" w:after="60"/>
              <w:rPr>
                <w:noProof/>
              </w:rPr>
            </w:pPr>
            <w:r>
              <w:rPr>
                <w:noProof/>
                <w:sz w:val="22"/>
              </w:rPr>
              <w:t>Nom de l'État membre (code ISO Alpha3), suivi d'une séquence d'identification (9 caractères). Si une séquence comporte moins de 9 caractères, insérer des zéros supplémentaires en position initiale.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284" w:hanging="284"/>
              <w:rPr>
                <w:noProof/>
              </w:rPr>
            </w:pPr>
            <w:r>
              <w:rPr>
                <w:noProof/>
                <w:sz w:val="22"/>
              </w:rPr>
              <w:t>(3)</w:t>
            </w:r>
            <w:r>
              <w:rPr>
                <w:noProof/>
                <w:sz w:val="22"/>
              </w:rPr>
              <w:tab/>
              <w:t>Marquage extérieur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Conformément au règlement d'exécution (UE) nº 404/2011</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(4)</w:t>
            </w:r>
            <w:r>
              <w:rPr>
                <w:noProof/>
                <w:sz w:val="22"/>
              </w:rPr>
              <w:tab/>
              <w:t>Durée de la période de gestion</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Durée de la période de gestion exprimée en mois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(5)</w:t>
            </w:r>
            <w:r>
              <w:rPr>
                <w:noProof/>
                <w:sz w:val="22"/>
              </w:rPr>
              <w:tab/>
              <w:t>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 des types d'engins suivants:</w:t>
            </w:r>
          </w:p>
          <w:p>
            <w:pPr>
              <w:spacing w:before="60" w:after="60"/>
              <w:rPr>
                <w:noProof/>
              </w:rPr>
            </w:pPr>
            <w:r>
              <w:rPr>
                <w:noProof/>
                <w:sz w:val="22"/>
              </w:rPr>
              <w:t>BT = chaluts à perche ≥ 80 mm</w:t>
            </w:r>
          </w:p>
          <w:p>
            <w:pPr>
              <w:spacing w:before="60" w:after="60"/>
              <w:rPr>
                <w:noProof/>
              </w:rPr>
            </w:pPr>
            <w:r>
              <w:rPr>
                <w:noProof/>
                <w:sz w:val="22"/>
              </w:rPr>
              <w:t>GN = filets maillants &lt; 220 mm</w:t>
            </w:r>
          </w:p>
          <w:p>
            <w:pPr>
              <w:spacing w:before="60" w:after="60"/>
              <w:rPr>
                <w:noProof/>
              </w:rPr>
            </w:pPr>
            <w:r>
              <w:rPr>
                <w:noProof/>
                <w:sz w:val="22"/>
              </w:rPr>
              <w:t>TN = trémails et filets emmêlants &lt; 220 mm</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(6)</w:t>
            </w:r>
            <w:r>
              <w:rPr>
                <w:noProof/>
                <w:sz w:val="22"/>
              </w:rPr>
              <w:tab/>
              <w:t>Conditions particulières applicables à l'engin ou aux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Nombre de jours auxquels le navire a droit au titre de l'annexe II A en fonction de l'engin utilisé et de la durée de la période de gestion notifiée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(7)</w:t>
            </w:r>
            <w:r>
              <w:rPr>
                <w:noProof/>
                <w:sz w:val="22"/>
              </w:rPr>
              <w:tab/>
              <w:t>Jours passés avec l'engin ou les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Nombre de jours que le navire a réellement passés dans la zone en utilisant un engin correspondant à l'engin notifié durant la période de gestion notifiée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(8)</w:t>
            </w:r>
            <w:r>
              <w:rPr>
                <w:noProof/>
                <w:sz w:val="22"/>
              </w:rPr>
              <w:tab/>
              <w:t>Transfert de jours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Pour les jours transférés, indiquer «– nombre de jours transférés»; pour les jours reçus, indiquer «+ nombre de jours transférés»</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284" w:hanging="284"/>
              <w:rPr>
                <w:noProof/>
              </w:rPr>
            </w:pPr>
            <w:r>
              <w:rPr>
                <w:b/>
                <w:bCs/>
                <w:noProof/>
                <w:sz w:val="22"/>
                <w:vertAlign w:val="superscript"/>
              </w:rPr>
              <w:t>(1)</w:t>
            </w:r>
            <w:r>
              <w:rPr>
                <w:noProof/>
                <w:sz w:val="22"/>
              </w:rPr>
              <w:tab/>
              <w:t>Information utile pour la transmission de données au moyen de séquences de longueur limitée.</w:t>
            </w:r>
          </w:p>
        </w:tc>
      </w:tr>
    </w:tbl>
    <w:p>
      <w:pPr>
        <w:pStyle w:val="LignefinalLandscape"/>
        <w:rPr>
          <w:noProof/>
        </w:rPr>
      </w:pPr>
    </w:p>
    <w:p>
      <w:pPr>
        <w:rPr>
          <w:noProof/>
        </w:rPr>
        <w:sectPr>
          <w:headerReference w:type="default" r:id="rId18"/>
          <w:footerReference w:type="default" r:id="rId19"/>
          <w:headerReference w:type="first" r:id="rId20"/>
          <w:footerReference w:type="first" r:id="rId21"/>
          <w:footnotePr>
            <w:numRestart w:val="eachPage"/>
          </w:footnotePr>
          <w:pgSz w:w="16838" w:h="11906" w:orient="landscape"/>
          <w:pgMar w:top="1134" w:right="1134" w:bottom="1134" w:left="1134" w:header="567" w:footer="567" w:gutter="0"/>
          <w:cols w:space="720"/>
          <w:docGrid w:linePitch="360"/>
        </w:sectPr>
      </w:pPr>
    </w:p>
    <w:p>
      <w:pPr>
        <w:jc w:val="center"/>
        <w:rPr>
          <w:b/>
          <w:noProof/>
          <w:u w:val="single"/>
        </w:rPr>
      </w:pPr>
      <w:r>
        <w:rPr>
          <w:b/>
          <w:noProof/>
          <w:u w:val="single"/>
        </w:rPr>
        <w:t>ANNEXE II B</w:t>
      </w:r>
    </w:p>
    <w:p>
      <w:pPr>
        <w:pStyle w:val="NormalCentered"/>
        <w:rPr>
          <w:noProof/>
        </w:rPr>
      </w:pPr>
      <w:r>
        <w:rPr>
          <w:noProof/>
        </w:rPr>
        <w:t>ZONES DE GESTION DU LANÇON DANS LES DIVISIONS</w:t>
      </w:r>
      <w:r>
        <w:rPr>
          <w:noProof/>
        </w:rPr>
        <w:br/>
        <w:t>CIEM 2a ET 3a ET DANS LA SOUS-ZONE CIEM 4</w:t>
      </w:r>
    </w:p>
    <w:p>
      <w:pPr>
        <w:rPr>
          <w:noProof/>
        </w:rPr>
      </w:pPr>
      <w:r>
        <w:rPr>
          <w:noProof/>
        </w:rPr>
        <w:t>Aux fins de la gestion des possibilités de pêche pour le lançon dans les divisions CIEM 2a et 3a et dans la sous-zone CIEM 4 fixées à l'annexe I A, les zones de gestion à l'intérieur desquelles des limites de captures spécifiques s'appliquent sont précisées ci-dessous et dans l'appendice de la présente annexe:</w:t>
      </w:r>
    </w:p>
    <w:tbl>
      <w:tblPr>
        <w:tblStyle w:val="TableGrid"/>
        <w:tblW w:w="0" w:type="auto"/>
        <w:tblLook w:val="04A0" w:firstRow="1" w:lastRow="0" w:firstColumn="1" w:lastColumn="0" w:noHBand="0" w:noVBand="1"/>
      </w:tblPr>
      <w:tblGrid>
        <w:gridCol w:w="2802"/>
        <w:gridCol w:w="6486"/>
      </w:tblGrid>
      <w:tr>
        <w:tc>
          <w:tcPr>
            <w:tcW w:w="2802" w:type="dxa"/>
          </w:tcPr>
          <w:p>
            <w:pPr>
              <w:spacing w:before="60" w:after="60"/>
              <w:jc w:val="center"/>
              <w:rPr>
                <w:noProof/>
              </w:rPr>
            </w:pPr>
            <w:r>
              <w:rPr>
                <w:noProof/>
              </w:rPr>
              <w:t>Zone de gestion du lançon</w:t>
            </w:r>
          </w:p>
        </w:tc>
        <w:tc>
          <w:tcPr>
            <w:tcW w:w="6486" w:type="dxa"/>
          </w:tcPr>
          <w:p>
            <w:pPr>
              <w:spacing w:before="60" w:after="60"/>
              <w:jc w:val="center"/>
              <w:rPr>
                <w:noProof/>
              </w:rPr>
            </w:pPr>
            <w:r>
              <w:rPr>
                <w:noProof/>
              </w:rPr>
              <w:t>Rectangles statistiques CIEM</w:t>
            </w:r>
          </w:p>
        </w:tc>
      </w:tr>
      <w:tr>
        <w:tc>
          <w:tcPr>
            <w:tcW w:w="2802" w:type="dxa"/>
          </w:tcPr>
          <w:p>
            <w:pPr>
              <w:spacing w:before="60" w:after="60"/>
              <w:rPr>
                <w:noProof/>
              </w:rPr>
            </w:pPr>
            <w:r>
              <w:rPr>
                <w:noProof/>
              </w:rPr>
              <w:t>1r</w:t>
            </w:r>
          </w:p>
        </w:tc>
        <w:tc>
          <w:tcPr>
            <w:tcW w:w="6486" w:type="dxa"/>
          </w:tcPr>
          <w:p>
            <w:pPr>
              <w:spacing w:before="60" w:after="60"/>
              <w:rPr>
                <w:noProof/>
              </w:rPr>
            </w:pPr>
            <w:r>
              <w:rPr>
                <w:noProof/>
              </w:rPr>
              <w:t>31–33 E9–F4; 33 F5; 34–37 E9–F6; 38–40 F0–F5; 41 F4–F5</w:t>
            </w:r>
          </w:p>
        </w:tc>
      </w:tr>
      <w:tr>
        <w:tc>
          <w:tcPr>
            <w:tcW w:w="2802" w:type="dxa"/>
          </w:tcPr>
          <w:p>
            <w:pPr>
              <w:spacing w:before="60" w:after="60"/>
              <w:rPr>
                <w:noProof/>
              </w:rPr>
            </w:pPr>
            <w:r>
              <w:rPr>
                <w:noProof/>
              </w:rPr>
              <w:t>2r</w:t>
            </w:r>
          </w:p>
        </w:tc>
        <w:tc>
          <w:tcPr>
            <w:tcW w:w="6486" w:type="dxa"/>
          </w:tcPr>
          <w:p>
            <w:pPr>
              <w:spacing w:before="60" w:after="60"/>
              <w:rPr>
                <w:noProof/>
              </w:rPr>
            </w:pPr>
            <w:r>
              <w:rPr>
                <w:noProof/>
              </w:rPr>
              <w:t xml:space="preserve">35 F7–F8; 36 F7–F9; 37 F7–F8; 38-41 F6–F8; 42 F6–F9; 43 F7–F9; 44 F9–G0; 45 G0–G1; 46 G1 </w:t>
            </w:r>
          </w:p>
        </w:tc>
      </w:tr>
      <w:tr>
        <w:tc>
          <w:tcPr>
            <w:tcW w:w="2802" w:type="dxa"/>
          </w:tcPr>
          <w:p>
            <w:pPr>
              <w:spacing w:before="60" w:after="60"/>
              <w:rPr>
                <w:noProof/>
              </w:rPr>
            </w:pPr>
            <w:r>
              <w:rPr>
                <w:noProof/>
              </w:rPr>
              <w:t>3r</w:t>
            </w:r>
          </w:p>
        </w:tc>
        <w:tc>
          <w:tcPr>
            <w:tcW w:w="6486" w:type="dxa"/>
          </w:tcPr>
          <w:p>
            <w:pPr>
              <w:spacing w:before="60" w:after="60"/>
              <w:rPr>
                <w:noProof/>
              </w:rPr>
            </w:pPr>
            <w:r>
              <w:rPr>
                <w:noProof/>
              </w:rPr>
              <w:t xml:space="preserve">41–46 F1–F3; 42–46 F4–F5; 43–46 F6; 44–46 F7–F8; 45–46 F9; 46–47 G0; 47 G1 et 48 G0 </w:t>
            </w:r>
          </w:p>
        </w:tc>
      </w:tr>
      <w:tr>
        <w:tc>
          <w:tcPr>
            <w:tcW w:w="2802" w:type="dxa"/>
          </w:tcPr>
          <w:p>
            <w:pPr>
              <w:spacing w:before="60" w:after="60"/>
              <w:rPr>
                <w:noProof/>
              </w:rPr>
            </w:pPr>
            <w:r>
              <w:rPr>
                <w:noProof/>
              </w:rPr>
              <w:t>4</w:t>
            </w:r>
          </w:p>
        </w:tc>
        <w:tc>
          <w:tcPr>
            <w:tcW w:w="6486" w:type="dxa"/>
          </w:tcPr>
          <w:p>
            <w:pPr>
              <w:spacing w:before="60" w:after="60"/>
              <w:rPr>
                <w:noProof/>
              </w:rPr>
            </w:pPr>
            <w:r>
              <w:rPr>
                <w:noProof/>
              </w:rPr>
              <w:t xml:space="preserve">38–40 E7–E9 et 41–46 E6–F0 </w:t>
            </w:r>
          </w:p>
        </w:tc>
      </w:tr>
      <w:tr>
        <w:tc>
          <w:tcPr>
            <w:tcW w:w="2802" w:type="dxa"/>
          </w:tcPr>
          <w:p>
            <w:pPr>
              <w:spacing w:before="60" w:after="60"/>
              <w:rPr>
                <w:noProof/>
              </w:rPr>
            </w:pPr>
            <w:r>
              <w:rPr>
                <w:noProof/>
              </w:rPr>
              <w:t>5r</w:t>
            </w:r>
          </w:p>
        </w:tc>
        <w:tc>
          <w:tcPr>
            <w:tcW w:w="6486" w:type="dxa"/>
          </w:tcPr>
          <w:p>
            <w:pPr>
              <w:spacing w:before="60" w:after="60"/>
              <w:rPr>
                <w:noProof/>
              </w:rPr>
            </w:pPr>
            <w:r>
              <w:rPr>
                <w:noProof/>
              </w:rPr>
              <w:t>47–52 F1–F5</w:t>
            </w:r>
          </w:p>
        </w:tc>
      </w:tr>
      <w:tr>
        <w:tc>
          <w:tcPr>
            <w:tcW w:w="2802" w:type="dxa"/>
          </w:tcPr>
          <w:p>
            <w:pPr>
              <w:spacing w:before="60" w:after="60"/>
              <w:rPr>
                <w:noProof/>
              </w:rPr>
            </w:pPr>
            <w:r>
              <w:rPr>
                <w:noProof/>
              </w:rPr>
              <w:t>6</w:t>
            </w:r>
          </w:p>
        </w:tc>
        <w:tc>
          <w:tcPr>
            <w:tcW w:w="6486" w:type="dxa"/>
          </w:tcPr>
          <w:p>
            <w:pPr>
              <w:spacing w:before="60" w:after="60"/>
              <w:rPr>
                <w:noProof/>
              </w:rPr>
            </w:pPr>
            <w:r>
              <w:rPr>
                <w:noProof/>
              </w:rPr>
              <w:t xml:space="preserve">41–43 G0–G3; 44 G1 </w:t>
            </w:r>
          </w:p>
        </w:tc>
      </w:tr>
      <w:tr>
        <w:tc>
          <w:tcPr>
            <w:tcW w:w="2802" w:type="dxa"/>
          </w:tcPr>
          <w:p>
            <w:pPr>
              <w:spacing w:before="60" w:after="60"/>
              <w:rPr>
                <w:noProof/>
              </w:rPr>
            </w:pPr>
            <w:r>
              <w:rPr>
                <w:noProof/>
              </w:rPr>
              <w:t>7r</w:t>
            </w:r>
          </w:p>
        </w:tc>
        <w:tc>
          <w:tcPr>
            <w:tcW w:w="6486" w:type="dxa"/>
          </w:tcPr>
          <w:p>
            <w:pPr>
              <w:spacing w:before="60" w:after="60"/>
              <w:rPr>
                <w:noProof/>
              </w:rPr>
            </w:pPr>
            <w:r>
              <w:rPr>
                <w:noProof/>
              </w:rPr>
              <w:t>47–52 E6–F0</w:t>
            </w:r>
          </w:p>
        </w:tc>
      </w:tr>
    </w:tbl>
    <w:p>
      <w:pPr>
        <w:rPr>
          <w:noProof/>
        </w:rPr>
      </w:pPr>
    </w:p>
    <w:p>
      <w:pPr>
        <w:pStyle w:val="NormalRight"/>
        <w:rPr>
          <w:b/>
          <w:bCs/>
          <w:noProof/>
          <w:u w:val="single"/>
        </w:rPr>
      </w:pPr>
      <w:r>
        <w:rPr>
          <w:b/>
          <w:bCs/>
          <w:noProof/>
          <w:u w:val="single"/>
        </w:rPr>
        <w:t>Appendice 1 de l'annexe II B</w:t>
      </w:r>
    </w:p>
    <w:p>
      <w:pPr>
        <w:pStyle w:val="NormalCentered"/>
        <w:rPr>
          <w:noProof/>
        </w:rPr>
      </w:pPr>
      <w:r>
        <w:rPr>
          <w:noProof/>
        </w:rPr>
        <w:t>Zones de gestion du lançon</w:t>
      </w:r>
    </w:p>
    <w:p>
      <w:pPr>
        <w:rPr>
          <w:noProof/>
        </w:rPr>
      </w:pPr>
      <w:r>
        <w:rPr>
          <w:noProof/>
          <w:lang w:val="en-GB" w:eastAsia="en-GB"/>
        </w:rPr>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pStyle w:val="Lignefinal"/>
        <w:rPr>
          <w:noProof/>
        </w:rPr>
      </w:pPr>
    </w:p>
    <w:p>
      <w:pPr>
        <w:rPr>
          <w:noProof/>
        </w:rPr>
        <w:sectPr>
          <w:headerReference w:type="default" r:id="rId23"/>
          <w:footerReference w:type="default" r:id="rId24"/>
          <w:headerReference w:type="first" r:id="rId25"/>
          <w:footerReference w:type="first" r:id="rId26"/>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ANNEXE III</w:t>
      </w:r>
    </w:p>
    <w:p>
      <w:pPr>
        <w:pStyle w:val="NormalCentered"/>
        <w:rPr>
          <w:noProof/>
        </w:rPr>
      </w:pPr>
      <w:r>
        <w:rPr>
          <w:noProof/>
        </w:rPr>
        <w:t>NOMBRE MAXIMAL D'AUTORISATIONS DE PÊCHE</w:t>
      </w:r>
      <w:r>
        <w:rPr>
          <w:noProof/>
        </w:rPr>
        <w:br/>
        <w:t>POUR LES NAVIRES DE PÊCHE DE L'UNION PÊCHANT DANS LES EAUX DE PAYS TIERS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gridCol w:w="6426"/>
        <w:gridCol w:w="1809"/>
        <w:gridCol w:w="1749"/>
        <w:gridCol w:w="672"/>
        <w:gridCol w:w="1853"/>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Zone de pêche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Pêcherie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Nombre d'autorisations de pêche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Répartition des autorisations de pêche entre États membres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Nombre maximal de navires présents à tout moment</w:t>
            </w:r>
          </w:p>
        </w:tc>
      </w:tr>
      <w:tr>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Eaux norvégiennes et zone de pêche située autour de Jan Mayen</w:t>
            </w:r>
          </w:p>
        </w:tc>
        <w:tc>
          <w:tcPr>
            <w:tcW w:w="0" w:type="auto"/>
            <w:vMerge w:val="restart"/>
            <w:tcBorders>
              <w:top w:val="single" w:sz="4" w:space="0" w:color="auto"/>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Hareng commun, au nord de 62° 00′ N</w:t>
            </w:r>
          </w:p>
        </w:tc>
        <w:tc>
          <w:tcPr>
            <w:tcW w:w="0" w:type="auto"/>
            <w:vMerge w:val="restart"/>
            <w:tcBorders>
              <w:top w:val="single" w:sz="4" w:space="0" w:color="auto"/>
            </w:tcBorders>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Danemark</w:t>
            </w:r>
          </w:p>
        </w:tc>
        <w:tc>
          <w:tcPr>
            <w:tcW w:w="0" w:type="auto"/>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Allemagne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Irlande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Pays-Bas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Pologne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Suède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nil"/>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Espèces démersales, au nord de 62° 00′ N</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Allemagne </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Irlande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PT</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nil"/>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Non attribué</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Maquereau commun </w:t>
            </w:r>
            <w:r>
              <w:rPr>
                <w:rFonts w:asciiTheme="majorBidi" w:hAnsiTheme="majorBidi"/>
                <w:b/>
                <w:bCs/>
                <w:noProof/>
                <w:sz w:val="22"/>
                <w:vertAlign w:val="superscript"/>
              </w:rPr>
              <w:t>(1)</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Sans objet</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noProof/>
                <w:sz w:val="22"/>
              </w:rPr>
              <w:t>Sans objet</w:t>
            </w:r>
          </w:p>
        </w:tc>
        <w:tc>
          <w:tcPr>
            <w:tcW w:w="0" w:type="auto"/>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val="restart"/>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Espèces industrielles, au sud de 62° 00′ N</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Danemark</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Eaux des Îles Féroé</w:t>
            </w: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Toute pêche au chalut avec des navires ne dépassant pas 180 pieds dans la zone située entre 12 et 21 milles à partir des lignes de base des Îles Féroé</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Belgique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Allemagne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tcBorders>
              <w:top w:val="nil"/>
              <w:bottom w:val="nil"/>
            </w:tcBorders>
            <w:shd w:val="clear" w:color="auto" w:fill="auto"/>
          </w:tcPr>
          <w:p>
            <w:pPr>
              <w:pageBreakBefore/>
              <w:widowControl w:val="0"/>
              <w:spacing w:before="60" w:after="60"/>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ciblée du cabillaud et de l'églefin avec un maillage minimal de 135 mm, restreinte à la zone située au sud de 62° 28′ N et à l'est de 6° 30′ O</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 xml:space="preserve">pm </w:t>
            </w:r>
            <w:r>
              <w:rPr>
                <w:rFonts w:asciiTheme="majorBidi" w:hAnsiTheme="majorBidi"/>
                <w:b/>
                <w:bCs/>
                <w:noProof/>
                <w:sz w:val="22"/>
                <w:vertAlign w:val="superscript"/>
              </w:rPr>
              <w:t>(2)</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noProof/>
                <w:sz w:val="22"/>
              </w:rPr>
              <w:t>Sans objet</w:t>
            </w:r>
          </w:p>
        </w:tc>
        <w:tc>
          <w:tcPr>
            <w:tcW w:w="0" w:type="auto"/>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au chalut au-delà de 21 milles à partir des lignes de base des Îles Féroé. Au cours des périodes allant du 1</w:t>
            </w:r>
            <w:r>
              <w:rPr>
                <w:rFonts w:asciiTheme="majorBidi" w:hAnsiTheme="majorBidi"/>
                <w:noProof/>
                <w:sz w:val="22"/>
                <w:vertAlign w:val="superscript"/>
              </w:rPr>
              <w:t>er</w:t>
            </w:r>
            <w:r>
              <w:rPr>
                <w:rFonts w:asciiTheme="majorBidi" w:hAnsiTheme="majorBidi"/>
                <w:noProof/>
                <w:sz w:val="22"/>
              </w:rPr>
              <w:t> mars au 31 mai et du 1</w:t>
            </w:r>
            <w:r>
              <w:rPr>
                <w:rFonts w:asciiTheme="majorBidi" w:hAnsiTheme="majorBidi"/>
                <w:noProof/>
                <w:sz w:val="22"/>
                <w:vertAlign w:val="superscript"/>
              </w:rPr>
              <w:t>er</w:t>
            </w:r>
            <w:r>
              <w:rPr>
                <w:rFonts w:asciiTheme="majorBidi" w:hAnsiTheme="majorBidi"/>
                <w:noProof/>
                <w:sz w:val="22"/>
              </w:rPr>
              <w:t> octobre au 31 décembre, ces navires peuvent opérer dans la zone située entre 61° 20′ N et 62° 00′ N et entre 12 et 21 milles à partir des lignes de base.</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Belgique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Allemagne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au chalut de la lingue bleue avec un maillage minimal de 100 mm dans la zone située au sud de 61° 30′ N et à l'ouest de 9° 00′ O, dans la zone située entre 7° 00′ O et 9° 00′ O au sud de 60° 30′ N et dans la zone située au sud-ouest d'une ligne reliant 60° 30′ N, 7° 00′ O et 60° 00′ N, 6° 00′ O</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Allemagne </w:t>
            </w:r>
            <w:r>
              <w:rPr>
                <w:rFonts w:asciiTheme="majorBidi" w:hAnsiTheme="majorBidi"/>
                <w:b/>
                <w:bCs/>
                <w:noProof/>
                <w:sz w:val="22"/>
                <w:vertAlign w:val="superscript"/>
              </w:rPr>
              <w:t>(3)</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tcPr>
          <w:p>
            <w:pPr>
              <w:widowControl w:val="0"/>
              <w:spacing w:before="60" w:after="60"/>
              <w:jc w:val="center"/>
              <w:rPr>
                <w:rFonts w:asciiTheme="majorBidi" w:hAnsiTheme="majorBidi" w:cstheme="majorBidi"/>
                <w:noProof/>
                <w:sz w:val="22"/>
              </w:rPr>
            </w:pPr>
            <w:r>
              <w:rPr>
                <w:rFonts w:asciiTheme="majorBidi" w:hAnsiTheme="majorBidi"/>
                <w:noProof/>
                <w:sz w:val="22"/>
              </w:rPr>
              <w:t xml:space="preserve">pm </w:t>
            </w:r>
            <w:r>
              <w:rPr>
                <w:rFonts w:asciiTheme="majorBidi" w:hAnsiTheme="majorBidi"/>
                <w:b/>
                <w:bCs/>
                <w:noProof/>
                <w:sz w:val="22"/>
                <w:vertAlign w:val="superscript"/>
              </w:rPr>
              <w:t>(4)</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France </w:t>
            </w:r>
            <w:r>
              <w:rPr>
                <w:rFonts w:asciiTheme="majorBidi" w:hAnsiTheme="majorBidi"/>
                <w:b/>
                <w:bCs/>
                <w:noProof/>
                <w:sz w:val="22"/>
                <w:vertAlign w:val="superscript"/>
              </w:rPr>
              <w:t>(3)</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au chalut ciblée du lieu noir avec un maillage minimal de 120 mm et la possibilité d'utiliser des erses circulaires autour du cul de chalut</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noProof/>
                <w:sz w:val="22"/>
              </w:rPr>
              <w:t>Sans objet</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 xml:space="preserve">pm </w:t>
            </w:r>
            <w:r>
              <w:rPr>
                <w:rFonts w:asciiTheme="majorBidi" w:hAnsiTheme="majorBidi"/>
                <w:b/>
                <w:bCs/>
                <w:noProof/>
                <w:sz w:val="22"/>
                <w:vertAlign w:val="superscript"/>
              </w:rPr>
              <w:t>(4)</w:t>
            </w:r>
          </w:p>
        </w:tc>
      </w:tr>
      <w:tr>
        <w:trPr>
          <w:trHeight w:val="227"/>
        </w:trPr>
        <w:tc>
          <w:tcPr>
            <w:tcW w:w="0" w:type="auto"/>
            <w:vMerge w:val="restart"/>
            <w:tcBorders>
              <w:top w:val="nil"/>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du merlan bleu. Le nombre total d'autorisations de pêche peut être augmenté de quatre navires pour la pêche en bœuf si les autorités des Îles Féroé introduisent des règles spéciales d'accès à une zone dénommée «zone principale de pêche du merlan bleu».</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Allemagne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Danemark</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Pays-Bas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Suède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Espagne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Irlande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Portugal</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tcBorders>
              <w:top w:val="nil"/>
              <w:bottom w:val="nil"/>
            </w:tcBorders>
            <w:shd w:val="clear" w:color="auto" w:fill="auto"/>
          </w:tcPr>
          <w:p>
            <w:pPr>
              <w:widowControl w:val="0"/>
              <w:spacing w:before="60" w:after="60"/>
              <w:rPr>
                <w:rFonts w:asciiTheme="majorBidi" w:hAnsiTheme="majorBidi" w:cstheme="majorBidi"/>
                <w:noProof/>
                <w:sz w:val="22"/>
              </w:rPr>
            </w:pPr>
          </w:p>
        </w:tc>
        <w:tc>
          <w:tcPr>
            <w:tcW w:w="0" w:type="auto"/>
            <w:tcBorders>
              <w:bottom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à la ligne</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r>
      <w:tr>
        <w:trPr>
          <w:trHeight w:val="227"/>
        </w:trPr>
        <w:tc>
          <w:tcPr>
            <w:tcW w:w="0" w:type="auto"/>
            <w:vMerge w:val="restart"/>
            <w:tcBorders>
              <w:top w:val="nil"/>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Maquereau commun</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Danemark</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Belgique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Allemagne </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Irlande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Pays-Bas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Suède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tcBorders>
              <w:bottom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bottom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p>
        </w:tc>
        <w:tc>
          <w:tcPr>
            <w:tcW w:w="0" w:type="auto"/>
            <w:tcBorders>
              <w:bottom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tcBorders>
              <w:bottom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tcBorders>
              <w:bottom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Hareng commun, au nord de 62° 00′ N</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Danemark</w:t>
            </w:r>
          </w:p>
        </w:tc>
        <w:tc>
          <w:tcPr>
            <w:tcW w:w="0" w:type="auto"/>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Allemagne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Irlande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Pays-Bas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Pologne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Suède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Royaume-Uni</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shd w:val="clear" w:color="auto" w:fill="auto"/>
          </w:tcPr>
          <w:p>
            <w:pPr>
              <w:pageBreakBefore/>
              <w:widowControl w:val="0"/>
              <w:spacing w:before="60" w:after="60"/>
              <w:rPr>
                <w:rFonts w:asciiTheme="majorBidi" w:hAnsiTheme="majorBidi" w:cstheme="majorBidi"/>
                <w:noProof/>
                <w:sz w:val="22"/>
              </w:rPr>
            </w:pPr>
            <w:r>
              <w:rPr>
                <w:rFonts w:asciiTheme="majorBidi" w:hAnsiTheme="majorBidi"/>
                <w:noProof/>
                <w:sz w:val="22"/>
              </w:rPr>
              <w:t xml:space="preserve">1, 2b </w:t>
            </w:r>
            <w:r>
              <w:rPr>
                <w:rFonts w:asciiTheme="majorBidi" w:hAnsiTheme="majorBidi"/>
                <w:b/>
                <w:bCs/>
                <w:noProof/>
                <w:sz w:val="22"/>
                <w:vertAlign w:val="superscript"/>
              </w:rPr>
              <w:t>(5)</w:t>
            </w:r>
          </w:p>
        </w:tc>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Pêche au crabe des neiges au moyen de casiers</w:t>
            </w:r>
          </w:p>
        </w:tc>
        <w:tc>
          <w:tcPr>
            <w:tcW w:w="0" w:type="auto"/>
            <w:vMerge w:val="restart"/>
            <w:tcBorders>
              <w:top w:val="nil"/>
            </w:tcBorders>
            <w:shd w:val="clear" w:color="auto" w:fill="auto"/>
            <w:vAlign w:val="center"/>
          </w:tcPr>
          <w:p>
            <w:pPr>
              <w:spacing w:before="60" w:after="60"/>
              <w:jc w:val="center"/>
              <w:rPr>
                <w:noProof/>
                <w:szCs w:val="20"/>
              </w:rPr>
            </w:pPr>
            <w:r>
              <w:rPr>
                <w:noProof/>
                <w:sz w:val="22"/>
                <w:szCs w:val="20"/>
              </w:rPr>
              <w:t>20</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Estonie</w:t>
            </w:r>
          </w:p>
        </w:tc>
        <w:tc>
          <w:tcPr>
            <w:tcW w:w="0" w:type="auto"/>
            <w:shd w:val="clear" w:color="auto" w:fill="auto"/>
            <w:vAlign w:val="center"/>
          </w:tcPr>
          <w:p>
            <w:pPr>
              <w:spacing w:before="60" w:after="60"/>
              <w:jc w:val="center"/>
              <w:rPr>
                <w:noProof/>
                <w:szCs w:val="20"/>
              </w:rPr>
            </w:pPr>
            <w:r>
              <w:rPr>
                <w:noProof/>
              </w:rPr>
              <w:t>1</w:t>
            </w:r>
          </w:p>
        </w:tc>
        <w:tc>
          <w:tcPr>
            <w:tcW w:w="0" w:type="auto"/>
            <w:vMerge w:val="restart"/>
            <w:tcBorders>
              <w:top w:val="nil"/>
            </w:tcBorders>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Non applicable</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Espagne</w:t>
            </w:r>
          </w:p>
        </w:tc>
        <w:tc>
          <w:tcPr>
            <w:tcW w:w="0" w:type="auto"/>
            <w:shd w:val="clear" w:color="auto" w:fill="auto"/>
            <w:vAlign w:val="center"/>
          </w:tcPr>
          <w:p>
            <w:pPr>
              <w:spacing w:before="60" w:after="60"/>
              <w:jc w:val="center"/>
              <w:rPr>
                <w:noProof/>
                <w:szCs w:val="20"/>
              </w:rPr>
            </w:pPr>
            <w:r>
              <w:rPr>
                <w:noProof/>
                <w:sz w:val="22"/>
                <w:szCs w:val="20"/>
              </w:rPr>
              <w:t>1</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Lettonie</w:t>
            </w:r>
          </w:p>
        </w:tc>
        <w:tc>
          <w:tcPr>
            <w:tcW w:w="0" w:type="auto"/>
            <w:shd w:val="clear" w:color="auto" w:fill="auto"/>
            <w:vAlign w:val="center"/>
          </w:tcPr>
          <w:p>
            <w:pPr>
              <w:spacing w:before="60" w:after="60"/>
              <w:jc w:val="center"/>
              <w:rPr>
                <w:noProof/>
                <w:szCs w:val="20"/>
              </w:rPr>
            </w:pPr>
            <w:r>
              <w:rPr>
                <w:noProof/>
                <w:sz w:val="22"/>
                <w:szCs w:val="20"/>
              </w:rPr>
              <w:t>11</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Lituanie</w:t>
            </w:r>
          </w:p>
        </w:tc>
        <w:tc>
          <w:tcPr>
            <w:tcW w:w="0" w:type="auto"/>
            <w:shd w:val="clear" w:color="auto" w:fill="auto"/>
            <w:vAlign w:val="center"/>
          </w:tcPr>
          <w:p>
            <w:pPr>
              <w:spacing w:before="60" w:after="60"/>
              <w:jc w:val="center"/>
              <w:rPr>
                <w:noProof/>
                <w:szCs w:val="20"/>
              </w:rPr>
            </w:pPr>
            <w:r>
              <w:rPr>
                <w:noProof/>
                <w:sz w:val="22"/>
                <w:szCs w:val="20"/>
              </w:rPr>
              <w:t>4</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Pologne</w:t>
            </w:r>
          </w:p>
        </w:tc>
        <w:tc>
          <w:tcPr>
            <w:tcW w:w="0" w:type="auto"/>
            <w:shd w:val="clear" w:color="auto" w:fill="auto"/>
            <w:vAlign w:val="center"/>
          </w:tcPr>
          <w:p>
            <w:pPr>
              <w:spacing w:before="60" w:after="60"/>
              <w:jc w:val="center"/>
              <w:rPr>
                <w:noProof/>
                <w:szCs w:val="20"/>
              </w:rPr>
            </w:pPr>
            <w:r>
              <w:rPr>
                <w:noProof/>
                <w:sz w:val="22"/>
                <w:szCs w:val="20"/>
              </w:rPr>
              <w:t>3</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gridSpan w:val="6"/>
            <w:shd w:val="clear" w:color="auto" w:fill="auto"/>
          </w:tcPr>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(1)</w:t>
            </w:r>
            <w:r>
              <w:rPr>
                <w:rFonts w:asciiTheme="majorBidi" w:hAnsiTheme="majorBidi"/>
                <w:noProof/>
                <w:sz w:val="22"/>
              </w:rPr>
              <w:tab/>
              <w:t>Sans préjudice de licences supplémentaires accordées par la Norvège à la Suède, conformément à la pratique établie.</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(2)</w:t>
            </w:r>
            <w:r>
              <w:rPr>
                <w:rFonts w:asciiTheme="majorBidi" w:hAnsiTheme="majorBidi"/>
                <w:noProof/>
                <w:sz w:val="22"/>
              </w:rPr>
              <w:tab/>
              <w:t>Ces chiffres sont inclus dans les chiffres relatifs à toute pêche au chalut avec des navires ne dépassant pas 180 pieds dans la zone située entre 12 et 21 milles à partir des lignes de base des Îles Féroé.</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(3)</w:t>
            </w:r>
            <w:r>
              <w:rPr>
                <w:rFonts w:asciiTheme="majorBidi" w:hAnsiTheme="majorBidi"/>
                <w:noProof/>
                <w:sz w:val="22"/>
              </w:rPr>
              <w:tab/>
              <w:t>Ces chiffres se réfèrent au nombre maximal de navires présents à tout moment.</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(4)</w:t>
            </w:r>
            <w:r>
              <w:rPr>
                <w:rFonts w:asciiTheme="majorBidi" w:hAnsiTheme="majorBidi"/>
                <w:noProof/>
                <w:sz w:val="22"/>
              </w:rPr>
              <w:tab/>
              <w:t>Ces chiffres sont inclus dans les chiffres concernant la pêche au chalut au-delà de 21 milles à partir des lignes de base des Îles Féroé.</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(5)</w:t>
            </w:r>
            <w:r>
              <w:rPr>
                <w:rFonts w:asciiTheme="majorBidi" w:hAnsiTheme="majorBidi"/>
                <w:noProof/>
                <w:sz w:val="22"/>
              </w:rPr>
              <w:tab/>
              <w:t>La répartition des possibilités de pêche mises à la disposition de l'Union dans la zone du Svalbard est sans préjudice des droits et obligations découlant du traité de Paris de 1920.</w:t>
            </w:r>
          </w:p>
        </w:tc>
      </w:tr>
    </w:tbl>
    <w:p>
      <w:pPr>
        <w:pStyle w:val="LignefinalLandscape"/>
        <w:rPr>
          <w:noProof/>
        </w:rPr>
      </w:pPr>
    </w:p>
    <w:p>
      <w:pPr>
        <w:rPr>
          <w:noProof/>
        </w:rPr>
        <w:sectPr>
          <w:headerReference w:type="default" r:id="rId27"/>
          <w:footerReference w:type="default" r:id="rId28"/>
          <w:headerReference w:type="first" r:id="rId29"/>
          <w:footerReference w:type="first" r:id="rId3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ANNEXE IV</w:t>
      </w:r>
    </w:p>
    <w:p>
      <w:pPr>
        <w:jc w:val="center"/>
        <w:rPr>
          <w:noProof/>
        </w:rPr>
      </w:pPr>
      <w:r>
        <w:rPr>
          <w:noProof/>
        </w:rPr>
        <w:t>ZONE DE LA CONVENTION CICTA</w:t>
      </w:r>
      <w:r>
        <w:rPr>
          <w:rStyle w:val="FootnoteReference"/>
          <w:noProof/>
        </w:rPr>
        <w:footnoteReference w:id="1"/>
      </w:r>
    </w:p>
    <w:p>
      <w:pPr>
        <w:ind w:left="850" w:hanging="850"/>
        <w:rPr>
          <w:noProof/>
        </w:rPr>
      </w:pPr>
      <w:r>
        <w:rPr>
          <w:noProof/>
        </w:rPr>
        <w:t>1.</w:t>
      </w:r>
      <w:r>
        <w:rPr>
          <w:noProof/>
        </w:rPr>
        <w:tab/>
        <w:t>Nombre maximal de thoniers-canneurs et ligneurs de l'Union autorisés à pêcher activement dans l'Atlantique Est des thons rouges pesant entre 8 kg et 30 kg et mesurant entre 75 cm et 115 cm</w:t>
      </w:r>
    </w:p>
    <w:tbl>
      <w:tblPr>
        <w:tblW w:w="0" w:type="auto"/>
        <w:tblInd w:w="959" w:type="dxa"/>
        <w:tblLayout w:type="fixed"/>
        <w:tblLook w:val="0000" w:firstRow="0" w:lastRow="0" w:firstColumn="0" w:lastColumn="0" w:noHBand="0" w:noVBand="0"/>
      </w:tblPr>
      <w:tblGrid>
        <w:gridCol w:w="3578"/>
        <w:gridCol w:w="3579"/>
      </w:tblGrid>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bl>
    <w:p>
      <w:pPr>
        <w:rPr>
          <w:noProof/>
        </w:rPr>
      </w:pPr>
    </w:p>
    <w:p>
      <w:pPr>
        <w:ind w:left="850" w:hanging="850"/>
        <w:rPr>
          <w:noProof/>
        </w:rPr>
      </w:pPr>
      <w:r>
        <w:rPr>
          <w:noProof/>
        </w:rPr>
        <w:t>2.</w:t>
      </w:r>
      <w:r>
        <w:rPr>
          <w:noProof/>
        </w:rPr>
        <w:tab/>
        <w:t>Nombre maximal de navires de pêche artisanale côtière de l'Union autorisés à pêcher activement en Méditerranée des thons rouges pesant entre 8 kg et 30 kg et mesurant entre 75 cm et 115 cm</w:t>
      </w:r>
    </w:p>
    <w:tbl>
      <w:tblPr>
        <w:tblW w:w="0" w:type="auto"/>
        <w:tblInd w:w="959" w:type="dxa"/>
        <w:tblLayout w:type="fixed"/>
        <w:tblLook w:val="0000" w:firstRow="0" w:lastRow="0" w:firstColumn="0" w:lastColumn="0" w:noHBand="0" w:noVBand="0"/>
      </w:tblPr>
      <w:tblGrid>
        <w:gridCol w:w="3537"/>
        <w:gridCol w:w="3537"/>
      </w:tblGrid>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Cs w:val="20"/>
              </w:rPr>
            </w:pPr>
            <w:r>
              <w:rPr>
                <w:noProof/>
              </w:rPr>
              <w:t>À fixer</w:t>
            </w:r>
            <w:r>
              <w:rPr>
                <w:rStyle w:val="FootnoteReference"/>
                <w:noProof/>
              </w:rPr>
              <w:footnoteReference w:id="2"/>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Cs w:val="20"/>
              </w:rPr>
            </w:pPr>
            <w:r>
              <w:rPr>
                <w:noProof/>
              </w:rPr>
              <w:t>À fixer</w:t>
            </w:r>
            <w:r>
              <w:rPr>
                <w:rStyle w:val="FootnoteReference"/>
                <w:noProof/>
                <w:sz w:val="20"/>
              </w:rPr>
              <w:t>2</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bl>
    <w:p>
      <w:pPr>
        <w:rPr>
          <w:noProof/>
        </w:rPr>
      </w:pPr>
    </w:p>
    <w:p>
      <w:pPr>
        <w:ind w:left="850" w:hanging="850"/>
        <w:rPr>
          <w:noProof/>
        </w:rPr>
      </w:pPr>
      <w:r>
        <w:rPr>
          <w:noProof/>
        </w:rPr>
        <w:br w:type="page"/>
        <w:t>3.</w:t>
      </w:r>
      <w:r>
        <w:rPr>
          <w:noProof/>
        </w:rPr>
        <w:tab/>
        <w:t>Nombre maximal de navires de pêche de l'Union autorisés à pêcher activement dans l'Adriatique, à des fins d'élevage, des thons rouges pesant entre 8 kg et 30 kg et mesurant entre 75 cm et 115 cm</w:t>
      </w:r>
    </w:p>
    <w:tbl>
      <w:tblPr>
        <w:tblW w:w="0" w:type="auto"/>
        <w:tblInd w:w="959" w:type="dxa"/>
        <w:tblLayout w:type="fixed"/>
        <w:tblLook w:val="0000" w:firstRow="0" w:lastRow="0" w:firstColumn="0" w:lastColumn="0" w:noHBand="0" w:noVBand="0"/>
      </w:tblPr>
      <w:tblGrid>
        <w:gridCol w:w="3576"/>
        <w:gridCol w:w="3576"/>
      </w:tblGrid>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bl>
    <w:p>
      <w:pPr>
        <w:rPr>
          <w:noProof/>
        </w:rPr>
      </w:pPr>
    </w:p>
    <w:p>
      <w:pPr>
        <w:ind w:left="850" w:hanging="850"/>
        <w:rPr>
          <w:noProof/>
        </w:rPr>
      </w:pPr>
      <w:r>
        <w:rPr>
          <w:noProof/>
        </w:rPr>
        <w:t>4.</w:t>
      </w:r>
      <w:r>
        <w:rPr>
          <w:noProof/>
        </w:rPr>
        <w:tab/>
        <w:t>Nombre maximal de navires de pêche de chaque État membre autorisés à pêcher, à conserver à bord, à transborder, à transporter ou à débarquer du thon rouge dans l'Atlantique Est et en Méditerranée et tonnage brut correspondant à ce nombre de navires:</w:t>
      </w:r>
    </w:p>
    <w:p>
      <w:pPr>
        <w:jc w:val="center"/>
        <w:rPr>
          <w:noProof/>
        </w:rPr>
      </w:pPr>
      <w:r>
        <w:rPr>
          <w:noProof/>
        </w:rPr>
        <w:t>Tableau A</w:t>
      </w:r>
    </w:p>
    <w:tbl>
      <w:tblPr>
        <w:tblW w:w="0" w:type="auto"/>
        <w:tblLook w:val="0000" w:firstRow="0" w:lastRow="0" w:firstColumn="0" w:lastColumn="0" w:noHBand="0" w:noVBand="0"/>
      </w:tblPr>
      <w:tblGrid>
        <w:gridCol w:w="2058"/>
        <w:gridCol w:w="1003"/>
        <w:gridCol w:w="903"/>
        <w:gridCol w:w="923"/>
        <w:gridCol w:w="902"/>
        <w:gridCol w:w="1102"/>
        <w:gridCol w:w="1030"/>
        <w:gridCol w:w="903"/>
        <w:gridCol w:w="1030"/>
      </w:tblGrid>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Nombre de navires de pêche</w:t>
            </w:r>
            <w:r>
              <w:rPr>
                <w:rStyle w:val="FootnoteReference"/>
                <w:noProof/>
              </w:rPr>
              <w:footnoteReference w:id="3"/>
            </w:r>
          </w:p>
        </w:tc>
      </w:tr>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Chypre</w:t>
            </w:r>
            <w:r>
              <w:rPr>
                <w:rStyle w:val="FootnoteReference"/>
                <w:noProof/>
              </w:rPr>
              <w:footnoteReference w:id="4"/>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Grèce</w:t>
            </w:r>
            <w:r>
              <w:rPr>
                <w:rStyle w:val="FootnoteReference"/>
                <w:noProof/>
              </w:rPr>
              <w:footnoteReference w:id="5"/>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Croatie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Italie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France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Espagne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Malte</w:t>
            </w:r>
            <w:r>
              <w:rPr>
                <w:rStyle w:val="FootnoteReference"/>
                <w:noProof/>
              </w:rPr>
              <w:footnoteReference w:id="6"/>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rPr>
            </w:pPr>
            <w:r>
              <w:rPr>
                <w:noProof/>
              </w:rPr>
              <w:t>Portugal</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Senneurs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rPr>
              <w:t>À fixer</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Palangriers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À fixer</w:t>
            </w:r>
            <w:r>
              <w:rPr>
                <w:rStyle w:val="FootnoteReference"/>
                <w:noProof/>
              </w:rPr>
              <w:footnoteReference w:id="7"/>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rPr>
              <w:t>À fixer</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Thoniers-canneurs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rPr>
              <w:t>À fixer</w:t>
            </w:r>
            <w:r>
              <w:rPr>
                <w:rStyle w:val="FootnoteReference"/>
                <w:noProof/>
                <w:szCs w:val="20"/>
              </w:rPr>
              <w:footnoteReference w:id="8"/>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Lignes à main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tcPr>
          <w:p>
            <w:pPr>
              <w:spacing w:before="60" w:after="60"/>
              <w:ind w:right="120"/>
              <w:jc w:val="right"/>
              <w:rPr>
                <w:noProof/>
              </w:rPr>
            </w:pPr>
            <w:r>
              <w:rPr>
                <w:noProof/>
              </w:rPr>
              <w:t>À fixer</w:t>
            </w:r>
            <w:r>
              <w:rPr>
                <w:rStyle w:val="FootnoteReference"/>
                <w:noProof/>
              </w:rPr>
              <w:footnoteReference w:id="9"/>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À fixer</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Chalutiers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À fixer</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Petite échelle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À fixer</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Autres artisanaux</w:t>
            </w:r>
            <w:r>
              <w:rPr>
                <w:rStyle w:val="FootnoteReference"/>
                <w:noProof/>
              </w:rPr>
              <w:footnoteReference w:id="10"/>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À fixer</w:t>
            </w:r>
          </w:p>
        </w:tc>
      </w:tr>
    </w:tbl>
    <w:p>
      <w:pPr>
        <w:rPr>
          <w:noProof/>
        </w:rPr>
      </w:pPr>
    </w:p>
    <w:p>
      <w:pPr>
        <w:jc w:val="center"/>
        <w:rPr>
          <w:noProof/>
        </w:rPr>
      </w:pPr>
      <w:r>
        <w:rPr>
          <w:noProof/>
        </w:rPr>
        <w:br w:type="page"/>
        <w:t>Tableau B</w:t>
      </w:r>
    </w:p>
    <w:tbl>
      <w:tblPr>
        <w:tblW w:w="5000" w:type="pct"/>
        <w:tblLook w:val="0000" w:firstRow="0" w:lastRow="0" w:firstColumn="0" w:lastColumn="0" w:noHBand="0" w:noVBand="0"/>
      </w:tblPr>
      <w:tblGrid>
        <w:gridCol w:w="1296"/>
        <w:gridCol w:w="1132"/>
        <w:gridCol w:w="1258"/>
        <w:gridCol w:w="1258"/>
        <w:gridCol w:w="1130"/>
        <w:gridCol w:w="1132"/>
        <w:gridCol w:w="1387"/>
        <w:gridCol w:w="1261"/>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Tonnage brut</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Grèce</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Malte</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Senneurs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À fixer</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Palangriers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À fixer</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Thoniers-canneurs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À fixer</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Lignes à main</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À fixer</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Chalutiers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À fixer</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Autres artisanaux</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À fixer</w:t>
            </w:r>
          </w:p>
        </w:tc>
      </w:tr>
    </w:tbl>
    <w:p>
      <w:pPr>
        <w:rPr>
          <w:noProof/>
        </w:rPr>
      </w:pPr>
    </w:p>
    <w:p>
      <w:pPr>
        <w:ind w:left="850" w:hanging="850"/>
        <w:rPr>
          <w:noProof/>
        </w:rPr>
      </w:pPr>
      <w:r>
        <w:rPr>
          <w:noProof/>
        </w:rPr>
        <w:t>5.</w:t>
      </w:r>
      <w:r>
        <w:rPr>
          <w:noProof/>
        </w:rPr>
        <w:tab/>
        <w:t>Nombre maximal de madragues exploitées pour la pêche du thon rouge dans l'Atlantique Est et en Méditerranée autorisé par chaque État membre</w:t>
      </w:r>
    </w:p>
    <w:tbl>
      <w:tblPr>
        <w:tblW w:w="0" w:type="auto"/>
        <w:tblInd w:w="959" w:type="dxa"/>
        <w:tblLayout w:type="fixed"/>
        <w:tblLook w:val="0000" w:firstRow="0" w:lastRow="0" w:firstColumn="0" w:lastColumn="0" w:noHBand="0" w:noVBand="0"/>
      </w:tblPr>
      <w:tblGrid>
        <w:gridCol w:w="3606"/>
        <w:gridCol w:w="3606"/>
      </w:tblGrid>
      <w:tr>
        <w:trPr>
          <w:trHeight w:val="255"/>
        </w:trPr>
        <w:tc>
          <w:tcPr>
            <w:tcW w:w="360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État membre</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Nombre de madragues</w:t>
            </w:r>
            <w:r>
              <w:rPr>
                <w:rStyle w:val="FootnoteReference"/>
                <w:noProof/>
              </w:rPr>
              <w:footnoteReference w:id="11"/>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rPr>
              <w:t>À fixer</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rPr>
              <w:t>À fixer</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rPr>
              <w:t>À fixer</w:t>
            </w:r>
          </w:p>
        </w:tc>
      </w:tr>
    </w:tbl>
    <w:p>
      <w:pPr>
        <w:rPr>
          <w:noProof/>
        </w:rPr>
      </w:pPr>
    </w:p>
    <w:p>
      <w:pPr>
        <w:ind w:left="850" w:hanging="850"/>
        <w:rPr>
          <w:noProof/>
        </w:rPr>
      </w:pPr>
      <w:r>
        <w:rPr>
          <w:noProof/>
        </w:rPr>
        <w:br w:type="page"/>
        <w:t>6.</w:t>
      </w:r>
      <w:r>
        <w:rPr>
          <w:noProof/>
        </w:rPr>
        <w:tab/>
        <w:t>Capacité maximale d'élevage et d'engraissement de thon rouge pour chaque État membre et approvisionnement maximal en thons rouges capturés à l'état sauvage que chaque État membre peut attribuer à ses fermes dans l'Atlantique Est et en Méditerranée</w:t>
      </w:r>
    </w:p>
    <w:p>
      <w:pPr>
        <w:jc w:val="center"/>
        <w:rPr>
          <w:noProof/>
        </w:rPr>
      </w:pPr>
      <w:r>
        <w:rPr>
          <w:noProof/>
        </w:rPr>
        <w:t>Tableau A</w:t>
      </w:r>
    </w:p>
    <w:tbl>
      <w:tblPr>
        <w:tblW w:w="0" w:type="auto"/>
        <w:jc w:val="center"/>
        <w:tblLayout w:type="fixed"/>
        <w:tblLook w:val="0000" w:firstRow="0" w:lastRow="0" w:firstColumn="0" w:lastColumn="0" w:noHBand="0" w:noVBand="0"/>
      </w:tblPr>
      <w:tblGrid>
        <w:gridCol w:w="2782"/>
        <w:gridCol w:w="2783"/>
        <w:gridCol w:w="2783"/>
      </w:tblGrid>
      <w:tr>
        <w:trPr>
          <w:tblHeader/>
          <w:jc w:val="cent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Capacité maximale d'élevage et d'engraissement de thon</w:t>
            </w:r>
          </w:p>
        </w:tc>
      </w:tr>
      <w:tr>
        <w:trPr>
          <w:tblHeade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Nombre de fermes</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Capacité (en tonnes)</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Grèce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rPr>
          <w:trHeight w:val="70"/>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À fixer</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bl>
    <w:p>
      <w:pPr>
        <w:rPr>
          <w:noProof/>
        </w:rPr>
      </w:pPr>
    </w:p>
    <w:p>
      <w:pPr>
        <w:jc w:val="center"/>
        <w:rPr>
          <w:noProof/>
        </w:rPr>
      </w:pPr>
      <w:r>
        <w:rPr>
          <w:noProof/>
        </w:rPr>
        <w:t>Tableau B</w:t>
      </w:r>
      <w:r>
        <w:rPr>
          <w:rStyle w:val="FootnoteReference"/>
          <w:noProof/>
        </w:rPr>
        <w:footnoteReference w:id="12"/>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Approvisionnement maximal en thons rouges capturés à l'état sauvage (en tonnes)</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Grèce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À fixer</w:t>
            </w:r>
          </w:p>
        </w:tc>
      </w:tr>
    </w:tbl>
    <w:p>
      <w:pPr>
        <w:rPr>
          <w:noProof/>
        </w:rPr>
      </w:pPr>
    </w:p>
    <w:p>
      <w:pPr>
        <w:ind w:left="850" w:hanging="850"/>
        <w:rPr>
          <w:noProof/>
        </w:rPr>
      </w:pPr>
      <w:r>
        <w:rPr>
          <w:noProof/>
        </w:rPr>
        <w:br w:type="page"/>
        <w:t>7.</w:t>
      </w:r>
      <w:r>
        <w:rPr>
          <w:noProof/>
        </w:rPr>
        <w:tab/>
        <w:t>La répartition entre les États membres du nombre maximal de navires de pêche battant pavillon d'un État membre autorisé à pêcher le germon du Nord comme espèce cible, conformément à l'article 12 du règlement (CE) nº 520/2007 est fixée comme suit:</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trPr>
          <w:trHeight w:val="227"/>
          <w:jc w:val="center"/>
        </w:trPr>
        <w:tc>
          <w:tcPr>
            <w:tcW w:w="4182" w:type="dxa"/>
            <w:noWrap/>
            <w:vAlign w:val="center"/>
            <w:hideMark/>
          </w:tcPr>
          <w:p>
            <w:pPr>
              <w:spacing w:before="60" w:after="60"/>
              <w:jc w:val="center"/>
              <w:rPr>
                <w:noProof/>
              </w:rPr>
            </w:pPr>
            <w:r>
              <w:rPr>
                <w:noProof/>
              </w:rPr>
              <w:t>État membre</w:t>
            </w:r>
          </w:p>
        </w:tc>
        <w:tc>
          <w:tcPr>
            <w:tcW w:w="4182" w:type="dxa"/>
            <w:noWrap/>
            <w:vAlign w:val="center"/>
            <w:hideMark/>
          </w:tcPr>
          <w:p>
            <w:pPr>
              <w:spacing w:before="60" w:after="60"/>
              <w:jc w:val="center"/>
              <w:rPr>
                <w:noProof/>
              </w:rPr>
            </w:pPr>
            <w:r>
              <w:rPr>
                <w:noProof/>
              </w:rPr>
              <w:t>Nombre maximal de navires</w:t>
            </w:r>
          </w:p>
        </w:tc>
      </w:tr>
      <w:tr>
        <w:trPr>
          <w:trHeight w:val="227"/>
          <w:jc w:val="center"/>
        </w:trPr>
        <w:tc>
          <w:tcPr>
            <w:tcW w:w="4182" w:type="dxa"/>
            <w:noWrap/>
            <w:hideMark/>
          </w:tcPr>
          <w:p>
            <w:pPr>
              <w:spacing w:before="60" w:after="60"/>
              <w:rPr>
                <w:noProof/>
              </w:rPr>
            </w:pPr>
            <w:r>
              <w:rPr>
                <w:noProof/>
              </w:rPr>
              <w:t>Irlande</w:t>
            </w:r>
          </w:p>
        </w:tc>
        <w:tc>
          <w:tcPr>
            <w:tcW w:w="4182" w:type="dxa"/>
            <w:noWrap/>
            <w:vAlign w:val="center"/>
          </w:tcPr>
          <w:p>
            <w:pPr>
              <w:spacing w:before="60" w:after="60"/>
              <w:jc w:val="center"/>
              <w:rPr>
                <w:noProof/>
                <w:szCs w:val="20"/>
              </w:rPr>
            </w:pPr>
            <w:r>
              <w:rPr>
                <w:noProof/>
              </w:rPr>
              <w:t>À fixer</w:t>
            </w:r>
          </w:p>
        </w:tc>
      </w:tr>
      <w:tr>
        <w:trPr>
          <w:trHeight w:val="227"/>
          <w:jc w:val="center"/>
        </w:trPr>
        <w:tc>
          <w:tcPr>
            <w:tcW w:w="4182" w:type="dxa"/>
            <w:noWrap/>
            <w:hideMark/>
          </w:tcPr>
          <w:p>
            <w:pPr>
              <w:spacing w:before="60" w:after="60"/>
              <w:rPr>
                <w:noProof/>
              </w:rPr>
            </w:pPr>
            <w:r>
              <w:rPr>
                <w:noProof/>
              </w:rPr>
              <w:t>Espagne</w:t>
            </w:r>
          </w:p>
        </w:tc>
        <w:tc>
          <w:tcPr>
            <w:tcW w:w="4182" w:type="dxa"/>
            <w:noWrap/>
            <w:vAlign w:val="center"/>
          </w:tcPr>
          <w:p>
            <w:pPr>
              <w:spacing w:before="60" w:after="60"/>
              <w:jc w:val="center"/>
              <w:rPr>
                <w:noProof/>
                <w:szCs w:val="20"/>
              </w:rPr>
            </w:pPr>
            <w:r>
              <w:rPr>
                <w:noProof/>
              </w:rPr>
              <w:t>À fixer</w:t>
            </w:r>
          </w:p>
        </w:tc>
      </w:tr>
      <w:tr>
        <w:trPr>
          <w:trHeight w:val="227"/>
          <w:jc w:val="center"/>
        </w:trPr>
        <w:tc>
          <w:tcPr>
            <w:tcW w:w="4182" w:type="dxa"/>
            <w:noWrap/>
            <w:hideMark/>
          </w:tcPr>
          <w:p>
            <w:pPr>
              <w:spacing w:before="60" w:after="60"/>
              <w:rPr>
                <w:noProof/>
              </w:rPr>
            </w:pPr>
            <w:r>
              <w:rPr>
                <w:noProof/>
              </w:rPr>
              <w:t>France</w:t>
            </w:r>
          </w:p>
        </w:tc>
        <w:tc>
          <w:tcPr>
            <w:tcW w:w="4182" w:type="dxa"/>
            <w:noWrap/>
            <w:vAlign w:val="center"/>
          </w:tcPr>
          <w:p>
            <w:pPr>
              <w:spacing w:before="60" w:after="60"/>
              <w:jc w:val="center"/>
              <w:rPr>
                <w:noProof/>
                <w:szCs w:val="20"/>
              </w:rPr>
            </w:pPr>
            <w:r>
              <w:rPr>
                <w:noProof/>
              </w:rPr>
              <w:t>À fixer</w:t>
            </w:r>
          </w:p>
        </w:tc>
      </w:tr>
      <w:tr>
        <w:trPr>
          <w:trHeight w:val="227"/>
          <w:jc w:val="center"/>
        </w:trPr>
        <w:tc>
          <w:tcPr>
            <w:tcW w:w="4182" w:type="dxa"/>
            <w:noWrap/>
          </w:tcPr>
          <w:p>
            <w:pPr>
              <w:spacing w:before="60" w:after="60"/>
              <w:rPr>
                <w:noProof/>
              </w:rPr>
            </w:pPr>
            <w:r>
              <w:rPr>
                <w:noProof/>
              </w:rPr>
              <w:t>Royaume-Uni</w:t>
            </w:r>
          </w:p>
        </w:tc>
        <w:tc>
          <w:tcPr>
            <w:tcW w:w="4182" w:type="dxa"/>
            <w:noWrap/>
            <w:vAlign w:val="center"/>
          </w:tcPr>
          <w:p>
            <w:pPr>
              <w:spacing w:before="60" w:after="60"/>
              <w:jc w:val="center"/>
              <w:rPr>
                <w:noProof/>
                <w:szCs w:val="20"/>
              </w:rPr>
            </w:pPr>
            <w:r>
              <w:rPr>
                <w:noProof/>
              </w:rPr>
              <w:t>À fixer</w:t>
            </w:r>
          </w:p>
        </w:tc>
      </w:tr>
      <w:tr>
        <w:trPr>
          <w:trHeight w:val="227"/>
          <w:jc w:val="center"/>
        </w:trPr>
        <w:tc>
          <w:tcPr>
            <w:tcW w:w="4182" w:type="dxa"/>
            <w:noWrap/>
          </w:tcPr>
          <w:p>
            <w:pPr>
              <w:spacing w:before="60" w:after="60"/>
              <w:rPr>
                <w:noProof/>
              </w:rPr>
            </w:pPr>
            <w:r>
              <w:rPr>
                <w:noProof/>
              </w:rPr>
              <w:t>Portugal</w:t>
            </w:r>
          </w:p>
        </w:tc>
        <w:tc>
          <w:tcPr>
            <w:tcW w:w="4182" w:type="dxa"/>
            <w:noWrap/>
            <w:vAlign w:val="center"/>
          </w:tcPr>
          <w:p>
            <w:pPr>
              <w:spacing w:before="60" w:after="60"/>
              <w:jc w:val="center"/>
              <w:rPr>
                <w:noProof/>
                <w:szCs w:val="20"/>
              </w:rPr>
            </w:pPr>
            <w:r>
              <w:rPr>
                <w:noProof/>
              </w:rPr>
              <w:t>À fixer</w:t>
            </w:r>
          </w:p>
        </w:tc>
      </w:tr>
    </w:tbl>
    <w:p>
      <w:pPr>
        <w:rPr>
          <w:noProof/>
        </w:rPr>
      </w:pPr>
    </w:p>
    <w:p>
      <w:pPr>
        <w:ind w:left="850" w:hanging="850"/>
        <w:rPr>
          <w:noProof/>
        </w:rPr>
      </w:pPr>
      <w:r>
        <w:rPr>
          <w:noProof/>
        </w:rPr>
        <w:t>8.</w:t>
      </w:r>
      <w:r>
        <w:rPr>
          <w:noProof/>
        </w:rPr>
        <w:tab/>
        <w:t>Le nombre maximal de navires de pêche de l'Union d'une longueur d'au moins 20 mètres qui pêchent le thon obèse dans la zone de la convention CICTA est fixé comme suit: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trPr>
          <w:trHeight w:val="227"/>
          <w:jc w:val="center"/>
        </w:trPr>
        <w:tc>
          <w:tcPr>
            <w:tcW w:w="3024" w:type="dxa"/>
            <w:noWrap/>
            <w:vAlign w:val="center"/>
            <w:hideMark/>
          </w:tcPr>
          <w:p>
            <w:pPr>
              <w:spacing w:before="60" w:after="60"/>
              <w:jc w:val="center"/>
              <w:rPr>
                <w:noProof/>
              </w:rPr>
            </w:pPr>
            <w:r>
              <w:rPr>
                <w:noProof/>
              </w:rPr>
              <w:t>État membre</w:t>
            </w:r>
          </w:p>
        </w:tc>
        <w:tc>
          <w:tcPr>
            <w:tcW w:w="3024" w:type="dxa"/>
            <w:noWrap/>
            <w:vAlign w:val="center"/>
            <w:hideMark/>
          </w:tcPr>
          <w:p>
            <w:pPr>
              <w:spacing w:before="60" w:after="60"/>
              <w:jc w:val="center"/>
              <w:rPr>
                <w:noProof/>
              </w:rPr>
            </w:pPr>
            <w:r>
              <w:rPr>
                <w:noProof/>
              </w:rPr>
              <w:t>Nombre maximal de navires équipés de sennes coulissantes</w:t>
            </w:r>
          </w:p>
        </w:tc>
        <w:tc>
          <w:tcPr>
            <w:tcW w:w="3024" w:type="dxa"/>
            <w:noWrap/>
            <w:vAlign w:val="center"/>
            <w:hideMark/>
          </w:tcPr>
          <w:p>
            <w:pPr>
              <w:spacing w:before="60" w:after="60"/>
              <w:jc w:val="center"/>
              <w:rPr>
                <w:noProof/>
              </w:rPr>
            </w:pPr>
            <w:r>
              <w:rPr>
                <w:noProof/>
              </w:rPr>
              <w:t>Nombre maximal de navires équipés de palangres</w:t>
            </w:r>
          </w:p>
        </w:tc>
      </w:tr>
      <w:tr>
        <w:trPr>
          <w:trHeight w:val="227"/>
          <w:jc w:val="center"/>
        </w:trPr>
        <w:tc>
          <w:tcPr>
            <w:tcW w:w="3024" w:type="dxa"/>
            <w:noWrap/>
            <w:vAlign w:val="center"/>
            <w:hideMark/>
          </w:tcPr>
          <w:p>
            <w:pPr>
              <w:spacing w:before="60" w:after="60"/>
              <w:rPr>
                <w:noProof/>
              </w:rPr>
            </w:pPr>
            <w:r>
              <w:rPr>
                <w:noProof/>
              </w:rPr>
              <w:t>Espagne</w:t>
            </w:r>
          </w:p>
        </w:tc>
        <w:tc>
          <w:tcPr>
            <w:tcW w:w="3024" w:type="dxa"/>
            <w:noWrap/>
            <w:vAlign w:val="center"/>
            <w:hideMark/>
          </w:tcPr>
          <w:p>
            <w:pPr>
              <w:spacing w:before="60" w:after="60"/>
              <w:jc w:val="center"/>
              <w:rPr>
                <w:noProof/>
                <w:szCs w:val="20"/>
              </w:rPr>
            </w:pPr>
            <w:r>
              <w:rPr>
                <w:noProof/>
              </w:rPr>
              <w:t>À fixer</w:t>
            </w:r>
          </w:p>
        </w:tc>
        <w:tc>
          <w:tcPr>
            <w:tcW w:w="3024" w:type="dxa"/>
            <w:noWrap/>
            <w:vAlign w:val="center"/>
            <w:hideMark/>
          </w:tcPr>
          <w:p>
            <w:pPr>
              <w:spacing w:before="60" w:after="60"/>
              <w:jc w:val="center"/>
              <w:rPr>
                <w:noProof/>
                <w:szCs w:val="20"/>
              </w:rPr>
            </w:pPr>
            <w:r>
              <w:rPr>
                <w:noProof/>
              </w:rPr>
              <w:t>À fixer</w:t>
            </w:r>
          </w:p>
        </w:tc>
      </w:tr>
      <w:tr>
        <w:trPr>
          <w:trHeight w:val="227"/>
          <w:jc w:val="center"/>
        </w:trPr>
        <w:tc>
          <w:tcPr>
            <w:tcW w:w="3024" w:type="dxa"/>
            <w:noWrap/>
            <w:vAlign w:val="center"/>
            <w:hideMark/>
          </w:tcPr>
          <w:p>
            <w:pPr>
              <w:spacing w:before="60" w:after="60"/>
              <w:rPr>
                <w:noProof/>
              </w:rPr>
            </w:pPr>
            <w:r>
              <w:rPr>
                <w:noProof/>
              </w:rPr>
              <w:t>France</w:t>
            </w:r>
          </w:p>
        </w:tc>
        <w:tc>
          <w:tcPr>
            <w:tcW w:w="3024" w:type="dxa"/>
            <w:noWrap/>
            <w:vAlign w:val="center"/>
            <w:hideMark/>
          </w:tcPr>
          <w:p>
            <w:pPr>
              <w:spacing w:before="60" w:after="60"/>
              <w:jc w:val="center"/>
              <w:rPr>
                <w:noProof/>
                <w:szCs w:val="20"/>
              </w:rPr>
            </w:pPr>
            <w:r>
              <w:rPr>
                <w:noProof/>
              </w:rPr>
              <w:t>À fixer</w:t>
            </w:r>
          </w:p>
        </w:tc>
        <w:tc>
          <w:tcPr>
            <w:tcW w:w="3024" w:type="dxa"/>
            <w:noWrap/>
            <w:vAlign w:val="center"/>
            <w:hideMark/>
          </w:tcPr>
          <w:p>
            <w:pPr>
              <w:spacing w:before="60" w:after="60"/>
              <w:jc w:val="center"/>
              <w:rPr>
                <w:noProof/>
                <w:szCs w:val="20"/>
              </w:rPr>
            </w:pPr>
            <w:r>
              <w:rPr>
                <w:noProof/>
              </w:rPr>
              <w:t>À fixer</w:t>
            </w:r>
          </w:p>
        </w:tc>
      </w:tr>
      <w:tr>
        <w:trPr>
          <w:trHeight w:val="227"/>
          <w:jc w:val="center"/>
        </w:trPr>
        <w:tc>
          <w:tcPr>
            <w:tcW w:w="3024" w:type="dxa"/>
            <w:noWrap/>
            <w:vAlign w:val="center"/>
            <w:hideMark/>
          </w:tcPr>
          <w:p>
            <w:pPr>
              <w:spacing w:before="60" w:after="60"/>
              <w:rPr>
                <w:noProof/>
              </w:rPr>
            </w:pPr>
            <w:r>
              <w:rPr>
                <w:noProof/>
              </w:rPr>
              <w:t>Portugal</w:t>
            </w:r>
          </w:p>
        </w:tc>
        <w:tc>
          <w:tcPr>
            <w:tcW w:w="3024" w:type="dxa"/>
            <w:noWrap/>
            <w:vAlign w:val="center"/>
            <w:hideMark/>
          </w:tcPr>
          <w:p>
            <w:pPr>
              <w:spacing w:before="60" w:after="60"/>
              <w:jc w:val="center"/>
              <w:rPr>
                <w:noProof/>
                <w:szCs w:val="20"/>
              </w:rPr>
            </w:pPr>
            <w:r>
              <w:rPr>
                <w:noProof/>
              </w:rPr>
              <w:t>À fixer</w:t>
            </w:r>
          </w:p>
        </w:tc>
        <w:tc>
          <w:tcPr>
            <w:tcW w:w="3024" w:type="dxa"/>
            <w:noWrap/>
            <w:vAlign w:val="center"/>
            <w:hideMark/>
          </w:tcPr>
          <w:p>
            <w:pPr>
              <w:spacing w:before="60" w:after="60"/>
              <w:jc w:val="center"/>
              <w:rPr>
                <w:noProof/>
                <w:szCs w:val="20"/>
              </w:rPr>
            </w:pPr>
            <w:r>
              <w:rPr>
                <w:noProof/>
              </w:rPr>
              <w:t>À fixer</w:t>
            </w:r>
          </w:p>
        </w:tc>
      </w:tr>
      <w:tr>
        <w:trPr>
          <w:trHeight w:val="227"/>
          <w:jc w:val="center"/>
        </w:trPr>
        <w:tc>
          <w:tcPr>
            <w:tcW w:w="3024" w:type="dxa"/>
            <w:noWrap/>
            <w:vAlign w:val="center"/>
          </w:tcPr>
          <w:p>
            <w:pPr>
              <w:spacing w:before="60" w:after="60"/>
              <w:rPr>
                <w:noProof/>
              </w:rPr>
            </w:pPr>
            <w:r>
              <w:rPr>
                <w:noProof/>
              </w:rPr>
              <w:t>Union</w:t>
            </w:r>
          </w:p>
        </w:tc>
        <w:tc>
          <w:tcPr>
            <w:tcW w:w="3024" w:type="dxa"/>
            <w:noWrap/>
            <w:vAlign w:val="center"/>
          </w:tcPr>
          <w:p>
            <w:pPr>
              <w:spacing w:before="60" w:after="60"/>
              <w:jc w:val="center"/>
              <w:rPr>
                <w:noProof/>
                <w:szCs w:val="20"/>
              </w:rPr>
            </w:pPr>
            <w:r>
              <w:rPr>
                <w:noProof/>
              </w:rPr>
              <w:t>À fixer</w:t>
            </w:r>
          </w:p>
        </w:tc>
        <w:tc>
          <w:tcPr>
            <w:tcW w:w="3024" w:type="dxa"/>
            <w:noWrap/>
            <w:vAlign w:val="center"/>
          </w:tcPr>
          <w:p>
            <w:pPr>
              <w:spacing w:before="60" w:after="60"/>
              <w:jc w:val="center"/>
              <w:rPr>
                <w:noProof/>
                <w:szCs w:val="20"/>
              </w:rPr>
            </w:pPr>
            <w:r>
              <w:rPr>
                <w:noProof/>
              </w:rPr>
              <w:t>À fixer</w:t>
            </w:r>
          </w:p>
        </w:tc>
      </w:tr>
    </w:tbl>
    <w:p>
      <w:pPr>
        <w:pBdr>
          <w:bottom w:val="single" w:sz="4" w:space="0" w:color="000000"/>
        </w:pBdr>
        <w:spacing w:before="360" w:line="360" w:lineRule="auto"/>
        <w:ind w:left="3400" w:right="3400"/>
        <w:jc w:val="center"/>
        <w:rPr>
          <w:rFonts w:eastAsia="Times New Roman"/>
          <w:b/>
          <w:noProof/>
          <w:szCs w:val="24"/>
        </w:rPr>
      </w:pPr>
    </w:p>
    <w:p>
      <w:pPr>
        <w:rPr>
          <w:noProof/>
        </w:rPr>
        <w:sectPr>
          <w:headerReference w:type="default" r:id="rId31"/>
          <w:footerReference w:type="default" r:id="rId32"/>
          <w:headerReference w:type="first" r:id="rId33"/>
          <w:footerReference w:type="first" r:id="rId34"/>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ANNEXE V</w:t>
      </w:r>
    </w:p>
    <w:p>
      <w:pPr>
        <w:pStyle w:val="NormalCentered"/>
        <w:rPr>
          <w:noProof/>
        </w:rPr>
      </w:pPr>
      <w:r>
        <w:rPr>
          <w:noProof/>
        </w:rPr>
        <w:t>ZONE RELEVANT DE LA CONVENTION CCAMLR</w:t>
      </w:r>
    </w:p>
    <w:p>
      <w:pPr>
        <w:pStyle w:val="NormalCentered"/>
        <w:rPr>
          <w:noProof/>
        </w:rPr>
      </w:pPr>
      <w:r>
        <w:rPr>
          <w:noProof/>
        </w:rPr>
        <w:t>PARTIE A</w:t>
      </w:r>
      <w:r>
        <w:rPr>
          <w:noProof/>
        </w:rPr>
        <w:br/>
        <w:t>INTERDICTIONS DE PÊCHE CIBLÉE DANS LA ZONE DE LA CONVENTION CCAMLR</w:t>
      </w:r>
    </w:p>
    <w:tbl>
      <w:tblPr>
        <w:tblW w:w="0" w:type="auto"/>
        <w:jc w:val="center"/>
        <w:tblLook w:val="04A0" w:firstRow="1" w:lastRow="0" w:firstColumn="1" w:lastColumn="0" w:noHBand="0" w:noVBand="1"/>
      </w:tblPr>
      <w:tblGrid>
        <w:gridCol w:w="2820"/>
        <w:gridCol w:w="3632"/>
        <w:gridCol w:w="3402"/>
      </w:tblGrid>
      <w:tr>
        <w:trPr>
          <w:trHeight w:val="227"/>
          <w:tblHeader/>
          <w:jc w:val="center"/>
        </w:trPr>
        <w:tc>
          <w:tcPr>
            <w:tcW w:w="0" w:type="auto"/>
            <w:tcBorders>
              <w:top w:val="single" w:sz="4" w:space="0" w:color="000000"/>
              <w:left w:val="single" w:sz="4" w:space="0" w:color="000000"/>
              <w:bottom w:val="single" w:sz="4" w:space="0" w:color="000000"/>
              <w:right w:val="nil"/>
            </w:tcBorders>
            <w:vAlign w:val="center"/>
            <w:hideMark/>
          </w:tcPr>
          <w:p>
            <w:pPr>
              <w:spacing w:before="60" w:after="60" w:line="276" w:lineRule="auto"/>
              <w:jc w:val="center"/>
              <w:rPr>
                <w:noProof/>
                <w:sz w:val="22"/>
              </w:rPr>
            </w:pPr>
            <w:r>
              <w:rPr>
                <w:noProof/>
              </w:rPr>
              <w:t>Espèce cible</w:t>
            </w:r>
          </w:p>
        </w:tc>
        <w:tc>
          <w:tcPr>
            <w:tcW w:w="0" w:type="auto"/>
            <w:tcBorders>
              <w:top w:val="single" w:sz="4" w:space="0" w:color="000000"/>
              <w:left w:val="single" w:sz="4" w:space="0" w:color="000000"/>
              <w:bottom w:val="single" w:sz="4" w:space="0" w:color="000000"/>
              <w:right w:val="nil"/>
            </w:tcBorders>
            <w:vAlign w:val="center"/>
            <w:hideMark/>
          </w:tcPr>
          <w:p>
            <w:pPr>
              <w:spacing w:before="60" w:after="60" w:line="276" w:lineRule="auto"/>
              <w:jc w:val="center"/>
              <w:rPr>
                <w:noProof/>
              </w:rPr>
            </w:pPr>
            <w:r>
              <w:rPr>
                <w:noProof/>
              </w:rPr>
              <w:t>Zone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rPr>
            </w:pPr>
            <w:r>
              <w:rPr>
                <w:noProof/>
              </w:rPr>
              <w:t>Période d'interdiction</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Requins (toutes espèces)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Zone de la convention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janvier au 31 décembre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i/>
                <w:iCs/>
                <w:noProof/>
              </w:rPr>
            </w:pPr>
            <w:r>
              <w:rPr>
                <w:i/>
                <w:iCs/>
                <w:noProof/>
              </w:rPr>
              <w:t>Notothenia rossii</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48.1. Antarctique, dans la zone péninsulaire</w:t>
            </w:r>
          </w:p>
          <w:p>
            <w:pPr>
              <w:spacing w:before="60" w:after="60" w:line="276" w:lineRule="auto"/>
              <w:rPr>
                <w:noProof/>
              </w:rPr>
            </w:pPr>
            <w:r>
              <w:rPr>
                <w:noProof/>
              </w:rPr>
              <w:t>FAO 48.2. Antarctique, autour des Orcades du sud</w:t>
            </w:r>
          </w:p>
          <w:p>
            <w:pPr>
              <w:spacing w:before="60" w:after="60" w:line="276" w:lineRule="auto"/>
              <w:rPr>
                <w:noProof/>
              </w:rPr>
            </w:pPr>
            <w:r>
              <w:rPr>
                <w:noProof/>
              </w:rPr>
              <w:t>FAO 48.3. Antarctique, autour de la Géorgie du Sud</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janvier au 31 décembre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Poissons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48.1. Antarctique</w:t>
            </w:r>
            <w:r>
              <w:rPr>
                <w:b/>
                <w:bCs/>
                <w:noProof/>
                <w:vertAlign w:val="superscript"/>
              </w:rPr>
              <w:t>(1)</w:t>
            </w:r>
          </w:p>
          <w:p>
            <w:pPr>
              <w:spacing w:before="60" w:after="60" w:line="276" w:lineRule="auto"/>
              <w:rPr>
                <w:noProof/>
              </w:rPr>
            </w:pPr>
            <w:r>
              <w:rPr>
                <w:noProof/>
              </w:rPr>
              <w:t>FAO 48.2. Antarctique</w:t>
            </w:r>
            <w:r>
              <w:rPr>
                <w:b/>
                <w:bCs/>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janvier au 31 décembre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i/>
                <w:iCs/>
                <w:noProof/>
                <w:lang w:val="en-US"/>
              </w:rPr>
            </w:pPr>
            <w:r>
              <w:rPr>
                <w:i/>
                <w:iCs/>
                <w:noProof/>
                <w:lang w:val="en-US"/>
              </w:rPr>
              <w:t>Gobionotothen gibberifrons</w:t>
            </w:r>
          </w:p>
          <w:p>
            <w:pPr>
              <w:spacing w:before="60" w:after="60" w:line="276" w:lineRule="auto"/>
              <w:rPr>
                <w:i/>
                <w:iCs/>
                <w:noProof/>
                <w:lang w:val="en-US"/>
              </w:rPr>
            </w:pPr>
            <w:r>
              <w:rPr>
                <w:i/>
                <w:iCs/>
                <w:noProof/>
                <w:lang w:val="en-US"/>
              </w:rPr>
              <w:t>Chaenocephalus aceratus</w:t>
            </w:r>
          </w:p>
          <w:p>
            <w:pPr>
              <w:spacing w:before="60" w:after="60" w:line="276" w:lineRule="auto"/>
              <w:rPr>
                <w:i/>
                <w:iCs/>
                <w:noProof/>
                <w:lang w:val="en-US"/>
              </w:rPr>
            </w:pPr>
            <w:r>
              <w:rPr>
                <w:i/>
                <w:iCs/>
                <w:noProof/>
                <w:lang w:val="en-US"/>
              </w:rPr>
              <w:t>Pseudochaenichthys georgianus</w:t>
            </w:r>
          </w:p>
          <w:p>
            <w:pPr>
              <w:spacing w:before="60" w:after="60" w:line="276" w:lineRule="auto"/>
              <w:rPr>
                <w:i/>
                <w:iCs/>
                <w:noProof/>
                <w:lang w:val="en-US"/>
              </w:rPr>
            </w:pPr>
            <w:r>
              <w:rPr>
                <w:i/>
                <w:iCs/>
                <w:noProof/>
                <w:lang w:val="en-US"/>
              </w:rPr>
              <w:t>Lepidonotothen squamifrons</w:t>
            </w:r>
          </w:p>
          <w:p>
            <w:pPr>
              <w:spacing w:before="60" w:after="60" w:line="276" w:lineRule="auto"/>
              <w:rPr>
                <w:i/>
                <w:iCs/>
                <w:noProof/>
                <w:lang w:val="en-US"/>
              </w:rPr>
            </w:pPr>
            <w:r>
              <w:rPr>
                <w:i/>
                <w:iCs/>
                <w:noProof/>
                <w:lang w:val="en-US"/>
              </w:rPr>
              <w:t>Patagonotothen guntheri</w:t>
            </w:r>
          </w:p>
          <w:p>
            <w:pPr>
              <w:spacing w:before="60" w:after="60" w:line="276" w:lineRule="auto"/>
              <w:rPr>
                <w:noProof/>
                <w:lang w:val="en-US"/>
              </w:rPr>
            </w:pPr>
            <w:r>
              <w:rPr>
                <w:i/>
                <w:iCs/>
                <w:noProof/>
                <w:lang w:val="en-US"/>
              </w:rPr>
              <w:t>Electrona carlsbergi</w:t>
            </w:r>
            <w:r>
              <w:rPr>
                <w:b/>
                <w:bCs/>
                <w:noProof/>
                <w:vertAlign w:val="superscript"/>
                <w:lang w:val="en-US"/>
              </w:rPr>
              <w:t>(1)</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48.3.</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janvier au 31 décembre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48.5. Antarctique</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décembre 2019 au 30 novembre 2020</w:t>
            </w:r>
          </w:p>
        </w:tc>
      </w:tr>
    </w:tbl>
    <w:p>
      <w:pPr>
        <w:rPr>
          <w:rFonts w:ascii="Calibri" w:hAnsi="Calibri"/>
          <w:noProof/>
          <w:sz w:val="22"/>
        </w:rPr>
      </w:pPr>
    </w:p>
    <w:p>
      <w:pPr>
        <w:rPr>
          <w:noProof/>
        </w:rPr>
      </w:pPr>
    </w:p>
    <w:tbl>
      <w:tblPr>
        <w:tblW w:w="0" w:type="auto"/>
        <w:jc w:val="center"/>
        <w:tblLook w:val="04A0" w:firstRow="1" w:lastRow="0" w:firstColumn="1" w:lastColumn="0" w:noHBand="0" w:noVBand="1"/>
      </w:tblPr>
      <w:tblGrid>
        <w:gridCol w:w="2820"/>
        <w:gridCol w:w="4657"/>
        <w:gridCol w:w="2377"/>
      </w:tblGrid>
      <w:tr>
        <w:trPr>
          <w:trHeight w:val="227"/>
          <w:jc w:val="center"/>
        </w:trPr>
        <w:tc>
          <w:tcPr>
            <w:tcW w:w="0" w:type="auto"/>
            <w:tcBorders>
              <w:top w:val="single" w:sz="4" w:space="0" w:color="000000"/>
              <w:left w:val="single" w:sz="4" w:space="0" w:color="000000"/>
              <w:bottom w:val="single" w:sz="4" w:space="0" w:color="000000"/>
              <w:right w:val="nil"/>
            </w:tcBorders>
            <w:hideMark/>
          </w:tcPr>
          <w:p>
            <w:pPr>
              <w:pageBreakBefore/>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pageBreakBefore/>
              <w:spacing w:before="60" w:after="60" w:line="276" w:lineRule="auto"/>
              <w:rPr>
                <w:noProof/>
              </w:rPr>
            </w:pPr>
            <w:r>
              <w:rPr>
                <w:noProof/>
              </w:rPr>
              <w:t>FAO 88.3. Antarctique</w:t>
            </w:r>
            <w:r>
              <w:rPr>
                <w:b/>
                <w:bCs/>
                <w:noProof/>
                <w:vertAlign w:val="superscript"/>
              </w:rPr>
              <w:t>(1)</w:t>
            </w:r>
          </w:p>
          <w:p>
            <w:pPr>
              <w:pageBreakBefore/>
              <w:spacing w:before="60" w:after="60" w:line="276" w:lineRule="auto"/>
              <w:rPr>
                <w:noProof/>
              </w:rPr>
            </w:pPr>
            <w:r>
              <w:rPr>
                <w:noProof/>
              </w:rPr>
              <w:t>FAO 58.5.1. Antarctique</w:t>
            </w:r>
            <w:r>
              <w:rPr>
                <w:b/>
                <w:bCs/>
                <w:noProof/>
                <w:vertAlign w:val="superscript"/>
              </w:rPr>
              <w:t>(1) (2)</w:t>
            </w:r>
          </w:p>
          <w:p>
            <w:pPr>
              <w:pageBreakBefore/>
              <w:spacing w:before="60" w:after="60" w:line="276" w:lineRule="auto"/>
              <w:rPr>
                <w:noProof/>
              </w:rPr>
            </w:pPr>
            <w:r>
              <w:rPr>
                <w:noProof/>
              </w:rPr>
              <w:t>FAO 58.5.2. Antarctique à l'est de 79° 20′ E et hors de la ZEE à l'ouest de 79° 20′ E</w:t>
            </w:r>
            <w:r>
              <w:rPr>
                <w:b/>
                <w:bCs/>
                <w:noProof/>
                <w:vertAlign w:val="superscript"/>
              </w:rPr>
              <w:t>(1)</w:t>
            </w:r>
          </w:p>
          <w:p>
            <w:pPr>
              <w:pageBreakBefore/>
              <w:spacing w:before="60" w:after="60" w:line="276" w:lineRule="auto"/>
              <w:rPr>
                <w:noProof/>
              </w:rPr>
            </w:pPr>
            <w:r>
              <w:rPr>
                <w:noProof/>
              </w:rPr>
              <w:t>FAO 58.4.4. Antarctique</w:t>
            </w:r>
            <w:r>
              <w:rPr>
                <w:b/>
                <w:bCs/>
                <w:noProof/>
                <w:vertAlign w:val="superscript"/>
              </w:rPr>
              <w:t>(1) (2)</w:t>
            </w:r>
          </w:p>
          <w:p>
            <w:pPr>
              <w:pageBreakBefore/>
              <w:spacing w:before="60" w:after="60" w:line="276" w:lineRule="auto"/>
              <w:rPr>
                <w:noProof/>
              </w:rPr>
            </w:pPr>
            <w:r>
              <w:rPr>
                <w:noProof/>
              </w:rPr>
              <w:t>FAO 58.6. Antarctique</w:t>
            </w:r>
            <w:r>
              <w:rPr>
                <w:b/>
                <w:bCs/>
                <w:noProof/>
                <w:vertAlign w:val="superscript"/>
              </w:rPr>
              <w:t>(1) (2)</w:t>
            </w:r>
          </w:p>
          <w:p>
            <w:pPr>
              <w:pageBreakBefore/>
              <w:spacing w:before="60" w:after="60" w:line="276" w:lineRule="auto"/>
              <w:rPr>
                <w:noProof/>
              </w:rPr>
            </w:pPr>
            <w:r>
              <w:rPr>
                <w:noProof/>
              </w:rPr>
              <w:t>FAO 58.7. Antarctique</w:t>
            </w:r>
            <w:r>
              <w:rPr>
                <w:b/>
                <w:bCs/>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janvier au 31 décembre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Lepidonotothen</w:t>
            </w:r>
            <w:r>
              <w:rPr>
                <w:noProof/>
              </w:rPr>
              <w:t xml:space="preserve"> </w:t>
            </w:r>
            <w:r>
              <w:rPr>
                <w:i/>
                <w:iCs/>
                <w:noProof/>
              </w:rPr>
              <w:t>squamifrons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58.4.4.</w:t>
            </w:r>
            <w:r>
              <w:rPr>
                <w:b/>
                <w:bCs/>
                <w:noProof/>
                <w:vertAlign w:val="superscript"/>
              </w:rPr>
              <w:t>(1) (2)</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janvier au 31 décembre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 xml:space="preserve">Toutes espèces sauf </w:t>
            </w:r>
            <w:r>
              <w:rPr>
                <w:i/>
                <w:iCs/>
                <w:noProof/>
              </w:rPr>
              <w:t>Champsocephalus gunnari</w:t>
            </w:r>
            <w:r>
              <w:rPr>
                <w:noProof/>
              </w:rPr>
              <w:t xml:space="preserve"> et </w:t>
            </w:r>
            <w:r>
              <w:rPr>
                <w:i/>
                <w:iCs/>
                <w:noProof/>
              </w:rPr>
              <w:t>Dissostichus eleginoides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58.5.2. Antarctique</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décembre 2019 au 30 novembre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48.4. Antarctique</w:t>
            </w:r>
            <w:r>
              <w:rPr>
                <w:b/>
                <w:bCs/>
                <w:noProof/>
                <w:vertAlign w:val="superscript"/>
              </w:rPr>
              <w:t>(1)</w:t>
            </w:r>
            <w:r>
              <w:rPr>
                <w:noProof/>
              </w:rPr>
              <w:t xml:space="preserve"> sauf dans la zone délimitée par les latitudes 55° 30′ S et 57° 20′ S et par les longitudes 25° 30′ O et 29° 30′ O et par les latitudes 57° 20′ S et 60° 00′ S et par les longitudes 24° 30′ O et 29° 00′ O.</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Du 1</w:t>
            </w:r>
            <w:r>
              <w:rPr>
                <w:noProof/>
                <w:vertAlign w:val="superscript"/>
              </w:rPr>
              <w:t>er</w:t>
            </w:r>
            <w:r>
              <w:rPr>
                <w:noProof/>
              </w:rPr>
              <w:t xml:space="preserve"> janvier au 31 décembre 2020 </w:t>
            </w:r>
          </w:p>
        </w:tc>
      </w:tr>
      <w:tr>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pPr>
              <w:spacing w:before="60" w:after="60" w:line="276" w:lineRule="auto"/>
              <w:ind w:left="720" w:hanging="720"/>
              <w:contextualSpacing/>
              <w:rPr>
                <w:noProof/>
              </w:rPr>
            </w:pPr>
            <w:r>
              <w:rPr>
                <w:b/>
                <w:bCs/>
                <w:noProof/>
                <w:vertAlign w:val="superscript"/>
              </w:rPr>
              <w:t>(1)</w:t>
            </w:r>
            <w:r>
              <w:rPr>
                <w:noProof/>
              </w:rPr>
              <w:tab/>
              <w:t>Sauf à des fins de recherches scientifiques.</w:t>
            </w:r>
          </w:p>
          <w:p>
            <w:pPr>
              <w:spacing w:before="60" w:after="60" w:line="276" w:lineRule="auto"/>
              <w:ind w:left="720" w:hanging="720"/>
              <w:contextualSpacing/>
              <w:rPr>
                <w:noProof/>
              </w:rPr>
            </w:pPr>
            <w:r>
              <w:rPr>
                <w:b/>
                <w:bCs/>
                <w:noProof/>
                <w:vertAlign w:val="superscript"/>
              </w:rPr>
              <w:t>(2)</w:t>
            </w:r>
            <w:r>
              <w:rPr>
                <w:noProof/>
              </w:rPr>
              <w:tab/>
              <w:t>À l'exception des eaux relevant de la souveraineté nationale (ZEE).</w:t>
            </w:r>
          </w:p>
        </w:tc>
      </w:tr>
    </w:tbl>
    <w:p>
      <w:pPr>
        <w:rPr>
          <w:rFonts w:ascii="Calibri" w:hAnsi="Calibri"/>
          <w:noProof/>
          <w:sz w:val="22"/>
        </w:rPr>
      </w:pPr>
    </w:p>
    <w:p>
      <w:pPr>
        <w:rPr>
          <w:noProof/>
        </w:rPr>
      </w:pPr>
    </w:p>
    <w:p>
      <w:pPr>
        <w:rPr>
          <w:noProof/>
        </w:rPr>
      </w:pPr>
    </w:p>
    <w:p>
      <w:pPr>
        <w:rPr>
          <w:noProof/>
        </w:rPr>
      </w:pPr>
    </w:p>
    <w:p>
      <w:pPr>
        <w:rPr>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PARTIE B</w:t>
      </w:r>
      <w:r>
        <w:rPr>
          <w:noProof/>
        </w:rPr>
        <w:br/>
        <w:t>TAC ET LIMITATIONS DES PRISES ACCESSOIRES EN CE QUI CONCERNE LES PÊCHES EXPLORATOIRES DANS LA ZONE DE LA CONVENTION CCAMLR EN 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9"/>
        <w:gridCol w:w="3287"/>
        <w:gridCol w:w="2061"/>
        <w:gridCol w:w="1024"/>
        <w:gridCol w:w="1825"/>
        <w:gridCol w:w="715"/>
        <w:gridCol w:w="709"/>
        <w:gridCol w:w="1332"/>
        <w:gridCol w:w="1113"/>
      </w:tblGrid>
      <w:tr>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Sous-zone/</w:t>
            </w:r>
            <w:r>
              <w:rPr>
                <w:noProof/>
                <w:sz w:val="20"/>
                <w:szCs w:val="20"/>
              </w:rPr>
              <w:br/>
              <w:t>division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Région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Période</w:t>
            </w:r>
          </w:p>
        </w:tc>
        <w:tc>
          <w:tcPr>
            <w:tcW w:w="378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SSRU</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 xml:space="preserve">Limite de captures pour </w:t>
            </w:r>
            <w:r>
              <w:rPr>
                <w:i/>
                <w:iCs/>
                <w:noProof/>
                <w:sz w:val="20"/>
                <w:szCs w:val="20"/>
              </w:rPr>
              <w:t>Dissostichus mawsoni</w:t>
            </w:r>
            <w:r>
              <w:rPr>
                <w:noProof/>
                <w:sz w:val="20"/>
                <w:szCs w:val="20"/>
              </w:rPr>
              <w:t xml:space="preserve"> (en tonnes)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Limite applicable aux prises accessoires (en tonnes)</w:t>
            </w:r>
          </w:p>
        </w:tc>
      </w:tr>
      <w:tr>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SSRU</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Limite</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Raies</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i/>
                <w:iCs/>
                <w:noProof/>
                <w:sz w:val="20"/>
                <w:szCs w:val="20"/>
              </w:rPr>
              <w:t>Macrourus</w:t>
            </w:r>
            <w:r>
              <w:rPr>
                <w:noProof/>
                <w:sz w:val="20"/>
                <w:szCs w:val="20"/>
              </w:rPr>
              <w:t xml:space="preserve"> spp.</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Autres espèces</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58.4.1.</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Toute la division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Du 1</w:t>
            </w:r>
            <w:r>
              <w:rPr>
                <w:noProof/>
                <w:sz w:val="20"/>
                <w:szCs w:val="20"/>
                <w:vertAlign w:val="superscript"/>
              </w:rPr>
              <w:t>er</w:t>
            </w:r>
            <w:r>
              <w:rPr>
                <w:noProof/>
                <w:sz w:val="20"/>
                <w:szCs w:val="20"/>
              </w:rPr>
              <w:t> décembre 2019 au 30 novembre 2020 (mais il n'y a pas de pêche ciblée en 2019/2020)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D, F, H</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579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w:t>
            </w:r>
          </w:p>
        </w:tc>
      </w:tr>
      <w:tr>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(y compris 58.4.1_1, 58.4. 1_2)</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19</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19</w:t>
            </w:r>
          </w:p>
        </w:tc>
      </w:tr>
      <w:tr>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w:t>
            </w:r>
          </w:p>
        </w:tc>
      </w:tr>
      <w:tr>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E (58.4.1_3, 58.4.1_4)</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r>
      <w:tr>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r>
      <w:tr>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G (y compris 58.4.1_5, 58.4.1_6)</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21</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58.4.2.</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Toute la division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Du 1</w:t>
            </w:r>
            <w:r>
              <w:rPr>
                <w:noProof/>
                <w:sz w:val="20"/>
                <w:szCs w:val="20"/>
                <w:vertAlign w:val="superscript"/>
              </w:rPr>
              <w:t>er</w:t>
            </w:r>
            <w:r>
              <w:rPr>
                <w:noProof/>
                <w:sz w:val="20"/>
                <w:szCs w:val="20"/>
              </w:rPr>
              <w:t> décembre 2019 au 30 novembre 2020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C, D</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50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E (y compris 58.4.2_1)</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r>
      <w:tr>
        <w:trPr>
          <w:trHeight w:val="20"/>
        </w:trPr>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58.4.3a.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Toute la division 58.4.3a._1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Du 1</w:t>
            </w:r>
            <w:r>
              <w:rPr>
                <w:noProof/>
                <w:sz w:val="20"/>
                <w:szCs w:val="20"/>
                <w:vertAlign w:val="superscript"/>
              </w:rPr>
              <w:t>er</w:t>
            </w:r>
            <w:r>
              <w:rPr>
                <w:noProof/>
                <w:sz w:val="20"/>
                <w:szCs w:val="20"/>
              </w:rPr>
              <w:t> décembre 2019 au 30 novembre 2020 (mais il n'y a pas de pêche ciblée en 2019/2020)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1024"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30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w:t>
            </w:r>
          </w:p>
        </w:tc>
      </w:tr>
    </w:tbl>
    <w:p>
      <w:pPr>
        <w:rPr>
          <w:noProof/>
          <w:sz w:val="22"/>
        </w:rPr>
      </w:pPr>
    </w:p>
    <w:p>
      <w:pPr>
        <w:rPr>
          <w:rFonts w:ascii="Calibri" w:hAnsi="Calibri"/>
          <w:noProof/>
        </w:rPr>
      </w:pPr>
    </w:p>
    <w:p>
      <w:pPr>
        <w:rPr>
          <w:noProof/>
        </w:rPr>
      </w:pPr>
    </w:p>
    <w:p>
      <w:pPr>
        <w:rPr>
          <w:noProof/>
        </w:rPr>
      </w:pPr>
    </w:p>
    <w:p>
      <w:pPr>
        <w:rPr>
          <w:noProof/>
        </w:rPr>
      </w:pPr>
    </w:p>
    <w:p>
      <w:pPr>
        <w:rPr>
          <w:noProof/>
        </w:rPr>
        <w:sectPr>
          <w:headerReference w:type="default" r:id="rId35"/>
          <w:footerReference w:type="default" r:id="rId36"/>
          <w:headerReference w:type="first" r:id="rId37"/>
          <w:footerReference w:type="first" r:id="rId38"/>
          <w:pgSz w:w="16838" w:h="11906" w:orient="landscape"/>
          <w:pgMar w:top="1417" w:right="1135" w:bottom="1417" w:left="1417" w:header="708" w:footer="708"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75"/>
        <w:gridCol w:w="2182"/>
        <w:gridCol w:w="3113"/>
        <w:gridCol w:w="1024"/>
        <w:gridCol w:w="1825"/>
        <w:gridCol w:w="3203"/>
        <w:gridCol w:w="516"/>
        <w:gridCol w:w="516"/>
        <w:gridCol w:w="516"/>
      </w:tblGrid>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line="276" w:lineRule="auto"/>
              <w:rPr>
                <w:rFonts w:asciiTheme="majorBidi" w:hAnsiTheme="majorBidi" w:cstheme="majorBidi"/>
                <w:noProof/>
                <w:sz w:val="20"/>
                <w:szCs w:val="20"/>
              </w:rPr>
            </w:pPr>
            <w:r>
              <w:rPr>
                <w:rFonts w:asciiTheme="majorBidi" w:hAnsiTheme="majorBidi"/>
                <w:noProof/>
                <w:sz w:val="20"/>
                <w:szCs w:val="20"/>
              </w:rPr>
              <w:t>88.1.</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Toute la sous-zone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Du 1</w:t>
            </w:r>
            <w:r>
              <w:rPr>
                <w:noProof/>
                <w:sz w:val="20"/>
                <w:szCs w:val="20"/>
                <w:vertAlign w:val="superscript"/>
              </w:rPr>
              <w:t>er</w:t>
            </w:r>
            <w:r>
              <w:rPr>
                <w:noProof/>
                <w:sz w:val="20"/>
                <w:szCs w:val="20"/>
              </w:rPr>
              <w:t> décembre 2019 au 31 août 2020</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C, G, H, I, J, K</w:t>
            </w:r>
          </w:p>
        </w:tc>
        <w:tc>
          <w:tcPr>
            <w:tcW w:w="1024" w:type="dxa"/>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2 628</w:t>
            </w:r>
            <w:r>
              <w:rPr>
                <w:noProof/>
                <w:sz w:val="20"/>
                <w:szCs w:val="20"/>
                <w:vertAlign w:val="superscript"/>
              </w:rPr>
              <w:t>(</w:t>
            </w:r>
            <w:r>
              <w:rPr>
                <w:rStyle w:val="FootnoteReference"/>
                <w:noProof/>
                <w:sz w:val="20"/>
                <w:szCs w:val="20"/>
              </w:rPr>
              <w:footnoteReference w:id="13"/>
            </w:r>
            <w:r>
              <w:rPr>
                <w:noProof/>
                <w:sz w:val="20"/>
                <w:szCs w:val="20"/>
                <w:vertAlign w:val="superscript"/>
              </w:rPr>
              <w:t>)(</w:t>
            </w:r>
            <w:r>
              <w:rPr>
                <w:rStyle w:val="FootnoteReference"/>
                <w:noProof/>
                <w:sz w:val="20"/>
                <w:szCs w:val="20"/>
              </w:rPr>
              <w:footnoteReference w:id="14"/>
            </w:r>
            <w:r>
              <w:rPr>
                <w:noProof/>
                <w:sz w:val="20"/>
                <w:szCs w:val="20"/>
                <w:vertAlign w:val="superscript"/>
              </w:rPr>
              <w:t xml:space="preserve">) </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 xml:space="preserve">3 157 </w:t>
            </w:r>
            <w:r>
              <w:rPr>
                <w:noProof/>
                <w:sz w:val="20"/>
                <w:szCs w:val="20"/>
                <w:vertAlign w:val="superscript"/>
              </w:rPr>
              <w:t>(</w:t>
            </w:r>
            <w:r>
              <w:rPr>
                <w:rStyle w:val="FootnoteReference"/>
                <w:noProof/>
                <w:sz w:val="20"/>
                <w:szCs w:val="20"/>
              </w:rPr>
              <w:footnoteReference w:id="15"/>
            </w:r>
            <w:r>
              <w:rPr>
                <w:noProof/>
                <w:sz w:val="20"/>
                <w:szCs w:val="20"/>
                <w:vertAlign w:val="superscript"/>
              </w:rPr>
              <w:t>)(</w:t>
            </w:r>
            <w:r>
              <w:rPr>
                <w:rStyle w:val="FootnoteReference"/>
                <w:noProof/>
                <w:sz w:val="20"/>
                <w:szCs w:val="20"/>
              </w:rPr>
              <w:footnoteReference w:id="16"/>
            </w:r>
            <w:r>
              <w:rPr>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 xml:space="preserve">A, B, C, G </w:t>
            </w:r>
            <w:r>
              <w:rPr>
                <w:noProof/>
                <w:sz w:val="20"/>
                <w:szCs w:val="20"/>
                <w:vertAlign w:val="superscript"/>
              </w:rPr>
              <w:t>(</w:t>
            </w:r>
            <w:r>
              <w:rPr>
                <w:rStyle w:val="FootnoteReference"/>
                <w:noProof/>
                <w:sz w:val="20"/>
                <w:szCs w:val="20"/>
              </w:rPr>
              <w:footnoteReference w:id="17"/>
            </w:r>
            <w:r>
              <w:rPr>
                <w:noProof/>
                <w:sz w:val="20"/>
                <w:szCs w:val="20"/>
                <w:vertAlign w:val="superscript"/>
              </w:rPr>
              <w:t>)</w:t>
            </w:r>
            <w:r>
              <w:rPr>
                <w:b/>
                <w:bCs/>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96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30</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vertAlign w:val="superscript"/>
              </w:rPr>
            </w:pPr>
            <w:r>
              <w:rPr>
                <w:noProof/>
                <w:sz w:val="20"/>
                <w:szCs w:val="20"/>
              </w:rPr>
              <w:t xml:space="preserve">G, H, I, J, K </w:t>
            </w:r>
            <w:r>
              <w:rPr>
                <w:noProof/>
                <w:sz w:val="20"/>
                <w:szCs w:val="20"/>
                <w:vertAlign w:val="superscript"/>
              </w:rPr>
              <w:t>(</w:t>
            </w:r>
            <w:r>
              <w:rPr>
                <w:rStyle w:val="FootnoteReference"/>
                <w:noProof/>
                <w:sz w:val="20"/>
                <w:szCs w:val="20"/>
              </w:rPr>
              <w:footnoteReference w:id="18"/>
            </w:r>
            <w:r>
              <w:rPr>
                <w:noProof/>
                <w:sz w:val="20"/>
                <w:szCs w:val="20"/>
                <w:vertAlign w:val="superscript"/>
              </w:rPr>
              <w:t>)</w:t>
            </w:r>
            <w:r>
              <w:rPr>
                <w:b/>
                <w:bCs/>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317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104</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Zone spéciale de recherche de l'aire marine protégée en mer de Ross</w:t>
            </w:r>
          </w:p>
        </w:tc>
        <w:tc>
          <w:tcPr>
            <w:tcW w:w="1024"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464</w:t>
            </w:r>
            <w:r>
              <w:rPr>
                <w:noProof/>
                <w:sz w:val="20"/>
                <w:szCs w:val="20"/>
                <w:vertAlign w:val="superscript"/>
              </w:rPr>
              <w:t>(</w:t>
            </w:r>
            <w:r>
              <w:rPr>
                <w:rStyle w:val="FootnoteReference"/>
                <w:noProof/>
                <w:sz w:val="20"/>
                <w:szCs w:val="20"/>
              </w:rPr>
              <w:footnoteReference w:id="19"/>
            </w:r>
            <w:r>
              <w:rPr>
                <w:noProof/>
                <w:sz w:val="20"/>
                <w:szCs w:val="20"/>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vertAlign w:val="superscript"/>
              </w:rPr>
            </w:pPr>
            <w:r>
              <w:rPr>
                <w:noProof/>
                <w:sz w:val="20"/>
                <w:szCs w:val="20"/>
              </w:rPr>
              <w:t xml:space="preserve">Zone spéciale de recherche de l'aire marine protégée en mer de Ross </w:t>
            </w:r>
            <w:r>
              <w:rPr>
                <w:b/>
                <w:bCs/>
                <w:noProof/>
                <w:sz w:val="20"/>
                <w:szCs w:val="20"/>
                <w:vertAlign w:val="superscript"/>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rFonts w:asciiTheme="majorBidi" w:hAnsiTheme="majorBidi" w:cstheme="majorBidi"/>
                <w:noProof/>
                <w:sz w:val="20"/>
                <w:szCs w:val="20"/>
              </w:rPr>
            </w:pPr>
            <w:r>
              <w:rPr>
                <w:rFonts w:asciiTheme="majorBidi" w:hAnsiTheme="majorBidi"/>
                <w:noProof/>
                <w:sz w:val="20"/>
                <w:szCs w:val="20"/>
              </w:rPr>
              <w:t>88.2.</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 xml:space="preserve">Toute la sous-zone </w:t>
            </w:r>
            <w:r>
              <w:rPr>
                <w:noProof/>
                <w:sz w:val="20"/>
                <w:szCs w:val="20"/>
                <w:vertAlign w:val="superscript"/>
              </w:rPr>
              <w:t>(</w:t>
            </w:r>
            <w:r>
              <w:rPr>
                <w:rStyle w:val="FootnoteReference"/>
                <w:noProof/>
                <w:sz w:val="20"/>
                <w:szCs w:val="20"/>
              </w:rPr>
              <w:footnoteReference w:id="20"/>
            </w:r>
            <w:r>
              <w:rPr>
                <w:noProof/>
                <w:sz w:val="20"/>
                <w:szCs w:val="20"/>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Du 1</w:t>
            </w:r>
            <w:r>
              <w:rPr>
                <w:noProof/>
                <w:sz w:val="20"/>
                <w:szCs w:val="20"/>
                <w:vertAlign w:val="superscript"/>
              </w:rPr>
              <w:t>er</w:t>
            </w:r>
            <w:r>
              <w:rPr>
                <w:noProof/>
                <w:sz w:val="20"/>
                <w:szCs w:val="20"/>
              </w:rPr>
              <w:t> décembre 2019 au 31 août 2020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D, E, F, G (882_1)</w:t>
            </w:r>
          </w:p>
        </w:tc>
        <w:tc>
          <w:tcPr>
            <w:tcW w:w="1024"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240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1 000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H, I</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32</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(882_2)</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(882_3)</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(882_4)</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H</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I</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gridSpan w:val="2"/>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gridSpan w:val="8"/>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r>
    </w:tbl>
    <w:p>
      <w:pPr>
        <w:rPr>
          <w:rFonts w:ascii="Calibri" w:hAnsi="Calibri"/>
          <w:noProof/>
          <w:sz w:val="22"/>
        </w:rPr>
      </w:pPr>
    </w:p>
    <w:p>
      <w:pPr>
        <w:rPr>
          <w:noProof/>
        </w:rPr>
      </w:pPr>
    </w:p>
    <w:p>
      <w:pPr>
        <w:rPr>
          <w:noProof/>
        </w:rPr>
      </w:pPr>
    </w:p>
    <w:p>
      <w:pPr>
        <w:rPr>
          <w:noProof/>
        </w:rPr>
      </w:pPr>
    </w:p>
    <w:p>
      <w:pPr>
        <w:pStyle w:val="NormalCentered"/>
        <w:rPr>
          <w:noProof/>
        </w:rPr>
      </w:pPr>
    </w:p>
    <w:p>
      <w:pPr>
        <w:rPr>
          <w:noProof/>
        </w:rPr>
        <w:sectPr>
          <w:footnotePr>
            <w:numRestart w:val="eachPage"/>
          </w:footnotePr>
          <w:pgSz w:w="16838" w:h="11906" w:orient="landscape"/>
          <w:pgMar w:top="1134" w:right="1134" w:bottom="1134" w:left="1134" w:header="567" w:footer="567" w:gutter="0"/>
          <w:cols w:space="720"/>
          <w:docGrid w:linePitch="326"/>
        </w:sectPr>
      </w:pPr>
    </w:p>
    <w:p>
      <w:pPr>
        <w:pStyle w:val="NormalRight"/>
        <w:rPr>
          <w:b/>
          <w:bCs/>
          <w:noProof/>
          <w:u w:val="single"/>
        </w:rPr>
      </w:pPr>
      <w:r>
        <w:rPr>
          <w:b/>
          <w:bCs/>
          <w:noProof/>
          <w:u w:val="single"/>
        </w:rPr>
        <w:t>Appendice de l'annexe V, partie B</w:t>
      </w:r>
    </w:p>
    <w:p>
      <w:pPr>
        <w:pStyle w:val="NormalCentered"/>
        <w:rPr>
          <w:noProof/>
        </w:rPr>
      </w:pPr>
      <w:r>
        <w:rPr>
          <w:noProof/>
        </w:rPr>
        <w:t>Liste des unités de recherche à petite échelle (SSRU)</w:t>
      </w:r>
    </w:p>
    <w:tbl>
      <w:tblPr>
        <w:tblW w:w="0" w:type="auto"/>
        <w:jc w:val="center"/>
        <w:tblLook w:val="0000" w:firstRow="0" w:lastRow="0" w:firstColumn="0" w:lastColumn="0" w:noHBand="0" w:noVBand="0"/>
      </w:tblPr>
      <w:tblGrid>
        <w:gridCol w:w="936"/>
        <w:gridCol w:w="817"/>
        <w:gridCol w:w="8101"/>
      </w:tblGrid>
      <w:tr>
        <w:trPr>
          <w:trHeight w:val="20"/>
          <w:tblHeader/>
          <w:jc w:val="cent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rPr>
                <w:noProof/>
              </w:rPr>
            </w:pPr>
            <w:r>
              <w:rPr>
                <w:noProof/>
              </w:rPr>
              <w:t>Région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rPr>
              <w:t>Limite</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50° S 20° O, plein est jusqu'à 1° 30′ E, plein sud jusqu'à 60° S, plein ouest jusqu'à 20° O, plein nord jusqu'à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20° O, plein est jusqu'à 10° O, plein sud jusqu'à la côte, vers l'ouest le long de la côte jusqu'à 20°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10° O, plein est jusqu'à 0° de longitude, plein sud jusqu'à la côte, vers l'ouest le long de la côte jusqu'à 10°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0° de longitude, plein est jusqu'à 10° E, plein sud jusqu'à la côte, vers l'ouest le long de la côte jusqu'à 0° de longitude,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10° E, plein est jusqu'à 20° E, plein sud jusqu'à la côte, vers l'ouest le long de la côte jusqu'à 10°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20° E, plein est jusqu'à 30° E, plein sud jusqu'à la côte, vers l'ouest le long de la côte jusqu'à 20° E, plein nord jusqu'à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50° S 1° 30′ E, plein est jusqu'à 30° E, plein sud jusqu'à 60° S, plein ouest jusqu'à 1° 30′ E, plein nord jusqu'à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55° S 86° E, plein est jusqu'à 150° E, plein sud jusqu'à 60° S, plein ouest jusqu'à 86° E, plein nord jusqu'à 55°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86° E, plein est jusqu'à 90° E, plein sud jusqu'à la côte, vers l'ouest le long de la côte jusqu'à 80° E, plein nord jusqu'à 64° S, plein est jusqu'à 86°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90° E, plein est jusqu'à 100° E, plein sud jusqu'à la côte, vers l'ouest le long de la côte jusqu'à 90°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De 60° S 100° E, plein est jusqu'à 110° E, plein sud jusqu'à la côte, vers l'ouest le long de la côte jusqu'à 100° E, plein nord jusqu'à 60° S. </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110° E, plein est jusqu'à 120° E, plein sud jusqu'à la côte, vers l'ouest le long de la côte jusqu'à 110°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120° E, plein est jusqu'à 130° E, plein sud jusqu'à la côte, vers l'ouest le long de la côte jusqu'à 120° E, plein nord jusqu'à 60°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130° E, plein est jusqu'à 140° E, plein sud jusqu'à la côte, vers l'ouest le long de la côte jusqu'à 130° E, plein nord jusqu'à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140° E, plein est jusqu'à 150° E, plein sud jusqu'à la côte, vers l'ouest le long de la côte jusqu'à 140° E, plein nord jusqu'à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30° E, plein est jusqu'à 40° E, plein sud jusqu'à la côte, vers l'ouest le long de la côte jusqu'à 30° E, plein nord jusqu'à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40° E, plein est jusqu'à 50° E, plein sud jusqu'à la côte, vers l'ouest le long de la côte jusqu'à 40° E, plein nord jusqu'à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50° E, plein est jusqu'à 60° E, plein sud jusqu'à la côte, vers l'ouest le long de la côte jusqu'à 50° E, plein nord jusqu'à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60° E, plein est jusqu'à 70° E, plein sud jusqu'à la côte, vers l'ouest le long de la côte jusqu'à 60° E, plein nord jusqu'à 62°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70° E, plein est jusqu'à 73° 10′ E, plein sud jusqu'à 64° S, plein est jusqu'à 80° E, plein sud jusqu'à la côte, vers l'ouest le long de la côte jusqu'à 70° E, plein nord jusqu'à 62°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Toute la division, de 56° S 60° E, plein est jusqu'à 73° 10′ E, plein sud jusqu'à 62° S, plein ouest jusqu'à 60° E, plein nord jusqu'à 56°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56° S 73° 10′ E, plein est jusqu'à 79° E, plein sud jusqu'à 59° S, plein ouest jusqu'à 73° 10′ E, plein nord jusqu'à 56°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73° 10′ E, plein est jusqu'à 86° E, plein sud jusqu'à 64° S, plein ouest jusqu'à 73° 10′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59° S 73° 10′ E, plein est jusqu'à 79° E, plein sud jusqu'à 60° S, plein ouest jusqu'à 73° 10′ E, plein nord jusqu'à 59°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59° S 79° E, plein est jusqu'à 86 E, plein sud jusqu'à 60° S, plein ouest jusqu'à 79° E, plein nord jusqu'à 59°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56° S 79° E, plein est jusqu'à 80° E, plein nord jusqu'à 55° S, plein est jusqu'à 86° E, plein sud jusqu'à 59° S, plein ouest jusqu'à 79° E, plein nord jusqu'à 56°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51° S 40° E, plein est jusqu'à 42° E, plein sud jusqu'à 54° S, plein ouest jusqu'à 40° E, plein nord jusqu'à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51° S 42 ° E, plein est jusqu'à 46° E, plein sud jusqu'à 54° S, plein ouest jusqu'à 42° E, plein nord jusqu'à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noProof/>
              </w:rPr>
            </w:pPr>
            <w:r>
              <w:rPr>
                <w:noProof/>
              </w:rPr>
              <w:t>De 51° S 46° E, plein est jusqu'à 50° E, plein sud jusqu'à 54° S, plein ouest jusqu'à 46° E, plein nord jusqu'à 51°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rPr>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noProof/>
              </w:rPr>
            </w:pPr>
            <w:r>
              <w:rPr>
                <w:noProof/>
              </w:rPr>
              <w:t>Toute la division sauf les SSRU A, B, C, avec une limite extérieure de 50° S 30° E, plein est jusqu'à 60° E, plein sud jusqu'à 62° S, plein ouest jusqu'à 30° E, plein nord jusqu'à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40° E, plein est jusqu'à 44° E, plein sud jusqu'à 48° S, plein ouest jusqu'à 40° E, plein nord jusqu'à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44° E, plein est jusqu'à 48° E, plein sud jusqu'à 48° S, plein ouest jusqu'à 44° E, plein nord jusqu'à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48° E, plein est jusqu'à 51° E, plein sud jusqu'à 48° S, plein ouest jusqu'à 48° E, plein nord jusqu'à 45°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51° E, plein est jusqu'à 54° E, plein sud jusqu'à 48° S, plein ouest jusqu'à 51° E, plein nord jusqu'à 45°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37° E, plein est jusqu'à 40° E, plein sud jusqu'à 48° S, plein ouest jusqu'à 37° E, plein nord jusqu'à 45°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150° E, plein est jusqu'à 170° E, plein sud jusqu'à 65° S, plein ouest jusqu'à 150°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170° E, plein est jusqu'à 179° E, plein sud jusqu'à 66° 40’ S, plein ouest jusqu'à 170°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179° E, plein est jusqu'à 170° O, plein sud jusqu'à 70° S, plein ouest jusqu'à 178° O, plein nord jusqu'à 66° 40’ S, plein ouest jusqu'à 179°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65° S 150° E, plein est jusqu'à 160° E, plein sud jusqu'à la côte, vers l'ouest le long de la côte jusqu'à 150° E, plein nord jusqu'à 65°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65° S 160° E, plein est jusqu'à 170° E, plein sud jusqu'à 68° 30′ S, plein ouest jusqu'à 160° E, plein nord jusqu'à 65°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68° 30′ S 160° E, plein est jusqu'à 170° E, plein sud jusqu'à la côte, vers l'ouest le long de la côte jusqu'à 160° E, plein nord jusqu'à 68° 30′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66° 40′ S 170° E, plein est jusqu'à 178° O, plein sud jusqu'à 70° S, plein ouest jusqu'à 178° 50′ E, plein sud jusqu'à 70° 50′ S, plein ouest jusqu'à 170° E, plein nord jusqu'à 66° 40′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170° E, plein est jusqu'à 178° 50′ E, plein sud jusqu'à 73° S, plein ouest jusqu'à la côte, vers le nord le long de la côte jusqu'à 170° E,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S 178° 50′ E, plein est jusqu'à 170° O, plein sud jusqu'à 73° S, plein ouest jusqu'à 178° 50′ E, plein nord jusqu'à 70°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73° S sur la côte près de 170° E, plein est jusqu'à 178° 50′ E, plein sud jusqu'à 80° S, plein ouest jusqu'à 170° E, vers le nord le long de la côte jusqu'à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73° S 178° 50′ E, plein est jusqu'à 170° O, plein sud jusqu'à 76° S, plein ouest jusqu'à 178° 50′ E, plein nord jusqu'à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76° S 178° 50′ E, plein est jusqu'à 170° O, plein sud jusqu'à 80° S, plein ouest jusqu'à 178° 50′ E, plein nord jusqu'à 76°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73° S sur la côte près de 169° 30′ E, plein est jusqu'à 170° E, plein sud jusqu'à 80° S, plein ouest jusqu'à la côte, vers le nord le long de la côte jusqu'à 73°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170° O, plein est jusqu'à 160° O, plein sud jusqu'à la côte, vers l'ouest le long de la côte jusqu'à 170°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160° O, plein est jusqu'à 150° O, plein sud jusqu'à la côte, vers l'ouest le long de la côte jusqu'à 160°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150° O, plein est jusqu'à 140° O, plein sud jusqu'à la côte, vers l'ouest le long de la côte jusqu'à 150°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140° O, plein est jusqu'à 130° O, plein sud jusqu'à la côte, vers l'ouest le long de la côte jusqu'à 140°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130° O, plein est jusqu'à 120° O, plein sud jusqu'à la côte, vers l'ouest le long de la côte jusqu'à 130°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120° O, plein est jusqu'à 110° O, plein sud jusqu'à la côte, vers l'ouest le long de la côte jusqu'à 120°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110° O, plein est jusqu'à 105° O, plein sud jusqu'à la côte, vers l'ouest le long de la côte jusqu'à 110°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65° S 150° O, plein est jusqu'à 105° O, plein sud jusqu'à 70° 50′ S, plein ouest jusqu'à 150° O, plein nord jusqu'à 65°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150° O, plein est jusqu'à 105° O, plein sud jusqu'à 65° S, plein ouest jusqu'à 150° O, plein nord jusqu'à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105° O, plein est jusqu'à 95° O, plein sud jusqu'à la côte, vers l'ouest le long de la côte jusqu'à 105°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95° O, plein est jusqu'à 85° O, plein sud jusqu'à la côte, vers l'ouest le long de la côte jusqu'à 95°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85° O, plein est jusqu'à 75° O, plein sud jusqu'à la côte, vers l'ouest le long de la côte jusqu'à 85° O, plein nord jusqu'à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75° O, plein est jusqu'à 70° O, plein sud jusqu'à la côte, vers l'ouest le long de la côte jusqu'à 75° O, plein nord jusqu'à 60° S.</w:t>
            </w:r>
          </w:p>
        </w:tc>
      </w:tr>
    </w:tbl>
    <w:p>
      <w:pPr>
        <w:rPr>
          <w:noProof/>
        </w:rPr>
      </w:pPr>
    </w:p>
    <w:p>
      <w:pPr>
        <w:pStyle w:val="NormalCentered"/>
        <w:rPr>
          <w:noProof/>
        </w:rPr>
      </w:pPr>
      <w:r>
        <w:rPr>
          <w:noProof/>
        </w:rPr>
        <w:t>PARTIE C</w:t>
      </w:r>
    </w:p>
    <w:p>
      <w:pPr>
        <w:pStyle w:val="NormalRight"/>
        <w:rPr>
          <w:noProof/>
        </w:rPr>
      </w:pPr>
      <w:r>
        <w:rPr>
          <w:noProof/>
        </w:rPr>
        <w:t>ANNEXE 21-03/A</w:t>
      </w:r>
    </w:p>
    <w:p>
      <w:pPr>
        <w:pStyle w:val="NormalCentered"/>
        <w:rPr>
          <w:noProof/>
        </w:rPr>
      </w:pPr>
      <w:r>
        <w:rPr>
          <w:noProof/>
        </w:rPr>
        <w:t>NOTIFICATION D'INTENTION DE PARTICIPER À UNE PÊCHERIE D'EUPHAUSIA SUPERBA</w:t>
      </w:r>
    </w:p>
    <w:p>
      <w:pPr>
        <w:rPr>
          <w:noProof/>
        </w:rPr>
      </w:pPr>
      <w:r>
        <w:rPr>
          <w:noProof/>
        </w:rPr>
        <w:t>Informations générales</w:t>
      </w:r>
    </w:p>
    <w:p>
      <w:pPr>
        <w:tabs>
          <w:tab w:val="right" w:leader="dot" w:pos="9639"/>
        </w:tabs>
        <w:rPr>
          <w:noProof/>
        </w:rPr>
      </w:pPr>
      <w:r>
        <w:rPr>
          <w:noProof/>
        </w:rPr>
        <w:t>Membre:</w:t>
      </w:r>
      <w:r>
        <w:rPr>
          <w:noProof/>
        </w:rPr>
        <w:tab/>
      </w:r>
    </w:p>
    <w:p>
      <w:pPr>
        <w:tabs>
          <w:tab w:val="right" w:leader="dot" w:pos="9639"/>
        </w:tabs>
        <w:rPr>
          <w:noProof/>
        </w:rPr>
      </w:pPr>
      <w:r>
        <w:rPr>
          <w:noProof/>
        </w:rPr>
        <w:t>Campagne de pêche:</w:t>
      </w:r>
      <w:r>
        <w:rPr>
          <w:noProof/>
        </w:rPr>
        <w:tab/>
      </w:r>
    </w:p>
    <w:p>
      <w:pPr>
        <w:tabs>
          <w:tab w:val="right" w:leader="dot" w:pos="9639"/>
        </w:tabs>
        <w:rPr>
          <w:noProof/>
        </w:rPr>
      </w:pPr>
      <w:r>
        <w:rPr>
          <w:noProof/>
        </w:rPr>
        <w:t>Nom du navire:</w:t>
      </w:r>
      <w:r>
        <w:rPr>
          <w:noProof/>
        </w:rPr>
        <w:tab/>
      </w:r>
    </w:p>
    <w:p>
      <w:pPr>
        <w:tabs>
          <w:tab w:val="right" w:leader="dot" w:pos="9639"/>
        </w:tabs>
        <w:rPr>
          <w:noProof/>
        </w:rPr>
      </w:pPr>
      <w:r>
        <w:rPr>
          <w:noProof/>
        </w:rPr>
        <w:t>Niveau de capture prévu (en tonnes):</w:t>
      </w:r>
      <w:r>
        <w:rPr>
          <w:noProof/>
        </w:rPr>
        <w:tab/>
      </w:r>
    </w:p>
    <w:p>
      <w:pPr>
        <w:tabs>
          <w:tab w:val="right" w:leader="dot" w:pos="9639"/>
        </w:tabs>
        <w:rPr>
          <w:noProof/>
        </w:rPr>
      </w:pPr>
      <w:r>
        <w:rPr>
          <w:noProof/>
        </w:rPr>
        <w:t>Capacité de traitement journalier du navire (tonnes en poids vif):</w:t>
      </w:r>
      <w:r>
        <w:rPr>
          <w:noProof/>
        </w:rPr>
        <w:tab/>
      </w:r>
    </w:p>
    <w:p>
      <w:pPr>
        <w:rPr>
          <w:noProof/>
        </w:rPr>
      </w:pPr>
      <w:r>
        <w:rPr>
          <w:noProof/>
        </w:rPr>
        <w:t>Sous-zones et divisions où il est prévu de pêcher</w:t>
      </w:r>
    </w:p>
    <w:p>
      <w:pPr>
        <w:rPr>
          <w:noProof/>
        </w:rPr>
      </w:pPr>
      <w:r>
        <w:rPr>
          <w:noProof/>
        </w:rPr>
        <w:t>La présente mesure de conservation s'applique aux notifications de projets de pêche de krill antarctique dans les sous-zones 48.1, 48.2, 48.3 et 48.4 et les divisions 58.4.1 et 58.4.2. Les projets de pêche de krill antarctique dans d'autres sous-zones et divisions doivent être notifiés en vertu de la mesure de conservation 21-02.</w:t>
      </w:r>
    </w:p>
    <w:tbl>
      <w:tblPr>
        <w:tblW w:w="5000" w:type="pct"/>
        <w:jc w:val="center"/>
        <w:tblLook w:val="0000" w:firstRow="0" w:lastRow="0" w:firstColumn="0" w:lastColumn="0" w:noHBand="0" w:noVBand="0"/>
      </w:tblPr>
      <w:tblGrid>
        <w:gridCol w:w="3758"/>
        <w:gridCol w:w="6096"/>
      </w:tblGrid>
      <w:tr>
        <w:trPr>
          <w:cantSplit/>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pageBreakBefore/>
              <w:spacing w:before="60" w:after="60"/>
              <w:jc w:val="center"/>
              <w:rPr>
                <w:noProof/>
              </w:rPr>
            </w:pPr>
            <w:r>
              <w:rPr>
                <w:noProof/>
              </w:rPr>
              <w:t>Sous-zone/Division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Cocher les cases correspondantes</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bl>
    <w:p>
      <w:pPr>
        <w:rPr>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spacing w:before="60" w:after="60"/>
              <w:rPr>
                <w:noProof/>
              </w:rPr>
            </w:pPr>
            <w:r>
              <w:rPr>
                <w:noProof/>
              </w:rPr>
              <w:t>Technique de pêche:</w:t>
            </w:r>
          </w:p>
        </w:tc>
        <w:tc>
          <w:tcPr>
            <w:tcW w:w="7619" w:type="dxa"/>
            <w:shd w:val="clear" w:color="auto" w:fill="auto"/>
          </w:tcPr>
          <w:p>
            <w:pPr>
              <w:spacing w:before="60" w:after="60"/>
              <w:rPr>
                <w:noProof/>
              </w:rPr>
            </w:pPr>
            <w:r>
              <w:rPr>
                <w:noProof/>
              </w:rPr>
              <w:t>Cocher les cases correspondantes</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Chalut conventionnel</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Système de pêche en continu</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Pompage pour dégager le cul du chalut</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Autre méthode: veuillez préciser</w:t>
            </w:r>
          </w:p>
        </w:tc>
      </w:tr>
    </w:tbl>
    <w:p>
      <w:pPr>
        <w:rPr>
          <w:noProof/>
        </w:rPr>
      </w:pPr>
      <w:r>
        <w:rPr>
          <w:noProof/>
        </w:rPr>
        <w:t>Types de produits et méthodes d'estimation directe du poids vif du krill antarctique capturé</w:t>
      </w:r>
    </w:p>
    <w:tbl>
      <w:tblPr>
        <w:tblW w:w="5000" w:type="pct"/>
        <w:jc w:val="center"/>
        <w:tblLook w:val="0000" w:firstRow="0" w:lastRow="0" w:firstColumn="0" w:lastColumn="0" w:noHBand="0" w:noVBand="0"/>
      </w:tblPr>
      <w:tblGrid>
        <w:gridCol w:w="4927"/>
        <w:gridCol w:w="4927"/>
      </w:tblGrid>
      <w:tr>
        <w:trPr>
          <w:trHeight w:val="227"/>
          <w:tblHeader/>
          <w:jc w:val="center"/>
        </w:trPr>
        <w:tc>
          <w:tcPr>
            <w:tcW w:w="492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Type de produit</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Méthode d'estimation directe du poids vif du krill antarctique capturé, le cas échéant (voir annexe 21-03/B)</w:t>
            </w:r>
            <w:r>
              <w:rPr>
                <w:b/>
                <w:bCs/>
                <w:noProof/>
                <w:vertAlign w:val="superscript"/>
              </w:rPr>
              <w:t>(1)</w:t>
            </w: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Congelé entier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Bouilli</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Farine</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Huile</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Autre produit, veuillez préciser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vertAlign w:val="superscript"/>
              </w:rPr>
              <w:t>(1)</w:t>
            </w:r>
            <w:r>
              <w:rPr>
                <w:noProof/>
              </w:rPr>
              <w:tab/>
              <w:t>Si la méthode n'est pas citée dans l'annexe 21-03/B, veuillez la décrire en détail.</w:t>
            </w:r>
          </w:p>
        </w:tc>
      </w:tr>
    </w:tbl>
    <w:p>
      <w:pPr>
        <w:rPr>
          <w:noProof/>
        </w:rPr>
      </w:pPr>
    </w:p>
    <w:p>
      <w:pPr>
        <w:rPr>
          <w:noProof/>
        </w:rPr>
      </w:pPr>
      <w:r>
        <w:rPr>
          <w:noProof/>
        </w:rPr>
        <w:t>Configuration des filets</w:t>
      </w:r>
    </w:p>
    <w:tbl>
      <w:tblPr>
        <w:tblW w:w="0" w:type="auto"/>
        <w:tblLook w:val="0000" w:firstRow="0" w:lastRow="0" w:firstColumn="0" w:lastColumn="0" w:noHBand="0" w:noVBand="0"/>
      </w:tblPr>
      <w:tblGrid>
        <w:gridCol w:w="4628"/>
        <w:gridCol w:w="855"/>
        <w:gridCol w:w="778"/>
        <w:gridCol w:w="855"/>
        <w:gridCol w:w="778"/>
        <w:gridCol w:w="1026"/>
        <w:gridCol w:w="934"/>
      </w:tblGrid>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Dimensions des filets</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Filet 1</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Filet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Autre(s) filet(s)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Ouverture du filet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Ouverture verticale maximale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Ouverture horizontale maximale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Circonférence (m) ouverture du filet</w:t>
            </w:r>
            <w:r>
              <w:rPr>
                <w:b/>
                <w:bCs/>
                <w:noProof/>
                <w:sz w:val="22"/>
                <w:vertAlign w:val="superscript"/>
              </w:rPr>
              <w:t>(1)</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Surface de l'ouverture (m</w:t>
            </w:r>
            <w:r>
              <w:rPr>
                <w:noProof/>
                <w:sz w:val="22"/>
                <w:vertAlign w:val="superscript"/>
              </w:rPr>
              <w:t>2</w:t>
            </w:r>
            <w:r>
              <w:rPr>
                <w:noProof/>
                <w:sz w:val="22"/>
              </w:rPr>
              <w: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ind w:left="284"/>
              <w:rPr>
                <w:noProof/>
              </w:rPr>
            </w:pPr>
            <w:r>
              <w:rPr>
                <w:noProof/>
                <w:sz w:val="22"/>
              </w:rPr>
              <w:t>Maillage moyen faces du filet</w:t>
            </w:r>
            <w:r>
              <w:rPr>
                <w:b/>
                <w:bCs/>
                <w:noProof/>
                <w:sz w:val="22"/>
                <w:vertAlign w:val="superscript"/>
              </w:rPr>
              <w:t>(3)</w:t>
            </w:r>
            <w:r>
              <w:rPr>
                <w:noProof/>
                <w:sz w:val="22"/>
              </w:rPr>
              <w:t xml:space="preserve"> (mm)</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Ext</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Int</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Ext</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Int</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Ext</w:t>
            </w:r>
            <w:r>
              <w:rPr>
                <w:b/>
                <w:bCs/>
                <w:noProof/>
                <w:sz w:val="22"/>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Int</w:t>
            </w:r>
            <w:r>
              <w:rPr>
                <w:b/>
                <w:bCs/>
                <w:noProof/>
                <w:sz w:val="22"/>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1</w:t>
            </w:r>
            <w:r>
              <w:rPr>
                <w:noProof/>
                <w:sz w:val="22"/>
                <w:vertAlign w:val="superscript"/>
              </w:rPr>
              <w:t>re</w:t>
            </w:r>
            <w:r>
              <w:rPr>
                <w:noProof/>
                <w:sz w:val="22"/>
              </w:rPr>
              <w:t xml:space="preserve"> face du filet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2</w:t>
            </w:r>
            <w:r>
              <w:rPr>
                <w:noProof/>
                <w:sz w:val="22"/>
                <w:vertAlign w:val="superscript"/>
              </w:rPr>
              <w:t>e</w:t>
            </w:r>
            <w:r>
              <w:rPr>
                <w:noProof/>
                <w:sz w:val="22"/>
              </w:rPr>
              <w:t xml:space="preserve"> face du filet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3</w:t>
            </w:r>
            <w:r>
              <w:rPr>
                <w:noProof/>
                <w:sz w:val="22"/>
                <w:vertAlign w:val="superscript"/>
              </w:rPr>
              <w:t>e</w:t>
            </w:r>
            <w:r>
              <w:rPr>
                <w:noProof/>
                <w:sz w:val="22"/>
              </w:rPr>
              <w:t xml:space="preserve"> face du filet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Dernière face du filet (cul de chalut)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sz w:val="22"/>
                <w:vertAlign w:val="superscript"/>
              </w:rPr>
              <w:t>(1)</w:t>
            </w:r>
            <w:r>
              <w:rPr>
                <w:noProof/>
                <w:sz w:val="22"/>
              </w:rPr>
              <w:tab/>
              <w:t>Présumée, lorsqu'il est en opération.</w:t>
            </w:r>
          </w:p>
          <w:p>
            <w:pPr>
              <w:spacing w:before="60" w:after="60"/>
              <w:rPr>
                <w:noProof/>
              </w:rPr>
            </w:pPr>
            <w:r>
              <w:rPr>
                <w:b/>
                <w:bCs/>
                <w:noProof/>
                <w:sz w:val="22"/>
                <w:vertAlign w:val="superscript"/>
              </w:rPr>
              <w:t>(2)</w:t>
            </w:r>
            <w:r>
              <w:rPr>
                <w:noProof/>
                <w:sz w:val="22"/>
              </w:rPr>
              <w:tab/>
              <w:t>Maillage externe, et maillage interne lorsqu'une poche est utilisée.</w:t>
            </w:r>
          </w:p>
          <w:p>
            <w:pPr>
              <w:spacing w:before="60" w:after="60"/>
              <w:rPr>
                <w:noProof/>
              </w:rPr>
            </w:pPr>
            <w:r>
              <w:rPr>
                <w:b/>
                <w:bCs/>
                <w:noProof/>
                <w:sz w:val="22"/>
                <w:vertAlign w:val="superscript"/>
              </w:rPr>
              <w:t>(3)</w:t>
            </w:r>
            <w:r>
              <w:rPr>
                <w:noProof/>
                <w:sz w:val="22"/>
              </w:rPr>
              <w:tab/>
              <w:t>Dimension intérieure d'une maille étirée, selon la procédure décrite dans la mesure de conservation 22-01.</w:t>
            </w:r>
          </w:p>
        </w:tc>
      </w:tr>
    </w:tbl>
    <w:p>
      <w:pPr>
        <w:rPr>
          <w:noProof/>
        </w:rPr>
      </w:pPr>
    </w:p>
    <w:p>
      <w:pPr>
        <w:tabs>
          <w:tab w:val="right" w:leader="dot" w:pos="9639"/>
        </w:tabs>
        <w:rPr>
          <w:noProof/>
        </w:rPr>
      </w:pPr>
      <w:r>
        <w:rPr>
          <w:noProof/>
        </w:rPr>
        <w:t>Schéma(s) des filets:</w:t>
      </w:r>
      <w:r>
        <w:rPr>
          <w:noProof/>
        </w:rPr>
        <w:tab/>
      </w:r>
    </w:p>
    <w:p>
      <w:pPr>
        <w:rPr>
          <w:noProof/>
        </w:rPr>
      </w:pPr>
      <w:r>
        <w:rPr>
          <w:noProof/>
        </w:rPr>
        <w:t>Pour chaque filet utilisé, ou tout changement dans la configuration du filet, se référer au schéma correspondant dans la bibliothèque de référence de la CCAMLR sur les engins de pêche (www.ccamlr.org/node/74407), ou s'il n'en existe pas, en soumettre un ainsi qu'une description détaillée à la réunion suivante du WG-EMM. Les schémas des filets doivent inclure:</w:t>
      </w:r>
    </w:p>
    <w:p>
      <w:pPr>
        <w:pStyle w:val="Point0"/>
        <w:rPr>
          <w:noProof/>
        </w:rPr>
      </w:pPr>
      <w:r>
        <w:rPr>
          <w:noProof/>
        </w:rPr>
        <w:t>1.</w:t>
      </w:r>
      <w:r>
        <w:rPr>
          <w:noProof/>
        </w:rPr>
        <w:tab/>
        <w:t>La longueur et la largeur de chaque face du filet (avec suffisamment de détails pour permettre de calculer l'angle de chaque face par rapport au flux d'eau).</w:t>
      </w:r>
    </w:p>
    <w:p>
      <w:pPr>
        <w:pStyle w:val="Point0"/>
        <w:rPr>
          <w:noProof/>
        </w:rPr>
      </w:pPr>
      <w:r>
        <w:rPr>
          <w:noProof/>
        </w:rPr>
        <w:t>2.</w:t>
      </w:r>
      <w:r>
        <w:rPr>
          <w:noProof/>
        </w:rPr>
        <w:tab/>
        <w:t>La taille du maillage (dimension intérieure d'une maille étirée, sur la base de la procédure établie dans la mesure de conservation 22-01), la forme (par exemple en forme de losange) et le matériau (par exemple polypropylène).</w:t>
      </w:r>
    </w:p>
    <w:p>
      <w:pPr>
        <w:pStyle w:val="Point0"/>
        <w:rPr>
          <w:noProof/>
        </w:rPr>
      </w:pPr>
      <w:r>
        <w:rPr>
          <w:noProof/>
        </w:rPr>
        <w:t>3.</w:t>
      </w:r>
      <w:r>
        <w:rPr>
          <w:noProof/>
        </w:rPr>
        <w:tab/>
        <w:t>La construction des mailles (par exemple nouées, soudées).</w:t>
      </w:r>
    </w:p>
    <w:p>
      <w:pPr>
        <w:pStyle w:val="Point0"/>
        <w:rPr>
          <w:noProof/>
        </w:rPr>
      </w:pPr>
      <w:r>
        <w:rPr>
          <w:noProof/>
        </w:rPr>
        <w:t>4.</w:t>
      </w:r>
      <w:r>
        <w:rPr>
          <w:noProof/>
        </w:rPr>
        <w:tab/>
        <w:t>Des détails sur les banderoles utilisées à l'intérieur du chalut (conception, emplacement sur les panneaux, indiquer «néant» si des banderoles ne sont pas utilisées); les banderoles empêchent le krill antarctique de bloquer les mailles ou de s'échapper.</w:t>
      </w:r>
    </w:p>
    <w:p>
      <w:pPr>
        <w:rPr>
          <w:noProof/>
        </w:rPr>
      </w:pPr>
      <w:r>
        <w:rPr>
          <w:noProof/>
        </w:rPr>
        <w:t>Dispositif d'exclusion des mammifères marins</w:t>
      </w:r>
    </w:p>
    <w:p>
      <w:pPr>
        <w:tabs>
          <w:tab w:val="right" w:leader="dot" w:pos="9639"/>
        </w:tabs>
        <w:rPr>
          <w:noProof/>
        </w:rPr>
      </w:pPr>
      <w:r>
        <w:rPr>
          <w:noProof/>
        </w:rPr>
        <w:t>Schéma(s) du dispositif:</w:t>
      </w:r>
      <w:r>
        <w:rPr>
          <w:noProof/>
        </w:rPr>
        <w:tab/>
      </w:r>
    </w:p>
    <w:p>
      <w:pPr>
        <w:rPr>
          <w:noProof/>
        </w:rPr>
      </w:pPr>
      <w:r>
        <w:rPr>
          <w:noProof/>
        </w:rPr>
        <w:t>Pour chaque type de dispositif utilisé, ou tout changement dans la configuration du dispositif, se référer au schéma correspondant dans la bibliothèque de référence de la CCAMLR sur les engins de pêche (www.ccamlr.org/node/74407) ou, s'il n'en existe pas, en soumettre un ainsi qu'une description détaillée à la réunion suivante du WG-EMM.</w:t>
      </w:r>
    </w:p>
    <w:p>
      <w:pPr>
        <w:rPr>
          <w:noProof/>
        </w:rPr>
      </w:pPr>
      <w:r>
        <w:rPr>
          <w:noProof/>
        </w:rPr>
        <w:t>Collecte de données acoustiques</w:t>
      </w:r>
    </w:p>
    <w:p>
      <w:pPr>
        <w:rPr>
          <w:noProof/>
        </w:rPr>
      </w:pPr>
      <w:r>
        <w:rPr>
          <w:noProof/>
        </w:rPr>
        <w:t>Fournir des informations sur les échosondeurs et les sonars utilisés par le navire.</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Type (échosondeur, sonar par exemple)</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Fabricant</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Modèle</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Fréquences du transducteur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bl>
    <w:p>
      <w:pPr>
        <w:rPr>
          <w:noProof/>
        </w:rPr>
      </w:pPr>
    </w:p>
    <w:p>
      <w:pPr>
        <w:tabs>
          <w:tab w:val="right" w:leader="dot" w:pos="9639"/>
        </w:tabs>
        <w:rPr>
          <w:noProof/>
        </w:rPr>
      </w:pPr>
      <w:r>
        <w:rPr>
          <w:noProof/>
        </w:rPr>
        <w:t>Collecte des données acoustiques (description détaillée):</w:t>
      </w:r>
      <w:r>
        <w:rPr>
          <w:noProof/>
        </w:rPr>
        <w:tab/>
      </w:r>
    </w:p>
    <w:p>
      <w:pPr>
        <w:rPr>
          <w:noProof/>
        </w:rPr>
      </w:pPr>
      <w:r>
        <w:rPr>
          <w:noProof/>
        </w:rPr>
        <w:t>Décrire les mesures qui seront prises pour collecter des données acoustiques afin d'obtenir des informations sur la répartition et l'abondance d'</w:t>
      </w:r>
      <w:r>
        <w:rPr>
          <w:i/>
          <w:iCs/>
          <w:noProof/>
        </w:rPr>
        <w:t>Euphausia superba</w:t>
      </w:r>
      <w:r>
        <w:rPr>
          <w:noProof/>
        </w:rPr>
        <w:t>, mais aussi d'autres espèces pélagiques telles que les myctophidés et les salpidés (SC-CAMLR-XXX, paragraphe 2.10).</w:t>
      </w:r>
    </w:p>
    <w:p>
      <w:pPr>
        <w:pStyle w:val="NormalRight"/>
        <w:rPr>
          <w:noProof/>
        </w:rPr>
      </w:pPr>
      <w:r>
        <w:rPr>
          <w:noProof/>
        </w:rPr>
        <w:br w:type="page"/>
        <w:t>ANNEXE 21-03/B</w:t>
      </w:r>
    </w:p>
    <w:p>
      <w:pPr>
        <w:pStyle w:val="NormalCentered"/>
        <w:rPr>
          <w:noProof/>
        </w:rPr>
      </w:pPr>
      <w:r>
        <w:rPr>
          <w:noProof/>
        </w:rPr>
        <w:t>CRITÈRES D'ESTIMATION DU POIDS VIF</w:t>
      </w:r>
      <w:r>
        <w:rPr>
          <w:noProof/>
        </w:rPr>
        <w:br/>
        <w:t>DU KRILL CAPTURÉ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2154"/>
        <w:gridCol w:w="2170"/>
        <w:gridCol w:w="1096"/>
        <w:gridCol w:w="1856"/>
        <w:gridCol w:w="852"/>
      </w:tblGrid>
      <w:tr>
        <w:trPr>
          <w:tblHeader/>
        </w:trPr>
        <w:tc>
          <w:tcPr>
            <w:tcW w:w="0" w:type="auto"/>
            <w:vMerge w:val="restart"/>
            <w:shd w:val="clear" w:color="auto" w:fill="auto"/>
            <w:vAlign w:val="center"/>
          </w:tcPr>
          <w:p>
            <w:pPr>
              <w:spacing w:before="60" w:after="60"/>
              <w:jc w:val="center"/>
              <w:rPr>
                <w:noProof/>
              </w:rPr>
            </w:pPr>
            <w:r>
              <w:rPr>
                <w:noProof/>
                <w:sz w:val="22"/>
              </w:rPr>
              <w:t>Méthode</w:t>
            </w:r>
          </w:p>
        </w:tc>
        <w:tc>
          <w:tcPr>
            <w:tcW w:w="0" w:type="auto"/>
            <w:vMerge w:val="restart"/>
            <w:shd w:val="clear" w:color="auto" w:fill="auto"/>
            <w:vAlign w:val="center"/>
          </w:tcPr>
          <w:p>
            <w:pPr>
              <w:spacing w:before="60" w:after="60"/>
              <w:jc w:val="center"/>
              <w:rPr>
                <w:noProof/>
              </w:rPr>
            </w:pPr>
            <w:r>
              <w:rPr>
                <w:noProof/>
                <w:sz w:val="22"/>
              </w:rPr>
              <w:t>Équation (kg)</w:t>
            </w:r>
          </w:p>
        </w:tc>
        <w:tc>
          <w:tcPr>
            <w:tcW w:w="0" w:type="auto"/>
            <w:gridSpan w:val="4"/>
            <w:shd w:val="clear" w:color="auto" w:fill="auto"/>
            <w:vAlign w:val="center"/>
          </w:tcPr>
          <w:p>
            <w:pPr>
              <w:spacing w:before="60" w:after="60"/>
              <w:jc w:val="center"/>
              <w:rPr>
                <w:noProof/>
              </w:rPr>
            </w:pPr>
            <w:r>
              <w:rPr>
                <w:noProof/>
                <w:sz w:val="22"/>
              </w:rPr>
              <w:t>Paramètre</w:t>
            </w:r>
          </w:p>
        </w:tc>
      </w:tr>
      <w:tr>
        <w:trPr>
          <w:tblHeader/>
        </w:trPr>
        <w:tc>
          <w:tcPr>
            <w:tcW w:w="0" w:type="auto"/>
            <w:vMerge/>
            <w:shd w:val="clear" w:color="auto" w:fill="auto"/>
            <w:vAlign w:val="center"/>
          </w:tcPr>
          <w:p>
            <w:pPr>
              <w:spacing w:before="60" w:after="60"/>
              <w:jc w:val="center"/>
              <w:rPr>
                <w:noProof/>
              </w:rPr>
            </w:pPr>
          </w:p>
        </w:tc>
        <w:tc>
          <w:tcPr>
            <w:tcW w:w="0" w:type="auto"/>
            <w:vMerge/>
            <w:shd w:val="clear" w:color="auto" w:fill="auto"/>
            <w:vAlign w:val="center"/>
          </w:tcPr>
          <w:p>
            <w:pPr>
              <w:spacing w:before="60" w:after="60"/>
              <w:jc w:val="center"/>
              <w:rPr>
                <w:noProof/>
              </w:rPr>
            </w:pPr>
          </w:p>
        </w:tc>
        <w:tc>
          <w:tcPr>
            <w:tcW w:w="0" w:type="auto"/>
            <w:shd w:val="clear" w:color="auto" w:fill="auto"/>
            <w:vAlign w:val="center"/>
          </w:tcPr>
          <w:p>
            <w:pPr>
              <w:spacing w:before="60" w:after="60"/>
              <w:jc w:val="center"/>
              <w:rPr>
                <w:noProof/>
              </w:rPr>
            </w:pPr>
            <w:r>
              <w:rPr>
                <w:noProof/>
                <w:sz w:val="22"/>
              </w:rPr>
              <w:t>Désignation des produits</w:t>
            </w:r>
          </w:p>
        </w:tc>
        <w:tc>
          <w:tcPr>
            <w:tcW w:w="0" w:type="auto"/>
            <w:shd w:val="clear" w:color="auto" w:fill="auto"/>
            <w:vAlign w:val="center"/>
          </w:tcPr>
          <w:p>
            <w:pPr>
              <w:spacing w:before="60" w:after="60"/>
              <w:jc w:val="center"/>
              <w:rPr>
                <w:noProof/>
              </w:rPr>
            </w:pPr>
            <w:r>
              <w:rPr>
                <w:noProof/>
                <w:sz w:val="22"/>
              </w:rPr>
              <w:t>Nature</w:t>
            </w:r>
          </w:p>
        </w:tc>
        <w:tc>
          <w:tcPr>
            <w:tcW w:w="0" w:type="auto"/>
            <w:shd w:val="clear" w:color="auto" w:fill="auto"/>
            <w:vAlign w:val="center"/>
          </w:tcPr>
          <w:p>
            <w:pPr>
              <w:spacing w:before="60" w:after="60"/>
              <w:jc w:val="center"/>
              <w:rPr>
                <w:noProof/>
              </w:rPr>
            </w:pPr>
            <w:r>
              <w:rPr>
                <w:noProof/>
                <w:sz w:val="22"/>
              </w:rPr>
              <w:t>Méthode d'estimation</w:t>
            </w:r>
          </w:p>
        </w:tc>
        <w:tc>
          <w:tcPr>
            <w:tcW w:w="0" w:type="auto"/>
            <w:shd w:val="clear" w:color="auto" w:fill="auto"/>
            <w:vAlign w:val="center"/>
          </w:tcPr>
          <w:p>
            <w:pPr>
              <w:spacing w:before="60" w:after="60"/>
              <w:jc w:val="center"/>
              <w:rPr>
                <w:noProof/>
              </w:rPr>
            </w:pPr>
            <w:r>
              <w:rPr>
                <w:noProof/>
                <w:sz w:val="22"/>
              </w:rPr>
              <w:t>Unité</w:t>
            </w:r>
          </w:p>
        </w:tc>
      </w:tr>
      <w:tr>
        <w:tc>
          <w:tcPr>
            <w:tcW w:w="0" w:type="auto"/>
            <w:vMerge w:val="restart"/>
            <w:shd w:val="clear" w:color="auto" w:fill="auto"/>
          </w:tcPr>
          <w:p>
            <w:pPr>
              <w:spacing w:before="60" w:after="60"/>
              <w:rPr>
                <w:noProof/>
              </w:rPr>
            </w:pPr>
            <w:r>
              <w:rPr>
                <w:noProof/>
                <w:sz w:val="22"/>
              </w:rPr>
              <w:t>Volume de la cuve </w:t>
            </w:r>
          </w:p>
        </w:tc>
        <w:tc>
          <w:tcPr>
            <w:tcW w:w="0" w:type="auto"/>
            <w:vMerge w:val="restart"/>
            <w:shd w:val="clear" w:color="auto" w:fill="auto"/>
          </w:tcPr>
          <w:p>
            <w:pPr>
              <w:spacing w:before="60" w:after="60"/>
              <w:rPr>
                <w:noProof/>
              </w:rPr>
            </w:pPr>
            <w:r>
              <w:rPr>
                <w:noProof/>
                <w:sz w:val="22"/>
              </w:rPr>
              <w:t>W*L*H*ρ*1 000</w:t>
            </w:r>
          </w:p>
        </w:tc>
        <w:tc>
          <w:tcPr>
            <w:tcW w:w="0" w:type="auto"/>
            <w:shd w:val="clear" w:color="auto" w:fill="auto"/>
          </w:tcPr>
          <w:p>
            <w:pPr>
              <w:spacing w:before="60" w:after="60"/>
              <w:rPr>
                <w:noProof/>
              </w:rPr>
            </w:pPr>
            <w:r>
              <w:rPr>
                <w:noProof/>
                <w:sz w:val="22"/>
              </w:rPr>
              <w:t>W = largeur de la cuve</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 xml:space="preserve">Mesure au début de la pêche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longueur de la cuve</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 xml:space="preserve">Mesure au début de la pêche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facteur de conversion du volume en poids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du volume en poids</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hauteur de krill antarctique dans la cuve</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m</w:t>
            </w:r>
          </w:p>
        </w:tc>
      </w:tr>
      <w:tr>
        <w:tc>
          <w:tcPr>
            <w:tcW w:w="0" w:type="auto"/>
            <w:vMerge w:val="restart"/>
            <w:shd w:val="clear" w:color="auto" w:fill="auto"/>
          </w:tcPr>
          <w:p>
            <w:pPr>
              <w:spacing w:before="60" w:after="60"/>
              <w:rPr>
                <w:noProof/>
              </w:rPr>
            </w:pPr>
            <w:r>
              <w:rPr>
                <w:noProof/>
                <w:sz w:val="22"/>
              </w:rPr>
              <w:t>Débitmètre</w:t>
            </w:r>
            <w:r>
              <w:rPr>
                <w:b/>
                <w:bCs/>
                <w:noProof/>
                <w:sz w:val="22"/>
                <w:vertAlign w:val="superscript"/>
              </w:rPr>
              <w:t>(1)</w:t>
            </w:r>
          </w:p>
        </w:tc>
        <w:tc>
          <w:tcPr>
            <w:tcW w:w="0" w:type="auto"/>
            <w:vMerge w:val="restart"/>
            <w:shd w:val="clear" w:color="auto" w:fill="auto"/>
          </w:tcPr>
          <w:p>
            <w:pPr>
              <w:spacing w:before="60" w:after="60"/>
              <w:rPr>
                <w:noProof/>
              </w:rPr>
            </w:pPr>
            <w:r>
              <w:rPr>
                <w:noProof/>
                <w:sz w:val="22"/>
              </w:rPr>
              <w:t>V*F</w:t>
            </w:r>
            <w:r>
              <w:rPr>
                <w:noProof/>
                <w:sz w:val="22"/>
                <w:vertAlign w:val="subscript"/>
              </w:rPr>
              <w:t>krill</w:t>
            </w:r>
            <w:r>
              <w:rPr>
                <w:noProof/>
                <w:sz w:val="22"/>
              </w:rPr>
              <w:t>*ρ</w:t>
            </w:r>
          </w:p>
        </w:tc>
        <w:tc>
          <w:tcPr>
            <w:tcW w:w="0" w:type="auto"/>
            <w:shd w:val="clear" w:color="auto" w:fill="auto"/>
          </w:tcPr>
          <w:p>
            <w:pPr>
              <w:spacing w:before="60" w:after="60"/>
              <w:rPr>
                <w:noProof/>
              </w:rPr>
            </w:pPr>
            <w:r>
              <w:rPr>
                <w:noProof/>
                <w:sz w:val="22"/>
              </w:rPr>
              <w:t>V = volume combiné de krill antarctique et d'eau</w:t>
            </w:r>
          </w:p>
        </w:tc>
        <w:tc>
          <w:tcPr>
            <w:tcW w:w="0" w:type="auto"/>
            <w:shd w:val="clear" w:color="auto" w:fill="auto"/>
          </w:tcPr>
          <w:p>
            <w:pPr>
              <w:spacing w:before="60" w:after="60"/>
              <w:rPr>
                <w:noProof/>
              </w:rPr>
            </w:pPr>
            <w:r>
              <w:rPr>
                <w:noProof/>
                <w:sz w:val="22"/>
              </w:rPr>
              <w:t>Par trait</w:t>
            </w:r>
            <w:r>
              <w:rPr>
                <w:noProof/>
                <w:sz w:val="22"/>
                <w:vertAlign w:val="superscript"/>
              </w:rPr>
              <w:t>1</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w:t>
            </w:r>
            <w:r>
              <w:rPr>
                <w:noProof/>
                <w:sz w:val="22"/>
                <w:vertAlign w:val="subscript"/>
              </w:rPr>
              <w:t>krill</w:t>
            </w:r>
            <w:r>
              <w:rPr>
                <w:noProof/>
                <w:sz w:val="22"/>
              </w:rPr>
              <w:t xml:space="preserve"> = proportion de krill antarctique dans l'échantillon</w:t>
            </w:r>
          </w:p>
        </w:tc>
        <w:tc>
          <w:tcPr>
            <w:tcW w:w="0" w:type="auto"/>
            <w:shd w:val="clear" w:color="auto" w:fill="auto"/>
          </w:tcPr>
          <w:p>
            <w:pPr>
              <w:spacing w:before="60" w:after="60"/>
              <w:rPr>
                <w:noProof/>
              </w:rPr>
            </w:pPr>
            <w:r>
              <w:rPr>
                <w:noProof/>
                <w:sz w:val="22"/>
              </w:rPr>
              <w:t>Par trait</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Correction du volume obtenu par débitmètre</w:t>
            </w:r>
          </w:p>
        </w:tc>
        <w:tc>
          <w:tcPr>
            <w:tcW w:w="0" w:type="auto"/>
            <w:shd w:val="clear" w:color="auto" w:fill="auto"/>
          </w:tcPr>
          <w:p>
            <w:pPr>
              <w:spacing w:before="60" w:after="60"/>
              <w:rPr>
                <w:noProof/>
              </w:rPr>
            </w:pPr>
            <w:r>
              <w:rPr>
                <w:noProof/>
                <w:sz w:val="22"/>
              </w:rPr>
              <w:noBreakHyphen/>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facteur de conversion du volume en poids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du volume en poids</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spacing w:before="60" w:after="60"/>
              <w:rPr>
                <w:noProof/>
              </w:rPr>
            </w:pPr>
            <w:r>
              <w:rPr>
                <w:noProof/>
                <w:sz w:val="22"/>
              </w:rPr>
              <w:t>Débitmètre</w:t>
            </w:r>
            <w:r>
              <w:rPr>
                <w:b/>
                <w:bCs/>
                <w:noProof/>
                <w:sz w:val="22"/>
                <w:vertAlign w:val="superscript"/>
              </w:rPr>
              <w:t>(2)</w:t>
            </w:r>
          </w:p>
        </w:tc>
        <w:tc>
          <w:tcPr>
            <w:tcW w:w="0" w:type="auto"/>
            <w:vMerge w:val="restart"/>
            <w:shd w:val="clear" w:color="auto" w:fill="auto"/>
          </w:tcPr>
          <w:p>
            <w:pPr>
              <w:spacing w:before="60" w:after="60"/>
              <w:rPr>
                <w:noProof/>
              </w:rPr>
            </w:pPr>
            <w:r>
              <w:rPr>
                <w:noProof/>
                <w:sz w:val="22"/>
              </w:rPr>
              <w:t>(V*ρ)–M</w:t>
            </w:r>
          </w:p>
        </w:tc>
        <w:tc>
          <w:tcPr>
            <w:tcW w:w="0" w:type="auto"/>
            <w:shd w:val="clear" w:color="auto" w:fill="auto"/>
          </w:tcPr>
          <w:p>
            <w:pPr>
              <w:spacing w:before="60" w:after="60"/>
              <w:rPr>
                <w:noProof/>
              </w:rPr>
            </w:pPr>
            <w:r>
              <w:rPr>
                <w:noProof/>
                <w:sz w:val="22"/>
              </w:rPr>
              <w:t>V = volume de pâte de krill antarctique</w:t>
            </w:r>
          </w:p>
        </w:tc>
        <w:tc>
          <w:tcPr>
            <w:tcW w:w="0" w:type="auto"/>
            <w:shd w:val="clear" w:color="auto" w:fill="auto"/>
          </w:tcPr>
          <w:p>
            <w:pPr>
              <w:spacing w:before="60" w:after="60"/>
              <w:rPr>
                <w:noProof/>
              </w:rPr>
            </w:pPr>
            <w:r>
              <w:rPr>
                <w:noProof/>
                <w:sz w:val="22"/>
              </w:rPr>
              <w:t>Par trait</w:t>
            </w:r>
            <w:r>
              <w:rPr>
                <w:noProof/>
                <w:sz w:val="22"/>
                <w:vertAlign w:val="superscript"/>
              </w:rPr>
              <w:t>1</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quantité d'eau ajoutée au processus, convertie en poids</w:t>
            </w:r>
          </w:p>
        </w:tc>
        <w:tc>
          <w:tcPr>
            <w:tcW w:w="0" w:type="auto"/>
            <w:shd w:val="clear" w:color="auto" w:fill="auto"/>
          </w:tcPr>
          <w:p>
            <w:pPr>
              <w:spacing w:before="60" w:after="60"/>
              <w:rPr>
                <w:noProof/>
              </w:rPr>
            </w:pPr>
            <w:r>
              <w:rPr>
                <w:noProof/>
                <w:sz w:val="22"/>
              </w:rPr>
              <w:t>Par trait</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densité de la pâte de krill antarctique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pageBreakBefore/>
              <w:spacing w:before="60" w:after="60"/>
              <w:rPr>
                <w:noProof/>
              </w:rPr>
            </w:pPr>
            <w:r>
              <w:rPr>
                <w:noProof/>
                <w:sz w:val="22"/>
              </w:rPr>
              <w:t>Balance de ceinture </w:t>
            </w:r>
          </w:p>
        </w:tc>
        <w:tc>
          <w:tcPr>
            <w:tcW w:w="0" w:type="auto"/>
            <w:vMerge w:val="restart"/>
            <w:shd w:val="clear" w:color="auto" w:fill="auto"/>
          </w:tcPr>
          <w:p>
            <w:pPr>
              <w:spacing w:before="60" w:after="60"/>
              <w:rPr>
                <w:noProof/>
              </w:rPr>
            </w:pPr>
            <w:r>
              <w:rPr>
                <w:noProof/>
                <w:sz w:val="22"/>
              </w:rPr>
              <w:t>M*(1–F)</w:t>
            </w:r>
          </w:p>
        </w:tc>
        <w:tc>
          <w:tcPr>
            <w:tcW w:w="0" w:type="auto"/>
            <w:shd w:val="clear" w:color="auto" w:fill="auto"/>
          </w:tcPr>
          <w:p>
            <w:pPr>
              <w:spacing w:before="60" w:after="60"/>
              <w:rPr>
                <w:noProof/>
              </w:rPr>
            </w:pPr>
            <w:r>
              <w:rPr>
                <w:noProof/>
                <w:sz w:val="22"/>
              </w:rPr>
              <w:t>M = poids combiné de krill antarctique et d'eau</w:t>
            </w:r>
          </w:p>
        </w:tc>
        <w:tc>
          <w:tcPr>
            <w:tcW w:w="0" w:type="auto"/>
            <w:shd w:val="clear" w:color="auto" w:fill="auto"/>
          </w:tcPr>
          <w:p>
            <w:pPr>
              <w:spacing w:before="60" w:after="60"/>
              <w:rPr>
                <w:noProof/>
              </w:rPr>
            </w:pPr>
            <w:r>
              <w:rPr>
                <w:noProof/>
                <w:sz w:val="22"/>
              </w:rPr>
              <w:t>Par trait</w:t>
            </w:r>
            <w:r>
              <w:rPr>
                <w:noProof/>
                <w:sz w:val="22"/>
                <w:vertAlign w:val="superscript"/>
              </w:rPr>
              <w:t>2</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w:t>
            </w:r>
          </w:p>
        </w:tc>
      </w:tr>
      <w:tr>
        <w:trPr>
          <w:trHeight w:val="86"/>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 = proportion d'eau dans l'échantillon</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Correction du poids obtenu par balance de ceinture</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Plateau</w:t>
            </w:r>
          </w:p>
        </w:tc>
        <w:tc>
          <w:tcPr>
            <w:tcW w:w="0" w:type="auto"/>
            <w:vMerge w:val="restart"/>
            <w:shd w:val="clear" w:color="auto" w:fill="auto"/>
          </w:tcPr>
          <w:p>
            <w:pPr>
              <w:spacing w:before="60" w:after="60"/>
              <w:rPr>
                <w:noProof/>
              </w:rPr>
            </w:pPr>
            <w:r>
              <w:rPr>
                <w:noProof/>
                <w:sz w:val="22"/>
              </w:rPr>
              <w:t>(M–M</w:t>
            </w:r>
            <w:r>
              <w:rPr>
                <w:noProof/>
                <w:sz w:val="22"/>
                <w:vertAlign w:val="subscript"/>
              </w:rPr>
              <w:t>plateau</w:t>
            </w:r>
            <w:r>
              <w:rPr>
                <w:noProof/>
                <w:sz w:val="22"/>
              </w:rPr>
              <w:t>)*N</w:t>
            </w:r>
          </w:p>
        </w:tc>
        <w:tc>
          <w:tcPr>
            <w:tcW w:w="0" w:type="auto"/>
            <w:shd w:val="clear" w:color="auto" w:fill="auto"/>
          </w:tcPr>
          <w:p>
            <w:pPr>
              <w:spacing w:before="60" w:after="60"/>
              <w:rPr>
                <w:noProof/>
              </w:rPr>
            </w:pPr>
            <w:r>
              <w:rPr>
                <w:noProof/>
                <w:sz w:val="22"/>
              </w:rPr>
              <w:t>M</w:t>
            </w:r>
            <w:r>
              <w:rPr>
                <w:noProof/>
                <w:sz w:val="22"/>
                <w:vertAlign w:val="subscript"/>
              </w:rPr>
              <w:t>plateau</w:t>
            </w:r>
            <w:r>
              <w:rPr>
                <w:noProof/>
                <w:sz w:val="22"/>
              </w:rPr>
              <w:t xml:space="preserve"> = poids du plateau vide</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Observation directe avant la pêche</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poids moyen combiné du krill antarctique et du plateau</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Observation directe, égoutté avant congélation</w:t>
            </w:r>
          </w:p>
        </w:tc>
        <w:tc>
          <w:tcPr>
            <w:tcW w:w="0" w:type="auto"/>
            <w:shd w:val="clear" w:color="auto" w:fill="auto"/>
          </w:tcPr>
          <w:p>
            <w:pPr>
              <w:spacing w:before="60" w:after="60"/>
              <w:rPr>
                <w:noProof/>
              </w:rPr>
            </w:pPr>
            <w:r>
              <w:rPr>
                <w:noProof/>
                <w:sz w:val="22"/>
              </w:rPr>
              <w:t>kg</w:t>
            </w:r>
          </w:p>
        </w:tc>
      </w:tr>
      <w:tr>
        <w:trPr>
          <w:trHeight w:val="90"/>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N = nombre de plateaux</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Transformation en farine</w:t>
            </w:r>
          </w:p>
        </w:tc>
        <w:tc>
          <w:tcPr>
            <w:tcW w:w="0" w:type="auto"/>
            <w:vMerge w:val="restart"/>
            <w:shd w:val="clear" w:color="auto" w:fill="auto"/>
          </w:tcPr>
          <w:p>
            <w:pPr>
              <w:spacing w:before="60" w:after="60"/>
              <w:rPr>
                <w:noProof/>
              </w:rPr>
            </w:pPr>
            <w:r>
              <w:rPr>
                <w:noProof/>
                <w:sz w:val="22"/>
              </w:rPr>
              <w:t>M</w:t>
            </w:r>
            <w:r>
              <w:rPr>
                <w:noProof/>
                <w:sz w:val="22"/>
                <w:vertAlign w:val="subscript"/>
              </w:rPr>
              <w:t>farine</w:t>
            </w:r>
            <w:r>
              <w:rPr>
                <w:noProof/>
                <w:sz w:val="22"/>
              </w:rPr>
              <w:t>*MCF</w:t>
            </w:r>
          </w:p>
        </w:tc>
        <w:tc>
          <w:tcPr>
            <w:tcW w:w="0" w:type="auto"/>
            <w:shd w:val="clear" w:color="auto" w:fill="auto"/>
          </w:tcPr>
          <w:p>
            <w:pPr>
              <w:spacing w:before="60" w:after="60"/>
              <w:rPr>
                <w:noProof/>
              </w:rPr>
            </w:pPr>
            <w:r>
              <w:rPr>
                <w:noProof/>
                <w:sz w:val="22"/>
              </w:rPr>
              <w:t>M</w:t>
            </w:r>
            <w:r>
              <w:rPr>
                <w:noProof/>
                <w:sz w:val="22"/>
                <w:vertAlign w:val="subscript"/>
              </w:rPr>
              <w:t>farine</w:t>
            </w:r>
            <w:r>
              <w:rPr>
                <w:noProof/>
                <w:sz w:val="22"/>
              </w:rPr>
              <w:t xml:space="preserve"> = poids de farine produite</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MCF = coefficient de transformation en farine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de farine en krill antarctique entier</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Volume du cul de chalut </w:t>
            </w:r>
          </w:p>
        </w:tc>
        <w:tc>
          <w:tcPr>
            <w:tcW w:w="0" w:type="auto"/>
            <w:vMerge w:val="restart"/>
            <w:shd w:val="clear" w:color="auto" w:fill="auto"/>
          </w:tcPr>
          <w:p>
            <w:pPr>
              <w:spacing w:before="60" w:after="60"/>
              <w:rPr>
                <w:noProof/>
              </w:rPr>
            </w:pPr>
            <w:r>
              <w:rPr>
                <w:noProof/>
                <w:sz w:val="22"/>
              </w:rPr>
              <w:t>W*H*L*ρ*π/4*1 000</w:t>
            </w:r>
          </w:p>
        </w:tc>
        <w:tc>
          <w:tcPr>
            <w:tcW w:w="0" w:type="auto"/>
            <w:shd w:val="clear" w:color="auto" w:fill="auto"/>
          </w:tcPr>
          <w:p>
            <w:pPr>
              <w:spacing w:before="60" w:after="60"/>
              <w:rPr>
                <w:noProof/>
              </w:rPr>
            </w:pPr>
            <w:r>
              <w:rPr>
                <w:noProof/>
                <w:sz w:val="22"/>
              </w:rPr>
              <w:t>W = largeur du cul de chalut</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Mesure au début de la pêche</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hauteur du cul de chalut</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Mesure au début de la pêche</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facteur de conversion du volume en poids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du volume en poids</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longueur du cul de chalut</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m</w:t>
            </w:r>
          </w:p>
        </w:tc>
      </w:tr>
      <w:tr>
        <w:trPr>
          <w:trHeight w:val="263"/>
        </w:trPr>
        <w:tc>
          <w:tcPr>
            <w:tcW w:w="0" w:type="auto"/>
            <w:shd w:val="clear" w:color="auto" w:fill="auto"/>
          </w:tcPr>
          <w:p>
            <w:pPr>
              <w:spacing w:before="60" w:after="60"/>
              <w:rPr>
                <w:noProof/>
              </w:rPr>
            </w:pPr>
            <w:r>
              <w:rPr>
                <w:noProof/>
                <w:sz w:val="22"/>
              </w:rPr>
              <w:t>Autres</w:t>
            </w:r>
          </w:p>
        </w:tc>
        <w:tc>
          <w:tcPr>
            <w:tcW w:w="0" w:type="auto"/>
            <w:shd w:val="clear" w:color="auto" w:fill="auto"/>
          </w:tcPr>
          <w:p>
            <w:pPr>
              <w:spacing w:before="60" w:after="60"/>
              <w:rPr>
                <w:noProof/>
              </w:rPr>
            </w:pPr>
            <w:r>
              <w:rPr>
                <w:noProof/>
                <w:sz w:val="22"/>
              </w:rPr>
              <w:t>Veuillez préciser</w:t>
            </w: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r>
      <w:tr>
        <w:trPr>
          <w:trHeight w:val="263"/>
        </w:trPr>
        <w:tc>
          <w:tcPr>
            <w:tcW w:w="0" w:type="auto"/>
            <w:gridSpan w:val="6"/>
            <w:shd w:val="clear" w:color="auto" w:fill="auto"/>
          </w:tcPr>
          <w:p>
            <w:pPr>
              <w:spacing w:before="0" w:after="0"/>
              <w:ind w:left="397" w:hanging="397"/>
              <w:rPr>
                <w:noProof/>
              </w:rPr>
            </w:pPr>
            <w:r>
              <w:rPr>
                <w:b/>
                <w:bCs/>
                <w:noProof/>
                <w:sz w:val="22"/>
                <w:vertAlign w:val="superscript"/>
              </w:rPr>
              <w:t>(1)</w:t>
            </w:r>
            <w:r>
              <w:rPr>
                <w:noProof/>
                <w:sz w:val="22"/>
              </w:rPr>
              <w:tab/>
              <w:t>Par trait avec un chalut conventionnel ou intégré pour une période de six heures avec un système de pêche en continu.</w:t>
            </w:r>
          </w:p>
          <w:p>
            <w:pPr>
              <w:spacing w:before="0" w:after="0"/>
              <w:ind w:left="397" w:hanging="397"/>
              <w:rPr>
                <w:noProof/>
              </w:rPr>
            </w:pPr>
            <w:r>
              <w:rPr>
                <w:b/>
                <w:bCs/>
                <w:noProof/>
                <w:sz w:val="22"/>
                <w:vertAlign w:val="superscript"/>
              </w:rPr>
              <w:t>(2)</w:t>
            </w:r>
            <w:r>
              <w:rPr>
                <w:noProof/>
                <w:sz w:val="22"/>
              </w:rPr>
              <w:tab/>
              <w:t>Par trait avec un chalut conventionnel ou par période de deux heures avec un système de pêche en continu.</w:t>
            </w:r>
          </w:p>
        </w:tc>
      </w:tr>
    </w:tbl>
    <w:p>
      <w:pPr>
        <w:rPr>
          <w:noProof/>
        </w:rPr>
      </w:pPr>
    </w:p>
    <w:p>
      <w:pPr>
        <w:rPr>
          <w:noProof/>
        </w:rPr>
      </w:pPr>
      <w:r>
        <w:rPr>
          <w:noProof/>
        </w:rPr>
        <w:br w:type="page"/>
        <w:t>Étapes et fréquence des observations</w:t>
      </w:r>
    </w:p>
    <w:tbl>
      <w:tblPr>
        <w:tblW w:w="5000" w:type="pct"/>
        <w:tblLook w:val="04A0" w:firstRow="1" w:lastRow="0" w:firstColumn="1" w:lastColumn="0" w:noHBand="0" w:noVBand="1"/>
      </w:tblPr>
      <w:tblGrid>
        <w:gridCol w:w="2519"/>
        <w:gridCol w:w="7335"/>
      </w:tblGrid>
      <w:tr>
        <w:tc>
          <w:tcPr>
            <w:tcW w:w="5000" w:type="pct"/>
            <w:gridSpan w:val="2"/>
            <w:shd w:val="clear" w:color="auto" w:fill="auto"/>
          </w:tcPr>
          <w:p>
            <w:pPr>
              <w:spacing w:before="60" w:after="60"/>
              <w:rPr>
                <w:noProof/>
              </w:rPr>
            </w:pPr>
            <w:r>
              <w:rPr>
                <w:noProof/>
              </w:rPr>
              <w:t>Volume de la cuve</w:t>
            </w:r>
          </w:p>
        </w:tc>
      </w:tr>
      <w:tr>
        <w:tc>
          <w:tcPr>
            <w:tcW w:w="1278" w:type="pct"/>
            <w:shd w:val="clear" w:color="auto" w:fill="auto"/>
          </w:tcPr>
          <w:p>
            <w:pPr>
              <w:spacing w:before="60" w:after="60"/>
              <w:rPr>
                <w:noProof/>
              </w:rPr>
            </w:pPr>
            <w:r>
              <w:rPr>
                <w:noProof/>
              </w:rPr>
              <w:t>Au début de la pêche</w:t>
            </w:r>
          </w:p>
        </w:tc>
        <w:tc>
          <w:tcPr>
            <w:tcW w:w="3722" w:type="pct"/>
            <w:shd w:val="clear" w:color="auto" w:fill="auto"/>
          </w:tcPr>
          <w:p>
            <w:pPr>
              <w:spacing w:before="60" w:after="60"/>
              <w:rPr>
                <w:noProof/>
              </w:rPr>
            </w:pPr>
            <w:r>
              <w:rPr>
                <w:noProof/>
              </w:rPr>
              <w:t xml:space="preserve">Mesurer la largeur et la longueur de la cuve (si celle-ci n'est pas rectangulaire, d'autres mesures peuvent être nécessaires; précision ± 0,05 m) </w:t>
            </w:r>
          </w:p>
        </w:tc>
      </w:tr>
      <w:tr>
        <w:tc>
          <w:tcPr>
            <w:tcW w:w="1278" w:type="pct"/>
            <w:shd w:val="clear" w:color="auto" w:fill="auto"/>
          </w:tcPr>
          <w:p>
            <w:pPr>
              <w:spacing w:before="60" w:after="60"/>
              <w:rPr>
                <w:noProof/>
              </w:rPr>
            </w:pPr>
            <w:r>
              <w:rPr>
                <w:noProof/>
              </w:rPr>
              <w:t>Tous les mois</w:t>
            </w:r>
            <w:r>
              <w:rPr>
                <w:b/>
                <w:bCs/>
                <w:noProof/>
                <w:vertAlign w:val="superscript"/>
              </w:rPr>
              <w:t>(1)</w:t>
            </w:r>
          </w:p>
        </w:tc>
        <w:tc>
          <w:tcPr>
            <w:tcW w:w="3722" w:type="pct"/>
            <w:shd w:val="clear" w:color="auto" w:fill="auto"/>
          </w:tcPr>
          <w:p>
            <w:pPr>
              <w:spacing w:before="60" w:after="60"/>
              <w:rPr>
                <w:noProof/>
              </w:rPr>
            </w:pPr>
            <w:r>
              <w:rPr>
                <w:noProof/>
              </w:rPr>
              <w:t>Estimer la conversion du volume en poids sur la base du poids de krill antarctique égoutté dans un volume connu (par exemple 10 litres) pris dans la cuve</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 xml:space="preserve">Mesurer la hauteur de krill antarctique dans la cuve (si le krill antarctique est conservé dans la cuve entre les traits, mesurer la différence de hauteur; précision ± 0,1 m) </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Débitmètre</w:t>
            </w:r>
            <w:r>
              <w:rPr>
                <w:b/>
                <w:bCs/>
                <w:noProof/>
                <w:vertAlign w:val="superscript"/>
              </w:rPr>
              <w:t>(1)</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Vérifier que le débitmètre mesure bien le krill antarctique entier (c'est-à-dire avant traitement)</w:t>
            </w:r>
          </w:p>
        </w:tc>
      </w:tr>
      <w:tr>
        <w:tc>
          <w:tcPr>
            <w:tcW w:w="1278" w:type="pct"/>
            <w:shd w:val="clear" w:color="auto" w:fill="auto"/>
          </w:tcPr>
          <w:p>
            <w:pPr>
              <w:spacing w:before="60" w:after="60"/>
              <w:rPr>
                <w:noProof/>
              </w:rPr>
            </w:pPr>
            <w:r>
              <w:rPr>
                <w:noProof/>
              </w:rPr>
              <w:t>Plus d'une fois par mois</w:t>
            </w:r>
            <w:r>
              <w:rPr>
                <w:b/>
                <w:bCs/>
                <w:noProof/>
                <w:vertAlign w:val="superscript"/>
              </w:rPr>
              <w:t>(1)</w:t>
            </w:r>
          </w:p>
        </w:tc>
        <w:tc>
          <w:tcPr>
            <w:tcW w:w="3722" w:type="pct"/>
            <w:shd w:val="clear" w:color="auto" w:fill="auto"/>
          </w:tcPr>
          <w:p>
            <w:pPr>
              <w:spacing w:before="60" w:after="60"/>
              <w:rPr>
                <w:noProof/>
              </w:rPr>
            </w:pPr>
            <w:r>
              <w:rPr>
                <w:noProof/>
              </w:rPr>
              <w:t>Estimer la conversion du volume en poids (ρ) sur la base du poids de krill antarctique égoutté dans un volume connu (par exemple 10 litres) pris sur le débitmètre</w:t>
            </w:r>
          </w:p>
        </w:tc>
      </w:tr>
      <w:tr>
        <w:tc>
          <w:tcPr>
            <w:tcW w:w="1278" w:type="pct"/>
            <w:vMerge w:val="restart"/>
            <w:shd w:val="clear" w:color="auto" w:fill="auto"/>
          </w:tcPr>
          <w:p>
            <w:pPr>
              <w:spacing w:before="60" w:after="60"/>
              <w:rPr>
                <w:noProof/>
              </w:rPr>
            </w:pPr>
            <w:r>
              <w:rPr>
                <w:noProof/>
              </w:rPr>
              <w:t>Tous les traits</w:t>
            </w:r>
            <w:r>
              <w:rPr>
                <w:b/>
                <w:bCs/>
                <w:noProof/>
                <w:vertAlign w:val="superscript"/>
              </w:rPr>
              <w:t>(2)</w:t>
            </w:r>
          </w:p>
        </w:tc>
        <w:tc>
          <w:tcPr>
            <w:tcW w:w="3722" w:type="pct"/>
            <w:shd w:val="clear" w:color="auto" w:fill="auto"/>
          </w:tcPr>
          <w:p>
            <w:pPr>
              <w:spacing w:before="60" w:after="60"/>
              <w:rPr>
                <w:noProof/>
              </w:rPr>
            </w:pPr>
            <w:r>
              <w:rPr>
                <w:noProof/>
              </w:rPr>
              <w:t>Obtenir un échantillon du débitmètre et:</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mesurer le volume combiné (p. ex. 10 litres) de krill antarctique et d'eau</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la correction du volume obtenu par débitmètre sur la base du volume de krill antarctique égoutté</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Débitmètre</w:t>
            </w:r>
            <w:r>
              <w:rPr>
                <w:b/>
                <w:bCs/>
                <w:noProof/>
                <w:vertAlign w:val="superscript"/>
              </w:rPr>
              <w:t>(2)</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Vérifier que les deux débitmètres (un pour le krill antarctique et l'autre pour l'eau ajoutée) sont calibrés (c'est-à-dire qu'ils affichent la même valeur exacte)</w:t>
            </w:r>
          </w:p>
        </w:tc>
      </w:tr>
      <w:tr>
        <w:tc>
          <w:tcPr>
            <w:tcW w:w="1278" w:type="pct"/>
            <w:shd w:val="clear" w:color="auto" w:fill="auto"/>
          </w:tcPr>
          <w:p>
            <w:pPr>
              <w:spacing w:before="60" w:after="60"/>
              <w:rPr>
                <w:noProof/>
              </w:rPr>
            </w:pPr>
            <w:r>
              <w:rPr>
                <w:noProof/>
              </w:rPr>
              <w:t>Chaque semaine</w:t>
            </w:r>
            <w:r>
              <w:rPr>
                <w:b/>
                <w:bCs/>
                <w:noProof/>
                <w:vertAlign w:val="superscript"/>
              </w:rPr>
              <w:t>(1)</w:t>
            </w:r>
          </w:p>
        </w:tc>
        <w:tc>
          <w:tcPr>
            <w:tcW w:w="3722" w:type="pct"/>
            <w:shd w:val="clear" w:color="auto" w:fill="auto"/>
          </w:tcPr>
          <w:p>
            <w:pPr>
              <w:spacing w:before="60" w:after="60"/>
              <w:rPr>
                <w:noProof/>
              </w:rPr>
            </w:pPr>
            <w:r>
              <w:rPr>
                <w:noProof/>
              </w:rPr>
              <w:t>Estimer la densité (ρ) du krill antarctique (pâte de krill broyée) en mesurant la masse d'un volume connu de krill (p. ex. 10 litres) prise du débitmètre correspondant</w:t>
            </w:r>
          </w:p>
        </w:tc>
      </w:tr>
      <w:tr>
        <w:tc>
          <w:tcPr>
            <w:tcW w:w="1278" w:type="pct"/>
            <w:vMerge w:val="restart"/>
            <w:shd w:val="clear" w:color="auto" w:fill="auto"/>
          </w:tcPr>
          <w:p>
            <w:pPr>
              <w:pageBreakBefore/>
              <w:spacing w:before="60" w:after="60"/>
              <w:rPr>
                <w:noProof/>
              </w:rPr>
            </w:pPr>
            <w:r>
              <w:rPr>
                <w:noProof/>
              </w:rPr>
              <w:t>Tous les traits</w:t>
            </w:r>
            <w:r>
              <w:rPr>
                <w:b/>
                <w:bCs/>
                <w:noProof/>
                <w:vertAlign w:val="superscript"/>
              </w:rPr>
              <w:t>(2)</w:t>
            </w:r>
          </w:p>
        </w:tc>
        <w:tc>
          <w:tcPr>
            <w:tcW w:w="3722" w:type="pct"/>
            <w:shd w:val="clear" w:color="auto" w:fill="auto"/>
          </w:tcPr>
          <w:p>
            <w:pPr>
              <w:spacing w:before="60" w:after="60"/>
              <w:rPr>
                <w:noProof/>
              </w:rPr>
            </w:pPr>
            <w:r>
              <w:rPr>
                <w:noProof/>
              </w:rPr>
              <w:t xml:space="preserve">Lire les deux débitmètres et calculer les volumes totaux de krill antarctique (pâte de krill broyée) et de l'eau ajoutée, la densité de l'eau étant censée être de 1 kg/litre </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Balance de ceinture</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Vérifier que la balance de ceinture mesure bien le krill antarctique entier (c'est-à-dire avant traitement)</w:t>
            </w:r>
          </w:p>
        </w:tc>
      </w:tr>
      <w:tr>
        <w:tc>
          <w:tcPr>
            <w:tcW w:w="1278" w:type="pct"/>
            <w:vMerge w:val="restart"/>
            <w:shd w:val="clear" w:color="auto" w:fill="auto"/>
          </w:tcPr>
          <w:p>
            <w:pPr>
              <w:spacing w:before="60" w:after="60"/>
              <w:rPr>
                <w:noProof/>
              </w:rPr>
            </w:pPr>
            <w:r>
              <w:rPr>
                <w:noProof/>
              </w:rPr>
              <w:t>Tous les traits</w:t>
            </w:r>
            <w:r>
              <w:rPr>
                <w:b/>
                <w:bCs/>
                <w:noProof/>
                <w:vertAlign w:val="superscript"/>
              </w:rPr>
              <w:t>(2)</w:t>
            </w:r>
          </w:p>
        </w:tc>
        <w:tc>
          <w:tcPr>
            <w:tcW w:w="3722" w:type="pct"/>
            <w:shd w:val="clear" w:color="auto" w:fill="auto"/>
          </w:tcPr>
          <w:p>
            <w:pPr>
              <w:spacing w:before="60" w:after="60"/>
              <w:rPr>
                <w:noProof/>
              </w:rPr>
            </w:pPr>
            <w:r>
              <w:rPr>
                <w:noProof/>
              </w:rPr>
              <w:t>Obtenir un échantillon de la balnce de ceinture et:</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mesurer le poids combiné de krill antarctique et d'eau</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la correction du volume obtenu par balance de ceinture sur la base du poids de krill antarctique égoutté</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Plateau</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 xml:space="preserve">Peser le plateau (si les plateaux sont de forme variable, en peser un de chaque type; (précision ± 0,1 kg) </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Mesurer le poids combiné du krill antarctique et du plateau (précision ± 0,1 kg)</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Compter le nombre de plateaux utilisés (si les plateaux sont de forme variable, les compter par type)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Transformation en farine</w:t>
            </w:r>
          </w:p>
        </w:tc>
      </w:tr>
      <w:tr>
        <w:tc>
          <w:tcPr>
            <w:tcW w:w="1278" w:type="pct"/>
            <w:shd w:val="clear" w:color="auto" w:fill="auto"/>
          </w:tcPr>
          <w:p>
            <w:pPr>
              <w:spacing w:before="60" w:after="60"/>
              <w:rPr>
                <w:noProof/>
              </w:rPr>
            </w:pPr>
            <w:r>
              <w:rPr>
                <w:noProof/>
              </w:rPr>
              <w:t>Tous les mois</w:t>
            </w:r>
            <w:r>
              <w:rPr>
                <w:b/>
                <w:bCs/>
                <w:noProof/>
                <w:vertAlign w:val="superscript"/>
              </w:rPr>
              <w:t>(1)</w:t>
            </w:r>
          </w:p>
        </w:tc>
        <w:tc>
          <w:tcPr>
            <w:tcW w:w="3722" w:type="pct"/>
            <w:shd w:val="clear" w:color="auto" w:fill="auto"/>
          </w:tcPr>
          <w:p>
            <w:pPr>
              <w:spacing w:before="60" w:after="60"/>
              <w:rPr>
                <w:noProof/>
              </w:rPr>
            </w:pPr>
            <w:r>
              <w:rPr>
                <w:noProof/>
              </w:rPr>
              <w:t>Estimer la transformation de farine en krill antarctique entier en traitant 1 000 à 5 000 kg (poids égoutté) de krill antarctique entier</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Peser la farine produite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pageBreakBefore/>
              <w:spacing w:before="60" w:after="60"/>
              <w:rPr>
                <w:noProof/>
              </w:rPr>
            </w:pPr>
            <w:r>
              <w:rPr>
                <w:noProof/>
              </w:rPr>
              <w:t>Volume du cul de chalut</w:t>
            </w:r>
          </w:p>
        </w:tc>
      </w:tr>
      <w:tr>
        <w:tc>
          <w:tcPr>
            <w:tcW w:w="1278" w:type="pct"/>
            <w:shd w:val="clear" w:color="auto" w:fill="auto"/>
          </w:tcPr>
          <w:p>
            <w:pPr>
              <w:spacing w:before="60" w:after="60"/>
              <w:rPr>
                <w:noProof/>
              </w:rPr>
            </w:pPr>
            <w:r>
              <w:rPr>
                <w:noProof/>
              </w:rPr>
              <w:t>Au début de la pêche</w:t>
            </w:r>
          </w:p>
        </w:tc>
        <w:tc>
          <w:tcPr>
            <w:tcW w:w="3722" w:type="pct"/>
            <w:shd w:val="clear" w:color="auto" w:fill="auto"/>
          </w:tcPr>
          <w:p>
            <w:pPr>
              <w:spacing w:before="60" w:after="60"/>
              <w:rPr>
                <w:noProof/>
              </w:rPr>
            </w:pPr>
            <w:r>
              <w:rPr>
                <w:noProof/>
              </w:rPr>
              <w:t>Mesurer la largeur et la hauteur du cul de chalut (précision ± 0,1 m)</w:t>
            </w:r>
          </w:p>
        </w:tc>
      </w:tr>
      <w:tr>
        <w:tc>
          <w:tcPr>
            <w:tcW w:w="1278" w:type="pct"/>
            <w:shd w:val="clear" w:color="auto" w:fill="auto"/>
          </w:tcPr>
          <w:p>
            <w:pPr>
              <w:spacing w:before="60" w:after="60"/>
              <w:rPr>
                <w:noProof/>
              </w:rPr>
            </w:pPr>
            <w:r>
              <w:rPr>
                <w:noProof/>
              </w:rPr>
              <w:t>Tous les mois</w:t>
            </w:r>
            <w:r>
              <w:rPr>
                <w:b/>
                <w:bCs/>
                <w:noProof/>
                <w:vertAlign w:val="superscript"/>
              </w:rPr>
              <w:t>(1)</w:t>
            </w:r>
          </w:p>
        </w:tc>
        <w:tc>
          <w:tcPr>
            <w:tcW w:w="3722" w:type="pct"/>
            <w:shd w:val="clear" w:color="auto" w:fill="auto"/>
          </w:tcPr>
          <w:p>
            <w:pPr>
              <w:spacing w:before="60" w:after="60"/>
              <w:rPr>
                <w:noProof/>
              </w:rPr>
            </w:pPr>
            <w:r>
              <w:rPr>
                <w:noProof/>
              </w:rPr>
              <w:t>Estimer la conversion du volume en poids sur la base du poids de krill antarctique égoutté dans un volume connu (p. ex. 10 litres) pris dans le cul de chalut</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Mesurer la longueur du cul de chalut contenant du krill antarctique (précision ±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_________________</w:t>
            </w:r>
          </w:p>
          <w:p>
            <w:pPr>
              <w:spacing w:before="60" w:after="60"/>
              <w:ind w:left="720" w:hanging="720"/>
              <w:contextualSpacing/>
              <w:rPr>
                <w:noProof/>
              </w:rPr>
            </w:pPr>
            <w:r>
              <w:rPr>
                <w:b/>
                <w:bCs/>
                <w:noProof/>
                <w:vertAlign w:val="superscript"/>
              </w:rPr>
              <w:t>(1)</w:t>
            </w:r>
            <w:r>
              <w:rPr>
                <w:noProof/>
              </w:rPr>
              <w:tab/>
              <w:t>Une nouvelle période commence quand le navire entre dans une nouvelle sous-zone ou division.</w:t>
            </w:r>
          </w:p>
          <w:p>
            <w:pPr>
              <w:spacing w:before="60" w:after="60"/>
              <w:ind w:left="720" w:hanging="720"/>
              <w:contextualSpacing/>
              <w:rPr>
                <w:noProof/>
              </w:rPr>
            </w:pPr>
            <w:r>
              <w:rPr>
                <w:b/>
                <w:bCs/>
                <w:noProof/>
                <w:vertAlign w:val="superscript"/>
              </w:rPr>
              <w:t>(2)</w:t>
            </w:r>
            <w:r>
              <w:rPr>
                <w:noProof/>
              </w:rPr>
              <w:tab/>
              <w:t>Par trait avec un chalut conventionnel ou intégré pour une période de six heures avec un système de pêche en continu.</w:t>
            </w:r>
          </w:p>
        </w:tc>
      </w:tr>
    </w:tbl>
    <w:p>
      <w:pPr>
        <w:pStyle w:val="Lignefinal"/>
        <w:rPr>
          <w:noProof/>
        </w:rPr>
      </w:pPr>
    </w:p>
    <w:p>
      <w:pPr>
        <w:rPr>
          <w:noProof/>
        </w:rPr>
        <w:sectPr>
          <w:headerReference w:type="default" r:id="rId39"/>
          <w:footerReference w:type="default" r:id="rId40"/>
          <w:headerReference w:type="first" r:id="rId41"/>
          <w:footerReference w:type="first" r:id="rId42"/>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ANNEXE VI</w:t>
      </w:r>
    </w:p>
    <w:p>
      <w:pPr>
        <w:pStyle w:val="NormalCentered"/>
        <w:rPr>
          <w:noProof/>
        </w:rPr>
      </w:pPr>
      <w:r>
        <w:rPr>
          <w:noProof/>
        </w:rPr>
        <w:t>ZONE DE COMPETENCE CTOI</w:t>
      </w:r>
    </w:p>
    <w:p>
      <w:pPr>
        <w:pStyle w:val="Point0"/>
        <w:rPr>
          <w:noProof/>
        </w:rPr>
      </w:pPr>
      <w:r>
        <w:rPr>
          <w:noProof/>
        </w:rPr>
        <w:t>1.</w:t>
      </w:r>
      <w:r>
        <w:rPr>
          <w:noProof/>
        </w:rPr>
        <w:tab/>
        <w:t>Nombre maximal de navires de pêche de l'Union autorisés à pêcher le thon tropical dans la zone de compétence CTOI</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État membre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Nombre maximal de navires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Capacité (en tonnage brut)</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Espagne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22</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61 364</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45 383</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1 627</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Italie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2 137</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55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110 511</w:t>
            </w:r>
          </w:p>
        </w:tc>
      </w:tr>
    </w:tbl>
    <w:p>
      <w:pPr>
        <w:rPr>
          <w:rFonts w:asciiTheme="majorBidi" w:hAnsiTheme="majorBidi" w:cstheme="majorBidi"/>
          <w:noProof/>
        </w:rPr>
      </w:pPr>
    </w:p>
    <w:p>
      <w:pPr>
        <w:pStyle w:val="Point0"/>
        <w:rPr>
          <w:noProof/>
        </w:rPr>
      </w:pPr>
      <w:r>
        <w:rPr>
          <w:noProof/>
        </w:rPr>
        <w:t>2.</w:t>
      </w:r>
      <w:r>
        <w:rPr>
          <w:noProof/>
        </w:rPr>
        <w:tab/>
        <w:t>Nombre maximal de navires de pêche de l'Union autorisés à pêcher l'espadon et le germon dans la zone de compétence CTOI</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État membre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Nombre maximal de navires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Capacité (en tonnage brut)</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Espagne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11 590</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41</w:t>
            </w:r>
            <w:r>
              <w:rPr>
                <w:rFonts w:asciiTheme="majorBidi" w:hAnsiTheme="majorBidi"/>
                <w:b/>
                <w:bCs/>
                <w:noProof/>
                <w:vertAlign w:val="superscript"/>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7 882</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6 925</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Royaume-Uni</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4</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1 400</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87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720" w:hanging="720"/>
              <w:rPr>
                <w:rFonts w:asciiTheme="majorBidi" w:hAnsiTheme="majorBidi" w:cstheme="majorBidi"/>
                <w:noProof/>
              </w:rPr>
            </w:pPr>
            <w:r>
              <w:rPr>
                <w:rFonts w:asciiTheme="majorBidi" w:hAnsiTheme="majorBidi"/>
                <w:b/>
                <w:bCs/>
                <w:noProof/>
                <w:vertAlign w:val="superscript"/>
              </w:rPr>
              <w:t>(1)</w:t>
            </w:r>
            <w:r>
              <w:rPr>
                <w:rFonts w:asciiTheme="majorBidi" w:hAnsiTheme="majorBidi"/>
                <w:noProof/>
              </w:rPr>
              <w:tab/>
              <w:t>Ce nombre ne comprend pas les navires immatriculés à Mayotte; il pourrait être augmenté à l'avenir en fonction du programme de développement de la flotte de Mayotte.</w:t>
            </w:r>
          </w:p>
        </w:tc>
      </w:tr>
    </w:tbl>
    <w:p>
      <w:pPr>
        <w:spacing w:before="0" w:after="0"/>
        <w:rPr>
          <w:rFonts w:asciiTheme="majorBidi" w:hAnsiTheme="majorBidi" w:cstheme="majorBidi"/>
          <w:noProof/>
        </w:rPr>
      </w:pPr>
    </w:p>
    <w:p>
      <w:pPr>
        <w:pStyle w:val="Point0"/>
        <w:rPr>
          <w:noProof/>
        </w:rPr>
      </w:pPr>
      <w:r>
        <w:rPr>
          <w:noProof/>
        </w:rPr>
        <w:t>3.</w:t>
      </w:r>
      <w:r>
        <w:rPr>
          <w:noProof/>
        </w:rPr>
        <w:tab/>
        <w:t>Les navires visés au point 1 sont également autorisés à pêcher l'espadon et le germon dans la zone de compétence CTOI.</w:t>
      </w:r>
    </w:p>
    <w:p>
      <w:pPr>
        <w:pStyle w:val="Point0"/>
        <w:rPr>
          <w:noProof/>
        </w:rPr>
      </w:pPr>
      <w:r>
        <w:rPr>
          <w:noProof/>
        </w:rPr>
        <w:t>4.</w:t>
      </w:r>
      <w:r>
        <w:rPr>
          <w:noProof/>
        </w:rPr>
        <w:tab/>
        <w:t>Les navires visés au point 2 sont également autorisés à pêcher le thon tropical dans la zone de compétence CTOI.</w:t>
      </w:r>
    </w:p>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ANNEXE VII</w:t>
      </w:r>
    </w:p>
    <w:p>
      <w:pPr>
        <w:pStyle w:val="NormalCentered"/>
        <w:rPr>
          <w:noProof/>
        </w:rPr>
      </w:pPr>
      <w:r>
        <w:rPr>
          <w:noProof/>
        </w:rPr>
        <w:t>ZONE DE LA CONVENTION WCPFC</w:t>
      </w:r>
    </w:p>
    <w:p>
      <w:pPr>
        <w:rPr>
          <w:noProof/>
        </w:rPr>
      </w:pPr>
      <w:r>
        <w:rPr>
          <w:noProof/>
        </w:rPr>
        <w:t>Nombre maximal de navires de pêche de l'Union autorisés à pêcher l'espadon dans les secteurs de la zone de la convention WCPFC situés au sud de 20° S</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ANNEXE VIII</w:t>
      </w:r>
    </w:p>
    <w:p>
      <w:pPr>
        <w:jc w:val="center"/>
        <w:rPr>
          <w:noProof/>
        </w:rPr>
      </w:pPr>
      <w:r>
        <w:rPr>
          <w:noProof/>
        </w:rPr>
        <w:t>LIMITATIONS QUANTITATIVES DES AUTORISATIONS DE PÊCHE APPLICABLES AUX NAVIRES DE PAYS TIERS PÊCHANT DANS LES EAUX DE L'UNION</w:t>
      </w:r>
    </w:p>
    <w:tbl>
      <w:tblPr>
        <w:tblW w:w="5000" w:type="pct"/>
        <w:tblLook w:val="0000" w:firstRow="0" w:lastRow="0" w:firstColumn="0" w:lastColumn="0" w:noHBand="0" w:noVBand="0"/>
      </w:tblPr>
      <w:tblGrid>
        <w:gridCol w:w="1486"/>
        <w:gridCol w:w="3649"/>
        <w:gridCol w:w="2071"/>
        <w:gridCol w:w="2083"/>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État du pavillon</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Pêcherie</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Nombre d'autorisations de pêche</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Nombre maximal de navires présents à tout moment</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Norvège</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Hareng commun, au nord de 62° 00′ N</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Îles Féroé</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Maquereau commun, zones 6a (au nord de 56° 30′ N), 2a, 4a (au nord de 59° N)</w:t>
            </w:r>
          </w:p>
          <w:p>
            <w:pPr>
              <w:spacing w:before="60" w:after="60"/>
              <w:rPr>
                <w:rFonts w:asciiTheme="majorBidi" w:hAnsiTheme="majorBidi" w:cstheme="majorBidi"/>
                <w:noProof/>
                <w:sz w:val="22"/>
              </w:rPr>
            </w:pPr>
            <w:r>
              <w:rPr>
                <w:rFonts w:asciiTheme="majorBidi" w:hAnsiTheme="majorBidi"/>
                <w:noProof/>
                <w:sz w:val="22"/>
              </w:rPr>
              <w:t>Chinchards, zones 4, 6a (au nord de 56° 30′ N), 7e, 7f, 7h</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Hareng commun, au nord de 62° 00′ N</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Hareng commun, zone 3a</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Pêche industrielle du tacaud norvégien, zones 4, 6a (au nord de 56° 30′ N) (y compris les prises accessoires inévitables de merlan bleu)</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Lingue franche et brosme</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Merlan bleu, zones 2, 4a, 5, 6a (au nord de 56° 30′ N), 6b, 7 (à l'ouest de 12° 00′ O)</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Lingue bleue</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800"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Venezuela</w:t>
            </w:r>
            <w:r>
              <w:rPr>
                <w:rFonts w:asciiTheme="majorBidi" w:hAnsiTheme="majorBidi"/>
                <w:b/>
                <w:bCs/>
                <w:noProof/>
                <w:sz w:val="22"/>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Vivaneaux (eaux de la Guyane)</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rFonts w:asciiTheme="majorBidi" w:hAnsiTheme="majorBidi" w:cstheme="majorBidi"/>
                <w:noProof/>
                <w:sz w:val="22"/>
              </w:rPr>
            </w:pPr>
            <w:r>
              <w:rPr>
                <w:rFonts w:asciiTheme="majorBidi" w:hAnsiTheme="majorBidi"/>
                <w:b/>
                <w:bCs/>
                <w:noProof/>
                <w:sz w:val="22"/>
                <w:vertAlign w:val="superscript"/>
              </w:rPr>
              <w:t>(1)</w:t>
            </w:r>
            <w:r>
              <w:rPr>
                <w:rFonts w:asciiTheme="majorBidi" w:hAnsiTheme="majorBidi"/>
                <w:noProof/>
                <w:sz w:val="22"/>
              </w:rPr>
              <w:tab/>
              <w:t>Pour que lesdites autorisations de pêche soient délivrées, il faut apporter la preuve qu'un contrat valable a été conclu entre le propriétaire du navire qui demande l'autorisation de pêche et une entreprise de transformation située dans le département de la Guyane, et que ledit contrat prévoie l'obligation de débarquer dans ledit département au moins 75 % de toutes les prises de vivaneaux du navire concerné, de sorte qu'ils puissent être transformés dans les installations de cette entreprise. Ledit contrat doit être approuvé par les autorités françaises, qui veillent à ce qu'il soit compatible non seulement avec la capacité réelle de l'entreprise de transformation contractante, mais aussi avec les objectifs de développement de l'économie guyanaise. Une copie du contrat approuvé en bonne et due forme figure en appendice de la demande d'autorisation de pêche. Si cette approbation est refusée, les autorités françaises le notifient à la partie concernée et à la Commission en indiquant les motifs du refus.</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Les chiffres indiqués aux points 1, 2 et 3 peuvent diminuer afin de respecter les obligations internationales incombant à l'Union.</w:t>
      </w:r>
    </w:p>
  </w:footnote>
  <w:footnote w:id="2">
    <w:p>
      <w:pPr>
        <w:pStyle w:val="FootnoteText"/>
        <w:rPr>
          <w:lang w:val="fr-BE"/>
        </w:rPr>
      </w:pPr>
      <w:r>
        <w:rPr>
          <w:rStyle w:val="FootnoteReference"/>
        </w:rPr>
        <w:footnoteRef/>
      </w:r>
      <w:r>
        <w:rPr>
          <w:lang w:val="fr-BE"/>
        </w:rPr>
        <w:tab/>
        <w:t>Ce nombre peut augmenter si un senneur est remplacé par dix palangriers conformément à la note de bas de page nº 4 ou nº 6 concernant le tableau A au point 4 de la présente annexe.</w:t>
      </w:r>
    </w:p>
  </w:footnote>
  <w:footnote w:id="3">
    <w:p>
      <w:pPr>
        <w:pStyle w:val="FootnoteText"/>
        <w:rPr>
          <w:lang w:val="fr-BE"/>
        </w:rPr>
      </w:pPr>
      <w:r>
        <w:rPr>
          <w:rStyle w:val="FootnoteReference"/>
        </w:rPr>
        <w:footnoteRef/>
      </w:r>
      <w:r>
        <w:rPr>
          <w:lang w:val="fr-BE"/>
        </w:rPr>
        <w:tab/>
        <w:t>Les nombres figurant dans le tableau A du point 4 peuvent être encore augmentés, à condition de respecter les obligations internationales incombant à l'Union.</w:t>
      </w:r>
    </w:p>
  </w:footnote>
  <w:footnote w:id="4">
    <w:p>
      <w:pPr>
        <w:pStyle w:val="FootnoteText"/>
        <w:rPr>
          <w:lang w:val="fr-BE"/>
        </w:rPr>
      </w:pPr>
      <w:r>
        <w:rPr>
          <w:rStyle w:val="FootnoteReference"/>
        </w:rPr>
        <w:footnoteRef/>
      </w:r>
      <w:r>
        <w:rPr>
          <w:lang w:val="fr-BE"/>
        </w:rPr>
        <w:tab/>
        <w:t>Un senneur de taille moyenne peut être remplacé par dix palangriers au maximum ou par un senneur de petite taille et trois palangriers au maximum.</w:t>
      </w:r>
    </w:p>
  </w:footnote>
  <w:footnote w:id="5">
    <w:p>
      <w:pPr>
        <w:pStyle w:val="FootnoteText"/>
        <w:rPr>
          <w:lang w:val="fr-BE"/>
        </w:rPr>
      </w:pPr>
      <w:r>
        <w:rPr>
          <w:rStyle w:val="FootnoteReference"/>
        </w:rPr>
        <w:footnoteRef/>
      </w:r>
      <w:r>
        <w:rPr>
          <w:lang w:val="fr-BE"/>
        </w:rPr>
        <w:tab/>
        <w:t>Un senneur de taille moyenne peut être remplacé par dix palangriers au maximum ou par un senneur de petite taille et trois autres navires artisanaux au maximum.</w:t>
      </w:r>
    </w:p>
  </w:footnote>
  <w:footnote w:id="6">
    <w:p>
      <w:pPr>
        <w:pStyle w:val="FootnoteText"/>
        <w:rPr>
          <w:lang w:val="fr-BE"/>
        </w:rPr>
      </w:pPr>
      <w:r>
        <w:rPr>
          <w:rStyle w:val="FootnoteReference"/>
        </w:rPr>
        <w:footnoteRef/>
      </w:r>
      <w:r>
        <w:rPr>
          <w:lang w:val="fr-BE"/>
        </w:rPr>
        <w:tab/>
        <w:t>Un senneur de taille moyenne peut être remplacé par dix palangriers au maximum.</w:t>
      </w:r>
    </w:p>
  </w:footnote>
  <w:footnote w:id="7">
    <w:p>
      <w:pPr>
        <w:pStyle w:val="FootnoteText"/>
        <w:rPr>
          <w:lang w:val="fr-BE"/>
        </w:rPr>
      </w:pPr>
      <w:r>
        <w:rPr>
          <w:rStyle w:val="FootnoteReference"/>
        </w:rPr>
        <w:footnoteRef/>
      </w:r>
      <w:r>
        <w:rPr>
          <w:lang w:val="fr-BE"/>
        </w:rPr>
        <w:tab/>
        <w:t>Navires polyvalents utilisant des équipements à engins multiples.</w:t>
      </w:r>
    </w:p>
  </w:footnote>
  <w:footnote w:id="8">
    <w:p>
      <w:pPr>
        <w:pStyle w:val="FootnoteText"/>
        <w:rPr>
          <w:lang w:val="fr-BE"/>
        </w:rPr>
      </w:pPr>
      <w:r>
        <w:rPr>
          <w:rStyle w:val="FootnoteReference"/>
        </w:rPr>
        <w:footnoteRef/>
      </w:r>
      <w:r>
        <w:rPr>
          <w:lang w:val="fr-BE"/>
        </w:rPr>
        <w:tab/>
        <w:t>Thoniers-canneurs des régions ultrapériphériques des Açores et de Madère</w:t>
      </w:r>
    </w:p>
  </w:footnote>
  <w:footnote w:id="9">
    <w:p>
      <w:pPr>
        <w:pStyle w:val="FootnoteText"/>
        <w:rPr>
          <w:lang w:val="fr-BE"/>
        </w:rPr>
      </w:pPr>
      <w:r>
        <w:rPr>
          <w:rStyle w:val="FootnoteReference"/>
        </w:rPr>
        <w:footnoteRef/>
      </w:r>
      <w:r>
        <w:rPr>
          <w:lang w:val="fr-BE"/>
        </w:rPr>
        <w:tab/>
        <w:t>Ligneurs pêchant dans l'Atlantique</w:t>
      </w:r>
    </w:p>
  </w:footnote>
  <w:footnote w:id="10">
    <w:p>
      <w:pPr>
        <w:pStyle w:val="FootnoteText"/>
        <w:rPr>
          <w:lang w:val="fr-BE"/>
        </w:rPr>
      </w:pPr>
      <w:r>
        <w:rPr>
          <w:rStyle w:val="FootnoteReference"/>
        </w:rPr>
        <w:footnoteRef/>
      </w:r>
      <w:r>
        <w:rPr>
          <w:lang w:val="fr-BE"/>
        </w:rPr>
        <w:tab/>
        <w:t>Navires polyvalents utilisant des équipements à engins multiples (palangre, ligne à main, ligne traînante).</w:t>
      </w:r>
    </w:p>
  </w:footnote>
  <w:footnote w:id="11">
    <w:p>
      <w:pPr>
        <w:pStyle w:val="FootnoteText"/>
        <w:rPr>
          <w:lang w:val="fr-BE"/>
        </w:rPr>
      </w:pPr>
      <w:r>
        <w:rPr>
          <w:rStyle w:val="FootnoteReference"/>
        </w:rPr>
        <w:footnoteRef/>
      </w:r>
      <w:r>
        <w:rPr>
          <w:lang w:val="fr-BE"/>
        </w:rPr>
        <w:tab/>
        <w:t>Ce nombre peut être encore augmenté, à condition de respecter les obligations internationales incombant à l'Union.</w:t>
      </w:r>
    </w:p>
  </w:footnote>
  <w:footnote w:id="12">
    <w:p>
      <w:pPr>
        <w:pStyle w:val="FootnoteText"/>
        <w:rPr>
          <w:lang w:val="fr-BE"/>
        </w:rPr>
      </w:pPr>
      <w:r>
        <w:rPr>
          <w:rStyle w:val="FootnoteReference"/>
        </w:rPr>
        <w:footnoteRef/>
      </w:r>
      <w:r>
        <w:rPr>
          <w:lang w:val="fr-BE"/>
        </w:rPr>
        <w:tab/>
        <w:t>La capacité d'élevage de 500 tonnes pour le Portugal provient de la capacité inutilisée de l'Union figurant dans le tableau A.</w:t>
      </w:r>
    </w:p>
  </w:footnote>
  <w:footnote w:id="13">
    <w:p>
      <w:pPr>
        <w:pStyle w:val="FootnoteText"/>
        <w:rPr>
          <w:lang w:val="fr-BE"/>
        </w:rPr>
      </w:pPr>
      <w:r>
        <w:rPr>
          <w:rStyle w:val="FootnoteReference"/>
        </w:rPr>
        <w:footnoteRef/>
      </w:r>
      <w:r>
        <w:rPr>
          <w:lang w:val="fr-BE"/>
        </w:rPr>
        <w:tab/>
        <w:t xml:space="preserve">Y compris pour 88.2 A et B en dehors de l'aire marine protégée en mer de Ross. </w:t>
      </w:r>
    </w:p>
  </w:footnote>
  <w:footnote w:id="14">
    <w:p>
      <w:pPr>
        <w:pStyle w:val="FootnoteText"/>
        <w:rPr>
          <w:lang w:val="fr-BE"/>
        </w:rPr>
      </w:pPr>
      <w:r>
        <w:rPr>
          <w:rStyle w:val="FootnoteReference"/>
        </w:rPr>
        <w:footnoteRef/>
      </w:r>
      <w:r>
        <w:rPr>
          <w:lang w:val="fr-BE"/>
        </w:rPr>
        <w:tab/>
        <w:t>Pas plus de 587 tonnes ne sont prélevées au nord de 70° S. Si toutefois plus de 587 tonnes sont prélevées au nord de 70° S, la quantité qui peut être prélevée au sud de 70° S est réduite de la quantité supérieure à 587 tonnes prélevée au nord de 70° S.</w:t>
      </w:r>
    </w:p>
  </w:footnote>
  <w:footnote w:id="15">
    <w:p>
      <w:pPr>
        <w:pStyle w:val="FootnoteText"/>
        <w:rPr>
          <w:lang w:val="fr-BE"/>
        </w:rPr>
      </w:pPr>
      <w:r>
        <w:rPr>
          <w:rStyle w:val="FootnoteReference"/>
        </w:rPr>
        <w:footnoteRef/>
      </w:r>
      <w:r>
        <w:rPr>
          <w:lang w:val="fr-BE"/>
        </w:rPr>
        <w:tab/>
        <w:t>Y compris 65 tonnes pour l'étude en mer de Ross.</w:t>
      </w:r>
    </w:p>
  </w:footnote>
  <w:footnote w:id="16">
    <w:p>
      <w:pPr>
        <w:pStyle w:val="FootnoteText"/>
        <w:rPr>
          <w:lang w:val="fr-BE"/>
        </w:rPr>
      </w:pPr>
      <w:r>
        <w:rPr>
          <w:rStyle w:val="FootnoteReference"/>
        </w:rPr>
        <w:footnoteRef/>
      </w:r>
      <w:r>
        <w:rPr>
          <w:lang w:val="fr-BE"/>
        </w:rPr>
        <w:tab/>
        <w:t>Y compris pour 88.2 A et B en dehors de l'aire marine protégée en mer de Ross.</w:t>
      </w:r>
    </w:p>
  </w:footnote>
  <w:footnote w:id="17">
    <w:p>
      <w:pPr>
        <w:pStyle w:val="FootnoteText"/>
        <w:rPr>
          <w:lang w:val="fr-BE"/>
        </w:rPr>
      </w:pPr>
      <w:r>
        <w:rPr>
          <w:rStyle w:val="FootnoteReference"/>
        </w:rPr>
        <w:footnoteRef/>
      </w:r>
      <w:r>
        <w:rPr>
          <w:lang w:val="fr-BE"/>
        </w:rPr>
        <w:tab/>
        <w:t>Y compris pour 88.2 A et B en dehors de l'aire marine protégée en mer de Ross et au nord de 70° S.</w:t>
      </w:r>
    </w:p>
  </w:footnote>
  <w:footnote w:id="18">
    <w:p>
      <w:pPr>
        <w:pStyle w:val="FootnoteText"/>
        <w:rPr>
          <w:lang w:val="fr-BE"/>
        </w:rPr>
      </w:pPr>
      <w:r>
        <w:rPr>
          <w:rStyle w:val="FootnoteReference"/>
        </w:rPr>
        <w:footnoteRef/>
      </w:r>
      <w:r>
        <w:rPr>
          <w:lang w:val="fr-BE"/>
        </w:rPr>
        <w:tab/>
        <w:t>Y compris pour 88.2 A et B en dehors de l'aire marine protégée en mer de Ross et au sud de 70° S.</w:t>
      </w:r>
    </w:p>
  </w:footnote>
  <w:footnote w:id="19">
    <w:p>
      <w:pPr>
        <w:pStyle w:val="FootnoteText"/>
        <w:rPr>
          <w:lang w:val="fr-BE"/>
        </w:rPr>
      </w:pPr>
      <w:r>
        <w:rPr>
          <w:rStyle w:val="FootnoteReference"/>
        </w:rPr>
        <w:footnoteRef/>
      </w:r>
      <w:r>
        <w:rPr>
          <w:lang w:val="fr-BE"/>
        </w:rPr>
        <w:tab/>
        <w:t>Y compris pour 88.2 A à l’intérieur de l'aire marine protégée en mer de Ross.</w:t>
      </w:r>
    </w:p>
  </w:footnote>
  <w:footnote w:id="20">
    <w:p>
      <w:pPr>
        <w:pStyle w:val="FootnoteText"/>
        <w:rPr>
          <w:lang w:val="fr-BE"/>
        </w:rPr>
      </w:pPr>
      <w:r>
        <w:rPr>
          <w:rStyle w:val="FootnoteReference"/>
        </w:rPr>
        <w:footnoteRef/>
      </w:r>
      <w:r>
        <w:rPr>
          <w:lang w:val="fr-BE"/>
        </w:rPr>
        <w:tab/>
        <w:t>Excepté 88.2 A et B qui sont incluses dans 88.1.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78E2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C8E0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30C0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27B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3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3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2"/>
  </w:num>
  <w:num w:numId="2">
    <w:abstractNumId w:val="9"/>
  </w:num>
  <w:num w:numId="3">
    <w:abstractNumId w:val="33"/>
  </w:num>
  <w:num w:numId="4">
    <w:abstractNumId w:val="28"/>
  </w:num>
  <w:num w:numId="5">
    <w:abstractNumId w:val="10"/>
  </w:num>
  <w:num w:numId="6">
    <w:abstractNumId w:val="35"/>
  </w:num>
  <w:num w:numId="7">
    <w:abstractNumId w:val="36"/>
  </w:num>
  <w:num w:numId="8">
    <w:abstractNumId w:val="23"/>
  </w:num>
  <w:num w:numId="9">
    <w:abstractNumId w:val="34"/>
  </w:num>
  <w:num w:numId="10">
    <w:abstractNumId w:val="30"/>
  </w:num>
  <w:num w:numId="11">
    <w:abstractNumId w:val="20"/>
  </w:num>
  <w:num w:numId="12">
    <w:abstractNumId w:val="8"/>
  </w:num>
  <w:num w:numId="13">
    <w:abstractNumId w:val="14"/>
  </w:num>
  <w:num w:numId="14">
    <w:abstractNumId w:val="11"/>
  </w:num>
  <w:num w:numId="15">
    <w:abstractNumId w:val="15"/>
  </w:num>
  <w:num w:numId="16">
    <w:abstractNumId w:val="24"/>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38"/>
  </w:num>
  <w:num w:numId="26">
    <w:abstractNumId w:val="27"/>
  </w:num>
  <w:num w:numId="27">
    <w:abstractNumId w:val="18"/>
  </w:num>
  <w:num w:numId="28">
    <w:abstractNumId w:val="31"/>
  </w:num>
  <w:num w:numId="29">
    <w:abstractNumId w:val="17"/>
  </w:num>
  <w:num w:numId="30">
    <w:abstractNumId w:val="19"/>
  </w:num>
  <w:num w:numId="31">
    <w:abstractNumId w:val="13"/>
  </w:num>
  <w:num w:numId="32">
    <w:abstractNumId w:val="29"/>
  </w:num>
  <w:num w:numId="33">
    <w:abstractNumId w:val="12"/>
  </w:num>
  <w:num w:numId="34">
    <w:abstractNumId w:val="21"/>
  </w:num>
  <w:num w:numId="35">
    <w:abstractNumId w:val="25"/>
  </w:num>
  <w:num w:numId="36">
    <w:abstractNumId w:val="26"/>
  </w:num>
  <w:num w:numId="37">
    <w:abstractNumId w:val="16"/>
  </w:num>
  <w:num w:numId="38">
    <w:abstractNumId w:val="22"/>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13: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2"/>
    <w:docVar w:name="LW_ANNEX_NBR_LAST" w:val="8"/>
    <w:docVar w:name="LW_ANNEX_UNIQUE" w:val="0"/>
    <w:docVar w:name="LW_CORRIGENDUM" w:val="&lt;UNUSED&gt;"/>
    <w:docVar w:name="LW_COVERPAGE_EXISTS" w:val="True"/>
    <w:docVar w:name="LW_COVERPAGE_GUID" w:val="0CA8EA56-F87B-4885-B64B-44E2DC58E728"/>
    <w:docVar w:name="LW_COVERPAGE_TYPE" w:val="1"/>
    <w:docVar w:name="LW_CROSSREFERENCE" w:val="&lt;UNUSED&gt;"/>
    <w:docVar w:name="LW_DocType" w:val="ANNEX"/>
    <w:docVar w:name="LW_EMISSION" w:val="24.10.2019"/>
    <w:docVar w:name="LW_EMISSION_ISODATE" w:val="2019-10-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pour 2020, les possibilités de pêche pour certains stocks halieutiques et groupes de stocks halieutiques, applicables dans les eaux de l'Union et, pour les navires de pêche de l'Union, dans certaines eaux n'appartenant pas à l'Union"/>
    <w:docVar w:name="LW_OBJETACTEPRINCIPAL.CP" w:val="établissant, pour 2020, les possibilités de pêche pour certains stocks halieutiques et groupes de stocks halieutiques, applicables dans les eaux de l'Union et, pour les navires de pêche de l'Union, dans certaines eaux n'appartenant pas à l'Union"/>
    <w:docVar w:name="LW_PART_NBR" w:val="&lt;UNUSED&gt;"/>
    <w:docVar w:name="LW_PART_NBR_TOTAL" w:val="&lt;UNUSED&gt;"/>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Pr>
      <w:rFonts w:ascii="Times New Roman" w:hAnsi="Times New Roman" w:cs="Times New Roman"/>
      <w:b/>
      <w:sz w:val="24"/>
      <w:lang w:val="fr-FR"/>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0"/>
      <w:lang w:val="fr-FR" w:eastAsia="de-DE"/>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pPr>
    <w:rPr>
      <w:rFonts w:eastAsia="Times New Roman"/>
      <w:szCs w:val="24"/>
    </w:rPr>
  </w:style>
  <w:style w:type="paragraph" w:customStyle="1" w:styleId="Pointabc2">
    <w:name w:val="Point abc (2)"/>
    <w:basedOn w:val="Normal"/>
    <w:pPr>
      <w:numPr>
        <w:ilvl w:val="5"/>
        <w:numId w:val="12"/>
      </w:numPr>
      <w:spacing w:line="360" w:lineRule="auto"/>
      <w:jc w:val="left"/>
    </w:pPr>
    <w:rPr>
      <w:rFonts w:eastAsia="Times New Roman"/>
      <w:szCs w:val="24"/>
    </w:rPr>
  </w:style>
  <w:style w:type="paragraph" w:customStyle="1" w:styleId="Pointabc3">
    <w:name w:val="Point abc (3)"/>
    <w:basedOn w:val="Normal"/>
    <w:pPr>
      <w:numPr>
        <w:ilvl w:val="7"/>
        <w:numId w:val="12"/>
      </w:numPr>
      <w:spacing w:line="360" w:lineRule="auto"/>
      <w:jc w:val="left"/>
    </w:pPr>
    <w:rPr>
      <w:rFonts w:eastAsia="Times New Roman"/>
      <w:szCs w:val="24"/>
    </w:rPr>
  </w:style>
  <w:style w:type="paragraph" w:customStyle="1" w:styleId="Pointabc4">
    <w:name w:val="Point abc (4)"/>
    <w:basedOn w:val="Normal"/>
    <w:pPr>
      <w:numPr>
        <w:ilvl w:val="8"/>
        <w:numId w:val="12"/>
      </w:numPr>
      <w:spacing w:line="360" w:lineRule="auto"/>
      <w:jc w:val="left"/>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pPr>
    <w:rPr>
      <w:rFonts w:eastAsia="Times New Roman"/>
      <w:szCs w:val="24"/>
    </w:rPr>
  </w:style>
  <w:style w:type="paragraph" w:customStyle="1" w:styleId="Point1232">
    <w:name w:val="Point 123 (2)"/>
    <w:basedOn w:val="Normal"/>
    <w:pPr>
      <w:numPr>
        <w:ilvl w:val="4"/>
        <w:numId w:val="12"/>
      </w:numPr>
      <w:spacing w:line="360" w:lineRule="auto"/>
      <w:jc w:val="left"/>
    </w:pPr>
    <w:rPr>
      <w:rFonts w:eastAsia="Times New Roman"/>
      <w:szCs w:val="24"/>
    </w:rPr>
  </w:style>
  <w:style w:type="paragraph" w:customStyle="1" w:styleId="Point1233">
    <w:name w:val="Point 123 (3)"/>
    <w:basedOn w:val="Normal"/>
    <w:pPr>
      <w:numPr>
        <w:ilvl w:val="6"/>
        <w:numId w:val="12"/>
      </w:numPr>
      <w:spacing w:line="360" w:lineRule="auto"/>
      <w:jc w:val="left"/>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pPr>
    <w:rPr>
      <w:rFonts w:eastAsia="Times New Roman"/>
      <w:szCs w:val="24"/>
    </w:rPr>
  </w:style>
  <w:style w:type="paragraph" w:customStyle="1" w:styleId="Pointivx2">
    <w:name w:val="Point ivx (2)"/>
    <w:basedOn w:val="Normal"/>
    <w:pPr>
      <w:numPr>
        <w:ilvl w:val="2"/>
        <w:numId w:val="13"/>
      </w:numPr>
      <w:spacing w:line="360" w:lineRule="auto"/>
      <w:jc w:val="left"/>
    </w:pPr>
    <w:rPr>
      <w:rFonts w:eastAsia="Times New Roman"/>
      <w:szCs w:val="24"/>
    </w:rPr>
  </w:style>
  <w:style w:type="paragraph" w:customStyle="1" w:styleId="Pointivx3">
    <w:name w:val="Point ivx (3)"/>
    <w:basedOn w:val="Normal"/>
    <w:pPr>
      <w:numPr>
        <w:ilvl w:val="3"/>
        <w:numId w:val="13"/>
      </w:numPr>
      <w:spacing w:line="360" w:lineRule="auto"/>
      <w:jc w:val="left"/>
    </w:pPr>
    <w:rPr>
      <w:rFonts w:eastAsia="Times New Roman"/>
      <w:szCs w:val="24"/>
    </w:rPr>
  </w:style>
  <w:style w:type="paragraph" w:customStyle="1" w:styleId="Pointivx4">
    <w:name w:val="Point ivx (4)"/>
    <w:basedOn w:val="Normal"/>
    <w:pPr>
      <w:numPr>
        <w:ilvl w:val="4"/>
        <w:numId w:val="13"/>
      </w:numPr>
      <w:spacing w:line="360" w:lineRule="auto"/>
      <w:jc w:val="left"/>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pPr>
    <w:rPr>
      <w:rFonts w:eastAsia="Times New Roman"/>
      <w:szCs w:val="24"/>
    </w:rPr>
  </w:style>
  <w:style w:type="paragraph" w:customStyle="1" w:styleId="Dash2">
    <w:name w:val="Dash 2"/>
    <w:basedOn w:val="Normal"/>
    <w:pPr>
      <w:numPr>
        <w:numId w:val="3"/>
      </w:numPr>
      <w:spacing w:line="360" w:lineRule="auto"/>
      <w:jc w:val="left"/>
    </w:pPr>
    <w:rPr>
      <w:rFonts w:eastAsia="Times New Roman"/>
      <w:szCs w:val="24"/>
    </w:rPr>
  </w:style>
  <w:style w:type="paragraph" w:customStyle="1" w:styleId="Dash3">
    <w:name w:val="Dash 3"/>
    <w:basedOn w:val="Normal"/>
    <w:pPr>
      <w:numPr>
        <w:numId w:val="4"/>
      </w:numPr>
      <w:spacing w:line="360" w:lineRule="auto"/>
      <w:jc w:val="left"/>
    </w:pPr>
    <w:rPr>
      <w:rFonts w:eastAsia="Times New Roman"/>
      <w:szCs w:val="24"/>
    </w:rPr>
  </w:style>
  <w:style w:type="paragraph" w:customStyle="1" w:styleId="Dash4">
    <w:name w:val="Dash 4"/>
    <w:basedOn w:val="Normal"/>
    <w:pPr>
      <w:numPr>
        <w:numId w:val="5"/>
      </w:numPr>
      <w:spacing w:line="360" w:lineRule="auto"/>
      <w:jc w:val="left"/>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character" w:customStyle="1" w:styleId="TechnicalBlockChar">
    <w:name w:val="Technical Block Char"/>
    <w:basedOn w:val="DefaultParagraphFont"/>
    <w:rPr>
      <w:rFonts w:ascii="Times New Roman" w:hAnsi="Times New Roman" w:cs="Times New Roman"/>
      <w:sz w:val="24"/>
      <w:lang w:val="fr-FR"/>
    </w:rPr>
  </w:style>
  <w:style w:type="paragraph" w:styleId="BalloonText">
    <w:name w:val="Balloon Text"/>
    <w:basedOn w:val="Normal"/>
    <w:link w:val="BalloonTextChar"/>
    <w:uiPriority w:val="99"/>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IntrtEEEPagedecouverture"/>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szCs w:val="24"/>
      <w:lang w:eastAsia="en-GB"/>
    </w:rPr>
  </w:style>
  <w:style w:type="paragraph" w:styleId="ListNumber">
    <w:name w:val="List Number"/>
    <w:basedOn w:val="Normal"/>
    <w:uiPriority w:val="99"/>
    <w:unhideWhenUsed/>
    <w:pPr>
      <w:numPr>
        <w:numId w:val="21"/>
      </w:numPr>
      <w:contextualSpacing/>
    </w:pPr>
    <w:rPr>
      <w:rFonts w:eastAsia="Calibri"/>
      <w:szCs w:val="24"/>
      <w:lang w:eastAsia="en-GB"/>
    </w:rPr>
  </w:style>
  <w:style w:type="paragraph" w:styleId="ListNumber2">
    <w:name w:val="List Number 2"/>
    <w:basedOn w:val="Normal"/>
    <w:uiPriority w:val="99"/>
    <w:unhideWhenUsed/>
    <w:pPr>
      <w:numPr>
        <w:numId w:val="22"/>
      </w:numPr>
      <w:contextualSpacing/>
    </w:pPr>
    <w:rPr>
      <w:rFonts w:eastAsia="Calibri"/>
      <w:szCs w:val="24"/>
      <w:lang w:eastAsia="en-GB"/>
    </w:rPr>
  </w:style>
  <w:style w:type="paragraph" w:styleId="ListNumber3">
    <w:name w:val="List Number 3"/>
    <w:basedOn w:val="Normal"/>
    <w:uiPriority w:val="99"/>
    <w:unhideWhenUsed/>
    <w:pPr>
      <w:numPr>
        <w:numId w:val="23"/>
      </w:numPr>
      <w:contextualSpacing/>
    </w:pPr>
    <w:rPr>
      <w:rFonts w:eastAsia="Calibri"/>
      <w:szCs w:val="24"/>
      <w:lang w:eastAsia="en-GB"/>
    </w:rPr>
  </w:style>
  <w:style w:type="paragraph" w:styleId="ListNumber4">
    <w:name w:val="List Number 4"/>
    <w:basedOn w:val="Normal"/>
    <w:uiPriority w:val="99"/>
    <w:unhideWhenUsed/>
    <w:pPr>
      <w:numPr>
        <w:numId w:val="24"/>
      </w:numPr>
      <w:contextualSpacing/>
    </w:pPr>
    <w:rPr>
      <w:rFonts w:eastAsia="Calibri"/>
      <w:szCs w:val="24"/>
      <w:lang w:eastAsia="en-GB"/>
    </w:rPr>
  </w:style>
  <w:style w:type="character" w:styleId="Strong">
    <w:name w:val="Strong"/>
    <w:uiPriority w:val="22"/>
    <w:qFormat/>
    <w:rPr>
      <w:b/>
    </w:rPr>
  </w:style>
  <w:style w:type="paragraph" w:customStyle="1" w:styleId="Manualpar1">
    <w:name w:val="Manualpar 1"/>
    <w:basedOn w:val="Titrearticle"/>
    <w:rPr>
      <w:rFonts w:eastAsia="Calibri"/>
      <w:i w:val="0"/>
      <w:szCs w:val="24"/>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fr-FR" w:eastAsia="en-GB"/>
    </w:rPr>
  </w:style>
  <w:style w:type="paragraph" w:styleId="Revision">
    <w:name w:val="Revision"/>
    <w:hidden/>
    <w:uiPriority w:val="99"/>
    <w:pPr>
      <w:spacing w:after="0" w:line="240" w:lineRule="auto"/>
    </w:pPr>
    <w:rPr>
      <w:rFonts w:ascii="Times New Roman" w:eastAsia="Calibri" w:hAnsi="Times New Roman" w:cs="Times New Roman"/>
      <w:sz w:val="24"/>
      <w:szCs w:val="20"/>
      <w:lang w:eastAsia="de-D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rPr>
      <w:rFonts w:eastAsia="Calibri"/>
      <w:noProof/>
      <w:szCs w:val="24"/>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szCs w:val="24"/>
      <w:lang w:eastAsia="zh-CN"/>
    </w:rPr>
  </w:style>
  <w:style w:type="character" w:customStyle="1" w:styleId="BodyTextChar">
    <w:name w:val="Body Text Char"/>
    <w:basedOn w:val="DefaultParagraphFont"/>
    <w:link w:val="BodyText"/>
    <w:rPr>
      <w:rFonts w:ascii="Times New Roman" w:eastAsia="Calibri" w:hAnsi="Times New Roman" w:cs="Times New Roman"/>
      <w:sz w:val="24"/>
      <w:szCs w:val="24"/>
      <w:lang w:val="fr-FR"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szCs w:val="24"/>
      <w:lang w:eastAsia="zh-CN"/>
    </w:rPr>
  </w:style>
  <w:style w:type="character" w:customStyle="1" w:styleId="CommentSubjectChar1">
    <w:name w:val="Comment Subject Char1"/>
    <w:rPr>
      <w:rFonts w:ascii="Times New Roman" w:eastAsia="Times New Roman" w:hAnsi="Times New Roman" w:cs="Times New Roman"/>
      <w:b/>
      <w:bCs/>
      <w:sz w:val="20"/>
      <w:szCs w:val="20"/>
      <w:lang w:val="fr-FR" w:eastAsia="zh-CN"/>
    </w:rPr>
  </w:style>
  <w:style w:type="character" w:customStyle="1" w:styleId="BalloonTextChar1">
    <w:name w:val="Balloon Text Char1"/>
    <w:rPr>
      <w:rFonts w:ascii="Tahoma" w:eastAsia="Times New Roman" w:hAnsi="Tahoma" w:cs="Tahoma"/>
      <w:sz w:val="16"/>
      <w:szCs w:val="16"/>
      <w:lang w:val="fr-FR" w:eastAsia="zh-CN"/>
    </w:rPr>
  </w:style>
  <w:style w:type="paragraph" w:customStyle="1" w:styleId="WW-Default">
    <w:name w:val="WW-Default"/>
    <w:pPr>
      <w:suppressAutoHyphens/>
      <w:autoSpaceDE w:val="0"/>
      <w:spacing w:after="0" w:line="240" w:lineRule="auto"/>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szCs w:val="24"/>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szCs w:val="24"/>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de-DE"/>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eastAsia="Times New Roman"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rPr>
      <w:rFonts w:ascii="Times New Roman" w:hAnsi="Times New Roman" w:cs="Times New Roman"/>
      <w:sz w:val="2"/>
      <w:lang w:val="fr-FR"/>
    </w:rPr>
  </w:style>
  <w:style w:type="character" w:customStyle="1" w:styleId="FooterCouncilChar">
    <w:name w:val="Footer Council Char"/>
    <w:rPr>
      <w:rFonts w:ascii="Times New Roman" w:hAnsi="Times New Roman" w:cs="Times New Roman"/>
      <w:sz w:val="2"/>
      <w:lang w:val="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szCs w:val="24"/>
    </w:rPr>
  </w:style>
  <w:style w:type="character" w:customStyle="1" w:styleId="pjChar">
    <w:name w:val="p.j. Char"/>
    <w:link w:val="pj"/>
    <w:rPr>
      <w:rFonts w:ascii="Times New Roman" w:eastAsia="Calibri" w:hAnsi="Times New Roman" w:cs="Times New Roman"/>
      <w:sz w:val="24"/>
      <w:szCs w:val="24"/>
      <w:lang w:val="fr-FR"/>
    </w:rPr>
  </w:style>
  <w:style w:type="numbering" w:customStyle="1" w:styleId="List0">
    <w:name w:val="List 0"/>
    <w:basedOn w:val="NoList"/>
    <w:pPr>
      <w:numPr>
        <w:numId w:val="25"/>
      </w:numPr>
    </w:pPr>
  </w:style>
  <w:style w:type="paragraph" w:customStyle="1" w:styleId="Sous-titreobjetPagedecouverture">
    <w:name w:val="Sous-titre objet (Page de couverture)"/>
    <w:basedOn w:val="Sous-titreobjet"/>
    <w:pPr>
      <w:spacing w:line="240" w:lineRule="auto"/>
    </w:pPr>
  </w:style>
  <w:style w:type="paragraph" w:customStyle="1" w:styleId="DESignature">
    <w:name w:val="DE Signature"/>
    <w:basedOn w:val="Normal"/>
    <w:next w:val="Normal"/>
    <w:pPr>
      <w:tabs>
        <w:tab w:val="center" w:pos="5953"/>
      </w:tabs>
      <w:spacing w:before="720" w:line="360" w:lineRule="auto"/>
      <w:jc w:val="left"/>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AnnexTit">
    <w:name w:val="Annex Tit"/>
    <w:basedOn w:val="Annex"/>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Pr>
      <w:rFonts w:ascii="Times New Roman" w:hAnsi="Times New Roman" w:cs="Times New Roman"/>
      <w:b/>
      <w:sz w:val="24"/>
      <w:lang w:val="fr-FR"/>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0"/>
      <w:lang w:val="fr-FR" w:eastAsia="de-DE"/>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pPr>
    <w:rPr>
      <w:rFonts w:eastAsia="Times New Roman"/>
      <w:szCs w:val="24"/>
    </w:rPr>
  </w:style>
  <w:style w:type="paragraph" w:customStyle="1" w:styleId="Pointabc2">
    <w:name w:val="Point abc (2)"/>
    <w:basedOn w:val="Normal"/>
    <w:pPr>
      <w:numPr>
        <w:ilvl w:val="5"/>
        <w:numId w:val="12"/>
      </w:numPr>
      <w:spacing w:line="360" w:lineRule="auto"/>
      <w:jc w:val="left"/>
    </w:pPr>
    <w:rPr>
      <w:rFonts w:eastAsia="Times New Roman"/>
      <w:szCs w:val="24"/>
    </w:rPr>
  </w:style>
  <w:style w:type="paragraph" w:customStyle="1" w:styleId="Pointabc3">
    <w:name w:val="Point abc (3)"/>
    <w:basedOn w:val="Normal"/>
    <w:pPr>
      <w:numPr>
        <w:ilvl w:val="7"/>
        <w:numId w:val="12"/>
      </w:numPr>
      <w:spacing w:line="360" w:lineRule="auto"/>
      <w:jc w:val="left"/>
    </w:pPr>
    <w:rPr>
      <w:rFonts w:eastAsia="Times New Roman"/>
      <w:szCs w:val="24"/>
    </w:rPr>
  </w:style>
  <w:style w:type="paragraph" w:customStyle="1" w:styleId="Pointabc4">
    <w:name w:val="Point abc (4)"/>
    <w:basedOn w:val="Normal"/>
    <w:pPr>
      <w:numPr>
        <w:ilvl w:val="8"/>
        <w:numId w:val="12"/>
      </w:numPr>
      <w:spacing w:line="360" w:lineRule="auto"/>
      <w:jc w:val="left"/>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pPr>
    <w:rPr>
      <w:rFonts w:eastAsia="Times New Roman"/>
      <w:szCs w:val="24"/>
    </w:rPr>
  </w:style>
  <w:style w:type="paragraph" w:customStyle="1" w:styleId="Point1232">
    <w:name w:val="Point 123 (2)"/>
    <w:basedOn w:val="Normal"/>
    <w:pPr>
      <w:numPr>
        <w:ilvl w:val="4"/>
        <w:numId w:val="12"/>
      </w:numPr>
      <w:spacing w:line="360" w:lineRule="auto"/>
      <w:jc w:val="left"/>
    </w:pPr>
    <w:rPr>
      <w:rFonts w:eastAsia="Times New Roman"/>
      <w:szCs w:val="24"/>
    </w:rPr>
  </w:style>
  <w:style w:type="paragraph" w:customStyle="1" w:styleId="Point1233">
    <w:name w:val="Point 123 (3)"/>
    <w:basedOn w:val="Normal"/>
    <w:pPr>
      <w:numPr>
        <w:ilvl w:val="6"/>
        <w:numId w:val="12"/>
      </w:numPr>
      <w:spacing w:line="360" w:lineRule="auto"/>
      <w:jc w:val="left"/>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pPr>
    <w:rPr>
      <w:rFonts w:eastAsia="Times New Roman"/>
      <w:szCs w:val="24"/>
    </w:rPr>
  </w:style>
  <w:style w:type="paragraph" w:customStyle="1" w:styleId="Pointivx2">
    <w:name w:val="Point ivx (2)"/>
    <w:basedOn w:val="Normal"/>
    <w:pPr>
      <w:numPr>
        <w:ilvl w:val="2"/>
        <w:numId w:val="13"/>
      </w:numPr>
      <w:spacing w:line="360" w:lineRule="auto"/>
      <w:jc w:val="left"/>
    </w:pPr>
    <w:rPr>
      <w:rFonts w:eastAsia="Times New Roman"/>
      <w:szCs w:val="24"/>
    </w:rPr>
  </w:style>
  <w:style w:type="paragraph" w:customStyle="1" w:styleId="Pointivx3">
    <w:name w:val="Point ivx (3)"/>
    <w:basedOn w:val="Normal"/>
    <w:pPr>
      <w:numPr>
        <w:ilvl w:val="3"/>
        <w:numId w:val="13"/>
      </w:numPr>
      <w:spacing w:line="360" w:lineRule="auto"/>
      <w:jc w:val="left"/>
    </w:pPr>
    <w:rPr>
      <w:rFonts w:eastAsia="Times New Roman"/>
      <w:szCs w:val="24"/>
    </w:rPr>
  </w:style>
  <w:style w:type="paragraph" w:customStyle="1" w:styleId="Pointivx4">
    <w:name w:val="Point ivx (4)"/>
    <w:basedOn w:val="Normal"/>
    <w:pPr>
      <w:numPr>
        <w:ilvl w:val="4"/>
        <w:numId w:val="13"/>
      </w:numPr>
      <w:spacing w:line="360" w:lineRule="auto"/>
      <w:jc w:val="left"/>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pPr>
    <w:rPr>
      <w:rFonts w:eastAsia="Times New Roman"/>
      <w:szCs w:val="24"/>
    </w:rPr>
  </w:style>
  <w:style w:type="paragraph" w:customStyle="1" w:styleId="Dash2">
    <w:name w:val="Dash 2"/>
    <w:basedOn w:val="Normal"/>
    <w:pPr>
      <w:numPr>
        <w:numId w:val="3"/>
      </w:numPr>
      <w:spacing w:line="360" w:lineRule="auto"/>
      <w:jc w:val="left"/>
    </w:pPr>
    <w:rPr>
      <w:rFonts w:eastAsia="Times New Roman"/>
      <w:szCs w:val="24"/>
    </w:rPr>
  </w:style>
  <w:style w:type="paragraph" w:customStyle="1" w:styleId="Dash3">
    <w:name w:val="Dash 3"/>
    <w:basedOn w:val="Normal"/>
    <w:pPr>
      <w:numPr>
        <w:numId w:val="4"/>
      </w:numPr>
      <w:spacing w:line="360" w:lineRule="auto"/>
      <w:jc w:val="left"/>
    </w:pPr>
    <w:rPr>
      <w:rFonts w:eastAsia="Times New Roman"/>
      <w:szCs w:val="24"/>
    </w:rPr>
  </w:style>
  <w:style w:type="paragraph" w:customStyle="1" w:styleId="Dash4">
    <w:name w:val="Dash 4"/>
    <w:basedOn w:val="Normal"/>
    <w:pPr>
      <w:numPr>
        <w:numId w:val="5"/>
      </w:numPr>
      <w:spacing w:line="360" w:lineRule="auto"/>
      <w:jc w:val="left"/>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character" w:customStyle="1" w:styleId="TechnicalBlockChar">
    <w:name w:val="Technical Block Char"/>
    <w:basedOn w:val="DefaultParagraphFont"/>
    <w:rPr>
      <w:rFonts w:ascii="Times New Roman" w:hAnsi="Times New Roman" w:cs="Times New Roman"/>
      <w:sz w:val="24"/>
      <w:lang w:val="fr-FR"/>
    </w:rPr>
  </w:style>
  <w:style w:type="paragraph" w:styleId="BalloonText">
    <w:name w:val="Balloon Text"/>
    <w:basedOn w:val="Normal"/>
    <w:link w:val="BalloonTextChar"/>
    <w:uiPriority w:val="99"/>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IntrtEEEPagedecouverture"/>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szCs w:val="24"/>
      <w:lang w:eastAsia="en-GB"/>
    </w:rPr>
  </w:style>
  <w:style w:type="paragraph" w:styleId="ListNumber">
    <w:name w:val="List Number"/>
    <w:basedOn w:val="Normal"/>
    <w:uiPriority w:val="99"/>
    <w:unhideWhenUsed/>
    <w:pPr>
      <w:numPr>
        <w:numId w:val="21"/>
      </w:numPr>
      <w:contextualSpacing/>
    </w:pPr>
    <w:rPr>
      <w:rFonts w:eastAsia="Calibri"/>
      <w:szCs w:val="24"/>
      <w:lang w:eastAsia="en-GB"/>
    </w:rPr>
  </w:style>
  <w:style w:type="paragraph" w:styleId="ListNumber2">
    <w:name w:val="List Number 2"/>
    <w:basedOn w:val="Normal"/>
    <w:uiPriority w:val="99"/>
    <w:unhideWhenUsed/>
    <w:pPr>
      <w:numPr>
        <w:numId w:val="22"/>
      </w:numPr>
      <w:contextualSpacing/>
    </w:pPr>
    <w:rPr>
      <w:rFonts w:eastAsia="Calibri"/>
      <w:szCs w:val="24"/>
      <w:lang w:eastAsia="en-GB"/>
    </w:rPr>
  </w:style>
  <w:style w:type="paragraph" w:styleId="ListNumber3">
    <w:name w:val="List Number 3"/>
    <w:basedOn w:val="Normal"/>
    <w:uiPriority w:val="99"/>
    <w:unhideWhenUsed/>
    <w:pPr>
      <w:numPr>
        <w:numId w:val="23"/>
      </w:numPr>
      <w:contextualSpacing/>
    </w:pPr>
    <w:rPr>
      <w:rFonts w:eastAsia="Calibri"/>
      <w:szCs w:val="24"/>
      <w:lang w:eastAsia="en-GB"/>
    </w:rPr>
  </w:style>
  <w:style w:type="paragraph" w:styleId="ListNumber4">
    <w:name w:val="List Number 4"/>
    <w:basedOn w:val="Normal"/>
    <w:uiPriority w:val="99"/>
    <w:unhideWhenUsed/>
    <w:pPr>
      <w:numPr>
        <w:numId w:val="24"/>
      </w:numPr>
      <w:contextualSpacing/>
    </w:pPr>
    <w:rPr>
      <w:rFonts w:eastAsia="Calibri"/>
      <w:szCs w:val="24"/>
      <w:lang w:eastAsia="en-GB"/>
    </w:rPr>
  </w:style>
  <w:style w:type="character" w:styleId="Strong">
    <w:name w:val="Strong"/>
    <w:uiPriority w:val="22"/>
    <w:qFormat/>
    <w:rPr>
      <w:b/>
    </w:rPr>
  </w:style>
  <w:style w:type="paragraph" w:customStyle="1" w:styleId="Manualpar1">
    <w:name w:val="Manualpar 1"/>
    <w:basedOn w:val="Titrearticle"/>
    <w:rPr>
      <w:rFonts w:eastAsia="Calibri"/>
      <w:i w:val="0"/>
      <w:szCs w:val="24"/>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fr-FR" w:eastAsia="en-GB"/>
    </w:rPr>
  </w:style>
  <w:style w:type="paragraph" w:styleId="Revision">
    <w:name w:val="Revision"/>
    <w:hidden/>
    <w:uiPriority w:val="99"/>
    <w:pPr>
      <w:spacing w:after="0" w:line="240" w:lineRule="auto"/>
    </w:pPr>
    <w:rPr>
      <w:rFonts w:ascii="Times New Roman" w:eastAsia="Calibri" w:hAnsi="Times New Roman" w:cs="Times New Roman"/>
      <w:sz w:val="24"/>
      <w:szCs w:val="20"/>
      <w:lang w:eastAsia="de-D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rPr>
      <w:rFonts w:eastAsia="Calibri"/>
      <w:noProof/>
      <w:szCs w:val="24"/>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szCs w:val="24"/>
      <w:lang w:eastAsia="zh-CN"/>
    </w:rPr>
  </w:style>
  <w:style w:type="character" w:customStyle="1" w:styleId="BodyTextChar">
    <w:name w:val="Body Text Char"/>
    <w:basedOn w:val="DefaultParagraphFont"/>
    <w:link w:val="BodyText"/>
    <w:rPr>
      <w:rFonts w:ascii="Times New Roman" w:eastAsia="Calibri" w:hAnsi="Times New Roman" w:cs="Times New Roman"/>
      <w:sz w:val="24"/>
      <w:szCs w:val="24"/>
      <w:lang w:val="fr-FR"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szCs w:val="24"/>
      <w:lang w:eastAsia="zh-CN"/>
    </w:rPr>
  </w:style>
  <w:style w:type="character" w:customStyle="1" w:styleId="CommentSubjectChar1">
    <w:name w:val="Comment Subject Char1"/>
    <w:rPr>
      <w:rFonts w:ascii="Times New Roman" w:eastAsia="Times New Roman" w:hAnsi="Times New Roman" w:cs="Times New Roman"/>
      <w:b/>
      <w:bCs/>
      <w:sz w:val="20"/>
      <w:szCs w:val="20"/>
      <w:lang w:val="fr-FR" w:eastAsia="zh-CN"/>
    </w:rPr>
  </w:style>
  <w:style w:type="character" w:customStyle="1" w:styleId="BalloonTextChar1">
    <w:name w:val="Balloon Text Char1"/>
    <w:rPr>
      <w:rFonts w:ascii="Tahoma" w:eastAsia="Times New Roman" w:hAnsi="Tahoma" w:cs="Tahoma"/>
      <w:sz w:val="16"/>
      <w:szCs w:val="16"/>
      <w:lang w:val="fr-FR" w:eastAsia="zh-CN"/>
    </w:rPr>
  </w:style>
  <w:style w:type="paragraph" w:customStyle="1" w:styleId="WW-Default">
    <w:name w:val="WW-Default"/>
    <w:pPr>
      <w:suppressAutoHyphens/>
      <w:autoSpaceDE w:val="0"/>
      <w:spacing w:after="0" w:line="240" w:lineRule="auto"/>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szCs w:val="24"/>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szCs w:val="24"/>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de-DE"/>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eastAsia="Times New Roman"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rPr>
      <w:rFonts w:ascii="Times New Roman" w:hAnsi="Times New Roman" w:cs="Times New Roman"/>
      <w:sz w:val="2"/>
      <w:lang w:val="fr-FR"/>
    </w:rPr>
  </w:style>
  <w:style w:type="character" w:customStyle="1" w:styleId="FooterCouncilChar">
    <w:name w:val="Footer Council Char"/>
    <w:rPr>
      <w:rFonts w:ascii="Times New Roman" w:hAnsi="Times New Roman" w:cs="Times New Roman"/>
      <w:sz w:val="2"/>
      <w:lang w:val="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szCs w:val="24"/>
    </w:rPr>
  </w:style>
  <w:style w:type="character" w:customStyle="1" w:styleId="pjChar">
    <w:name w:val="p.j. Char"/>
    <w:link w:val="pj"/>
    <w:rPr>
      <w:rFonts w:ascii="Times New Roman" w:eastAsia="Calibri" w:hAnsi="Times New Roman" w:cs="Times New Roman"/>
      <w:sz w:val="24"/>
      <w:szCs w:val="24"/>
      <w:lang w:val="fr-FR"/>
    </w:rPr>
  </w:style>
  <w:style w:type="numbering" w:customStyle="1" w:styleId="List0">
    <w:name w:val="List 0"/>
    <w:basedOn w:val="NoList"/>
    <w:pPr>
      <w:numPr>
        <w:numId w:val="25"/>
      </w:numPr>
    </w:pPr>
  </w:style>
  <w:style w:type="paragraph" w:customStyle="1" w:styleId="Sous-titreobjetPagedecouverture">
    <w:name w:val="Sous-titre objet (Page de couverture)"/>
    <w:basedOn w:val="Sous-titreobjet"/>
    <w:pPr>
      <w:spacing w:line="240" w:lineRule="auto"/>
    </w:pPr>
  </w:style>
  <w:style w:type="paragraph" w:customStyle="1" w:styleId="DESignature">
    <w:name w:val="DE Signature"/>
    <w:basedOn w:val="Normal"/>
    <w:next w:val="Normal"/>
    <w:pPr>
      <w:tabs>
        <w:tab w:val="center" w:pos="5953"/>
      </w:tabs>
      <w:spacing w:before="720" w:line="360" w:lineRule="auto"/>
      <w:jc w:val="left"/>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AnnexTit">
    <w:name w:val="Annex Tit"/>
    <w:basedOn w:val="Annex"/>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0875">
      <w:bodyDiv w:val="1"/>
      <w:marLeft w:val="0"/>
      <w:marRight w:val="0"/>
      <w:marTop w:val="0"/>
      <w:marBottom w:val="0"/>
      <w:divBdr>
        <w:top w:val="none" w:sz="0" w:space="0" w:color="auto"/>
        <w:left w:val="none" w:sz="0" w:space="0" w:color="auto"/>
        <w:bottom w:val="none" w:sz="0" w:space="0" w:color="auto"/>
        <w:right w:val="none" w:sz="0" w:space="0" w:color="auto"/>
      </w:divBdr>
    </w:div>
    <w:div w:id="454910526">
      <w:bodyDiv w:val="1"/>
      <w:marLeft w:val="0"/>
      <w:marRight w:val="0"/>
      <w:marTop w:val="0"/>
      <w:marBottom w:val="0"/>
      <w:divBdr>
        <w:top w:val="none" w:sz="0" w:space="0" w:color="auto"/>
        <w:left w:val="none" w:sz="0" w:space="0" w:color="auto"/>
        <w:bottom w:val="none" w:sz="0" w:space="0" w:color="auto"/>
        <w:right w:val="none" w:sz="0" w:space="0" w:color="auto"/>
      </w:divBdr>
    </w:div>
    <w:div w:id="745567580">
      <w:bodyDiv w:val="1"/>
      <w:marLeft w:val="0"/>
      <w:marRight w:val="0"/>
      <w:marTop w:val="0"/>
      <w:marBottom w:val="0"/>
      <w:divBdr>
        <w:top w:val="none" w:sz="0" w:space="0" w:color="auto"/>
        <w:left w:val="none" w:sz="0" w:space="0" w:color="auto"/>
        <w:bottom w:val="none" w:sz="0" w:space="0" w:color="auto"/>
        <w:right w:val="none" w:sz="0" w:space="0" w:color="auto"/>
      </w:divBdr>
      <w:divsChild>
        <w:div w:id="513345754">
          <w:marLeft w:val="0"/>
          <w:marRight w:val="0"/>
          <w:marTop w:val="0"/>
          <w:marBottom w:val="0"/>
          <w:divBdr>
            <w:top w:val="none" w:sz="0" w:space="0" w:color="auto"/>
            <w:left w:val="none" w:sz="0" w:space="0" w:color="auto"/>
            <w:bottom w:val="none" w:sz="0" w:space="0" w:color="auto"/>
            <w:right w:val="none" w:sz="0" w:space="0" w:color="auto"/>
          </w:divBdr>
          <w:divsChild>
            <w:div w:id="135998621">
              <w:marLeft w:val="0"/>
              <w:marRight w:val="0"/>
              <w:marTop w:val="0"/>
              <w:marBottom w:val="0"/>
              <w:divBdr>
                <w:top w:val="none" w:sz="0" w:space="0" w:color="auto"/>
                <w:left w:val="none" w:sz="0" w:space="0" w:color="auto"/>
                <w:bottom w:val="none" w:sz="0" w:space="0" w:color="auto"/>
                <w:right w:val="none" w:sz="0" w:space="0" w:color="auto"/>
              </w:divBdr>
              <w:divsChild>
                <w:div w:id="2016182004">
                  <w:marLeft w:val="0"/>
                  <w:marRight w:val="0"/>
                  <w:marTop w:val="0"/>
                  <w:marBottom w:val="0"/>
                  <w:divBdr>
                    <w:top w:val="none" w:sz="0" w:space="0" w:color="auto"/>
                    <w:left w:val="none" w:sz="0" w:space="0" w:color="auto"/>
                    <w:bottom w:val="none" w:sz="0" w:space="0" w:color="auto"/>
                    <w:right w:val="none" w:sz="0" w:space="0" w:color="auto"/>
                  </w:divBdr>
                  <w:divsChild>
                    <w:div w:id="1756782201">
                      <w:marLeft w:val="1"/>
                      <w:marRight w:val="1"/>
                      <w:marTop w:val="0"/>
                      <w:marBottom w:val="0"/>
                      <w:divBdr>
                        <w:top w:val="none" w:sz="0" w:space="0" w:color="auto"/>
                        <w:left w:val="none" w:sz="0" w:space="0" w:color="auto"/>
                        <w:bottom w:val="none" w:sz="0" w:space="0" w:color="auto"/>
                        <w:right w:val="none" w:sz="0" w:space="0" w:color="auto"/>
                      </w:divBdr>
                      <w:divsChild>
                        <w:div w:id="1766876103">
                          <w:marLeft w:val="0"/>
                          <w:marRight w:val="0"/>
                          <w:marTop w:val="0"/>
                          <w:marBottom w:val="0"/>
                          <w:divBdr>
                            <w:top w:val="none" w:sz="0" w:space="0" w:color="auto"/>
                            <w:left w:val="none" w:sz="0" w:space="0" w:color="auto"/>
                            <w:bottom w:val="none" w:sz="0" w:space="0" w:color="auto"/>
                            <w:right w:val="none" w:sz="0" w:space="0" w:color="auto"/>
                          </w:divBdr>
                          <w:divsChild>
                            <w:div w:id="472061209">
                              <w:marLeft w:val="0"/>
                              <w:marRight w:val="0"/>
                              <w:marTop w:val="0"/>
                              <w:marBottom w:val="360"/>
                              <w:divBdr>
                                <w:top w:val="none" w:sz="0" w:space="0" w:color="auto"/>
                                <w:left w:val="none" w:sz="0" w:space="0" w:color="auto"/>
                                <w:bottom w:val="none" w:sz="0" w:space="0" w:color="auto"/>
                                <w:right w:val="none" w:sz="0" w:space="0" w:color="auto"/>
                              </w:divBdr>
                              <w:divsChild>
                                <w:div w:id="553543771">
                                  <w:marLeft w:val="0"/>
                                  <w:marRight w:val="0"/>
                                  <w:marTop w:val="0"/>
                                  <w:marBottom w:val="0"/>
                                  <w:divBdr>
                                    <w:top w:val="none" w:sz="0" w:space="0" w:color="auto"/>
                                    <w:left w:val="none" w:sz="0" w:space="0" w:color="auto"/>
                                    <w:bottom w:val="none" w:sz="0" w:space="0" w:color="auto"/>
                                    <w:right w:val="none" w:sz="0" w:space="0" w:color="auto"/>
                                  </w:divBdr>
                                  <w:divsChild>
                                    <w:div w:id="1390616943">
                                      <w:marLeft w:val="0"/>
                                      <w:marRight w:val="0"/>
                                      <w:marTop w:val="0"/>
                                      <w:marBottom w:val="0"/>
                                      <w:divBdr>
                                        <w:top w:val="none" w:sz="0" w:space="0" w:color="auto"/>
                                        <w:left w:val="none" w:sz="0" w:space="0" w:color="auto"/>
                                        <w:bottom w:val="none" w:sz="0" w:space="0" w:color="auto"/>
                                        <w:right w:val="none" w:sz="0" w:space="0" w:color="auto"/>
                                      </w:divBdr>
                                      <w:divsChild>
                                        <w:div w:id="1988047303">
                                          <w:marLeft w:val="0"/>
                                          <w:marRight w:val="0"/>
                                          <w:marTop w:val="0"/>
                                          <w:marBottom w:val="0"/>
                                          <w:divBdr>
                                            <w:top w:val="none" w:sz="0" w:space="0" w:color="auto"/>
                                            <w:left w:val="none" w:sz="0" w:space="0" w:color="auto"/>
                                            <w:bottom w:val="none" w:sz="0" w:space="0" w:color="auto"/>
                                            <w:right w:val="none" w:sz="0" w:space="0" w:color="auto"/>
                                          </w:divBdr>
                                        </w:div>
                                        <w:div w:id="5946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F316C0-C275-49E6-AAFE-5BDFD6D0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43</Pages>
  <Words>9516</Words>
  <Characters>43587</Characters>
  <Application>Microsoft Office Word</Application>
  <DocSecurity>0</DocSecurity>
  <Lines>2421</Lines>
  <Paragraphs>1561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(MARE)</dc:creator>
  <cp:lastModifiedBy>WES PDFC Administrator</cp:lastModifiedBy>
  <cp:revision>9</cp:revision>
  <dcterms:created xsi:type="dcterms:W3CDTF">2019-10-11T07:32:00Z</dcterms:created>
  <dcterms:modified xsi:type="dcterms:W3CDTF">2019-10-21T09:13:00Z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