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3F666C73-7059-47D0-8B8B-E8D1DFF4DBAF" style="width:450.45pt;height:380.1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на тридесет и деветото годишно заседание на Постоянния комитет на Конвенцията за опазване на дивата европейска флора и фауна и природните местообитания, което ще се проведе от 3 до 6 декември 2019 г. в Страсбург (Франция), във връзка с предвиденото приемане от комитета на решение за две изменения в приложения № II и № III към конвенцията.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Конвенция за опазване на дивата европейска флора и фауна и природните местообитания</w:t>
      </w:r>
    </w:p>
    <w:p>
      <w:pPr>
        <w:rPr>
          <w:rFonts w:eastAsia="Arial Unicode MS"/>
          <w:noProof/>
        </w:rPr>
      </w:pPr>
      <w:r>
        <w:rPr>
          <w:noProof/>
        </w:rPr>
        <w:t>Целта на Конвенцията за опазване на дивата европейска флора и фауна и природните местообитания („конвенцията“) е опазването на дивата европейската флора и фауна, както и свързаните с нея местообитания — по-специално тези, за чието опазване е необходимо сътрудничество между няколко държави. Тя представлява междуправителствен договор, сключен под егидата на Съвета на Европа. Конвенцията е в сила от 1 юни 1982 г</w:t>
      </w:r>
      <w:r>
        <w:t>.</w:t>
      </w:r>
    </w:p>
    <w:p>
      <w:pPr>
        <w:rPr>
          <w:rFonts w:eastAsia="Arial Unicode MS"/>
          <w:noProof/>
        </w:rPr>
      </w:pPr>
      <w:r>
        <w:rPr>
          <w:noProof/>
        </w:rPr>
        <w:t>Европейският съюз е договаряща страна по конвенцията от 1 септември 1982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Понастоящем договарящите страни по конвенцията са 51, включително всички държави — членки на ЕС.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Постоянен комитет</w:t>
      </w:r>
    </w:p>
    <w:p>
      <w:pPr>
        <w:rPr>
          <w:noProof/>
          <w:szCs w:val="24"/>
        </w:rPr>
      </w:pPr>
      <w:r>
        <w:rPr>
          <w:noProof/>
        </w:rPr>
        <w:t xml:space="preserve">Постоянният комитет е ръководният орган на конвенцията, като в рамките на своите правомощия той може да прави оценка на природозащитния статус на видовете и съответно да преразглежда тяхното включване в приложенията към конвенцията. </w:t>
      </w:r>
      <w:r>
        <w:rPr>
          <w:noProof/>
          <w:color w:val="222222"/>
          <w:shd w:val="clear" w:color="auto" w:fill="FFFFFF"/>
        </w:rPr>
        <w:t xml:space="preserve">Неговите функции са посочени в членове 13—15 от конвенцията. </w:t>
      </w:r>
      <w:r>
        <w:rPr>
          <w:noProof/>
        </w:rPr>
        <w:t>Постоянният комитет заседава най-малко веднъж на две години и когато мнозинството от договарящите страни постави искане за това. Обичайна практика е заседанията да се провеждат ежегодно.</w:t>
      </w:r>
    </w:p>
    <w:p>
      <w:pPr>
        <w:rPr>
          <w:noProof/>
        </w:rPr>
      </w:pPr>
      <w:r>
        <w:rPr>
          <w:noProof/>
        </w:rPr>
        <w:t>В съответствие с член 17 от конвенцията всяко изменение на приложенията се приема с мнозинство от две трети от договарящите страни.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 акт на Постоянния комитет</w:t>
      </w:r>
    </w:p>
    <w:p>
      <w:pPr>
        <w:rPr>
          <w:rFonts w:eastAsia="Arial Unicode MS"/>
          <w:noProof/>
        </w:rPr>
      </w:pPr>
      <w:r>
        <w:rPr>
          <w:noProof/>
        </w:rPr>
        <w:t>На тридесет и деветото годишно заседание на Постоянния комитет, което ще се проведе от 3 до 6 декември 2019 г. в Страсбург (Франция), се очаква да бъде прието решение за изменения на приложения № II и № III към конвенцията („предвиденият акт“).</w:t>
      </w:r>
    </w:p>
    <w:p>
      <w:pPr>
        <w:rPr>
          <w:rFonts w:eastAsia="Arial Unicode MS"/>
          <w:noProof/>
        </w:rPr>
      </w:pPr>
      <w:r>
        <w:rPr>
          <w:noProof/>
        </w:rPr>
        <w:t>Целта на предвидения акт е да</w:t>
      </w:r>
      <w:r>
        <w:t xml:space="preserve"> </w:t>
      </w:r>
      <w:r>
        <w:rPr>
          <w:noProof/>
        </w:rPr>
        <w:t>се внесат изменения в приложения № II и № III към конвенцията, както е предвидено в член 17 от конвенцията</w:t>
      </w:r>
      <w:r>
        <w:t>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В съответствие с член 17 от конвенцията предвиденият акт влиза в сила за всички страни три месеца след неговото приемане от Постоянния комитет и при условие че </w:t>
      </w:r>
      <w:r>
        <w:rPr>
          <w:noProof/>
        </w:rPr>
        <w:lastRenderedPageBreak/>
        <w:t>една трета от договарящите страни не са представили възражения. Всяко изменение влиза в сила за онези договарящи страни, които не са представили възражения.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  <w:szCs w:val="24"/>
        </w:rPr>
      </w:pPr>
      <w:r>
        <w:rPr>
          <w:noProof/>
        </w:rPr>
        <w:t xml:space="preserve">Норвегия представи предложение за преместване на белобузата гъска </w:t>
      </w:r>
      <w:r>
        <w:rPr>
          <w:i/>
          <w:noProof/>
        </w:rPr>
        <w:t>(Branta leucopsis</w:t>
      </w:r>
      <w:r>
        <w:rPr>
          <w:noProof/>
        </w:rPr>
        <w:t>) от приложение № II (строго защитени видове от фауната) в приложение № III (защитени видове от фауната — възможно регламентиране). Обосновката в подкрепа на предложението е, че от 80-те години на ХХ век до 2010 г. общата численост на популацията на белобуза гъска се е увеличила над десет пъти (от 112 000 на 1 319 000), включително в резултат от интензификацията на селското стопанство и произтичащото от нея наличие на големи количества фуражи</w:t>
      </w:r>
      <w:r>
        <w:rPr>
          <w:rStyle w:val="FootnoteReference"/>
          <w:noProof/>
        </w:rPr>
        <w:footnoteReference w:id="2"/>
      </w:r>
      <w:r>
        <w:rPr>
          <w:noProof/>
        </w:rPr>
        <w:t>. Следователно видът вече не се нуждае от строга защита в своя район на разпространение.</w:t>
      </w:r>
    </w:p>
    <w:p>
      <w:pPr>
        <w:rPr>
          <w:noProof/>
          <w:szCs w:val="24"/>
        </w:rPr>
      </w:pPr>
      <w:r>
        <w:rPr>
          <w:noProof/>
        </w:rPr>
        <w:t>Предметът на предвиденото решение на Постоянния комитет засяга област от изключителната външна компетентност на ЕС в съответствие с член 3, параграф 2 от ДФЕС, тъй като попада в област, която в голяма степен вече е уредена от вътрешните общи правила (т.е. Директивата за птиците). Поради това е необходимо Съветът да вземе решение с цел установяване на позициите по отношение на предвидения акт, които трябва да се заемат от името на Съюза на тридесет и деветото годишно заседание на Постоянния комитет.</w:t>
      </w:r>
    </w:p>
    <w:p>
      <w:r>
        <w:rPr>
          <w:noProof/>
        </w:rPr>
        <w:t>Предложението не е в съответствие с настоящия статус на правна защита на белобузата гъска съгласно Директивата за птиците, тъй като видът не е включен в приложение II (ловни видове). Видът е посочен в приложение I към Директивата за птиците (т.е. изисква обозначаване на специални защитени зони).</w:t>
      </w:r>
    </w:p>
    <w:p>
      <w:r>
        <w:rPr>
          <w:noProof/>
        </w:rPr>
        <w:t>На 7-ото заседание на страните по Споразумението за опазване на мигриращите водолюбиви птици от Африка и Евразия (AEWA) през декември 2018 г. беше приет проект на План за управление на отделен вид във връзка с белобузата гъска, чиято цел е да бъде овладяно рязкото увеличаване на популацията, и по-специално да бъдат разрешени причиняваните от вида проблеми (щети за селското стопанство и рискове за авиационната безопасност). Планът осигурява рамка за подпомагане на процеса на вземане на решения в държавите на разпространение на вида, свързани с прилагането на дерогации; това включва редовното оценяване на кумулативното въздействие на дерогациите, мониторинга на състоянието на популацията, както и на измененията на щетите за селското стопанство или рисковете за авиационната безопасност. Той ще улесни обмена на информация и евентуалното координиране на мерките за дерогация между държавите на разпространение на вида, така че да се повиши ефективността на тези мерки и да се избегнат нежеланите последици за миграционните пътища.</w:t>
      </w:r>
    </w:p>
    <w:p>
      <w:pPr>
        <w:rPr>
          <w:noProof/>
          <w:szCs w:val="24"/>
        </w:rPr>
      </w:pPr>
      <w:r>
        <w:rPr>
          <w:noProof/>
        </w:rPr>
        <w:t xml:space="preserve">Съюзът следва да подкрепи отправеното от Норвегия предложение за изменение, чиято цел е да бъде овладяно рязкото увеличаване на популацията на белобуза гъска, и по-специално да бъдат разрешени причиняваните от вида проблеми (щети за селското стопанство и рискове за авиационната безопасност), така че страните по конвенцията, които не са държави — членки на ЕС, да могат да приложат мерки за управление на </w:t>
      </w:r>
      <w:r>
        <w:rPr>
          <w:noProof/>
        </w:rPr>
        <w:lastRenderedPageBreak/>
        <w:t>популацията, включително чрез ловуване на този вид, ако е необходимо. Съюзът обаче ще трябва да уведоми, че съгласно член 12 от конвенцията междувременно ще прилага по-строги защитни мерки, тъй като понастоящем нито се предвижда изменение на приложенията към Директивата за птиците, нито такова изменение е възможно в краткия срок, изискван от конвенцията (90 дни).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 218, параграф 9 от Договора за функционирането на Европейския съюз (ДФЕС) се предвижда приемането на решения за установяване на „</w:t>
      </w:r>
      <w:r>
        <w:rPr>
          <w:i/>
          <w:noProof/>
        </w:rPr>
        <w:t>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</w:t>
      </w:r>
      <w:r>
        <w:rPr>
          <w:noProof/>
        </w:rPr>
        <w:t>“.</w:t>
      </w:r>
    </w:p>
    <w:p>
      <w:pPr>
        <w:rPr>
          <w:noProof/>
        </w:rPr>
      </w:pPr>
      <w:r>
        <w:rPr>
          <w:noProof/>
        </w:rPr>
        <w:t>Понятието „</w:t>
      </w:r>
      <w:r>
        <w:rPr>
          <w:i/>
          <w:noProof/>
        </w:rPr>
        <w:t>актове с правно действие</w:t>
      </w:r>
      <w:r>
        <w:rPr>
          <w:noProof/>
        </w:rPr>
        <w:t>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</w:t>
      </w:r>
      <w:r>
        <w:rPr>
          <w:i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“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Постоянният комитет е орган, създаден по силата на конвенцията.</w:t>
      </w:r>
    </w:p>
    <w:p>
      <w:r>
        <w:rPr>
          <w:noProof/>
        </w:rPr>
        <w:t>Актът, който Постоянният комитет има за задача да приеме, представлява акт с правно действие. Предвиденият акт ще бъде правно обвързващ съгласно международното право в съответствие с член 6 от конвенцията</w:t>
      </w:r>
      <w:r>
        <w:rPr>
          <w:rStyle w:val="normal10"/>
          <w:noProof/>
        </w:rPr>
        <w:t>.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конвенцията.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 218, параграф 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околната среда.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 192, параграф 1.</w:t>
      </w:r>
    </w:p>
    <w:p>
      <w:pPr>
        <w:pStyle w:val="ManualHeading2"/>
        <w:rPr>
          <w:noProof/>
        </w:rPr>
      </w:pPr>
      <w:r>
        <w:lastRenderedPageBreak/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 192, параграф 1 от ДФЕС във връзка с член 218, параграф 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b/>
          <w:noProof/>
          <w:u w:val="single"/>
        </w:rPr>
      </w:pPr>
      <w:r>
        <w:rPr>
          <w:noProof/>
        </w:rPr>
        <w:t xml:space="preserve">Тъй като актът на Постоянния комитет ще измени приложения № II и № III към конвенцията, е целесъобразно след приемането му той да бъде публикуван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2019/0241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на тридесет и деветото заседание на Постоянния комитет на Конвенцията за опазване на дивата европейска флора и фауна и природните местообитания във връзка с изменения на приложения № II и № III към посочената конвенция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192, параграф 1</w:t>
      </w:r>
      <w:r>
        <w:t xml:space="preserve"> </w:t>
      </w:r>
      <w:r>
        <w:rPr>
          <w:noProof/>
        </w:rPr>
        <w:t>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Конвенцията за опазване на дивата европейска флора и фауна и природните местообитания („конвенцията“), беше сключена от Съюза с Решение 82/72/ЕИО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влезе в сила на 1 септември 1982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 17 от конвенцията Постоянният комитет може да приема решения за изменение на приложенията към конвенцията.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На тридесет и деветото си заседание от 3 до 6 декември 2019 г. Постоянният комитет трябва да приеме решение относно предложените изменения на приложения № II и № III към конвенцията.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Тъй като решението ще бъде обвързващо за Съюза, е целесъобразно да се установи позицията, която трябва да се заеме от името на Съюза в рамките на Постоянния комитет.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Норвегия представи предложение за преместване на вида </w:t>
      </w:r>
      <w:r>
        <w:rPr>
          <w:i/>
          <w:noProof/>
        </w:rPr>
        <w:t>Branta leucopsis</w:t>
      </w:r>
      <w:r>
        <w:rPr>
          <w:noProof/>
        </w:rPr>
        <w:t xml:space="preserve"> от приложение № II в приложение № III към конвенцията.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Предвид рязкото увеличаване на популацията на този вид в района му на разпространение Съюзът следва да подкрепи това предложение. Предложението обаче не е в съответствие с настоящия статус на защита на </w:t>
      </w:r>
      <w:r>
        <w:rPr>
          <w:i/>
          <w:noProof/>
        </w:rPr>
        <w:t>Branta leucopsis</w:t>
      </w:r>
      <w:r>
        <w:rPr>
          <w:noProof/>
        </w:rPr>
        <w:t xml:space="preserve"> съгласно Директива 2009/147/ЕО на Европейския парламент и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>. Тъй като нито се предвижда изменение на Директива 2009/147/ЕО, нито такова изменение е възможно в определения в конвенцията срок от три месеца след приемането на решението на Постоянния комитет, за момента Съюзът трябва да прилага по-строги мерки за опазване съгласно член 12 от конвенцията.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Позицията, която трябва да се заеме от името на Съюза на тридесет и деветото заседание на Постоянния комитет на Конвенцията за опазване на дивата европейска флора и фауна и природните местообитания, е да се подкрепи предложението за преместване на вида </w:t>
      </w:r>
      <w:r>
        <w:rPr>
          <w:i/>
          <w:noProof/>
        </w:rPr>
        <w:t>Branta leucopsis</w:t>
      </w:r>
      <w:r>
        <w:rPr>
          <w:noProof/>
        </w:rPr>
        <w:t xml:space="preserve"> от приложение № II в приложение № III към конвенцията и да се уведомят договарящите страни по конвенцията, че за момента Съюзът възнамерява да прилага по-строги мерки за опазване на този вид съгласно член 12 от конвенцията.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Председателят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82/72/ЕИО на Съвета от 3 декември 1981 г. относно сключването на Конвенцията за опазване на дивата европейска флора и фауна и естествените местообитания (ОВ L 38, 10.2.1982 г., стр. 1).</w:t>
      </w:r>
    </w:p>
  </w:footnote>
  <w:footnote w:id="2">
    <w:p>
      <w:pPr>
        <w:pStyle w:val="NormalWeb"/>
        <w:ind w:left="567" w:hanging="567"/>
      </w:pPr>
      <w:r>
        <w:rPr>
          <w:rStyle w:val="FootnoteReference"/>
        </w:rPr>
        <w:footnoteRef/>
      </w:r>
      <w:r>
        <w:tab/>
      </w:r>
      <w:r>
        <w:rPr>
          <w:i/>
          <w:iCs/>
        </w:rPr>
        <w:t>International Single Species Management Plan for the Barnacle Goose</w:t>
      </w:r>
      <w:r>
        <w:t xml:space="preserve">, AEWA Technical Series No. 70, дек. 2018 г., </w:t>
      </w:r>
      <w:hyperlink r:id="rId1" w:history="1">
        <w:r>
          <w:rPr>
            <w:rStyle w:val="Hyperlink"/>
          </w:rPr>
          <w:t>www.unep-aewa.org/sites/default/files/publication/ts70_issmp_barnacle%20goose_complete.pdf</w:t>
        </w:r>
      </w:hyperlink>
      <w:r>
        <w:t>, стр. 13.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7 октомври 2014 г., Германия/Съвет, C-399/12, ECLI:EU:C:2014:2258, т. 61—64. 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 L 38, 10.2.1982 г., стр. 1.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Директива 2009/147/ЕО на Европейския парламент и на Съвета от 30 ноември 2009 г. относно опазването на дивите птици (OВ L 20, 26.1.2010 г., стр. 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49A00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A2424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5C4E9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7444A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FCC1A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5F670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F94B6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67A7E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19-10-24 10:31:2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3F666C73-7059-47D0-8B8B-E8D1DFF4DBAF"/>
    <w:docVar w:name="LW_COVERPAGE_TYPE" w:val="1"/>
    <w:docVar w:name="LW_CROSSREFERENCE" w:val="&lt;UNUSED&gt;"/>
    <w:docVar w:name="LW_DocType" w:val="COM"/>
    <w:docVar w:name="LW_EMISSION" w:val="25.10.2019"/>
    <w:docVar w:name="LW_EMISSION_ISODATE" w:val="2019-10-25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41"/>
    <w:docVar w:name="LW_REF.II.NEW.CP_YEAR" w:val="2019"/>
    <w:docVar w:name="LW_REF.INST.NEW" w:val="COM"/>
    <w:docVar w:name="LW_REF.INST.NEW_ADOPTED" w:val="final"/>
    <w:docVar w:name="LW_REF.INST.NEW_TEXT" w:val="(2019) 49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90?\u1088?\u1080?\u1076?\u1077?\u1089?\u1077?\u1090? \u1080? \u1076?\u1077?\u1074?\u1077?\u1090?\u1086?\u1090?\u1086? \u1079?\u1072?\u1089?\u1077?\u1076?\u1072?\u1085?\u1080?\u1077? \u1085?\u1072? \u1055?\u1086?\u1089?\u1090?\u1086?\u1103?\u1085?\u1085?\u1080?\u1103? \u1082?\u1086?\u1084?\u1080?\u1090?\u1077?\u1090? \u1085?\u1072? \u1050?\u1086?\u1085?\u1074?\u1077?\u1085?\u1094?\u1080?\u1103?\u1090?\u1072? \u1079?\u1072? \u1086?\u1087?\u1072?\u1079?\u1074?\u1072?\u1085?\u1077? \u1085?\u1072? \u1076?\u1080?\u1074?\u1072?\u1090?\u1072? \u1077?\u1074?\u1088?\u1086?\u1087?\u1077?\u1081?\u1089?\u1082?\u1072? \u1092?\u1083?\u1086?\u1088?\u1072? \u1080? \u1092?\u1072?\u1091?\u1085?\u1072? \u1080? \u1087?\u1088?\u1080?\u1088?\u1086?\u1076?\u1085?\u1080?\u1090?\u1077? \u1084?\u1077?\u1089?\u1090?\u1086?\u1086?\u1073?\u1080?\u1090?\u1072?\u1085?\u1080?\u1103? \u1074?\u1098?\u1074? \u1074?\u1088?\u1098?\u1079?\u1082?\u1072? \u1089? \u1080?\u1079?\u1084?\u1077?\u1085?\u1077?\u1085?\u1080?\u1103? \u1085?\u1072? \u1087?\u1088?\u1080?\u1083?\u1086?\u1078?\u1077?\u1085?\u1080?\u1103? \u8470? II \u1080? \u8470? III \u1082?\u1098?\u1084? \u1087?\u1086?\u1089?\u1086?\u1095?\u1077?\u1085?\u1072?\u1090?\u1072? \u1082?\u1086?\u1085?\u1074?\u1077?\u1085?\u1094?\u1080?\u1103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normal10">
    <w:name w:val="normal10"/>
    <w:basedOn w:val="DefaultParagraphFont"/>
    <w:rPr>
      <w:rFonts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normal10">
    <w:name w:val="normal10"/>
    <w:basedOn w:val="DefaultParagraphFont"/>
    <w:rPr>
      <w:rFonts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p-aewa.org/sites/default/files/publication/ts70_issmp_barnacle%20goose_complet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DA81342-820A-4FA7-8551-6EDB913D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</TotalTime>
  <Pages>7</Pages>
  <Words>1691</Words>
  <Characters>9321</Characters>
  <Application>Microsoft Office Word</Application>
  <DocSecurity>0</DocSecurity>
  <Lines>179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19</cp:revision>
  <cp:lastPrinted>2019-10-08T09:20:00Z</cp:lastPrinted>
  <dcterms:created xsi:type="dcterms:W3CDTF">2019-10-23T12:44:00Z</dcterms:created>
  <dcterms:modified xsi:type="dcterms:W3CDTF">2019-10-24T08:31:00Z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