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A4" w:rsidRDefault="00FB413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6E09C81-B0F6-48D5-A97F-CD5A40084B83" style="width:450.7pt;height:307.65pt">
            <v:imagedata r:id="rId8" o:title=""/>
          </v:shape>
        </w:pict>
      </w:r>
    </w:p>
    <w:bookmarkEnd w:id="0"/>
    <w:p w:rsidR="00B13CA4" w:rsidRDefault="00B13CA4">
      <w:pPr>
        <w:rPr>
          <w:noProof/>
        </w:rPr>
        <w:sectPr w:rsidR="00B13CA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299"/>
        </w:sectPr>
      </w:pPr>
    </w:p>
    <w:p w:rsidR="00B13CA4" w:rsidRDefault="00FB4139">
      <w:pPr>
        <w:spacing w:before="360" w:after="120" w:line="240" w:lineRule="auto"/>
        <w:jc w:val="both"/>
        <w:rPr>
          <w:rFonts w:ascii="Times New Roman" w:hAnsi="Times New Roman"/>
          <w:b/>
          <w:noProof/>
          <w:sz w:val="24"/>
          <w:szCs w:val="24"/>
        </w:rPr>
      </w:pPr>
      <w:r>
        <w:rPr>
          <w:rFonts w:ascii="Times New Roman" w:hAnsi="Times New Roman"/>
          <w:b/>
          <w:noProof/>
          <w:sz w:val="24"/>
          <w:szCs w:val="24"/>
        </w:rPr>
        <w:lastRenderedPageBreak/>
        <w:t>1.</w:t>
      </w:r>
      <w:r>
        <w:rPr>
          <w:rFonts w:ascii="Times New Roman" w:hAnsi="Times New Roman"/>
          <w:b/>
          <w:noProof/>
          <w:sz w:val="24"/>
          <w:szCs w:val="24"/>
        </w:rPr>
        <w:tab/>
        <w:t>ВЪВЕДЕНИЕ</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Механизмът за сътрудничество и проверка (МСП) беше създаден при присъединяването на Румъния към Европейския съюз през 2007 г. като </w:t>
      </w:r>
      <w:r>
        <w:rPr>
          <w:rFonts w:ascii="Times New Roman" w:hAnsi="Times New Roman"/>
          <w:noProof/>
          <w:sz w:val="24"/>
          <w:szCs w:val="24"/>
        </w:rPr>
        <w:t>преходна мярка за улесняване на продължаващите усилия на Румъния да реформира съдебната си система и да засили борбата с корупцията</w:t>
      </w:r>
      <w:r>
        <w:rPr>
          <w:rStyle w:val="FootnoteReference"/>
          <w:rFonts w:ascii="Times New Roman" w:hAnsi="Times New Roman"/>
          <w:noProof/>
          <w:sz w:val="24"/>
          <w:szCs w:val="24"/>
        </w:rPr>
        <w:footnoteReference w:id="2"/>
      </w:r>
      <w:r>
        <w:rPr>
          <w:rFonts w:ascii="Times New Roman" w:hAnsi="Times New Roman"/>
          <w:noProof/>
          <w:sz w:val="24"/>
          <w:szCs w:val="24"/>
        </w:rPr>
        <w:t xml:space="preserve">. Той представлява съвместен ангажимент на румънската държава и на ЕС. В съответствие с решението за създаване на механизма </w:t>
      </w:r>
      <w:r>
        <w:rPr>
          <w:rFonts w:ascii="Times New Roman" w:hAnsi="Times New Roman"/>
          <w:noProof/>
          <w:sz w:val="24"/>
          <w:szCs w:val="24"/>
        </w:rPr>
        <w:t>и както беше подчертано от Съвета, действието на МСП ще бъде прекратено, когато и четирите показателя, приложими за Румъния, бъдат изпълнени по задоволителен начин</w:t>
      </w:r>
      <w:r>
        <w:rPr>
          <w:rStyle w:val="FootnoteReference"/>
          <w:rFonts w:ascii="Times New Roman" w:hAnsi="Times New Roman"/>
          <w:noProof/>
          <w:sz w:val="24"/>
          <w:szCs w:val="24"/>
        </w:rPr>
        <w:footnoteReference w:id="3"/>
      </w:r>
      <w:r>
        <w:rPr>
          <w:rFonts w:ascii="Times New Roman" w:hAnsi="Times New Roman"/>
          <w:noProof/>
          <w:sz w:val="24"/>
          <w:szCs w:val="24"/>
        </w:rPr>
        <w:t>.</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От 2007 г. насам МСП действа за насърчаване и проследяване на процеса на реформи по тези в</w:t>
      </w:r>
      <w:r>
        <w:rPr>
          <w:rFonts w:ascii="Times New Roman" w:hAnsi="Times New Roman"/>
          <w:noProof/>
          <w:sz w:val="24"/>
          <w:szCs w:val="24"/>
        </w:rPr>
        <w:t>ъпроси. През януари 2017 г. Комисията извърши цялостна оценка на напредъка, постигнат през десетте години от съществуването на механизма</w:t>
      </w:r>
      <w:r>
        <w:rPr>
          <w:rStyle w:val="FootnoteReference"/>
          <w:rFonts w:ascii="Times New Roman" w:hAnsi="Times New Roman"/>
          <w:noProof/>
          <w:sz w:val="24"/>
          <w:szCs w:val="24"/>
        </w:rPr>
        <w:footnoteReference w:id="4"/>
      </w:r>
      <w:r>
        <w:rPr>
          <w:rFonts w:ascii="Times New Roman" w:hAnsi="Times New Roman"/>
          <w:noProof/>
          <w:sz w:val="24"/>
          <w:szCs w:val="24"/>
        </w:rPr>
        <w:t>. Този обзор даде по-ясна представа за значителния напредък, постигнат след присъединяването, а Комисията успя да форму</w:t>
      </w:r>
      <w:r>
        <w:rPr>
          <w:rFonts w:ascii="Times New Roman" w:hAnsi="Times New Roman"/>
          <w:noProof/>
          <w:sz w:val="24"/>
          <w:szCs w:val="24"/>
        </w:rPr>
        <w:t>лира дванадесет препоръки, чието осъществяване би било достатъчно, за да се прекрати действието на МСП, и които биха могли да бъдат изпълнени в рамките на мандата на настоящата Комисия. Прекратяването на МСП ще зависи от изпълнението на препоръките по необ</w:t>
      </w:r>
      <w:r>
        <w:rPr>
          <w:rFonts w:ascii="Times New Roman" w:hAnsi="Times New Roman"/>
          <w:noProof/>
          <w:sz w:val="24"/>
          <w:szCs w:val="24"/>
        </w:rPr>
        <w:t>ратим начин, но също така от условието определени промени да не са от такова естество, че да представляват ясен обрат в хода на напредъка.</w:t>
      </w:r>
    </w:p>
    <w:p w:rsidR="00B13CA4" w:rsidRDefault="00FB413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Оттогава Комисията извърши две оценки на напредъка по изпълнението на препоръките. През ноември 2017 г.</w:t>
      </w:r>
      <w:r>
        <w:rPr>
          <w:rStyle w:val="FootnoteReference"/>
          <w:rFonts w:ascii="Times New Roman" w:hAnsi="Times New Roman"/>
          <w:noProof/>
          <w:sz w:val="24"/>
          <w:szCs w:val="24"/>
        </w:rPr>
        <w:footnoteReference w:id="5"/>
      </w:r>
      <w:r>
        <w:rPr>
          <w:rFonts w:ascii="Times New Roman" w:hAnsi="Times New Roman"/>
          <w:noProof/>
          <w:sz w:val="24"/>
          <w:szCs w:val="24"/>
        </w:rPr>
        <w:t xml:space="preserve"> Комисията от</w:t>
      </w:r>
      <w:r>
        <w:rPr>
          <w:rFonts w:ascii="Times New Roman" w:hAnsi="Times New Roman"/>
          <w:noProof/>
          <w:sz w:val="24"/>
          <w:szCs w:val="24"/>
        </w:rPr>
        <w:t>беляза, че е постигнат напредък по редица препоръки, но също и че темпото на реформите е отслабнало през 2017 г. Тя отправи предупреждение за риска от връщането на дневен ред на въпроси, за които в доклада от януари 2017 г. бе счетено, че са приключени. Те</w:t>
      </w:r>
      <w:r>
        <w:rPr>
          <w:rFonts w:ascii="Times New Roman" w:hAnsi="Times New Roman"/>
          <w:noProof/>
          <w:sz w:val="24"/>
          <w:szCs w:val="24"/>
        </w:rPr>
        <w:t>зи опасения бяха потвърдени и от Съвета</w:t>
      </w:r>
      <w:r>
        <w:rPr>
          <w:rStyle w:val="FootnoteReference"/>
          <w:rFonts w:ascii="Times New Roman" w:hAnsi="Times New Roman"/>
          <w:noProof/>
          <w:sz w:val="24"/>
          <w:szCs w:val="24"/>
        </w:rPr>
        <w:footnoteReference w:id="6"/>
      </w:r>
      <w:r>
        <w:rPr>
          <w:rFonts w:ascii="Times New Roman" w:hAnsi="Times New Roman"/>
          <w:noProof/>
          <w:sz w:val="24"/>
          <w:szCs w:val="24"/>
        </w:rPr>
        <w:t>.</w:t>
      </w:r>
    </w:p>
    <w:p w:rsidR="00B13CA4" w:rsidRDefault="00FB413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В доклада от ноември 2018 г.</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Комисията заключи, че някои промени са довели до обрат в напредъка или са поставили под въпрос неговата необратимост. В резултат на това дванадесетте препоръки в доклада от януари 2017</w:t>
      </w:r>
      <w:r>
        <w:rPr>
          <w:rFonts w:ascii="Times New Roman" w:hAnsi="Times New Roman"/>
          <w:noProof/>
          <w:sz w:val="24"/>
          <w:szCs w:val="24"/>
        </w:rPr>
        <w:t> г. вече не бяха достатъчни за приключването на МСП и трябваше да бъдат направени осем допълнителни препоръки. В доклада ключовите институции в Румъния бяха призовани да демонстрират силен ангажимент към независимостта на съдебната власт и борбата с корупц</w:t>
      </w:r>
      <w:r>
        <w:rPr>
          <w:rFonts w:ascii="Times New Roman" w:hAnsi="Times New Roman"/>
          <w:noProof/>
          <w:sz w:val="24"/>
          <w:szCs w:val="24"/>
        </w:rPr>
        <w:t>ията като задължителни основни елементи, както и да възстановят капацитета за действие на националните гаранции и механизми за взаимозависимост и взаимоограничаване, когато е налице риск от отстъпване назад. Както Европейският парламент, така и Съветът под</w:t>
      </w:r>
      <w:r>
        <w:rPr>
          <w:rFonts w:ascii="Times New Roman" w:hAnsi="Times New Roman"/>
          <w:noProof/>
          <w:sz w:val="24"/>
          <w:szCs w:val="24"/>
        </w:rPr>
        <w:t xml:space="preserve">крепиха това становище. Европейският парламент публикува резолюция, в която се призовава за сътрудничество и се споменава рискът за върховенството на </w:t>
      </w:r>
      <w:r>
        <w:rPr>
          <w:rFonts w:ascii="Times New Roman" w:hAnsi="Times New Roman"/>
          <w:noProof/>
          <w:sz w:val="24"/>
          <w:szCs w:val="24"/>
        </w:rPr>
        <w:lastRenderedPageBreak/>
        <w:t>закона</w:t>
      </w:r>
      <w:r>
        <w:rPr>
          <w:rStyle w:val="FootnoteReference"/>
          <w:rFonts w:ascii="Times New Roman" w:hAnsi="Times New Roman"/>
          <w:noProof/>
          <w:sz w:val="24"/>
          <w:szCs w:val="24"/>
        </w:rPr>
        <w:footnoteReference w:id="8"/>
      </w:r>
      <w:r>
        <w:rPr>
          <w:rFonts w:ascii="Times New Roman" w:hAnsi="Times New Roman"/>
          <w:noProof/>
          <w:sz w:val="24"/>
          <w:szCs w:val="24"/>
        </w:rPr>
        <w:t>. В заключенията си от декември 2018 г. Съветът изрично призова Румъния да изпълни допълнителните п</w:t>
      </w:r>
      <w:r>
        <w:rPr>
          <w:rFonts w:ascii="Times New Roman" w:hAnsi="Times New Roman"/>
          <w:noProof/>
          <w:sz w:val="24"/>
          <w:szCs w:val="24"/>
        </w:rPr>
        <w:t>репоръки</w:t>
      </w:r>
      <w:r>
        <w:rPr>
          <w:rStyle w:val="FootnoteReference"/>
          <w:rFonts w:ascii="Times New Roman" w:hAnsi="Times New Roman"/>
          <w:noProof/>
          <w:sz w:val="24"/>
          <w:szCs w:val="24"/>
        </w:rPr>
        <w:footnoteReference w:id="9"/>
      </w:r>
      <w:r>
        <w:rPr>
          <w:rFonts w:ascii="Times New Roman" w:hAnsi="Times New Roman"/>
          <w:noProof/>
          <w:sz w:val="24"/>
          <w:szCs w:val="24"/>
        </w:rPr>
        <w:t>.</w:t>
      </w:r>
    </w:p>
    <w:p w:rsidR="00B13CA4" w:rsidRDefault="00FB4139">
      <w:pPr>
        <w:tabs>
          <w:tab w:val="left" w:pos="2940"/>
        </w:tabs>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В настоящия доклад се прави равносметка за положението от ноември 2018 г. досега. През този период Комисията трябваше нееднократно да изтъква опасенията си, свързани с върховенството на закона, и по-специално да изразява опасения относно </w:t>
      </w:r>
      <w:r>
        <w:rPr>
          <w:rFonts w:ascii="Times New Roman" w:hAnsi="Times New Roman"/>
          <w:noProof/>
          <w:sz w:val="24"/>
          <w:szCs w:val="24"/>
        </w:rPr>
        <w:t>отстъплението от постигнатия през предходните години напредък. През по-голямата част от този период румънските органи изразиха малка или никаква готовност да предприемат стъпки по допълнителните препоръки от ноември 2018 г. или пък по препоръките на Венеци</w:t>
      </w:r>
      <w:r>
        <w:rPr>
          <w:rFonts w:ascii="Times New Roman" w:hAnsi="Times New Roman"/>
          <w:noProof/>
          <w:sz w:val="24"/>
          <w:szCs w:val="24"/>
        </w:rPr>
        <w:t>анската комисия и Групата държави срещу корупцията към Съвета на Европа</w:t>
      </w:r>
      <w:r>
        <w:rPr>
          <w:rStyle w:val="FootnoteReference"/>
          <w:rFonts w:ascii="Times New Roman" w:hAnsi="Times New Roman"/>
          <w:noProof/>
          <w:sz w:val="24"/>
          <w:szCs w:val="24"/>
        </w:rPr>
        <w:footnoteReference w:id="10"/>
      </w:r>
      <w:r>
        <w:rPr>
          <w:rFonts w:ascii="Times New Roman" w:hAnsi="Times New Roman"/>
          <w:noProof/>
          <w:sz w:val="24"/>
          <w:szCs w:val="24"/>
        </w:rPr>
        <w:t>. Усилията на лицата, стремящи се към обръщане на отрицателната тенденция, които включваха не само политически гласове, но и представители на гражданското общество и магистрати, не усп</w:t>
      </w:r>
      <w:r>
        <w:rPr>
          <w:rFonts w:ascii="Times New Roman" w:hAnsi="Times New Roman"/>
          <w:noProof/>
          <w:sz w:val="24"/>
          <w:szCs w:val="24"/>
        </w:rPr>
        <w:t>яха да надделеят. Това доведе до сериозни съмнения дали механизмите за взаимозависимост и взаимоограничаване, признати в доклада от януари 2017 г., действително функционират. През май 2019 г. Комисията изпрати писмо до румънските органи, в което се посочва</w:t>
      </w:r>
      <w:r>
        <w:rPr>
          <w:rFonts w:ascii="Times New Roman" w:hAnsi="Times New Roman"/>
          <w:noProof/>
          <w:sz w:val="24"/>
          <w:szCs w:val="24"/>
        </w:rPr>
        <w:t xml:space="preserve"> как последните промени допълнително са изострили съществуващите проблеми по отношение на спазването на върховенството на закона по принцип. Тя изтъкна, че ако ситуацията не се подобри, Комисията ще трябва да предприеме мерки в рамките на Уредбата за принц</w:t>
      </w:r>
      <w:r>
        <w:rPr>
          <w:rFonts w:ascii="Times New Roman" w:hAnsi="Times New Roman"/>
          <w:noProof/>
          <w:sz w:val="24"/>
          <w:szCs w:val="24"/>
        </w:rPr>
        <w:t>ипите на правовата държава</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През юни 2019 г. по време на среща с председателя Юнкер и първия заместник-председател Тимерманс румънският министър-председател се ангажира да не прокарва спорните съдебни реформи и незабавно да възобнови диалога в рамките на </w:t>
      </w:r>
      <w:r>
        <w:rPr>
          <w:rFonts w:ascii="Times New Roman" w:hAnsi="Times New Roman"/>
          <w:noProof/>
          <w:sz w:val="24"/>
          <w:szCs w:val="24"/>
        </w:rPr>
        <w:t>МСП, за да се постигне напредък по съдебните реформи и борбата с корупцията. Тази промяна в подхода беше в унисон и с резултатите от референдума през май 2019 г., свикан от президента на Румъния, в който огромното мнозинство от румънските граждани подкрепи</w:t>
      </w:r>
      <w:r>
        <w:rPr>
          <w:rFonts w:ascii="Times New Roman" w:hAnsi="Times New Roman"/>
          <w:noProof/>
          <w:sz w:val="24"/>
          <w:szCs w:val="24"/>
        </w:rPr>
        <w:t xml:space="preserve"> предложенията за засилване на гаранциите срещу корупцията и произволното използване на извънредни постановления</w:t>
      </w:r>
      <w:r>
        <w:rPr>
          <w:rFonts w:ascii="Times New Roman" w:hAnsi="Times New Roman"/>
          <w:noProof/>
          <w:sz w:val="24"/>
          <w:szCs w:val="24"/>
          <w:vertAlign w:val="superscript"/>
        </w:rPr>
        <w:footnoteReference w:id="12"/>
      </w:r>
      <w:r>
        <w:rPr>
          <w:rFonts w:ascii="Times New Roman" w:hAnsi="Times New Roman"/>
          <w:noProof/>
          <w:sz w:val="24"/>
          <w:szCs w:val="24"/>
        </w:rPr>
        <w:t>.</w:t>
      </w:r>
    </w:p>
    <w:p w:rsidR="00B13CA4" w:rsidRDefault="00FB4139">
      <w:pPr>
        <w:tabs>
          <w:tab w:val="left" w:pos="2940"/>
        </w:tabs>
        <w:autoSpaceDE w:val="0"/>
        <w:autoSpaceDN w:val="0"/>
        <w:adjustRightInd w:val="0"/>
        <w:spacing w:after="360" w:line="240" w:lineRule="auto"/>
        <w:jc w:val="both"/>
        <w:rPr>
          <w:rFonts w:ascii="Times New Roman" w:hAnsi="Times New Roman"/>
          <w:noProof/>
          <w:sz w:val="24"/>
          <w:szCs w:val="24"/>
        </w:rPr>
      </w:pPr>
      <w:r>
        <w:rPr>
          <w:rFonts w:ascii="Times New Roman" w:hAnsi="Times New Roman"/>
          <w:noProof/>
          <w:sz w:val="24"/>
          <w:szCs w:val="24"/>
        </w:rPr>
        <w:lastRenderedPageBreak/>
        <w:t>Както и в предишните години, настоящият доклад е резултат от внимателен процес на анализ от страна на Комисията, който се основава на тясното</w:t>
      </w:r>
      <w:r>
        <w:rPr>
          <w:rFonts w:ascii="Times New Roman" w:hAnsi="Times New Roman"/>
          <w:noProof/>
          <w:sz w:val="24"/>
          <w:szCs w:val="24"/>
        </w:rPr>
        <w:t xml:space="preserve"> сътрудничество с румънските институции, както и на информацията, предоставена от други държави членки и от гражданското общество и други заинтересовани страни.</w:t>
      </w:r>
    </w:p>
    <w:p w:rsidR="00B13CA4" w:rsidRDefault="00FB4139">
      <w:pPr>
        <w:keepNext/>
        <w:spacing w:after="120" w:line="240" w:lineRule="auto"/>
        <w:ind w:left="567" w:hanging="567"/>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ОБЩО ПОЛОЖЕНИЕ</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В доклада от януари 2017 г. се отбелязва, че съществуват по-широкообхватни с</w:t>
      </w:r>
      <w:r>
        <w:rPr>
          <w:rFonts w:ascii="Times New Roman" w:hAnsi="Times New Roman"/>
          <w:noProof/>
          <w:sz w:val="24"/>
          <w:szCs w:val="24"/>
        </w:rPr>
        <w:t>оциални, правни и политически фактори, които, въпреки че не попадат в приложното поле на МСП и не са обхванати от препоръките в него, „оказват пряко въздействие върху способността за осъществяване на реформи, и по-специално създават допълнителни затруднени</w:t>
      </w:r>
      <w:r>
        <w:rPr>
          <w:rFonts w:ascii="Times New Roman" w:hAnsi="Times New Roman"/>
          <w:noProof/>
          <w:sz w:val="24"/>
          <w:szCs w:val="24"/>
        </w:rPr>
        <w:t>я на Румъния да покаже, че реформата е необратима и с дълготраен ефект“. Отбелязаните фактори включваха законодателна практика, в която все още не са развити принципи за по-добро регулиране, атмосфера на конфронтация между държавните органи, както и медийн</w:t>
      </w:r>
      <w:r>
        <w:rPr>
          <w:rFonts w:ascii="Times New Roman" w:hAnsi="Times New Roman"/>
          <w:noProof/>
          <w:sz w:val="24"/>
          <w:szCs w:val="24"/>
        </w:rPr>
        <w:t>ата среда. Следващите доклади потвърдиха, че тези фактори очевидно оказват отрицателно въздействие върху напредъка на съдебната реформа и борбата с корупцията.</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Събитията след последния доклад показаха отново, че основни законодателни промени, в това число </w:t>
      </w:r>
      <w:r>
        <w:rPr>
          <w:rFonts w:ascii="Times New Roman" w:hAnsi="Times New Roman"/>
          <w:noProof/>
          <w:sz w:val="24"/>
          <w:szCs w:val="24"/>
        </w:rPr>
        <w:t xml:space="preserve">и такива извън сферата на правосъдието, са прокарани набързо чрез използването на спешни процедури и минималното прибягване до консултации, с което са нанесени вреди както на качеството на законодателството, така и на общественото доверие в изготвянето на </w:t>
      </w:r>
      <w:r>
        <w:rPr>
          <w:rFonts w:ascii="Times New Roman" w:hAnsi="Times New Roman"/>
          <w:noProof/>
          <w:sz w:val="24"/>
          <w:szCs w:val="24"/>
        </w:rPr>
        <w:t>политиките. Съдии и прокурори продължиха да бъдат обект на заблуждаваща информация и незаслужени лични нападки в медиите, а механизмите за правна защита не дадоха задоволителни резултати, с което в крайна сметка бяха засегнати репутацията и доверието в пра</w:t>
      </w:r>
      <w:r>
        <w:rPr>
          <w:rFonts w:ascii="Times New Roman" w:hAnsi="Times New Roman"/>
          <w:noProof/>
          <w:sz w:val="24"/>
          <w:szCs w:val="24"/>
        </w:rPr>
        <w:t>восъдната система като цяло. Различните клонове на държавната власт отново бяха в конфликт, като тези разногласия във все по-голяма степен се разиграват в Конституционния съд, което допълнително увеличава напрежението и показва, че липсва лоялно сътрудниче</w:t>
      </w:r>
      <w:r>
        <w:rPr>
          <w:rFonts w:ascii="Times New Roman" w:hAnsi="Times New Roman"/>
          <w:noProof/>
          <w:sz w:val="24"/>
          <w:szCs w:val="24"/>
        </w:rPr>
        <w:t>ство.</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Дебатите относно споразуменията за сътрудничество между съдебните институции и румънските разузнавателни служби („секретни протоколи“)</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продължават да водят до разделение. Решение на Конституционния съд подготви почвата за това съдилищата да разглежд</w:t>
      </w:r>
      <w:r>
        <w:rPr>
          <w:rFonts w:ascii="Times New Roman" w:hAnsi="Times New Roman"/>
          <w:noProof/>
          <w:sz w:val="24"/>
          <w:szCs w:val="24"/>
        </w:rPr>
        <w:t>ат текущи и бъдещи дела, но все още има несигурност относно действителното въздействие на споразуменията. Комисията може само да повтори, че целта следва да бъде нормативна уредба, съгласно която разузнавателните служби подлежат на истински демократичен на</w:t>
      </w:r>
      <w:r>
        <w:rPr>
          <w:rFonts w:ascii="Times New Roman" w:hAnsi="Times New Roman"/>
          <w:noProof/>
          <w:sz w:val="24"/>
          <w:szCs w:val="24"/>
        </w:rPr>
        <w:t xml:space="preserve">дзор, престъпленията могат да бъдат ефективно разследвани и санкционирани при пълно зачитане на основните права и обществеността може да бъде уверена, че независимостта на съдебната система е защитена. Комисията напомня по-раншния си съвет, че експертният </w:t>
      </w:r>
      <w:r>
        <w:rPr>
          <w:rFonts w:ascii="Times New Roman" w:hAnsi="Times New Roman"/>
          <w:noProof/>
          <w:sz w:val="24"/>
          <w:szCs w:val="24"/>
        </w:rPr>
        <w:t>опит на други държави членки би могъл да бъде ценен за изграждането на по-силна система от мерки за техническо наблюдение, използвани от прокуратурата, както и за сътрудничеството между разузнавателните служби и прокуратурата, което е от съществено значени</w:t>
      </w:r>
      <w:r>
        <w:rPr>
          <w:rFonts w:ascii="Times New Roman" w:hAnsi="Times New Roman"/>
          <w:noProof/>
          <w:sz w:val="24"/>
          <w:szCs w:val="24"/>
        </w:rPr>
        <w:t xml:space="preserve">е при </w:t>
      </w:r>
      <w:r>
        <w:rPr>
          <w:rFonts w:ascii="Times New Roman" w:hAnsi="Times New Roman"/>
          <w:noProof/>
          <w:sz w:val="24"/>
          <w:szCs w:val="24"/>
        </w:rPr>
        <w:lastRenderedPageBreak/>
        <w:t>преследването на тежки престъпления, като например тероризма и киберпрестъпността</w:t>
      </w:r>
      <w:r>
        <w:rPr>
          <w:rStyle w:val="FootnoteReference"/>
          <w:rFonts w:ascii="Times New Roman" w:hAnsi="Times New Roman"/>
          <w:noProof/>
          <w:sz w:val="24"/>
          <w:szCs w:val="24"/>
        </w:rPr>
        <w:footnoteReference w:id="14"/>
      </w:r>
      <w:r>
        <w:rPr>
          <w:rFonts w:ascii="Times New Roman" w:hAnsi="Times New Roman"/>
          <w:noProof/>
          <w:sz w:val="24"/>
          <w:szCs w:val="24"/>
        </w:rPr>
        <w:t>.</w:t>
      </w:r>
    </w:p>
    <w:p w:rsidR="00B13CA4" w:rsidRDefault="00FB4139">
      <w:pPr>
        <w:spacing w:after="360" w:line="240" w:lineRule="auto"/>
        <w:jc w:val="both"/>
        <w:rPr>
          <w:rFonts w:ascii="Times New Roman" w:hAnsi="Times New Roman"/>
          <w:noProof/>
          <w:sz w:val="24"/>
          <w:szCs w:val="24"/>
        </w:rPr>
      </w:pPr>
      <w:r>
        <w:rPr>
          <w:rFonts w:ascii="Times New Roman" w:hAnsi="Times New Roman"/>
          <w:noProof/>
          <w:sz w:val="24"/>
          <w:szCs w:val="24"/>
        </w:rPr>
        <w:t>Подходът на ЕС към върховенството на закона, отвъд приложното поле на МСП, оказва влияние и върху цялостната обстановка на равнището на ЕС. Съгласно член 19, параграф</w:t>
      </w:r>
      <w:r>
        <w:rPr>
          <w:rFonts w:ascii="Times New Roman" w:hAnsi="Times New Roman"/>
          <w:noProof/>
          <w:sz w:val="24"/>
          <w:szCs w:val="24"/>
        </w:rPr>
        <w:t> 1 от ДЕС ефективната съдебна защита от независими съдилища е необходима като конкретен израз на върховенството на закона, както беше потвърдено в неотдавнашната практика на Съда на Европейския съюз. Това ще бъде доразвито въз основа на съобщението на Коми</w:t>
      </w:r>
      <w:r>
        <w:rPr>
          <w:rFonts w:ascii="Times New Roman" w:hAnsi="Times New Roman"/>
          <w:noProof/>
          <w:sz w:val="24"/>
          <w:szCs w:val="24"/>
        </w:rPr>
        <w:t>сията от юли 2019 г.</w:t>
      </w:r>
      <w:r>
        <w:rPr>
          <w:rFonts w:ascii="Times New Roman" w:hAnsi="Times New Roman"/>
          <w:noProof/>
          <w:sz w:val="24"/>
          <w:szCs w:val="24"/>
          <w:vertAlign w:val="superscript"/>
        </w:rPr>
        <w:footnoteReference w:id="15"/>
      </w:r>
      <w:r>
        <w:rPr>
          <w:rFonts w:ascii="Times New Roman" w:hAnsi="Times New Roman"/>
          <w:noProof/>
          <w:sz w:val="24"/>
          <w:szCs w:val="24"/>
        </w:rPr>
        <w:t>, в което се посочват конкретни действия за увеличаване на капацитета на Съюза за насърчаване и отстояване на върховенството на закона чрез насърчаването на обща култура по отношение на върховенството на закона, чрез създаването на цик</w:t>
      </w:r>
      <w:r>
        <w:rPr>
          <w:rFonts w:ascii="Times New Roman" w:hAnsi="Times New Roman"/>
          <w:noProof/>
          <w:sz w:val="24"/>
          <w:szCs w:val="24"/>
        </w:rPr>
        <w:t>ъл за преглед на прилагането на върховенството на закона с цел да се наблюдават промените в държавите членки, както и чрез осигуряването на ефективна реакция. В политическите насоки за следващата Комисия беше изложено намерението да се въведе всеобхватен м</w:t>
      </w:r>
      <w:r>
        <w:rPr>
          <w:rFonts w:ascii="Times New Roman" w:hAnsi="Times New Roman"/>
          <w:noProof/>
          <w:sz w:val="24"/>
          <w:szCs w:val="24"/>
        </w:rPr>
        <w:t>еханизъм за върховенството на закона с общоевропейски обхват и обективно докладване за всички държави членки</w:t>
      </w:r>
      <w:r>
        <w:rPr>
          <w:rStyle w:val="FootnoteReference"/>
          <w:rFonts w:ascii="Times New Roman" w:hAnsi="Times New Roman"/>
          <w:noProof/>
          <w:sz w:val="24"/>
          <w:szCs w:val="24"/>
        </w:rPr>
        <w:footnoteReference w:id="16"/>
      </w:r>
      <w:r>
        <w:rPr>
          <w:rFonts w:ascii="Times New Roman" w:hAnsi="Times New Roman"/>
          <w:noProof/>
          <w:sz w:val="24"/>
          <w:szCs w:val="24"/>
        </w:rPr>
        <w:t>. Задълбочаването на тези хоризонтални процеси, чрез които се наблюдава върховенството на закона във всички държави членки, и перспективата за по-н</w:t>
      </w:r>
      <w:r>
        <w:rPr>
          <w:rFonts w:ascii="Times New Roman" w:hAnsi="Times New Roman"/>
          <w:noProof/>
          <w:sz w:val="24"/>
          <w:szCs w:val="24"/>
        </w:rPr>
        <w:t>ататъшното им развитие подчертават специфичния характер на МСП като процес на наблюдение, ограничен както по отношение на засегнатите държави членки, така и по отношение на обхванатите въпроси. Тези хоризонтални процеси, чрез които се наблюдава върховенств</w:t>
      </w:r>
      <w:r>
        <w:rPr>
          <w:rFonts w:ascii="Times New Roman" w:hAnsi="Times New Roman"/>
          <w:noProof/>
          <w:sz w:val="24"/>
          <w:szCs w:val="24"/>
        </w:rPr>
        <w:t>ото на закона във всички държави членки, ще послужат като основа за по-нататъшна подкрепа от страна на ЕС за реформите в Румъния, след като Комисията прецени, че е постигнат достатъчен напредък в изпълнението на ангажиментите, поети към момента на присъеди</w:t>
      </w:r>
      <w:r>
        <w:rPr>
          <w:rFonts w:ascii="Times New Roman" w:hAnsi="Times New Roman"/>
          <w:noProof/>
          <w:sz w:val="24"/>
          <w:szCs w:val="24"/>
        </w:rPr>
        <w:t>няването ѝ към ЕС. Междувременно въпросите, които са свързани с върховенството на закона, но са извън приложното поле на МСП, ще бъдат разгледани в рамките на новия механизъм.</w:t>
      </w:r>
    </w:p>
    <w:p w:rsidR="00B13CA4" w:rsidRDefault="00FB4139">
      <w:pPr>
        <w:keepNext/>
        <w:spacing w:after="120" w:line="240" w:lineRule="auto"/>
        <w:ind w:left="567" w:hanging="567"/>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ОЦЕНКА НА НАПРЕДЪКА ПО ИЗПЪЛНЕНИЕТО НА ПРЕПОРЪКИТЕ</w:t>
      </w:r>
    </w:p>
    <w:p w:rsidR="00B13CA4" w:rsidRDefault="00FB4139">
      <w:pPr>
        <w:keepNext/>
        <w:spacing w:after="120" w:line="240" w:lineRule="auto"/>
        <w:jc w:val="both"/>
        <w:rPr>
          <w:rFonts w:ascii="Times New Roman" w:hAnsi="Times New Roman"/>
          <w:noProof/>
          <w:sz w:val="24"/>
          <w:szCs w:val="24"/>
        </w:rPr>
      </w:pPr>
      <w:r>
        <w:rPr>
          <w:rFonts w:ascii="Times New Roman" w:hAnsi="Times New Roman"/>
          <w:noProof/>
          <w:sz w:val="24"/>
          <w:szCs w:val="24"/>
        </w:rPr>
        <w:t>В настоящия раздел се оцен</w:t>
      </w:r>
      <w:r>
        <w:rPr>
          <w:rFonts w:ascii="Times New Roman" w:hAnsi="Times New Roman"/>
          <w:noProof/>
          <w:sz w:val="24"/>
          <w:szCs w:val="24"/>
        </w:rPr>
        <w:t>ява напредъкът по дванадесетте препоръки от януари 2017 г. и по осемте допълнителни препоръки от ноември 2018 г. Изпълнението на тези допълнителни препоръки остава от основно значение за връщането на нормалния ход на процеса на реформи, коригирането на нег</w:t>
      </w:r>
      <w:r>
        <w:rPr>
          <w:rFonts w:ascii="Times New Roman" w:hAnsi="Times New Roman"/>
          <w:noProof/>
          <w:sz w:val="24"/>
          <w:szCs w:val="24"/>
        </w:rPr>
        <w:t>ативните последици от отстъплението от постигнатото, установени през ноември 2017 г. и ноември 2018 г., и възобновяването на напредъка към приключване на МСП.</w:t>
      </w:r>
    </w:p>
    <w:p w:rsidR="00B13CA4" w:rsidRDefault="00FB4139">
      <w:pPr>
        <w:keepNext/>
        <w:spacing w:after="120" w:line="240" w:lineRule="auto"/>
        <w:jc w:val="both"/>
        <w:rPr>
          <w:rFonts w:ascii="Times New Roman" w:hAnsi="Times New Roman"/>
          <w:b/>
          <w:noProof/>
          <w:sz w:val="24"/>
          <w:szCs w:val="24"/>
        </w:rPr>
      </w:pPr>
      <w:r>
        <w:rPr>
          <w:rFonts w:ascii="Times New Roman" w:hAnsi="Times New Roman"/>
          <w:b/>
          <w:noProof/>
          <w:sz w:val="24"/>
          <w:szCs w:val="24"/>
        </w:rPr>
        <w:t>3.1.</w:t>
      </w:r>
      <w:r>
        <w:rPr>
          <w:rFonts w:ascii="Times New Roman" w:hAnsi="Times New Roman"/>
          <w:b/>
          <w:noProof/>
          <w:sz w:val="24"/>
          <w:szCs w:val="24"/>
        </w:rPr>
        <w:tab/>
        <w:t>Първи показател: Независимост на съдебната власт и съдебна реформа</w:t>
      </w:r>
    </w:p>
    <w:p w:rsidR="00B13CA4" w:rsidRDefault="00FB4139">
      <w:pPr>
        <w:spacing w:after="120" w:line="240" w:lineRule="auto"/>
        <w:jc w:val="both"/>
        <w:rPr>
          <w:rFonts w:ascii="Times New Roman" w:hAnsi="Times New Roman"/>
          <w:i/>
          <w:noProof/>
          <w:sz w:val="24"/>
          <w:szCs w:val="24"/>
        </w:rPr>
      </w:pPr>
      <w:r>
        <w:rPr>
          <w:rFonts w:ascii="Times New Roman" w:hAnsi="Times New Roman"/>
          <w:b/>
          <w:i/>
          <w:noProof/>
          <w:sz w:val="24"/>
          <w:szCs w:val="24"/>
        </w:rPr>
        <w:t>3.1.1.</w:t>
      </w:r>
      <w:r>
        <w:rPr>
          <w:rFonts w:ascii="Times New Roman" w:hAnsi="Times New Roman"/>
          <w:b/>
          <w:i/>
          <w:noProof/>
          <w:sz w:val="24"/>
          <w:szCs w:val="24"/>
        </w:rPr>
        <w:tab/>
        <w:t>Препоръките от ное</w:t>
      </w:r>
      <w:r>
        <w:rPr>
          <w:rFonts w:ascii="Times New Roman" w:hAnsi="Times New Roman"/>
          <w:b/>
          <w:i/>
          <w:noProof/>
          <w:sz w:val="24"/>
          <w:szCs w:val="24"/>
        </w:rPr>
        <w:t>мври 2018 г.: възстановяване на нормалния ход на процеса на реформи</w:t>
      </w:r>
    </w:p>
    <w:p w:rsidR="00B13CA4" w:rsidRDefault="00FB4139">
      <w:pPr>
        <w:spacing w:after="120" w:line="240" w:lineRule="auto"/>
        <w:jc w:val="both"/>
        <w:rPr>
          <w:rFonts w:ascii="Times New Roman" w:hAnsi="Times New Roman"/>
          <w:i/>
          <w:noProof/>
          <w:sz w:val="24"/>
          <w:szCs w:val="24"/>
        </w:rPr>
      </w:pPr>
      <w:r>
        <w:rPr>
          <w:rFonts w:ascii="Times New Roman" w:hAnsi="Times New Roman"/>
          <w:i/>
          <w:noProof/>
          <w:sz w:val="24"/>
          <w:szCs w:val="24"/>
        </w:rPr>
        <w:t>Закони в областта на правосъдието и правни гаранции за независимост на съдебната власт</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lastRenderedPageBreak/>
        <w:t>В доклада от ноември 2018 г. бе отбелязано, че изменените закони в областта на правосъдието, които вл</w:t>
      </w:r>
      <w:r>
        <w:rPr>
          <w:rFonts w:ascii="Times New Roman" w:hAnsi="Times New Roman"/>
          <w:noProof/>
          <w:sz w:val="24"/>
          <w:szCs w:val="24"/>
        </w:rPr>
        <w:t>язоха в сила през юли и октомври 2018 г., биха могли да доведат до натиск върху съдии и прокурори и в крайна сметка да подкопаят независимостта, ефикасността и качеството на съдебната система. Вместо да решат въпросите, повдигнати в предходни доклади по МС</w:t>
      </w:r>
      <w:r>
        <w:rPr>
          <w:rFonts w:ascii="Times New Roman" w:hAnsi="Times New Roman"/>
          <w:noProof/>
          <w:sz w:val="24"/>
          <w:szCs w:val="24"/>
        </w:rPr>
        <w:t>П, законите са довели до появата на нови рискове, по-специално чрез Специализирания отдел за разследване на магистратите, както и режима за дисциплинарна отговорност. В резултат на това Комисията заключи, че законодателството представлява крачка назад спря</w:t>
      </w:r>
      <w:r>
        <w:rPr>
          <w:rFonts w:ascii="Times New Roman" w:hAnsi="Times New Roman"/>
          <w:noProof/>
          <w:sz w:val="24"/>
          <w:szCs w:val="24"/>
        </w:rPr>
        <w:t>мо оценката от януари 2017 г., и предложи да се направи пауза за преосмисляне на ситуацията, като бъде замразено влизането в сила на промените.</w:t>
      </w:r>
    </w:p>
    <w:tbl>
      <w:tblPr>
        <w:tblW w:w="927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B13CA4">
        <w:trPr>
          <w:trHeight w:val="1090"/>
        </w:trPr>
        <w:tc>
          <w:tcPr>
            <w:tcW w:w="9270" w:type="dxa"/>
          </w:tcPr>
          <w:p w:rsidR="00B13CA4" w:rsidRDefault="00FB4139">
            <w:pPr>
              <w:spacing w:after="0" w:line="240" w:lineRule="auto"/>
              <w:contextualSpacing/>
              <w:jc w:val="both"/>
              <w:rPr>
                <w:rFonts w:ascii="Times New Roman" w:hAnsi="Times New Roman"/>
                <w:noProof/>
                <w:sz w:val="24"/>
                <w:szCs w:val="24"/>
              </w:rPr>
            </w:pPr>
            <w:r>
              <w:rPr>
                <w:rFonts w:ascii="Times New Roman" w:hAnsi="Times New Roman"/>
                <w:noProof/>
                <w:sz w:val="24"/>
                <w:szCs w:val="24"/>
              </w:rPr>
              <w:t>В доклада от ноември 2018 г. бе препоръчано:</w:t>
            </w:r>
          </w:p>
          <w:p w:rsidR="00B13CA4" w:rsidRDefault="00FB4139">
            <w:pPr>
              <w:numPr>
                <w:ilvl w:val="0"/>
                <w:numId w:val="14"/>
              </w:numPr>
              <w:spacing w:after="0" w:line="240" w:lineRule="auto"/>
              <w:ind w:left="411" w:hanging="396"/>
              <w:contextualSpacing/>
              <w:jc w:val="both"/>
              <w:rPr>
                <w:rFonts w:ascii="Times New Roman" w:hAnsi="Times New Roman"/>
                <w:i/>
                <w:noProof/>
                <w:sz w:val="24"/>
                <w:szCs w:val="24"/>
              </w:rPr>
            </w:pPr>
            <w:r>
              <w:rPr>
                <w:rFonts w:ascii="Times New Roman" w:hAnsi="Times New Roman"/>
                <w:i/>
                <w:noProof/>
                <w:sz w:val="24"/>
                <w:szCs w:val="24"/>
              </w:rPr>
              <w:t xml:space="preserve">Незабавно да се спре прилагането на законите в областта на </w:t>
            </w:r>
            <w:r>
              <w:rPr>
                <w:rFonts w:ascii="Times New Roman" w:hAnsi="Times New Roman"/>
                <w:i/>
                <w:noProof/>
                <w:sz w:val="24"/>
                <w:szCs w:val="24"/>
              </w:rPr>
              <w:t>правосъдието и на последвалите извънредни постановления.</w:t>
            </w:r>
          </w:p>
          <w:p w:rsidR="00B13CA4" w:rsidRDefault="00FB4139">
            <w:pPr>
              <w:numPr>
                <w:ilvl w:val="0"/>
                <w:numId w:val="14"/>
              </w:numPr>
              <w:spacing w:after="0" w:line="240" w:lineRule="auto"/>
              <w:ind w:left="411" w:hanging="396"/>
              <w:contextualSpacing/>
              <w:jc w:val="both"/>
              <w:rPr>
                <w:rFonts w:ascii="Times New Roman" w:hAnsi="Times New Roman"/>
                <w:i/>
                <w:noProof/>
                <w:sz w:val="24"/>
                <w:szCs w:val="24"/>
              </w:rPr>
            </w:pPr>
            <w:r>
              <w:rPr>
                <w:rFonts w:ascii="Times New Roman" w:hAnsi="Times New Roman"/>
                <w:i/>
                <w:noProof/>
                <w:sz w:val="24"/>
                <w:szCs w:val="24"/>
              </w:rPr>
              <w:t>Да се преразгледат законите в областта на правосъдието, като изцяло се вземат под внимание препоръките по линия на МСП, препоръките на Венецианската комисия и препоръките на Групата държави срещу кор</w:t>
            </w:r>
            <w:r>
              <w:rPr>
                <w:rFonts w:ascii="Times New Roman" w:hAnsi="Times New Roman"/>
                <w:i/>
                <w:noProof/>
                <w:sz w:val="24"/>
                <w:szCs w:val="24"/>
              </w:rPr>
              <w:t>упцията (GRECO).</w:t>
            </w:r>
          </w:p>
        </w:tc>
      </w:tr>
    </w:tbl>
    <w:p w:rsidR="00B13CA4" w:rsidRDefault="00FB4139">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Тези препоръки не бяха последвани от румънските органи, които заявиха също така, че законите в областта на правосъдието имат правни последици, които не могат да бъдат спрени. </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Целта на препоръката беше да се подходи по същество към пробле</w:t>
      </w:r>
      <w:r>
        <w:rPr>
          <w:rFonts w:ascii="Times New Roman" w:hAnsi="Times New Roman"/>
          <w:noProof/>
          <w:sz w:val="24"/>
          <w:szCs w:val="24"/>
        </w:rPr>
        <w:t xml:space="preserve">мите, създадени със законите, а последвалите мерки изостриха тези проблеми. Освен трите извънредни постановления, приети през септември и октомври 2018 г., в началото на 2019 г. правителството прие още две извънредни постановления за изменение на законите </w:t>
      </w:r>
      <w:r>
        <w:rPr>
          <w:rFonts w:ascii="Times New Roman" w:hAnsi="Times New Roman"/>
          <w:noProof/>
          <w:sz w:val="24"/>
          <w:szCs w:val="24"/>
        </w:rPr>
        <w:t>в областта на правосъдието</w:t>
      </w:r>
      <w:r>
        <w:rPr>
          <w:rFonts w:ascii="Times New Roman" w:hAnsi="Times New Roman"/>
          <w:noProof/>
          <w:sz w:val="24"/>
          <w:szCs w:val="24"/>
          <w:vertAlign w:val="superscript"/>
        </w:rPr>
        <w:footnoteReference w:id="17"/>
      </w:r>
      <w:r>
        <w:rPr>
          <w:rFonts w:ascii="Times New Roman" w:hAnsi="Times New Roman"/>
          <w:noProof/>
          <w:sz w:val="24"/>
          <w:szCs w:val="24"/>
        </w:rPr>
        <w:t>. Както и преди, скоростта на приемане, липсата на консултации и неясната обосновка за тези извънредни постановления засегнаха правната сигурност и предвидимостта на съдебния процес. Измененията с цел ускоряване на създаването на</w:t>
      </w:r>
      <w:r>
        <w:rPr>
          <w:rFonts w:ascii="Times New Roman" w:hAnsi="Times New Roman"/>
          <w:noProof/>
          <w:sz w:val="24"/>
          <w:szCs w:val="24"/>
        </w:rPr>
        <w:t xml:space="preserve"> Специализирания отдел за разследване на престъпления, извършени от магистрати, и разширяване на неговата компетентност, както и неколкократните промени в изискванията и процедурните правила за назначаване на прокурори (включително в управлението) в Национ</w:t>
      </w:r>
      <w:r>
        <w:rPr>
          <w:rFonts w:ascii="Times New Roman" w:hAnsi="Times New Roman"/>
          <w:noProof/>
          <w:sz w:val="24"/>
          <w:szCs w:val="24"/>
        </w:rPr>
        <w:t>алната дирекция за борба с корупцията (НДБК) допълнително увеличиха опасенията и липсата на доверие в тези изменения</w:t>
      </w:r>
      <w:r>
        <w:rPr>
          <w:rStyle w:val="FootnoteReference"/>
          <w:rFonts w:ascii="Times New Roman" w:hAnsi="Times New Roman"/>
          <w:noProof/>
          <w:sz w:val="24"/>
          <w:szCs w:val="24"/>
        </w:rPr>
        <w:footnoteReference w:id="18"/>
      </w:r>
      <w:r>
        <w:rPr>
          <w:rFonts w:ascii="Times New Roman" w:hAnsi="Times New Roman"/>
          <w:noProof/>
          <w:sz w:val="24"/>
          <w:szCs w:val="24"/>
        </w:rPr>
        <w:t>. По-специално някои от измененията в закона бяха направени, както изглежда, с цел обслужване на интересите на конкретни лица</w:t>
      </w:r>
      <w:r>
        <w:rPr>
          <w:rStyle w:val="FootnoteReference"/>
          <w:rFonts w:ascii="Times New Roman" w:hAnsi="Times New Roman"/>
          <w:noProof/>
          <w:sz w:val="24"/>
          <w:szCs w:val="24"/>
        </w:rPr>
        <w:footnoteReference w:id="19"/>
      </w:r>
      <w:r>
        <w:rPr>
          <w:rFonts w:ascii="Times New Roman" w:hAnsi="Times New Roman"/>
          <w:noProof/>
          <w:sz w:val="24"/>
          <w:szCs w:val="24"/>
          <w:vertAlign w:val="superscript"/>
        </w:rPr>
        <w:footnoteReference w:id="20"/>
      </w:r>
      <w:r>
        <w:rPr>
          <w:rFonts w:ascii="Times New Roman" w:hAnsi="Times New Roman"/>
          <w:noProof/>
          <w:sz w:val="24"/>
          <w:szCs w:val="24"/>
        </w:rPr>
        <w:t xml:space="preserve">. Тези </w:t>
      </w:r>
      <w:r>
        <w:rPr>
          <w:rFonts w:ascii="Times New Roman" w:hAnsi="Times New Roman"/>
          <w:noProof/>
          <w:sz w:val="24"/>
          <w:szCs w:val="24"/>
        </w:rPr>
        <w:t>извънредни постановления предизвикаха много отрицателни реакции, които допринесоха за специфичната реакция на обществото на референдума от 26 май 2019 г., спрямо изменението на законите в областта на правосъдието чрез извънредни постановления.</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Прилагането </w:t>
      </w:r>
      <w:r>
        <w:rPr>
          <w:rFonts w:ascii="Times New Roman" w:hAnsi="Times New Roman"/>
          <w:noProof/>
          <w:sz w:val="24"/>
          <w:szCs w:val="24"/>
        </w:rPr>
        <w:t>в практиката на изменените закони в областта на правосъдието също потвърди опасенията, изразени в доклада от ноември по отношение на вредите за съдебната система. По-специално функционирането на Специализирания отдел за разследване на престъпления, извърше</w:t>
      </w:r>
      <w:r>
        <w:rPr>
          <w:rFonts w:ascii="Times New Roman" w:hAnsi="Times New Roman"/>
          <w:noProof/>
          <w:sz w:val="24"/>
          <w:szCs w:val="24"/>
        </w:rPr>
        <w:t>ни от магистрати, потвърди опасенията, изразени както в Румъния, така и извън нея, че Отделът може да се използва като инструмент за политически натиск</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Има различни примери, при които Специализираният отдел упражни правомощията си, за да промени хода на </w:t>
      </w:r>
      <w:r>
        <w:rPr>
          <w:rFonts w:ascii="Times New Roman" w:hAnsi="Times New Roman"/>
          <w:noProof/>
          <w:sz w:val="24"/>
          <w:szCs w:val="24"/>
        </w:rPr>
        <w:t>наказателни разследвания по начин, който поражда сериозни съмнения относно обективността му</w:t>
      </w:r>
      <w:r>
        <w:rPr>
          <w:rFonts w:ascii="Times New Roman" w:hAnsi="Times New Roman"/>
          <w:noProof/>
          <w:sz w:val="24"/>
          <w:szCs w:val="24"/>
          <w:vertAlign w:val="superscript"/>
        </w:rPr>
        <w:footnoteReference w:id="22"/>
      </w:r>
      <w:r>
        <w:rPr>
          <w:rFonts w:ascii="Times New Roman" w:hAnsi="Times New Roman"/>
          <w:noProof/>
          <w:sz w:val="24"/>
          <w:szCs w:val="24"/>
        </w:rPr>
        <w:t>. Тези примери включват случаи, при които Специализираният отдел започна разследвания срещу съдии и прокурори, които се противопоставиха на текущите промени в съдеб</w:t>
      </w:r>
      <w:r>
        <w:rPr>
          <w:rFonts w:ascii="Times New Roman" w:hAnsi="Times New Roman"/>
          <w:noProof/>
          <w:sz w:val="24"/>
          <w:szCs w:val="24"/>
        </w:rPr>
        <w:t>ната система, както и резки промени в подхода по висящи дела, като например оттегляне на по-рано подадени от НДБК жалби по дела за корупция по високите етажи на властта</w:t>
      </w:r>
      <w:r>
        <w:rPr>
          <w:rStyle w:val="FootnoteReference"/>
          <w:rFonts w:ascii="Times New Roman" w:hAnsi="Times New Roman"/>
          <w:noProof/>
          <w:sz w:val="24"/>
          <w:szCs w:val="24"/>
        </w:rPr>
        <w:footnoteReference w:id="23"/>
      </w:r>
      <w:r>
        <w:rPr>
          <w:rFonts w:ascii="Times New Roman" w:hAnsi="Times New Roman"/>
          <w:noProof/>
          <w:sz w:val="24"/>
          <w:szCs w:val="24"/>
        </w:rPr>
        <w:t>. Назначенията на ръководни длъжности в Специализирания отдел също станаха повод за пол</w:t>
      </w:r>
      <w:r>
        <w:rPr>
          <w:rFonts w:ascii="Times New Roman" w:hAnsi="Times New Roman"/>
          <w:noProof/>
          <w:sz w:val="24"/>
          <w:szCs w:val="24"/>
        </w:rPr>
        <w:t>емика. В резултат на това редица заинтересовани страни в Румъния отправиха призиви за закриване на Специализирания отдел</w:t>
      </w:r>
      <w:r>
        <w:rPr>
          <w:rFonts w:ascii="Times New Roman" w:hAnsi="Times New Roman"/>
          <w:noProof/>
          <w:sz w:val="24"/>
          <w:szCs w:val="24"/>
          <w:vertAlign w:val="superscript"/>
        </w:rPr>
        <w:footnoteReference w:id="24"/>
      </w:r>
      <w:r>
        <w:rPr>
          <w:rFonts w:ascii="Times New Roman" w:hAnsi="Times New Roman"/>
          <w:noProof/>
          <w:sz w:val="24"/>
          <w:szCs w:val="24"/>
        </w:rPr>
        <w:t>.</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През юни 2019 г. Венецианската комисия прие становище относно извънредните постановления</w:t>
      </w:r>
      <w:r>
        <w:rPr>
          <w:rStyle w:val="FootnoteReference"/>
          <w:rFonts w:ascii="Times New Roman" w:hAnsi="Times New Roman"/>
          <w:noProof/>
          <w:sz w:val="24"/>
          <w:szCs w:val="24"/>
        </w:rPr>
        <w:footnoteReference w:id="25"/>
      </w:r>
      <w:r>
        <w:rPr>
          <w:rFonts w:ascii="Times New Roman" w:hAnsi="Times New Roman"/>
          <w:noProof/>
          <w:sz w:val="24"/>
          <w:szCs w:val="24"/>
        </w:rPr>
        <w:t>, в което се потвърждават допълнителните опа</w:t>
      </w:r>
      <w:r>
        <w:rPr>
          <w:rFonts w:ascii="Times New Roman" w:hAnsi="Times New Roman"/>
          <w:noProof/>
          <w:sz w:val="24"/>
          <w:szCs w:val="24"/>
        </w:rPr>
        <w:t>сения във връзка с новите изменения</w:t>
      </w:r>
      <w:r>
        <w:rPr>
          <w:rFonts w:ascii="Times New Roman" w:hAnsi="Times New Roman"/>
          <w:noProof/>
          <w:sz w:val="24"/>
          <w:szCs w:val="24"/>
          <w:vertAlign w:val="superscript"/>
        </w:rPr>
        <w:footnoteReference w:id="26"/>
      </w:r>
      <w:r>
        <w:rPr>
          <w:rFonts w:ascii="Times New Roman" w:hAnsi="Times New Roman"/>
          <w:noProof/>
          <w:sz w:val="24"/>
          <w:szCs w:val="24"/>
        </w:rPr>
        <w:t xml:space="preserve"> и с функционирането на Специализирания отдел. В два нови доклада от юни 2019 г. Групата държави срещу корупцията изрази сходни опасения</w:t>
      </w:r>
      <w:r>
        <w:rPr>
          <w:rStyle w:val="FootnoteReference"/>
          <w:rFonts w:ascii="Times New Roman" w:hAnsi="Times New Roman"/>
          <w:noProof/>
          <w:sz w:val="24"/>
          <w:szCs w:val="24"/>
        </w:rPr>
        <w:footnoteReference w:id="27"/>
      </w:r>
      <w:r>
        <w:rPr>
          <w:rFonts w:ascii="Times New Roman" w:hAnsi="Times New Roman"/>
          <w:noProof/>
          <w:sz w:val="24"/>
          <w:szCs w:val="24"/>
        </w:rPr>
        <w:t>.</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През юли 2019 г. министърът на правосъдието изрази готовност да намери подходящи </w:t>
      </w:r>
      <w:r>
        <w:rPr>
          <w:rFonts w:ascii="Times New Roman" w:hAnsi="Times New Roman"/>
          <w:noProof/>
          <w:sz w:val="24"/>
          <w:szCs w:val="24"/>
        </w:rPr>
        <w:t>законодателни решения, като се консултира със съдебната власт и парламента в рамките на нов процес на структурирани консултации</w:t>
      </w:r>
      <w:r>
        <w:rPr>
          <w:rStyle w:val="FootnoteReference"/>
          <w:rFonts w:ascii="Times New Roman" w:hAnsi="Times New Roman"/>
          <w:noProof/>
          <w:sz w:val="24"/>
          <w:szCs w:val="24"/>
        </w:rPr>
        <w:footnoteReference w:id="28"/>
      </w:r>
      <w:r>
        <w:rPr>
          <w:rFonts w:ascii="Times New Roman" w:hAnsi="Times New Roman"/>
          <w:noProof/>
          <w:sz w:val="24"/>
          <w:szCs w:val="24"/>
        </w:rPr>
        <w:t>. По-късно обаче изявления на правителственото ръководство дадоха да се разбере, че няма да бъдат предложени промени, касаещи Сп</w:t>
      </w:r>
      <w:r>
        <w:rPr>
          <w:rFonts w:ascii="Times New Roman" w:hAnsi="Times New Roman"/>
          <w:noProof/>
          <w:sz w:val="24"/>
          <w:szCs w:val="24"/>
        </w:rPr>
        <w:t>ециализирания отдел. Поради това въпросите, повдигнати от Европейската комисия, Венецианската комисия и Групата държави срещу корупцията, не доведоха до допълнителни изменения.</w:t>
      </w:r>
    </w:p>
    <w:p w:rsidR="00B13CA4" w:rsidRDefault="00FB4139">
      <w:pPr>
        <w:spacing w:after="120" w:line="240" w:lineRule="auto"/>
        <w:jc w:val="both"/>
        <w:rPr>
          <w:rFonts w:ascii="Times New Roman" w:hAnsi="Times New Roman"/>
          <w:noProof/>
          <w:sz w:val="24"/>
          <w:szCs w:val="24"/>
        </w:rPr>
      </w:pPr>
      <w:r>
        <w:rPr>
          <w:rFonts w:ascii="Times New Roman" w:hAnsi="Times New Roman"/>
          <w:i/>
          <w:noProof/>
          <w:sz w:val="24"/>
          <w:szCs w:val="24"/>
        </w:rPr>
        <w:t>Назначения в съдебната власт и натиск върху институции на съдебната власт</w:t>
      </w:r>
    </w:p>
    <w:p w:rsidR="00B13CA4" w:rsidRDefault="00FB4139">
      <w:pPr>
        <w:pStyle w:val="Body"/>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Проме</w:t>
      </w:r>
      <w:r>
        <w:rPr>
          <w:rFonts w:ascii="Times New Roman" w:hAnsi="Times New Roman" w:cs="Times New Roman"/>
          <w:noProof/>
          <w:sz w:val="24"/>
          <w:szCs w:val="24"/>
        </w:rPr>
        <w:t xml:space="preserve">ните от ноември 2018 г. насам потвърдиха целесъобразността на дългогодишната препоръка по МСП процесът на назначаване на висши прокурори да бъде направен по-солиден и независим. В доклада по МСП от 2018 г. бяха изразени опасения, по-специално по отношение </w:t>
      </w:r>
      <w:r>
        <w:rPr>
          <w:rFonts w:ascii="Times New Roman" w:hAnsi="Times New Roman" w:cs="Times New Roman"/>
          <w:noProof/>
          <w:sz w:val="24"/>
          <w:szCs w:val="24"/>
        </w:rPr>
        <w:t>на текущите процедури за освобождаване от длъжност/назначаване на главния прокурор на Националната дирекция за борба с корупцията (НДБК) и на главния прокурор.</w:t>
      </w:r>
    </w:p>
    <w:tbl>
      <w:tblPr>
        <w:tblW w:w="927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B13CA4">
        <w:trPr>
          <w:trHeight w:val="1090"/>
        </w:trPr>
        <w:tc>
          <w:tcPr>
            <w:tcW w:w="9270" w:type="dxa"/>
          </w:tcPr>
          <w:p w:rsidR="00B13CA4" w:rsidRDefault="00FB4139">
            <w:pPr>
              <w:spacing w:after="0" w:line="240" w:lineRule="auto"/>
              <w:contextualSpacing/>
              <w:jc w:val="both"/>
              <w:rPr>
                <w:rFonts w:ascii="Times New Roman" w:hAnsi="Times New Roman"/>
                <w:noProof/>
                <w:sz w:val="24"/>
                <w:szCs w:val="24"/>
              </w:rPr>
            </w:pPr>
            <w:r>
              <w:rPr>
                <w:rFonts w:ascii="Times New Roman" w:hAnsi="Times New Roman"/>
                <w:noProof/>
                <w:sz w:val="24"/>
                <w:szCs w:val="24"/>
              </w:rPr>
              <w:t>В доклада от ноември 2018 г. бе препоръчано:</w:t>
            </w:r>
          </w:p>
          <w:p w:rsidR="00B13CA4" w:rsidRDefault="00FB4139">
            <w:pPr>
              <w:numPr>
                <w:ilvl w:val="0"/>
                <w:numId w:val="14"/>
              </w:numPr>
              <w:spacing w:after="0" w:line="240" w:lineRule="auto"/>
              <w:ind w:left="411" w:hanging="309"/>
              <w:contextualSpacing/>
              <w:jc w:val="both"/>
              <w:rPr>
                <w:rFonts w:ascii="Times New Roman" w:hAnsi="Times New Roman"/>
                <w:i/>
                <w:noProof/>
                <w:sz w:val="24"/>
                <w:szCs w:val="24"/>
              </w:rPr>
            </w:pPr>
            <w:r>
              <w:rPr>
                <w:rFonts w:ascii="Times New Roman" w:hAnsi="Times New Roman"/>
                <w:i/>
                <w:noProof/>
                <w:sz w:val="24"/>
                <w:szCs w:val="24"/>
              </w:rPr>
              <w:t xml:space="preserve">Незабавно да се спрат всички текущи процедури за </w:t>
            </w:r>
            <w:r>
              <w:rPr>
                <w:rFonts w:ascii="Times New Roman" w:hAnsi="Times New Roman"/>
                <w:i/>
                <w:noProof/>
                <w:sz w:val="24"/>
                <w:szCs w:val="24"/>
              </w:rPr>
              <w:t>назначаване и освобождаване от длъжност на висши прокурори.</w:t>
            </w:r>
          </w:p>
          <w:p w:rsidR="00B13CA4" w:rsidRDefault="00FB4139">
            <w:pPr>
              <w:numPr>
                <w:ilvl w:val="0"/>
                <w:numId w:val="14"/>
              </w:numPr>
              <w:spacing w:after="0" w:line="240" w:lineRule="auto"/>
              <w:ind w:left="411" w:hanging="309"/>
              <w:contextualSpacing/>
              <w:jc w:val="both"/>
              <w:rPr>
                <w:rFonts w:ascii="Times New Roman" w:hAnsi="Times New Roman"/>
                <w:i/>
                <w:noProof/>
                <w:sz w:val="24"/>
                <w:szCs w:val="24"/>
              </w:rPr>
            </w:pPr>
            <w:r>
              <w:rPr>
                <w:rFonts w:ascii="Times New Roman" w:hAnsi="Times New Roman"/>
                <w:i/>
                <w:noProof/>
                <w:sz w:val="24"/>
                <w:szCs w:val="24"/>
              </w:rPr>
              <w:t>Да се започне нова процедура за назначаване на главен прокурор на НДБК с доказан опит в наказателното преследване на корупционни престъпления и с ясен мандат за НДБК за продължаване на професионал</w:t>
            </w:r>
            <w:r>
              <w:rPr>
                <w:rFonts w:ascii="Times New Roman" w:hAnsi="Times New Roman"/>
                <w:i/>
                <w:noProof/>
                <w:sz w:val="24"/>
                <w:szCs w:val="24"/>
              </w:rPr>
              <w:t>ното, независимо и безпристрастно разследване на корупцията.</w:t>
            </w:r>
          </w:p>
          <w:p w:rsidR="00B13CA4" w:rsidRDefault="00FB4139">
            <w:pPr>
              <w:numPr>
                <w:ilvl w:val="0"/>
                <w:numId w:val="14"/>
              </w:numPr>
              <w:spacing w:after="0" w:line="240" w:lineRule="auto"/>
              <w:ind w:left="411" w:hanging="309"/>
              <w:contextualSpacing/>
              <w:jc w:val="both"/>
              <w:rPr>
                <w:rFonts w:ascii="Times New Roman" w:hAnsi="Times New Roman"/>
                <w:i/>
                <w:noProof/>
                <w:sz w:val="24"/>
                <w:szCs w:val="24"/>
              </w:rPr>
            </w:pPr>
            <w:r>
              <w:rPr>
                <w:rFonts w:ascii="Times New Roman" w:hAnsi="Times New Roman"/>
                <w:i/>
                <w:noProof/>
                <w:sz w:val="24"/>
                <w:szCs w:val="24"/>
              </w:rPr>
              <w:t xml:space="preserve">Да се зачитат отрицателните становища на Висшия съдебен съвет относно назначаването или освобождаването от длъжност на прокурори на ръководни постове до приемането на нова законодателна уредба в </w:t>
            </w:r>
            <w:r>
              <w:rPr>
                <w:rFonts w:ascii="Times New Roman" w:hAnsi="Times New Roman"/>
                <w:i/>
                <w:noProof/>
                <w:sz w:val="24"/>
                <w:szCs w:val="24"/>
              </w:rPr>
              <w:t>съответствие с препоръка 1 от януари 2017 г.</w:t>
            </w:r>
          </w:p>
        </w:tc>
      </w:tr>
    </w:tbl>
    <w:p w:rsidR="00B13CA4" w:rsidRDefault="00FB4139">
      <w:pPr>
        <w:pStyle w:val="Body"/>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Първоначално по тези препоръки не бяха предприети действия. Тогавашният министър на правосъдието не смени избора си на кандидат за поста на главен прокурор на НДБК. Президентът на Румъния отказа да назначи този</w:t>
      </w:r>
      <w:r>
        <w:rPr>
          <w:rFonts w:ascii="Times New Roman" w:hAnsi="Times New Roman" w:cs="Times New Roman"/>
          <w:noProof/>
          <w:sz w:val="24"/>
          <w:szCs w:val="24"/>
        </w:rPr>
        <w:t xml:space="preserve"> кандидат за втори път през януари 2019 г. Оттогава процедурата де факто е суспендирана, като НДБК се управлява от временно изпълняващ длъжността. Тогавашният министър на правосъдието продължи и процедурата за освобождаване от длъжност на главния прокурор,</w:t>
      </w:r>
      <w:r>
        <w:rPr>
          <w:rFonts w:ascii="Times New Roman" w:hAnsi="Times New Roman" w:cs="Times New Roman"/>
          <w:noProof/>
          <w:sz w:val="24"/>
          <w:szCs w:val="24"/>
        </w:rPr>
        <w:t xml:space="preserve"> въпреки отрицателното становище на Висшия съдебен съвет. През януари 2019 г. президентът на Румъния отказа освобождаването от длъжност. Въпреки това, тъй като длъжността трябваше да бъде заета през май 2019 г., през април министърът организира процедура п</w:t>
      </w:r>
      <w:r>
        <w:rPr>
          <w:rFonts w:ascii="Times New Roman" w:hAnsi="Times New Roman" w:cs="Times New Roman"/>
          <w:noProof/>
          <w:sz w:val="24"/>
          <w:szCs w:val="24"/>
        </w:rPr>
        <w:t>о назначаване. Както се случи и с процедурата за главния прокурор на НДБК през юли 2018 г., министърът отхвърли всички кандидати като неподходящи, въпреки че много от тях, включително тогавашния главен прокурор, бяха действащи висши прокурори. В резултат н</w:t>
      </w:r>
      <w:r>
        <w:rPr>
          <w:rFonts w:ascii="Times New Roman" w:hAnsi="Times New Roman" w:cs="Times New Roman"/>
          <w:noProof/>
          <w:sz w:val="24"/>
          <w:szCs w:val="24"/>
        </w:rPr>
        <w:t>а това главният прокурор реши да се пенсионира и тази функция понастоящем се изпълнява от временно изпълняващ длъжността</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След това министърът започна нова процедура по назначаване на главния прокурор, но тя беше отменена от новия министър на правосъдието</w:t>
      </w:r>
      <w:r>
        <w:rPr>
          <w:rFonts w:ascii="Times New Roman" w:hAnsi="Times New Roman" w:cs="Times New Roman"/>
          <w:noProof/>
          <w:sz w:val="24"/>
          <w:szCs w:val="24"/>
        </w:rPr>
        <w:t xml:space="preserve">, който встъпи в длъжност през април 2019 г. Подходът на настоящия министър избегна по-нататъшното влошаване на положението и даде възможност за подобряване на процедурата. Изключително важно е румънското правителство да продължи да работи в този дух, тъй </w:t>
      </w:r>
      <w:r>
        <w:rPr>
          <w:rFonts w:ascii="Times New Roman" w:hAnsi="Times New Roman" w:cs="Times New Roman"/>
          <w:noProof/>
          <w:sz w:val="24"/>
          <w:szCs w:val="24"/>
        </w:rPr>
        <w:t>като опитът от последните години потвърждава риска от политическо влияние върху процеса в ущърб на качеството на назначенията, както необходимостта от дългосрочно и устойчиво решение.</w:t>
      </w:r>
    </w:p>
    <w:p w:rsidR="00B13CA4" w:rsidRDefault="00FB4139">
      <w:pPr>
        <w:spacing w:after="120" w:line="240" w:lineRule="auto"/>
        <w:jc w:val="both"/>
        <w:rPr>
          <w:rFonts w:ascii="Times New Roman" w:eastAsia="SimSun" w:hAnsi="Times New Roman"/>
          <w:noProof/>
          <w:sz w:val="24"/>
          <w:szCs w:val="24"/>
        </w:rPr>
      </w:pPr>
      <w:r>
        <w:rPr>
          <w:rFonts w:ascii="Times New Roman" w:hAnsi="Times New Roman"/>
          <w:noProof/>
          <w:sz w:val="24"/>
          <w:szCs w:val="24"/>
        </w:rPr>
        <w:t xml:space="preserve">Съдебният инспекторат играе ключова роля за гарантиране на доверието на </w:t>
      </w:r>
      <w:r>
        <w:rPr>
          <w:rFonts w:ascii="Times New Roman" w:hAnsi="Times New Roman"/>
          <w:noProof/>
          <w:sz w:val="24"/>
          <w:szCs w:val="24"/>
        </w:rPr>
        <w:t>обществеността в независимостта, професионализма и почтеността на съдебната власт. След години на положителна оценка, в доклада от ноември 2018 г. се посочват сериозни опасения във връзка с Инспектората: наличие на схема на дисциплинарни производства срещу</w:t>
      </w:r>
      <w:r>
        <w:rPr>
          <w:rFonts w:ascii="Times New Roman" w:hAnsi="Times New Roman"/>
          <w:noProof/>
          <w:sz w:val="24"/>
          <w:szCs w:val="24"/>
        </w:rPr>
        <w:t xml:space="preserve"> магистрати, които публично се противопоставят на посоката на реформите в съдебната система, изтичане на документи — които след това бяха използвани от политици за нападки срещу институции на съдебната власт — и продължаването на мандата на ръководния екип</w:t>
      </w:r>
      <w:r>
        <w:rPr>
          <w:rFonts w:ascii="Times New Roman" w:hAnsi="Times New Roman"/>
          <w:noProof/>
          <w:sz w:val="24"/>
          <w:szCs w:val="24"/>
        </w:rPr>
        <w:t xml:space="preserve"> от страна на правителството.</w:t>
      </w:r>
    </w:p>
    <w:tbl>
      <w:tblPr>
        <w:tblW w:w="927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B13CA4">
        <w:trPr>
          <w:trHeight w:val="132"/>
        </w:trPr>
        <w:tc>
          <w:tcPr>
            <w:tcW w:w="9270" w:type="dxa"/>
          </w:tcPr>
          <w:p w:rsidR="00B13CA4" w:rsidRDefault="00FB4139">
            <w:pPr>
              <w:spacing w:after="0" w:line="240" w:lineRule="auto"/>
              <w:contextualSpacing/>
              <w:jc w:val="both"/>
              <w:rPr>
                <w:rFonts w:ascii="Times New Roman" w:hAnsi="Times New Roman"/>
                <w:noProof/>
                <w:sz w:val="24"/>
                <w:szCs w:val="24"/>
              </w:rPr>
            </w:pPr>
            <w:r>
              <w:rPr>
                <w:rFonts w:ascii="Times New Roman" w:hAnsi="Times New Roman"/>
                <w:noProof/>
                <w:sz w:val="24"/>
                <w:szCs w:val="24"/>
              </w:rPr>
              <w:t>В доклада от ноември 2018 г. се препоръчва:</w:t>
            </w:r>
          </w:p>
          <w:p w:rsidR="00B13CA4" w:rsidRDefault="00FB4139">
            <w:pPr>
              <w:numPr>
                <w:ilvl w:val="0"/>
                <w:numId w:val="14"/>
              </w:numPr>
              <w:spacing w:after="0" w:line="240" w:lineRule="auto"/>
              <w:ind w:left="411" w:hanging="309"/>
              <w:contextualSpacing/>
              <w:jc w:val="both"/>
              <w:rPr>
                <w:rFonts w:ascii="Times New Roman" w:hAnsi="Times New Roman"/>
                <w:i/>
                <w:noProof/>
                <w:sz w:val="24"/>
                <w:szCs w:val="24"/>
              </w:rPr>
            </w:pPr>
            <w:r>
              <w:rPr>
                <w:rFonts w:ascii="Times New Roman" w:hAnsi="Times New Roman"/>
                <w:i/>
                <w:noProof/>
                <w:sz w:val="24"/>
                <w:szCs w:val="24"/>
              </w:rPr>
              <w:t>Висшият съдебен съвет незабавно да назначи временен екип, който да ръководи Съдебния инспекторат, и в срок от три месеца да назначи нов ръководен екип в Инспектората след провежданет</w:t>
            </w:r>
            <w:r>
              <w:rPr>
                <w:rFonts w:ascii="Times New Roman" w:hAnsi="Times New Roman"/>
                <w:i/>
                <w:noProof/>
                <w:sz w:val="24"/>
                <w:szCs w:val="24"/>
              </w:rPr>
              <w:t>о на конкурс.</w:t>
            </w:r>
          </w:p>
        </w:tc>
      </w:tr>
    </w:tbl>
    <w:p w:rsidR="00B13CA4" w:rsidRDefault="00FB4139">
      <w:pPr>
        <w:spacing w:before="120" w:after="120" w:line="240" w:lineRule="auto"/>
        <w:jc w:val="both"/>
        <w:rPr>
          <w:rFonts w:ascii="Times New Roman" w:eastAsia="SimSun" w:hAnsi="Times New Roman"/>
          <w:noProof/>
          <w:sz w:val="24"/>
          <w:szCs w:val="24"/>
        </w:rPr>
      </w:pPr>
      <w:r>
        <w:rPr>
          <w:rFonts w:ascii="Times New Roman" w:hAnsi="Times New Roman"/>
          <w:noProof/>
          <w:sz w:val="24"/>
          <w:szCs w:val="24"/>
        </w:rPr>
        <w:t>Висшият съдебен съвет не назначи нов временен ръководен екип, поради което главен инспектор продължи да бъде временно изпълняващ длъжността до май 2019 г., когато Висшият съдебен съвет преназначи същия главен инспектор въпреки разногласията.</w:t>
      </w:r>
      <w:r>
        <w:rPr>
          <w:rFonts w:ascii="Times New Roman" w:hAnsi="Times New Roman"/>
          <w:noProof/>
          <w:sz w:val="24"/>
          <w:szCs w:val="24"/>
        </w:rPr>
        <w:t xml:space="preserve"> Същевременно след последния доклад продължи прилагането на схемата на дисциплинарни производства срещу магистрати</w:t>
      </w:r>
      <w:r>
        <w:rPr>
          <w:rStyle w:val="FootnoteReference"/>
          <w:rFonts w:ascii="Times New Roman" w:eastAsia="SimSun" w:hAnsi="Times New Roman"/>
          <w:noProof/>
          <w:sz w:val="24"/>
          <w:szCs w:val="24"/>
        </w:rPr>
        <w:footnoteReference w:id="30"/>
      </w:r>
      <w:r>
        <w:rPr>
          <w:rFonts w:ascii="Times New Roman" w:hAnsi="Times New Roman"/>
          <w:noProof/>
          <w:sz w:val="24"/>
          <w:szCs w:val="24"/>
        </w:rPr>
        <w:t>, включително срещу ръководители на институции на съдебната власт, които се противопоставят на реформите в съдебната система, както и изтичан</w:t>
      </w:r>
      <w:r>
        <w:rPr>
          <w:rFonts w:ascii="Times New Roman" w:hAnsi="Times New Roman"/>
          <w:noProof/>
          <w:sz w:val="24"/>
          <w:szCs w:val="24"/>
        </w:rPr>
        <w:t>ето на документи</w:t>
      </w:r>
      <w:r>
        <w:rPr>
          <w:rStyle w:val="FootnoteReference"/>
          <w:rFonts w:ascii="Times New Roman" w:eastAsia="SimSun" w:hAnsi="Times New Roman"/>
          <w:noProof/>
          <w:sz w:val="24"/>
          <w:szCs w:val="24"/>
        </w:rPr>
        <w:footnoteReference w:id="31"/>
      </w:r>
      <w:r>
        <w:rPr>
          <w:rFonts w:ascii="Times New Roman" w:hAnsi="Times New Roman"/>
          <w:noProof/>
          <w:sz w:val="24"/>
          <w:szCs w:val="24"/>
        </w:rPr>
        <w:t>. Ето защо препоръката от ноември 2018 г. беше изпреварена от събитията, но залегналите в основата ѝ опасения продължават да съществуват в пълна степен.</w:t>
      </w:r>
    </w:p>
    <w:p w:rsidR="00B13CA4" w:rsidRDefault="00FB4139">
      <w:pPr>
        <w:spacing w:after="120" w:line="240" w:lineRule="auto"/>
        <w:jc w:val="both"/>
        <w:rPr>
          <w:rFonts w:ascii="Times New Roman" w:eastAsia="SimSun" w:hAnsi="Times New Roman"/>
          <w:noProof/>
          <w:sz w:val="24"/>
          <w:szCs w:val="24"/>
        </w:rPr>
      </w:pPr>
      <w:r>
        <w:rPr>
          <w:rFonts w:ascii="Times New Roman" w:hAnsi="Times New Roman"/>
          <w:noProof/>
          <w:sz w:val="24"/>
          <w:szCs w:val="24"/>
        </w:rPr>
        <w:t>В поредица доклади по МСП се посочва упражняваният натиск върху магистратите и институ</w:t>
      </w:r>
      <w:r>
        <w:rPr>
          <w:rFonts w:ascii="Times New Roman" w:hAnsi="Times New Roman"/>
          <w:noProof/>
          <w:sz w:val="24"/>
          <w:szCs w:val="24"/>
        </w:rPr>
        <w:t xml:space="preserve">циите на съдебната власт чрез публични нападки от страна на политическата сфера и медиите. От началото на 2018 г. към това се добавиха действията на органите, отговарящи за дисциплинарното и наказателното разследване на магистратите. Националната дирекция </w:t>
      </w:r>
      <w:r>
        <w:rPr>
          <w:rFonts w:ascii="Times New Roman" w:hAnsi="Times New Roman"/>
          <w:noProof/>
          <w:sz w:val="24"/>
          <w:szCs w:val="24"/>
        </w:rPr>
        <w:t>за борба с корупцията отдавна е обект на такъв натиск, както и Службата на главния прокурор. По време на разглеждания период рязко се увеличи натискът върху Висшия касационен съд, който е компетентен по редица дела за корупция по високите етажи на властта.</w:t>
      </w:r>
      <w:r>
        <w:rPr>
          <w:rFonts w:ascii="Times New Roman" w:hAnsi="Times New Roman"/>
          <w:noProof/>
          <w:sz w:val="24"/>
          <w:szCs w:val="24"/>
        </w:rPr>
        <w:t xml:space="preserve"> Правителството започна два конституционни спора с Висшия касационен съд във връзка с неговото тълкуване на процесуалните правила за съставянето на съдийски състави по наказателни дела</w:t>
      </w:r>
      <w:r>
        <w:rPr>
          <w:rStyle w:val="FootnoteReference"/>
          <w:rFonts w:ascii="Times New Roman" w:eastAsia="SimSun" w:hAnsi="Times New Roman"/>
          <w:noProof/>
          <w:sz w:val="24"/>
          <w:szCs w:val="24"/>
        </w:rPr>
        <w:footnoteReference w:id="32"/>
      </w:r>
      <w:r>
        <w:rPr>
          <w:rFonts w:ascii="Times New Roman" w:hAnsi="Times New Roman"/>
          <w:noProof/>
          <w:sz w:val="24"/>
          <w:szCs w:val="24"/>
        </w:rPr>
        <w:t>.</w:t>
      </w:r>
      <w:r>
        <w:rPr>
          <w:rStyle w:val="FootnoteReference"/>
          <w:rFonts w:ascii="Times New Roman" w:eastAsia="SimSun" w:hAnsi="Times New Roman"/>
          <w:noProof/>
          <w:sz w:val="24"/>
          <w:szCs w:val="24"/>
        </w:rPr>
        <w:footnoteReference w:id="33"/>
      </w:r>
      <w:r>
        <w:rPr>
          <w:rFonts w:ascii="Times New Roman" w:hAnsi="Times New Roman"/>
          <w:noProof/>
          <w:sz w:val="24"/>
          <w:szCs w:val="24"/>
        </w:rPr>
        <w:t>Освен това Съдебният инспекторат подаде дисциплинарна жалба срещу сво</w:t>
      </w:r>
      <w:r>
        <w:rPr>
          <w:rFonts w:ascii="Times New Roman" w:hAnsi="Times New Roman"/>
          <w:noProof/>
          <w:sz w:val="24"/>
          <w:szCs w:val="24"/>
        </w:rPr>
        <w:t xml:space="preserve">я председател, а съдийската колегия на Висшия съдебен съвет призова за нейното отстраняване от длъжност. По всичко личи, че целта на тази комбинация от действия е оказването на натиск върху Висшия касационен съд и когато председателят обяви намерението си </w:t>
      </w:r>
      <w:r>
        <w:rPr>
          <w:rFonts w:ascii="Times New Roman" w:hAnsi="Times New Roman"/>
          <w:noProof/>
          <w:sz w:val="24"/>
          <w:szCs w:val="24"/>
        </w:rPr>
        <w:t>да не кандидатства за втори мандат, тя поясни, че именно това е причината</w:t>
      </w:r>
      <w:r>
        <w:rPr>
          <w:rStyle w:val="FootnoteReference"/>
          <w:rFonts w:ascii="Times New Roman" w:eastAsia="SimSun" w:hAnsi="Times New Roman"/>
          <w:noProof/>
          <w:sz w:val="24"/>
          <w:szCs w:val="24"/>
        </w:rPr>
        <w:footnoteReference w:id="34"/>
      </w:r>
      <w:r>
        <w:rPr>
          <w:rFonts w:ascii="Times New Roman" w:hAnsi="Times New Roman"/>
          <w:noProof/>
          <w:sz w:val="24"/>
          <w:szCs w:val="24"/>
        </w:rPr>
        <w:t>.</w:t>
      </w:r>
    </w:p>
    <w:p w:rsidR="00B13CA4" w:rsidRDefault="00FB4139">
      <w:pPr>
        <w:spacing w:after="120" w:line="240" w:lineRule="auto"/>
        <w:jc w:val="both"/>
        <w:rPr>
          <w:rFonts w:ascii="Times New Roman" w:eastAsia="SimSun" w:hAnsi="Times New Roman"/>
          <w:noProof/>
          <w:sz w:val="24"/>
          <w:szCs w:val="24"/>
        </w:rPr>
      </w:pPr>
      <w:r>
        <w:rPr>
          <w:rFonts w:ascii="Times New Roman" w:hAnsi="Times New Roman"/>
          <w:noProof/>
          <w:sz w:val="24"/>
          <w:szCs w:val="24"/>
        </w:rPr>
        <w:t xml:space="preserve">Висшият съдебен съвет наскоро назначи нов председател на Висшия касационен съд. Ще бъде особено важно под новото ръководство Висшият касационен съд да поддържа независимостта си и </w:t>
      </w:r>
      <w:r>
        <w:rPr>
          <w:rFonts w:ascii="Times New Roman" w:hAnsi="Times New Roman"/>
          <w:noProof/>
          <w:sz w:val="24"/>
          <w:szCs w:val="24"/>
        </w:rPr>
        <w:t>високия си професионализъм, включително в борбата с корупцията по високите етажи на властта.</w:t>
      </w:r>
    </w:p>
    <w:p w:rsidR="00B13CA4" w:rsidRDefault="00FB4139">
      <w:pPr>
        <w:pStyle w:val="Body"/>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Тези промени потвърждават оценката, направена от Комисията в доклада от ноември 2018 г., че Висшият съдебен съвет не изпълнява функцията си да гарантира ефективна </w:t>
      </w:r>
      <w:r>
        <w:rPr>
          <w:rFonts w:ascii="Times New Roman" w:hAnsi="Times New Roman" w:cs="Times New Roman"/>
          <w:noProof/>
          <w:sz w:val="24"/>
          <w:szCs w:val="24"/>
        </w:rPr>
        <w:t>взаимозависимост и взаимоограничаване, така че да защити независимостта на институциите на съдебната власт, подложени на натиск. (вж. препоръка 7).</w:t>
      </w:r>
    </w:p>
    <w:p w:rsidR="00B13CA4" w:rsidRDefault="00B13CA4">
      <w:pPr>
        <w:pStyle w:val="Body"/>
        <w:spacing w:after="120" w:line="240" w:lineRule="auto"/>
        <w:jc w:val="both"/>
        <w:rPr>
          <w:rFonts w:ascii="Times New Roman" w:hAnsi="Times New Roman" w:cs="Times New Roman"/>
          <w:noProof/>
          <w:sz w:val="24"/>
          <w:szCs w:val="24"/>
        </w:rPr>
      </w:pPr>
    </w:p>
    <w:p w:rsidR="00B13CA4" w:rsidRDefault="00FB4139">
      <w:pPr>
        <w:pStyle w:val="Body"/>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Наказателни кодекси</w:t>
      </w:r>
    </w:p>
    <w:p w:rsidR="00B13CA4" w:rsidRDefault="00FB4139">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През юли 2018 г. парламентът на Румъния прие в рамките на спешна процедура промени в </w:t>
      </w:r>
      <w:r>
        <w:rPr>
          <w:rFonts w:ascii="Times New Roman" w:hAnsi="Times New Roman"/>
          <w:noProof/>
          <w:sz w:val="24"/>
          <w:szCs w:val="24"/>
        </w:rPr>
        <w:t>Наказателния кодекс и Наказателно-процесуалния кодекс. Тези промени бяха остро критикувани, включително от Европейската комисия и Венецианската комисия</w:t>
      </w:r>
      <w:r>
        <w:rPr>
          <w:rStyle w:val="FootnoteReference"/>
          <w:rFonts w:ascii="Times New Roman" w:eastAsia="Times New Roman" w:hAnsi="Times New Roman"/>
          <w:noProof/>
          <w:sz w:val="24"/>
          <w:szCs w:val="24"/>
        </w:rPr>
        <w:footnoteReference w:id="35"/>
      </w:r>
      <w:r>
        <w:rPr>
          <w:rFonts w:ascii="Times New Roman" w:hAnsi="Times New Roman"/>
          <w:noProof/>
          <w:sz w:val="24"/>
          <w:szCs w:val="24"/>
        </w:rPr>
        <w:t>. Особен повод за загриженост беше рязката промяна в баланса между правата на обвиняемите, правата на же</w:t>
      </w:r>
      <w:r>
        <w:rPr>
          <w:rFonts w:ascii="Times New Roman" w:hAnsi="Times New Roman"/>
          <w:noProof/>
          <w:sz w:val="24"/>
          <w:szCs w:val="24"/>
        </w:rPr>
        <w:t>ртвите и задължението на държавата за ефективно наказателно преследване на престъпленията. Промените бяха в явно противоречие с препоръката по МСП за подобряване на стабилността на кодексите и за това те да бъдат изменяни само когато това е конкретно необх</w:t>
      </w:r>
      <w:r>
        <w:rPr>
          <w:rFonts w:ascii="Times New Roman" w:hAnsi="Times New Roman"/>
          <w:noProof/>
          <w:sz w:val="24"/>
          <w:szCs w:val="24"/>
        </w:rPr>
        <w:t>одимо поради решения на Конституционния съд и транспониране на директивите на ЕС. Много от промените изглеждаха несъвместими с правото на ЕС или с международните задължения на Румъния. През октомври 2018 г. Конституционният съд постанови, че много от проме</w:t>
      </w:r>
      <w:r>
        <w:rPr>
          <w:rFonts w:ascii="Times New Roman" w:hAnsi="Times New Roman"/>
          <w:noProof/>
          <w:sz w:val="24"/>
          <w:szCs w:val="24"/>
        </w:rPr>
        <w:t>ните са противоконституционни.</w:t>
      </w:r>
    </w:p>
    <w:tbl>
      <w:tblPr>
        <w:tblStyle w:val="TableGrid"/>
        <w:tblW w:w="0" w:type="auto"/>
        <w:tblLook w:val="04A0" w:firstRow="1" w:lastRow="0" w:firstColumn="1" w:lastColumn="0" w:noHBand="0" w:noVBand="1"/>
      </w:tblPr>
      <w:tblGrid>
        <w:gridCol w:w="9288"/>
      </w:tblGrid>
      <w:tr w:rsidR="00B13CA4">
        <w:tc>
          <w:tcPr>
            <w:tcW w:w="9288" w:type="dxa"/>
          </w:tcPr>
          <w:p w:rsidR="00B13CA4" w:rsidRDefault="00FB4139">
            <w:pPr>
              <w:spacing w:after="0" w:line="240" w:lineRule="auto"/>
              <w:contextualSpacing/>
              <w:jc w:val="both"/>
              <w:rPr>
                <w:rFonts w:ascii="Times New Roman" w:hAnsi="Times New Roman"/>
                <w:noProof/>
                <w:sz w:val="24"/>
                <w:szCs w:val="24"/>
              </w:rPr>
            </w:pPr>
            <w:r>
              <w:rPr>
                <w:rFonts w:ascii="Times New Roman" w:hAnsi="Times New Roman"/>
                <w:noProof/>
                <w:sz w:val="24"/>
                <w:szCs w:val="24"/>
              </w:rPr>
              <w:t>В доклада от ноември 2018 г. бе препоръчано:</w:t>
            </w:r>
          </w:p>
          <w:p w:rsidR="00B13CA4" w:rsidRDefault="00FB4139">
            <w:pPr>
              <w:numPr>
                <w:ilvl w:val="0"/>
                <w:numId w:val="14"/>
              </w:numPr>
              <w:spacing w:after="0" w:line="240" w:lineRule="auto"/>
              <w:ind w:left="295" w:hanging="295"/>
              <w:contextualSpacing/>
              <w:jc w:val="both"/>
              <w:rPr>
                <w:rFonts w:ascii="Times New Roman" w:hAnsi="Times New Roman"/>
                <w:i/>
                <w:noProof/>
                <w:sz w:val="24"/>
                <w:szCs w:val="24"/>
              </w:rPr>
            </w:pPr>
            <w:r>
              <w:rPr>
                <w:rFonts w:ascii="Times New Roman" w:hAnsi="Times New Roman"/>
                <w:i/>
                <w:noProof/>
                <w:sz w:val="24"/>
                <w:szCs w:val="24"/>
              </w:rPr>
              <w:t>Да се замрази влизането в сила на промените в Наказателния кодекс и в Наказателно-процесуалния кодекс.</w:t>
            </w:r>
          </w:p>
          <w:p w:rsidR="00B13CA4" w:rsidRDefault="00FB4139">
            <w:pPr>
              <w:pStyle w:val="ListParagraph"/>
              <w:numPr>
                <w:ilvl w:val="0"/>
                <w:numId w:val="14"/>
              </w:numPr>
              <w:spacing w:after="0" w:line="240" w:lineRule="auto"/>
              <w:ind w:left="284" w:hanging="294"/>
              <w:jc w:val="both"/>
              <w:rPr>
                <w:rFonts w:ascii="Times New Roman" w:eastAsia="Times New Roman" w:hAnsi="Times New Roman"/>
                <w:noProof/>
                <w:sz w:val="24"/>
                <w:szCs w:val="24"/>
              </w:rPr>
            </w:pPr>
            <w:r>
              <w:rPr>
                <w:rFonts w:ascii="Times New Roman" w:hAnsi="Times New Roman"/>
                <w:i/>
                <w:noProof/>
                <w:sz w:val="24"/>
                <w:szCs w:val="24"/>
              </w:rPr>
              <w:t xml:space="preserve">Да се възобнови преразглеждането на Наказателния кодекс и на </w:t>
            </w:r>
            <w:r>
              <w:rPr>
                <w:rFonts w:ascii="Times New Roman" w:hAnsi="Times New Roman"/>
                <w:i/>
                <w:noProof/>
                <w:sz w:val="24"/>
                <w:szCs w:val="24"/>
              </w:rPr>
              <w:t>Наказателно-процесуалния кодекс, като изцяло се вземе под внимание необходимостта от съгласуваност с правото на ЕС и международните инструменти за борба с корупцията, както и с препоръките по линия на МСП и становището на Венецианската комисия.</w:t>
            </w:r>
          </w:p>
        </w:tc>
      </w:tr>
    </w:tbl>
    <w:p w:rsidR="00B13CA4" w:rsidRDefault="00FB4139">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тези пр</w:t>
      </w:r>
      <w:r>
        <w:rPr>
          <w:rFonts w:ascii="Times New Roman" w:hAnsi="Times New Roman"/>
          <w:noProof/>
          <w:sz w:val="24"/>
          <w:szCs w:val="24"/>
        </w:rPr>
        <w:t>епоръки не бяха предприети последващи действия. Имаше прекъсване, но опасенията не бяха признати за релевантни и това време не беше използвано за по-задълбочено обмисляне и консултации. През април парламентът прие поправени изменения на двата кодекса, какт</w:t>
      </w:r>
      <w:r>
        <w:rPr>
          <w:rFonts w:ascii="Times New Roman" w:hAnsi="Times New Roman"/>
          <w:noProof/>
          <w:sz w:val="24"/>
          <w:szCs w:val="24"/>
        </w:rPr>
        <w:t xml:space="preserve">о и на специалния закон за корупцията, като използва спешна законодателна процедура. Много от измененията продължиха да пораждат загриженост поради въздействието, което ще имат върху капацитета на правоприлагащите органи и съдебната система за разследване </w:t>
      </w:r>
      <w:r>
        <w:rPr>
          <w:rFonts w:ascii="Times New Roman" w:hAnsi="Times New Roman"/>
          <w:noProof/>
          <w:sz w:val="24"/>
          <w:szCs w:val="24"/>
        </w:rPr>
        <w:t>и санкциониране на престъпленията като цяло, и по-специално на престъпленията, свързани с корупция. Обосновката, представена от подкрепящото промените мнозинство в парламента, беше запазването само на тези изменения, които не са били обявени за противоконс</w:t>
      </w:r>
      <w:r>
        <w:rPr>
          <w:rFonts w:ascii="Times New Roman" w:hAnsi="Times New Roman"/>
          <w:noProof/>
          <w:sz w:val="24"/>
          <w:szCs w:val="24"/>
        </w:rPr>
        <w:t>титуционни в решенията на Конституционния съд от октомври 2018 г. Опозиционните партии и президентът на Румъния оспориха тези изменения пред Конституционния съд и през юли 2019 г. той постанови, че измененията като цяло са противоконституционни и не са в с</w:t>
      </w:r>
      <w:r>
        <w:rPr>
          <w:rFonts w:ascii="Times New Roman" w:hAnsi="Times New Roman"/>
          <w:noProof/>
          <w:sz w:val="24"/>
          <w:szCs w:val="24"/>
        </w:rPr>
        <w:t>ъответствие с предходните му решения</w:t>
      </w:r>
      <w:r>
        <w:rPr>
          <w:rFonts w:ascii="Times New Roman" w:eastAsia="Times New Roman" w:hAnsi="Times New Roman"/>
          <w:noProof/>
          <w:sz w:val="24"/>
          <w:szCs w:val="24"/>
          <w:vertAlign w:val="superscript"/>
        </w:rPr>
        <w:footnoteReference w:id="36"/>
      </w:r>
      <w:r>
        <w:rPr>
          <w:rFonts w:ascii="Times New Roman" w:hAnsi="Times New Roman"/>
          <w:noProof/>
          <w:sz w:val="24"/>
          <w:szCs w:val="24"/>
        </w:rPr>
        <w:t>.</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Въпреки че намесата на Конституционния съд на практика сложи край на този законодателен процес и означаваше, че измененията няма да влязат в сила на основания за конституционност, опасенията на Европейската комисия и </w:t>
      </w:r>
      <w:r>
        <w:rPr>
          <w:rFonts w:ascii="Times New Roman" w:hAnsi="Times New Roman"/>
          <w:noProof/>
          <w:sz w:val="24"/>
          <w:szCs w:val="24"/>
        </w:rPr>
        <w:t>много други наблюдатели се дължаха на избора на политика, направен в измененията. Поради това продължава да буди безпокойство фактът, че възприетият избор на политика не беше недвусмислено отречен</w:t>
      </w:r>
      <w:r>
        <w:rPr>
          <w:rStyle w:val="FootnoteReference"/>
          <w:rFonts w:ascii="Times New Roman" w:hAnsi="Times New Roman"/>
          <w:noProof/>
          <w:sz w:val="24"/>
          <w:szCs w:val="24"/>
        </w:rPr>
        <w:footnoteReference w:id="37"/>
      </w:r>
      <w:r>
        <w:rPr>
          <w:rFonts w:ascii="Times New Roman" w:hAnsi="Times New Roman"/>
          <w:noProof/>
          <w:sz w:val="24"/>
          <w:szCs w:val="24"/>
        </w:rPr>
        <w:t>.</w:t>
      </w:r>
    </w:p>
    <w:p w:rsidR="00B13CA4" w:rsidRDefault="00FB4139">
      <w:pPr>
        <w:keepNext/>
        <w:spacing w:before="240" w:after="240" w:line="240" w:lineRule="auto"/>
        <w:jc w:val="both"/>
        <w:rPr>
          <w:rFonts w:ascii="Times New Roman" w:hAnsi="Times New Roman"/>
          <w:b/>
          <w:i/>
          <w:noProof/>
          <w:sz w:val="24"/>
          <w:szCs w:val="24"/>
        </w:rPr>
      </w:pPr>
      <w:r>
        <w:rPr>
          <w:rFonts w:ascii="Times New Roman" w:hAnsi="Times New Roman"/>
          <w:b/>
          <w:i/>
          <w:noProof/>
          <w:sz w:val="24"/>
          <w:szCs w:val="24"/>
        </w:rPr>
        <w:t>3.1.2.</w:t>
      </w:r>
      <w:r>
        <w:rPr>
          <w:rFonts w:ascii="Times New Roman" w:hAnsi="Times New Roman"/>
          <w:b/>
          <w:i/>
          <w:noProof/>
          <w:sz w:val="24"/>
          <w:szCs w:val="24"/>
        </w:rPr>
        <w:tab/>
        <w:t>Препоръките от януари 2017 г.: независимост на съд</w:t>
      </w:r>
      <w:r>
        <w:rPr>
          <w:rFonts w:ascii="Times New Roman" w:hAnsi="Times New Roman"/>
          <w:b/>
          <w:i/>
          <w:noProof/>
          <w:sz w:val="24"/>
          <w:szCs w:val="24"/>
        </w:rPr>
        <w:t>ебната власт и съдебна реформа</w:t>
      </w:r>
    </w:p>
    <w:p w:rsidR="00B13CA4" w:rsidRDefault="00FB4139">
      <w:pPr>
        <w:keepNext/>
        <w:spacing w:before="240" w:after="240" w:line="240" w:lineRule="auto"/>
        <w:jc w:val="both"/>
        <w:rPr>
          <w:rFonts w:ascii="Times New Roman" w:hAnsi="Times New Roman"/>
          <w:b/>
          <w:noProof/>
          <w:sz w:val="24"/>
          <w:szCs w:val="24"/>
        </w:rPr>
      </w:pPr>
      <w:r>
        <w:rPr>
          <w:rFonts w:ascii="Times New Roman" w:hAnsi="Times New Roman"/>
          <w:b/>
          <w:noProof/>
          <w:sz w:val="24"/>
          <w:szCs w:val="24"/>
        </w:rPr>
        <w:t>3.1.2.1</w:t>
      </w:r>
      <w:r>
        <w:rPr>
          <w:rFonts w:ascii="Times New Roman" w:hAnsi="Times New Roman"/>
          <w:b/>
          <w:noProof/>
          <w:sz w:val="24"/>
          <w:szCs w:val="24"/>
        </w:rPr>
        <w:tab/>
        <w:t>Независимост на съдебната власт</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1: Да се въведе солидна и независима система за назначаване на висши прокурори, основана на ясни и прозрачни критерии, като се използва подкрепата на Венецианската комисия.</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2: Да се гарантира, че подготвяният в момента от парламента Кодекс за поведение на членовете на парламента съдържа ясни разпоредби относно взаимното уважение между институциите и разпоредби, които ясно посочват, че членовете на парламента и парла</w:t>
      </w:r>
      <w:r>
        <w:rPr>
          <w:rFonts w:ascii="Times New Roman" w:hAnsi="Times New Roman"/>
          <w:i/>
          <w:noProof/>
          <w:sz w:val="24"/>
          <w:szCs w:val="24"/>
        </w:rPr>
        <w:t>ментарният процес следва да зачитат независимостта на съдебната власт. Подобен кодекс за поведение може да бъде приет за министрите.</w:t>
      </w:r>
    </w:p>
    <w:p w:rsidR="00B13CA4" w:rsidRDefault="00FB4139">
      <w:pPr>
        <w:keepNext/>
        <w:spacing w:after="120" w:line="240" w:lineRule="auto"/>
        <w:jc w:val="both"/>
        <w:rPr>
          <w:rFonts w:ascii="Times New Roman" w:hAnsi="Times New Roman"/>
          <w:i/>
          <w:noProof/>
          <w:sz w:val="24"/>
          <w:szCs w:val="24"/>
        </w:rPr>
      </w:pPr>
      <w:r>
        <w:rPr>
          <w:rFonts w:ascii="Times New Roman" w:hAnsi="Times New Roman"/>
          <w:i/>
          <w:noProof/>
          <w:sz w:val="24"/>
          <w:szCs w:val="24"/>
        </w:rPr>
        <w:t>Назначения</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През януари 2017 г. Комисията повтори препоръката си за въвеждане на система за прозрачни и основаващи се на кач</w:t>
      </w:r>
      <w:r>
        <w:rPr>
          <w:rFonts w:ascii="Times New Roman" w:hAnsi="Times New Roman"/>
          <w:noProof/>
          <w:sz w:val="24"/>
          <w:szCs w:val="24"/>
        </w:rPr>
        <w:t>ествата на кандидатите назначения на висши прокурори, която да предоставя достатъчни гаранции срещу политизиране. В доклада от ноември 2018 г. бе заключено, че положението се е влошило, като тази тенденция продължава (вж. по-горе)</w:t>
      </w:r>
      <w:r>
        <w:rPr>
          <w:rFonts w:ascii="Times New Roman" w:hAnsi="Times New Roman"/>
          <w:noProof/>
          <w:sz w:val="24"/>
          <w:szCs w:val="24"/>
          <w:vertAlign w:val="superscript"/>
        </w:rPr>
        <w:footnoteReference w:id="38"/>
      </w:r>
      <w:r>
        <w:rPr>
          <w:rFonts w:ascii="Times New Roman" w:hAnsi="Times New Roman"/>
          <w:noProof/>
          <w:sz w:val="24"/>
          <w:szCs w:val="24"/>
        </w:rPr>
        <w:t>.</w:t>
      </w:r>
    </w:p>
    <w:p w:rsidR="00B13CA4" w:rsidRDefault="00FB4139">
      <w:pPr>
        <w:pStyle w:val="Body"/>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Прозрачността на </w:t>
      </w:r>
      <w:r>
        <w:rPr>
          <w:rFonts w:ascii="Times New Roman" w:hAnsi="Times New Roman" w:cs="Times New Roman"/>
          <w:noProof/>
          <w:sz w:val="24"/>
          <w:szCs w:val="24"/>
        </w:rPr>
        <w:t>процедурата бе увеличена, по-специално с публикуването на критериите за подбор и оценка от страна на Министерството на правосъдието. Сегашният министър на правосъдието призна необходимостта от допълнителни подобрения. Фактът обаче, че са налице четири пром</w:t>
      </w:r>
      <w:r>
        <w:rPr>
          <w:rFonts w:ascii="Times New Roman" w:hAnsi="Times New Roman" w:cs="Times New Roman"/>
          <w:noProof/>
          <w:sz w:val="24"/>
          <w:szCs w:val="24"/>
        </w:rPr>
        <w:t>ени за по-малко от шест месеца, показва, че полезните подобрения в краткосрочен план не са равнозначни на дългосрочно решение. Както вече беше посочено в докладите по МСП, проблемите са от толкова дълго време, че е нужно да бъдат намерени промени, изграден</w:t>
      </w:r>
      <w:r>
        <w:rPr>
          <w:rFonts w:ascii="Times New Roman" w:hAnsi="Times New Roman" w:cs="Times New Roman"/>
          <w:noProof/>
          <w:sz w:val="24"/>
          <w:szCs w:val="24"/>
        </w:rPr>
        <w:t>и на основата на консенсус и заложени в законодателството. Участието на Венецианската комисия остава най-добрият начин за намиране на баланс между участието на правителството и съдебните органи, който може да се ползва с обществено доверие.</w:t>
      </w:r>
    </w:p>
    <w:p w:rsidR="00B13CA4" w:rsidRDefault="00FB4139">
      <w:pPr>
        <w:keepNext/>
        <w:spacing w:after="120" w:line="240" w:lineRule="auto"/>
        <w:jc w:val="both"/>
        <w:rPr>
          <w:rFonts w:ascii="Times New Roman" w:hAnsi="Times New Roman"/>
          <w:noProof/>
          <w:sz w:val="24"/>
          <w:szCs w:val="24"/>
        </w:rPr>
      </w:pPr>
      <w:r>
        <w:rPr>
          <w:rFonts w:ascii="Times New Roman" w:hAnsi="Times New Roman"/>
          <w:i/>
          <w:noProof/>
          <w:sz w:val="24"/>
          <w:szCs w:val="24"/>
        </w:rPr>
        <w:t>Кодекси за пове</w:t>
      </w:r>
      <w:r>
        <w:rPr>
          <w:rFonts w:ascii="Times New Roman" w:hAnsi="Times New Roman"/>
          <w:i/>
          <w:noProof/>
          <w:sz w:val="24"/>
          <w:szCs w:val="24"/>
        </w:rPr>
        <w:t>дение</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През периода на докладване критиките срещу съдебната система и отделни магистрати както в медиите, така и от страна на правителството и на представители на парламента продължиха да бъдат нещо обикновено.</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От края на 2017 г. е в сила кодекс за поведени</w:t>
      </w:r>
      <w:r>
        <w:rPr>
          <w:rFonts w:ascii="Times New Roman" w:hAnsi="Times New Roman"/>
          <w:noProof/>
          <w:sz w:val="24"/>
          <w:szCs w:val="24"/>
        </w:rPr>
        <w:t>е на членовете на парламента. В доклада от ноември 2018 г. бе констатирано, че при липса на изрични разпоредби относно зачитането на независимостта на съдебната власт кодексът все още не изпълнява функция в това отношение. След доклада от ноември 2018 г. в</w:t>
      </w:r>
      <w:r>
        <w:rPr>
          <w:rFonts w:ascii="Times New Roman" w:hAnsi="Times New Roman"/>
          <w:noProof/>
          <w:sz w:val="24"/>
          <w:szCs w:val="24"/>
        </w:rPr>
        <w:t xml:space="preserve"> някои случаи бяха наложени санкции от Камарата на депутатите за нарушения на кодекса, но тези случаи изглежда не се отнасят до случаите на критика на съдебната власт, които биха могли да накърнят независимостта ѝ.</w:t>
      </w:r>
      <w:r>
        <w:rPr>
          <w:rFonts w:ascii="Times New Roman" w:hAnsi="Times New Roman"/>
          <w:noProof/>
          <w:sz w:val="24"/>
          <w:szCs w:val="24"/>
          <w:vertAlign w:val="superscript"/>
        </w:rPr>
        <w:t xml:space="preserve"> </w:t>
      </w:r>
      <w:r>
        <w:rPr>
          <w:rFonts w:ascii="Times New Roman" w:hAnsi="Times New Roman"/>
          <w:noProof/>
          <w:sz w:val="24"/>
          <w:szCs w:val="24"/>
          <w:vertAlign w:val="superscript"/>
        </w:rPr>
        <w:footnoteReference w:id="39"/>
      </w:r>
      <w:r>
        <w:rPr>
          <w:rFonts w:ascii="Times New Roman" w:hAnsi="Times New Roman"/>
          <w:noProof/>
          <w:sz w:val="24"/>
          <w:szCs w:val="24"/>
        </w:rPr>
        <w:t xml:space="preserve"> </w:t>
      </w:r>
    </w:p>
    <w:p w:rsidR="00B13CA4" w:rsidRDefault="00FB4139">
      <w:pPr>
        <w:spacing w:after="0" w:line="240" w:lineRule="auto"/>
        <w:jc w:val="both"/>
        <w:rPr>
          <w:rFonts w:ascii="Times New Roman" w:hAnsi="Times New Roman"/>
          <w:noProof/>
          <w:sz w:val="24"/>
          <w:szCs w:val="24"/>
        </w:rPr>
      </w:pPr>
      <w:r>
        <w:rPr>
          <w:rFonts w:ascii="Times New Roman" w:hAnsi="Times New Roman"/>
          <w:noProof/>
          <w:sz w:val="24"/>
          <w:szCs w:val="24"/>
        </w:rPr>
        <w:t xml:space="preserve">Комисията също така изрази идеята, че </w:t>
      </w:r>
      <w:r>
        <w:rPr>
          <w:rFonts w:ascii="Times New Roman" w:hAnsi="Times New Roman"/>
          <w:noProof/>
          <w:sz w:val="24"/>
          <w:szCs w:val="24"/>
        </w:rPr>
        <w:t>би било от полза да има кодекс за поведение на министрите в това отношение, и през април 2019 г. правителството измени кодекса за поведение на министрите, като бе включено изрично упоменаване на необходимостта от зачитане на независимостта на съдебната вла</w:t>
      </w:r>
      <w:r>
        <w:rPr>
          <w:rFonts w:ascii="Times New Roman" w:hAnsi="Times New Roman"/>
          <w:noProof/>
          <w:sz w:val="24"/>
          <w:szCs w:val="24"/>
        </w:rPr>
        <w:t>ст. Все още не е ясно дали този кодекс е в състояние да изпълнява функциите на ефективен инструмент за отчетност.</w:t>
      </w:r>
    </w:p>
    <w:p w:rsidR="00B13CA4" w:rsidRDefault="00FB4139">
      <w:pPr>
        <w:keepNext/>
        <w:spacing w:before="240" w:after="240" w:line="240" w:lineRule="auto"/>
        <w:jc w:val="both"/>
        <w:rPr>
          <w:rFonts w:ascii="Times New Roman" w:hAnsi="Times New Roman"/>
          <w:b/>
          <w:noProof/>
          <w:sz w:val="24"/>
          <w:szCs w:val="24"/>
        </w:rPr>
      </w:pPr>
      <w:r>
        <w:rPr>
          <w:rFonts w:ascii="Times New Roman" w:hAnsi="Times New Roman"/>
          <w:b/>
          <w:noProof/>
          <w:sz w:val="24"/>
          <w:szCs w:val="24"/>
        </w:rPr>
        <w:t>3.1.2.2</w:t>
      </w:r>
      <w:r>
        <w:rPr>
          <w:rFonts w:ascii="Times New Roman" w:hAnsi="Times New Roman"/>
          <w:b/>
          <w:noProof/>
          <w:sz w:val="24"/>
          <w:szCs w:val="24"/>
        </w:rPr>
        <w:tab/>
        <w:t>Съдебна реформа</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3: Сегашната фаза на реформата на румънските наказателни кодекси следва да приключи, като парламентът напред</w:t>
      </w:r>
      <w:r>
        <w:rPr>
          <w:rFonts w:ascii="Times New Roman" w:hAnsi="Times New Roman"/>
          <w:i/>
          <w:noProof/>
          <w:sz w:val="24"/>
          <w:szCs w:val="24"/>
        </w:rPr>
        <w:t xml:space="preserve">не с плановете си да приеме измененията, внесени след консултацията със съдебните органи през 2016 г. Министърът на правосъдието, Висшият магистратски съвет и Висшият касационен съд следва да финализират план за действие, за да се гарантира, че ще може да </w:t>
      </w:r>
      <w:r>
        <w:rPr>
          <w:rFonts w:ascii="Times New Roman" w:hAnsi="Times New Roman"/>
          <w:i/>
          <w:noProof/>
          <w:sz w:val="24"/>
          <w:szCs w:val="24"/>
        </w:rPr>
        <w:t>се спази новият краен срок за прилагането на останалите разпоредби на Гражданския процесуален кодекс</w:t>
      </w:r>
      <w:r>
        <w:rPr>
          <w:rFonts w:ascii="Times New Roman" w:hAnsi="Times New Roman"/>
          <w:noProof/>
          <w:sz w:val="24"/>
          <w:szCs w:val="24"/>
        </w:rPr>
        <w:t>.</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4: С цел да увеличат допълнително прозрачността и предвидимостта на законодателния процес и да засилят вътрешните гаранции в интерес на необрати</w:t>
      </w:r>
      <w:r>
        <w:rPr>
          <w:rFonts w:ascii="Times New Roman" w:hAnsi="Times New Roman"/>
          <w:i/>
          <w:noProof/>
          <w:sz w:val="24"/>
          <w:szCs w:val="24"/>
        </w:rPr>
        <w:t>мостта на напредъка, като следват примера на въведената през 2016 г. от правителството прозрачност в процеса на вземане на решения, правителството и парламентът следва да гарантират пълна прозрачност и надлежно да отчетат консултациите със съответните орга</w:t>
      </w:r>
      <w:r>
        <w:rPr>
          <w:rFonts w:ascii="Times New Roman" w:hAnsi="Times New Roman"/>
          <w:i/>
          <w:noProof/>
          <w:sz w:val="24"/>
          <w:szCs w:val="24"/>
        </w:rPr>
        <w:t>ни и заинтересовани страни в процеса на вземане на решения и законодателната дейност по Наказателния кодекс и Наказателно-процесуалния кодекс, законодателството за борба с корупцията, законодателството за съблюдаване на етичните норми (несъвместимост, конф</w:t>
      </w:r>
      <w:r>
        <w:rPr>
          <w:rFonts w:ascii="Times New Roman" w:hAnsi="Times New Roman"/>
          <w:i/>
          <w:noProof/>
          <w:sz w:val="24"/>
          <w:szCs w:val="24"/>
        </w:rPr>
        <w:t>ликти на интереси и богатство с неизяснен произход), законодателството за правосъдието (засягащо организацията на правосъдната система) и по Гражданския кодекс и Гражданския процесуален кодекс.</w:t>
      </w:r>
    </w:p>
    <w:p w:rsidR="00B13CA4" w:rsidRDefault="00FB4139">
      <w:pPr>
        <w:keepNext/>
        <w:spacing w:after="120" w:line="240" w:lineRule="auto"/>
        <w:jc w:val="both"/>
        <w:rPr>
          <w:rFonts w:ascii="Times New Roman" w:hAnsi="Times New Roman"/>
          <w:i/>
          <w:noProof/>
          <w:sz w:val="24"/>
          <w:szCs w:val="24"/>
        </w:rPr>
      </w:pPr>
      <w:r>
        <w:rPr>
          <w:rFonts w:ascii="Times New Roman" w:hAnsi="Times New Roman"/>
          <w:i/>
          <w:noProof/>
          <w:sz w:val="24"/>
          <w:szCs w:val="24"/>
        </w:rPr>
        <w:t>Граждански процесуален кодекс</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Препоръка 3 се отнася до приключ</w:t>
      </w:r>
      <w:r>
        <w:rPr>
          <w:rFonts w:ascii="Times New Roman" w:hAnsi="Times New Roman"/>
          <w:noProof/>
          <w:sz w:val="24"/>
          <w:szCs w:val="24"/>
        </w:rPr>
        <w:t>ването на реформата на Гражданския процесуален кодекс, чрез която в гражданското производство беше въведен етап на заседание при закрити врати. През 2018 г. тази реформа беше изоставена</w:t>
      </w:r>
      <w:r>
        <w:rPr>
          <w:rStyle w:val="FootnoteReference"/>
          <w:rFonts w:ascii="Times New Roman" w:hAnsi="Times New Roman"/>
          <w:noProof/>
          <w:sz w:val="24"/>
          <w:szCs w:val="24"/>
        </w:rPr>
        <w:footnoteReference w:id="40"/>
      </w:r>
      <w:r>
        <w:rPr>
          <w:rFonts w:ascii="Times New Roman" w:hAnsi="Times New Roman"/>
          <w:noProof/>
          <w:sz w:val="24"/>
          <w:szCs w:val="24"/>
        </w:rPr>
        <w:t>. Това означава, че вече няма да се осъществи стъпка, предназначена за</w:t>
      </w:r>
      <w:r>
        <w:rPr>
          <w:rFonts w:ascii="Times New Roman" w:hAnsi="Times New Roman"/>
          <w:noProof/>
          <w:sz w:val="24"/>
          <w:szCs w:val="24"/>
        </w:rPr>
        <w:t xml:space="preserve"> повишаване на ефективността на гражданското правосъдие, но това би следвало да предостави възможност за период на стабилност в този сектор на съдебната система.  </w:t>
      </w:r>
    </w:p>
    <w:p w:rsidR="00B13CA4" w:rsidRDefault="00FB4139">
      <w:pPr>
        <w:spacing w:after="120" w:line="240" w:lineRule="auto"/>
        <w:jc w:val="both"/>
        <w:rPr>
          <w:rFonts w:ascii="Times New Roman" w:hAnsi="Times New Roman"/>
          <w:noProof/>
          <w:sz w:val="24"/>
          <w:szCs w:val="24"/>
        </w:rPr>
      </w:pPr>
      <w:r>
        <w:rPr>
          <w:rFonts w:ascii="Times New Roman" w:hAnsi="Times New Roman"/>
          <w:i/>
          <w:noProof/>
          <w:sz w:val="24"/>
          <w:szCs w:val="24"/>
        </w:rPr>
        <w:t>Прозрачност и предвидимост на законодателния процес при законодателството в областта на съде</w:t>
      </w:r>
      <w:r>
        <w:rPr>
          <w:rFonts w:ascii="Times New Roman" w:hAnsi="Times New Roman"/>
          <w:i/>
          <w:noProof/>
          <w:sz w:val="24"/>
          <w:szCs w:val="24"/>
        </w:rPr>
        <w:t>бната реформа и борбата с корупцията (за наказателните кодекси вж. по-горе)</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В доклада от януари 2017 г. бе пояснено, че </w:t>
      </w:r>
      <w:r>
        <w:rPr>
          <w:rFonts w:ascii="Times New Roman" w:hAnsi="Times New Roman"/>
          <w:i/>
          <w:noProof/>
          <w:sz w:val="24"/>
          <w:szCs w:val="24"/>
        </w:rPr>
        <w:t>процесът</w:t>
      </w:r>
      <w:r>
        <w:rPr>
          <w:rFonts w:ascii="Times New Roman" w:hAnsi="Times New Roman"/>
          <w:noProof/>
          <w:sz w:val="24"/>
          <w:szCs w:val="24"/>
        </w:rPr>
        <w:t xml:space="preserve">, използван за изработване на законодателството, е сам по себе си важен. Това продължава да буди безпокойство. Процесът на </w:t>
      </w:r>
      <w:r>
        <w:rPr>
          <w:rFonts w:ascii="Times New Roman" w:hAnsi="Times New Roman"/>
          <w:noProof/>
          <w:sz w:val="24"/>
          <w:szCs w:val="24"/>
        </w:rPr>
        <w:t>изменение на законите в областта на правосъдието чрез поредица от извънредни постановления беше силно критикуван от Венецианската комисия</w:t>
      </w:r>
      <w:r>
        <w:rPr>
          <w:rFonts w:ascii="Times New Roman" w:hAnsi="Times New Roman"/>
          <w:noProof/>
          <w:sz w:val="24"/>
          <w:szCs w:val="24"/>
          <w:vertAlign w:val="superscript"/>
        </w:rPr>
        <w:footnoteReference w:id="41"/>
      </w:r>
      <w:r>
        <w:rPr>
          <w:rFonts w:ascii="Times New Roman" w:hAnsi="Times New Roman"/>
          <w:noProof/>
          <w:sz w:val="24"/>
          <w:szCs w:val="24"/>
        </w:rPr>
        <w:t xml:space="preserve"> поради въздействието на процеса върху качеството на законодателството, правната сигурност, външния контрол на правите</w:t>
      </w:r>
      <w:r>
        <w:rPr>
          <w:rFonts w:ascii="Times New Roman" w:hAnsi="Times New Roman"/>
          <w:noProof/>
          <w:sz w:val="24"/>
          <w:szCs w:val="24"/>
        </w:rPr>
        <w:t>лството и принципа на разделение на властите</w:t>
      </w:r>
      <w:r>
        <w:rPr>
          <w:rFonts w:ascii="Times New Roman" w:hAnsi="Times New Roman"/>
          <w:noProof/>
          <w:sz w:val="24"/>
          <w:szCs w:val="24"/>
          <w:vertAlign w:val="superscript"/>
        </w:rPr>
        <w:footnoteReference w:id="42"/>
      </w:r>
      <w:r>
        <w:rPr>
          <w:rFonts w:ascii="Times New Roman" w:hAnsi="Times New Roman"/>
          <w:noProof/>
          <w:sz w:val="24"/>
          <w:szCs w:val="24"/>
        </w:rPr>
        <w:t>. По същия начин, както беше отбелязано по-горе, законодателният процес в парламента през април 2019 г. за изменение на Наказателния кодекс и Наказателно-процесуалния кодекс, както и на специалния закон за коруп</w:t>
      </w:r>
      <w:r>
        <w:rPr>
          <w:rFonts w:ascii="Times New Roman" w:hAnsi="Times New Roman"/>
          <w:noProof/>
          <w:sz w:val="24"/>
          <w:szCs w:val="24"/>
        </w:rPr>
        <w:t xml:space="preserve">цията продължи само около седмица.    </w:t>
      </w:r>
    </w:p>
    <w:p w:rsidR="00B13CA4" w:rsidRDefault="00FB4139">
      <w:pPr>
        <w:spacing w:after="120" w:line="240" w:lineRule="auto"/>
        <w:jc w:val="both"/>
        <w:rPr>
          <w:rFonts w:ascii="Times New Roman" w:hAnsi="Times New Roman"/>
          <w:iCs/>
          <w:noProof/>
          <w:sz w:val="24"/>
          <w:szCs w:val="24"/>
        </w:rPr>
      </w:pPr>
      <w:r>
        <w:rPr>
          <w:rFonts w:ascii="Times New Roman" w:hAnsi="Times New Roman"/>
          <w:noProof/>
          <w:sz w:val="24"/>
          <w:szCs w:val="24"/>
        </w:rPr>
        <w:t>Това бе основна точка, цитирана в писмото на Комисията от май 2019 г., в което се изразяваха опасения от рискове за върховенството на закона. Тези опасения бяха отразени също така в референдума през май, когато бе нал</w:t>
      </w:r>
      <w:r>
        <w:rPr>
          <w:rFonts w:ascii="Times New Roman" w:hAnsi="Times New Roman"/>
          <w:noProof/>
          <w:sz w:val="24"/>
          <w:szCs w:val="24"/>
        </w:rPr>
        <w:t xml:space="preserve">ице силна обществена подкрепа за по-организиран процес. Министър-председателят заяви, че правителството ще следва резултатите и ще се въздържа от приемане на извънредни постановления в областта на правосъдието. През септември 2019 г. парламентът също така </w:t>
      </w:r>
      <w:r>
        <w:rPr>
          <w:rFonts w:ascii="Times New Roman" w:hAnsi="Times New Roman"/>
          <w:noProof/>
          <w:sz w:val="24"/>
          <w:szCs w:val="24"/>
        </w:rPr>
        <w:t>разпусна специалната парламентарна комисия за систематизиране, унифициране и гарантиране на законодателна стабилност в съдебната система, която беше отговорна за някои от използваните най-съкратени процедури.</w:t>
      </w:r>
    </w:p>
    <w:p w:rsidR="00B13CA4" w:rsidRDefault="00FB4139">
      <w:pPr>
        <w:spacing w:after="240" w:line="240" w:lineRule="auto"/>
        <w:jc w:val="both"/>
        <w:rPr>
          <w:rFonts w:ascii="Times New Roman" w:hAnsi="Times New Roman"/>
          <w:iCs/>
          <w:noProof/>
          <w:sz w:val="24"/>
          <w:szCs w:val="24"/>
        </w:rPr>
      </w:pPr>
      <w:r>
        <w:rPr>
          <w:rFonts w:ascii="Times New Roman" w:hAnsi="Times New Roman"/>
          <w:iCs/>
          <w:noProof/>
          <w:sz w:val="24"/>
          <w:szCs w:val="24"/>
        </w:rPr>
        <w:t>След доклада от ноември 2018 г. подобни опасени</w:t>
      </w:r>
      <w:r>
        <w:rPr>
          <w:rFonts w:ascii="Times New Roman" w:hAnsi="Times New Roman"/>
          <w:iCs/>
          <w:noProof/>
          <w:sz w:val="24"/>
          <w:szCs w:val="24"/>
        </w:rPr>
        <w:t>я създадоха законодателните промени по отношение на правната уредба за съблюдаване на етичните норми. Последващите промени в законодателството за съблюдаване на етичните норми увеличиха значително липсата на яснота и правна сигурност (вж. втория показател)</w:t>
      </w:r>
      <w:r>
        <w:rPr>
          <w:rFonts w:ascii="Times New Roman" w:hAnsi="Times New Roman"/>
          <w:iCs/>
          <w:noProof/>
          <w:sz w:val="24"/>
          <w:szCs w:val="24"/>
        </w:rPr>
        <w:t>.</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5: Правителството следва да въведе подходящ план за действие за решаване на въпроса с изпълнението на съдебните решения и прилагането от публичната администрация на съдебната практика, включително механизъм за осигуряване на точна статистика, з</w:t>
      </w:r>
      <w:r>
        <w:rPr>
          <w:rFonts w:ascii="Times New Roman" w:hAnsi="Times New Roman"/>
          <w:i/>
          <w:noProof/>
          <w:sz w:val="24"/>
          <w:szCs w:val="24"/>
        </w:rPr>
        <w:t>а да се даде възможност за извършване на мониторинг в бъдеще. То следва също така да разработи система за вътрешен мониторинг с участието на Висшия магистратски съвет и Сметната палата, за да се гарантира правилното изпълнение на плана за действие.</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w:t>
      </w:r>
      <w:r>
        <w:rPr>
          <w:rFonts w:ascii="Times New Roman" w:hAnsi="Times New Roman"/>
          <w:i/>
          <w:noProof/>
          <w:sz w:val="24"/>
          <w:szCs w:val="24"/>
        </w:rPr>
        <w:t>ка 6: Стратегическото ръководство на съдебната система, а именно министърът на правосъдието, Висшият магистратски съвет, Висшият касационен съд и главният прокурор, следва да осигури изпълнението на приетия план за действие и да въведе редовно съвместно пу</w:t>
      </w:r>
      <w:r>
        <w:rPr>
          <w:rFonts w:ascii="Times New Roman" w:hAnsi="Times New Roman"/>
          <w:i/>
          <w:noProof/>
          <w:sz w:val="24"/>
          <w:szCs w:val="24"/>
        </w:rPr>
        <w:t>блично докладване относно изпълнението му, в това число относно решенията на проблемите, касаещи недостига на съдебни секретари, прекомерната натовареност и закъсненията при обявяването на мотивите на решенията.</w:t>
      </w:r>
    </w:p>
    <w:p w:rsidR="00B13CA4" w:rsidRDefault="00FB4139">
      <w:pPr>
        <w:keepNext/>
        <w:spacing w:after="120" w:line="240" w:lineRule="auto"/>
        <w:jc w:val="both"/>
        <w:rPr>
          <w:rFonts w:ascii="Times New Roman" w:hAnsi="Times New Roman"/>
          <w:i/>
          <w:noProof/>
          <w:sz w:val="24"/>
          <w:szCs w:val="24"/>
        </w:rPr>
      </w:pPr>
      <w:r>
        <w:rPr>
          <w:rFonts w:ascii="Times New Roman" w:hAnsi="Times New Roman"/>
          <w:i/>
          <w:noProof/>
          <w:sz w:val="24"/>
          <w:szCs w:val="24"/>
        </w:rPr>
        <w:t>Зачитане на съдебните решения</w:t>
      </w:r>
    </w:p>
    <w:p w:rsidR="00B13CA4" w:rsidRDefault="00FB4139">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Румънското </w:t>
      </w:r>
      <w:r>
        <w:rPr>
          <w:rFonts w:ascii="Times New Roman" w:hAnsi="Times New Roman"/>
          <w:noProof/>
          <w:sz w:val="24"/>
          <w:szCs w:val="24"/>
        </w:rPr>
        <w:t>правителство одобри на 3 април 2019 г. меморандум относно „мерки за гарантиране на изпълнението на съдебни решения срещу публичноправен длъжник в съответствие със съдебната практика на Европейския съд по правата на човека във връзка с неизпълнение или заба</w:t>
      </w:r>
      <w:r>
        <w:rPr>
          <w:rFonts w:ascii="Times New Roman" w:hAnsi="Times New Roman"/>
          <w:noProof/>
          <w:sz w:val="24"/>
          <w:szCs w:val="24"/>
        </w:rPr>
        <w:t>вяне на изпълнението на съдебни решения, постановени срещу публичноправен длъжник“. Това бе ответна мярка на групата от дела „Săcăleanu срещу Румъния“ в Европейския съд по правата на човека</w:t>
      </w:r>
      <w:r>
        <w:rPr>
          <w:rStyle w:val="FootnoteReference"/>
          <w:rFonts w:ascii="Times New Roman" w:hAnsi="Times New Roman"/>
          <w:noProof/>
          <w:sz w:val="24"/>
          <w:szCs w:val="24"/>
        </w:rPr>
        <w:footnoteReference w:id="43"/>
      </w:r>
      <w:r>
        <w:rPr>
          <w:rFonts w:ascii="Times New Roman" w:hAnsi="Times New Roman"/>
          <w:noProof/>
          <w:sz w:val="24"/>
          <w:szCs w:val="24"/>
        </w:rPr>
        <w:t>.</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Предложенията, съдържащи се в меморандума, включително необходим</w:t>
      </w:r>
      <w:r>
        <w:rPr>
          <w:rFonts w:ascii="Times New Roman" w:hAnsi="Times New Roman"/>
          <w:noProof/>
          <w:sz w:val="24"/>
          <w:szCs w:val="24"/>
        </w:rPr>
        <w:t xml:space="preserve">ите регулаторни мерки, понастоящем се анализират от румънските органи, за да се подготвят за тяхното изпълнение. Министерството на правосъдието и Висшият магистратски съвет са на последен етап от разработването на електронното приложение „ECRIS“, което се </w:t>
      </w:r>
      <w:r>
        <w:rPr>
          <w:rFonts w:ascii="Times New Roman" w:hAnsi="Times New Roman"/>
          <w:noProof/>
          <w:sz w:val="24"/>
          <w:szCs w:val="24"/>
        </w:rPr>
        <w:t>използва за установяването на броя на окончателните съдебни решения, по които публични институции са длъжници или кредитори</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w:t>
      </w:r>
    </w:p>
    <w:p w:rsidR="00B13CA4" w:rsidRDefault="00FB4139">
      <w:pPr>
        <w:spacing w:after="120" w:line="240" w:lineRule="auto"/>
        <w:jc w:val="both"/>
        <w:rPr>
          <w:rFonts w:ascii="Times New Roman" w:eastAsia="Times New Roman" w:hAnsi="Times New Roman"/>
          <w:i/>
          <w:noProof/>
          <w:sz w:val="24"/>
          <w:szCs w:val="24"/>
        </w:rPr>
      </w:pPr>
      <w:r>
        <w:rPr>
          <w:rFonts w:ascii="Times New Roman" w:hAnsi="Times New Roman"/>
          <w:i/>
          <w:noProof/>
          <w:sz w:val="24"/>
          <w:szCs w:val="24"/>
        </w:rPr>
        <w:t>Структурни реформи на съдебната система</w:t>
      </w:r>
    </w:p>
    <w:p w:rsidR="00B13CA4" w:rsidRDefault="00FB4139">
      <w:pPr>
        <w:spacing w:after="240" w:line="240" w:lineRule="auto"/>
        <w:jc w:val="both"/>
        <w:rPr>
          <w:rFonts w:ascii="Times New Roman" w:hAnsi="Times New Roman"/>
          <w:noProof/>
          <w:sz w:val="24"/>
          <w:szCs w:val="24"/>
        </w:rPr>
      </w:pPr>
      <w:r>
        <w:rPr>
          <w:rFonts w:ascii="Times New Roman" w:hAnsi="Times New Roman"/>
          <w:noProof/>
          <w:sz w:val="24"/>
          <w:szCs w:val="24"/>
        </w:rPr>
        <w:t>През по-голямата част на разглеждания период стратегическото ръководство на съдебната сис</w:t>
      </w:r>
      <w:r>
        <w:rPr>
          <w:rFonts w:ascii="Times New Roman" w:hAnsi="Times New Roman"/>
          <w:noProof/>
          <w:sz w:val="24"/>
          <w:szCs w:val="24"/>
        </w:rPr>
        <w:t>тема не функционираше съгласно предвиденото</w:t>
      </w:r>
      <w:r>
        <w:rPr>
          <w:rStyle w:val="FootnoteReference"/>
          <w:rFonts w:ascii="Times New Roman" w:hAnsi="Times New Roman"/>
          <w:noProof/>
          <w:sz w:val="24"/>
          <w:szCs w:val="24"/>
        </w:rPr>
        <w:footnoteReference w:id="45"/>
      </w:r>
      <w:r>
        <w:rPr>
          <w:rFonts w:ascii="Times New Roman" w:hAnsi="Times New Roman"/>
          <w:noProof/>
          <w:sz w:val="24"/>
          <w:szCs w:val="24"/>
        </w:rPr>
        <w:t>. Заседанията стартираха отново през септември 2019 г., подкрепени и с нови механизми за координация и усилия за изграждане на диалог с магистратите, професионалните сдружения и гражданското общество</w:t>
      </w:r>
      <w:r>
        <w:rPr>
          <w:rStyle w:val="FootnoteReference"/>
          <w:rFonts w:ascii="Times New Roman" w:hAnsi="Times New Roman"/>
          <w:noProof/>
          <w:sz w:val="24"/>
          <w:szCs w:val="24"/>
        </w:rPr>
        <w:footnoteReference w:id="46"/>
      </w:r>
      <w:r>
        <w:rPr>
          <w:rFonts w:ascii="Times New Roman" w:hAnsi="Times New Roman"/>
          <w:noProof/>
          <w:sz w:val="24"/>
          <w:szCs w:val="24"/>
        </w:rPr>
        <w:t>. Предвид те</w:t>
      </w:r>
      <w:r>
        <w:rPr>
          <w:rFonts w:ascii="Times New Roman" w:hAnsi="Times New Roman"/>
          <w:noProof/>
          <w:sz w:val="24"/>
          <w:szCs w:val="24"/>
        </w:rPr>
        <w:t xml:space="preserve">кущите предизвикателства, от съществено значение е това стратегическото ръководство на съдебната система да се оформи като форум, способен да отговори на основните стратегически въпроси за съдебната система. В тази си роля то може да представлява начин за </w:t>
      </w:r>
      <w:r>
        <w:rPr>
          <w:rFonts w:ascii="Times New Roman" w:hAnsi="Times New Roman"/>
          <w:noProof/>
          <w:sz w:val="24"/>
          <w:szCs w:val="24"/>
        </w:rPr>
        <w:t>възстановяване на доверието между ключовите съдебни и правителствени институции. Фактът, че основни промени във функционирането и организацията на съдебната система са били извършени чрез извънредни постановления, а не чрез консенсусни решения от стратегич</w:t>
      </w:r>
      <w:r>
        <w:rPr>
          <w:rFonts w:ascii="Times New Roman" w:hAnsi="Times New Roman"/>
          <w:noProof/>
          <w:sz w:val="24"/>
          <w:szCs w:val="24"/>
        </w:rPr>
        <w:t>еското ръководство на съдебната система, може единствено да намали ефективността и устойчивостта на тези промени</w:t>
      </w:r>
      <w:r>
        <w:rPr>
          <w:rFonts w:ascii="Times New Roman" w:hAnsi="Times New Roman"/>
          <w:noProof/>
          <w:sz w:val="24"/>
          <w:szCs w:val="24"/>
          <w:vertAlign w:val="superscript"/>
        </w:rPr>
        <w:footnoteReference w:id="47"/>
      </w:r>
      <w:r>
        <w:rPr>
          <w:rFonts w:ascii="Times New Roman" w:hAnsi="Times New Roman"/>
          <w:noProof/>
          <w:sz w:val="24"/>
          <w:szCs w:val="24"/>
        </w:rPr>
        <w:t xml:space="preserve">. </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7: Новият състав на Висшия магистратски съвет следва да изготви обща програма за мандата си, която да включва мерки за насърчаване</w:t>
      </w:r>
      <w:r>
        <w:rPr>
          <w:rFonts w:ascii="Times New Roman" w:hAnsi="Times New Roman"/>
          <w:i/>
          <w:noProof/>
          <w:sz w:val="24"/>
          <w:szCs w:val="24"/>
        </w:rPr>
        <w:t xml:space="preserve"> на прозрачността и отчетността. Тя следва да включва стратегия за повишаване на информираността, в която да е предвидено провеждането на редовни открити заседания с общи събрания на съдии и прокурори на всички равнища, както и с гражданското общество и пр</w:t>
      </w:r>
      <w:r>
        <w:rPr>
          <w:rFonts w:ascii="Times New Roman" w:hAnsi="Times New Roman"/>
          <w:i/>
          <w:noProof/>
          <w:sz w:val="24"/>
          <w:szCs w:val="24"/>
        </w:rPr>
        <w:t>офесионалните организации, и да предвижда изготвянето на годишен доклад, който да бъде обсъждан на общи събрания на съдии и прокурори.</w:t>
      </w:r>
    </w:p>
    <w:p w:rsidR="00B13CA4" w:rsidRDefault="00FB4139">
      <w:pPr>
        <w:pStyle w:val="PlainText"/>
        <w:keepNext/>
        <w:spacing w:after="120"/>
        <w:jc w:val="both"/>
        <w:rPr>
          <w:rFonts w:ascii="Times New Roman" w:hAnsi="Times New Roman"/>
          <w:noProof/>
          <w:sz w:val="24"/>
          <w:szCs w:val="24"/>
        </w:rPr>
      </w:pPr>
      <w:r>
        <w:rPr>
          <w:rFonts w:ascii="Times New Roman" w:hAnsi="Times New Roman"/>
          <w:i/>
          <w:noProof/>
          <w:sz w:val="24"/>
          <w:szCs w:val="24"/>
        </w:rPr>
        <w:t>Прозрачност и отчетност на Висшия магистратски съвет</w:t>
      </w:r>
      <w:r>
        <w:rPr>
          <w:rFonts w:ascii="Times New Roman" w:hAnsi="Times New Roman"/>
          <w:noProof/>
          <w:sz w:val="24"/>
          <w:szCs w:val="24"/>
        </w:rPr>
        <w:t xml:space="preserve"> </w:t>
      </w:r>
    </w:p>
    <w:p w:rsidR="00B13CA4" w:rsidRDefault="00FB4139">
      <w:pPr>
        <w:spacing w:after="120" w:line="240" w:lineRule="auto"/>
        <w:jc w:val="both"/>
        <w:rPr>
          <w:rFonts w:ascii="Times New Roman" w:eastAsia="SimSun" w:hAnsi="Times New Roman"/>
          <w:noProof/>
          <w:sz w:val="24"/>
          <w:szCs w:val="24"/>
        </w:rPr>
      </w:pPr>
      <w:r>
        <w:rPr>
          <w:rFonts w:ascii="Times New Roman" w:hAnsi="Times New Roman"/>
          <w:noProof/>
          <w:sz w:val="24"/>
          <w:szCs w:val="24"/>
        </w:rPr>
        <w:t xml:space="preserve">Висшият магистратски съвет съобщава, че продължава да изпълнява </w:t>
      </w:r>
      <w:r>
        <w:rPr>
          <w:rFonts w:ascii="Times New Roman" w:hAnsi="Times New Roman"/>
          <w:noProof/>
          <w:sz w:val="24"/>
          <w:szCs w:val="24"/>
        </w:rPr>
        <w:t>приоритетите за мандата си</w:t>
      </w:r>
      <w:r>
        <w:rPr>
          <w:rStyle w:val="FootnoteReference"/>
          <w:rFonts w:ascii="Times New Roman" w:eastAsia="SimSun" w:hAnsi="Times New Roman"/>
          <w:noProof/>
          <w:sz w:val="24"/>
          <w:szCs w:val="24"/>
        </w:rPr>
        <w:footnoteReference w:id="48"/>
      </w:r>
      <w:r>
        <w:rPr>
          <w:rFonts w:ascii="Times New Roman" w:hAnsi="Times New Roman"/>
          <w:noProof/>
          <w:sz w:val="24"/>
          <w:szCs w:val="24"/>
        </w:rPr>
        <w:t xml:space="preserve">, но периодът след доклада от ноември 2018 г. е белязан от разделение и противоречия във Висшия магистратски съвет. Освен това той често бе пренебрегван при вземането на съществени решения относно организацията и функционирането </w:t>
      </w:r>
      <w:r>
        <w:rPr>
          <w:rFonts w:ascii="Times New Roman" w:hAnsi="Times New Roman"/>
          <w:noProof/>
          <w:sz w:val="24"/>
          <w:szCs w:val="24"/>
        </w:rPr>
        <w:t>на съдебната власт от правителството или парламента. Позиции в рамките на Висшия магистратски съвет по въпроси, които са от основно значение за функционирането на румънската съдебна система, като например Специализирания отдел за разследването на магистрат</w:t>
      </w:r>
      <w:r>
        <w:rPr>
          <w:rFonts w:ascii="Times New Roman" w:hAnsi="Times New Roman"/>
          <w:noProof/>
          <w:sz w:val="24"/>
          <w:szCs w:val="24"/>
        </w:rPr>
        <w:t>и или ключови назначения, и за защитата на независимостта на правосъдието, пораждат безпокойство относно институционалната му независимост и правомощията му. То беше допълнително изострено от изменения на законите в областта на правосъдието, които позволяв</w:t>
      </w:r>
      <w:r>
        <w:rPr>
          <w:rFonts w:ascii="Times New Roman" w:hAnsi="Times New Roman"/>
          <w:noProof/>
          <w:sz w:val="24"/>
          <w:szCs w:val="24"/>
        </w:rPr>
        <w:t>ат решения по ключови въпроси да се определят само от няколко членове на Висшия магистратски съвет (вж. по-горе). Това е видно също така от изявления, направени от името на Висшия магистратски съвет, но одобрени само от част от членовете му. Този подход се</w:t>
      </w:r>
      <w:r>
        <w:rPr>
          <w:rFonts w:ascii="Times New Roman" w:hAnsi="Times New Roman"/>
          <w:noProof/>
          <w:sz w:val="24"/>
          <w:szCs w:val="24"/>
        </w:rPr>
        <w:t xml:space="preserve"> характеризира и от липсата на подкрепа от професионалните сдружения или на съгласуване с магистратите в съдилищата и прокуратурите. Висшият магистратски съвет бе разделен относно това как да се реагира на препоръките на Европейската комисия, Венецианската</w:t>
      </w:r>
      <w:r>
        <w:rPr>
          <w:rFonts w:ascii="Times New Roman" w:hAnsi="Times New Roman"/>
          <w:noProof/>
          <w:sz w:val="24"/>
          <w:szCs w:val="24"/>
        </w:rPr>
        <w:t xml:space="preserve"> комисия и Групата държави срещу корупцията (GRECO) и в по-общ план относно това кога да се предприемат действия в защита на независимостта на правосъдието, като сегашният председател на Висшия магистратски съвет и част от членовете му продължават да защит</w:t>
      </w:r>
      <w:r>
        <w:rPr>
          <w:rFonts w:ascii="Times New Roman" w:hAnsi="Times New Roman"/>
          <w:noProof/>
          <w:sz w:val="24"/>
          <w:szCs w:val="24"/>
        </w:rPr>
        <w:t>ават текстовете на законите в областта на правосъдието в сегашния им вид. Висшият магистратски съвет реагира на някои представени му жалби по отношение на защитата на независимостта, репутацията и безпристрастността на магистратите, но тази реакция изглежд</w:t>
      </w:r>
      <w:r>
        <w:rPr>
          <w:rFonts w:ascii="Times New Roman" w:hAnsi="Times New Roman"/>
          <w:noProof/>
          <w:sz w:val="24"/>
          <w:szCs w:val="24"/>
        </w:rPr>
        <w:t>а доста слаба в сравнение с мащаба на проблема. Когато Висшият съвет се позовава на защитата на независимостта на съдебната власт, това понякога повдигна въпроси за евентуална политическа пристрастност.</w:t>
      </w:r>
      <w:r>
        <w:rPr>
          <w:rFonts w:ascii="Times New Roman" w:hAnsi="Times New Roman"/>
          <w:noProof/>
          <w:sz w:val="24"/>
          <w:szCs w:val="24"/>
          <w:vertAlign w:val="superscript"/>
        </w:rPr>
        <w:t xml:space="preserve"> </w:t>
      </w:r>
      <w:r>
        <w:rPr>
          <w:rFonts w:ascii="Times New Roman" w:eastAsia="SimSun" w:hAnsi="Times New Roman"/>
          <w:noProof/>
          <w:sz w:val="24"/>
          <w:szCs w:val="24"/>
          <w:vertAlign w:val="superscript"/>
        </w:rPr>
        <w:footnoteReference w:id="49"/>
      </w:r>
      <w:r>
        <w:rPr>
          <w:rFonts w:ascii="Times New Roman" w:hAnsi="Times New Roman"/>
          <w:noProof/>
          <w:sz w:val="24"/>
          <w:szCs w:val="24"/>
        </w:rPr>
        <w:t xml:space="preserve"> </w:t>
      </w:r>
    </w:p>
    <w:p w:rsidR="00B13CA4" w:rsidRDefault="00FB4139">
      <w:pPr>
        <w:spacing w:after="120" w:line="240" w:lineRule="auto"/>
        <w:jc w:val="both"/>
        <w:rPr>
          <w:rFonts w:ascii="Times New Roman" w:hAnsi="Times New Roman"/>
          <w:b/>
          <w:noProof/>
          <w:sz w:val="24"/>
          <w:szCs w:val="24"/>
        </w:rPr>
      </w:pPr>
      <w:r>
        <w:rPr>
          <w:rFonts w:ascii="Times New Roman" w:hAnsi="Times New Roman"/>
          <w:i/>
          <w:noProof/>
          <w:sz w:val="24"/>
          <w:szCs w:val="24"/>
        </w:rPr>
        <w:t>Продължи напредъкът по първия показател във връзка</w:t>
      </w:r>
      <w:r>
        <w:rPr>
          <w:rFonts w:ascii="Times New Roman" w:hAnsi="Times New Roman"/>
          <w:i/>
          <w:noProof/>
          <w:sz w:val="24"/>
          <w:szCs w:val="24"/>
        </w:rPr>
        <w:t xml:space="preserve"> с препоръка 5 (изпълнение на съдебни решения) и препоръка 3 (само по отношение на Гражданския процесуален кодекс). Препоръки 1, 3 и 4 не бяха изпълнени. По препоръки 2, 6 и 7 не беше отбелязан напредък към постигането на съществени резултати. Що се отнася</w:t>
      </w:r>
      <w:r>
        <w:rPr>
          <w:rFonts w:ascii="Times New Roman" w:hAnsi="Times New Roman"/>
          <w:i/>
          <w:noProof/>
          <w:sz w:val="24"/>
          <w:szCs w:val="24"/>
        </w:rPr>
        <w:t xml:space="preserve"> до допълнителните препоръки от ноември 2018 г., положението се влоши още повече и по-новият положителен подход все още не е дал резултати по отношение на конкретни мерки за преодоляване на ситуацията. Бяха потвърдени опасенията във връзка с рискове за ефе</w:t>
      </w:r>
      <w:r>
        <w:rPr>
          <w:rFonts w:ascii="Times New Roman" w:hAnsi="Times New Roman"/>
          <w:i/>
          <w:noProof/>
          <w:sz w:val="24"/>
          <w:szCs w:val="24"/>
        </w:rPr>
        <w:t>ктивността и независимостта на съдебната система. В резултат на това Комисията счита, че първият показател не може да се счита за изпълнен и че румънските органи трябва да предприемат действия, за да отговорят на всички препоръки от януари 2017 г. и от ное</w:t>
      </w:r>
      <w:r>
        <w:rPr>
          <w:rFonts w:ascii="Times New Roman" w:hAnsi="Times New Roman"/>
          <w:i/>
          <w:noProof/>
          <w:sz w:val="24"/>
          <w:szCs w:val="24"/>
        </w:rPr>
        <w:t xml:space="preserve">мври 2018 г.  </w:t>
      </w:r>
    </w:p>
    <w:p w:rsidR="00B13CA4" w:rsidRDefault="00FB4139">
      <w:pPr>
        <w:keepNext/>
        <w:widowControl w:val="0"/>
        <w:spacing w:after="120" w:line="240" w:lineRule="auto"/>
        <w:jc w:val="both"/>
        <w:rPr>
          <w:rFonts w:ascii="Times New Roman" w:hAnsi="Times New Roman"/>
          <w:b/>
          <w:noProof/>
          <w:sz w:val="24"/>
          <w:szCs w:val="24"/>
        </w:rPr>
      </w:pPr>
      <w:r>
        <w:rPr>
          <w:rFonts w:ascii="Times New Roman" w:hAnsi="Times New Roman"/>
          <w:b/>
          <w:noProof/>
          <w:sz w:val="24"/>
          <w:szCs w:val="24"/>
        </w:rPr>
        <w:t xml:space="preserve">3.2. </w:t>
      </w:r>
      <w:r>
        <w:rPr>
          <w:rFonts w:ascii="Times New Roman" w:hAnsi="Times New Roman"/>
          <w:b/>
          <w:noProof/>
          <w:sz w:val="24"/>
          <w:szCs w:val="24"/>
        </w:rPr>
        <w:tab/>
        <w:t>Втори показател: правната уредба за съблюдаване на етичните норми и Националната агенция по интегритет (НАИ)</w:t>
      </w:r>
    </w:p>
    <w:p w:rsidR="00B13CA4" w:rsidRDefault="00FB4139">
      <w:pPr>
        <w:keepNext/>
        <w:spacing w:after="120" w:line="240" w:lineRule="auto"/>
        <w:jc w:val="both"/>
        <w:rPr>
          <w:rFonts w:ascii="Times New Roman" w:hAnsi="Times New Roman"/>
          <w:noProof/>
          <w:sz w:val="24"/>
          <w:szCs w:val="24"/>
        </w:rPr>
      </w:pPr>
      <w:r>
        <w:rPr>
          <w:rFonts w:ascii="Times New Roman" w:hAnsi="Times New Roman"/>
          <w:i/>
          <w:noProof/>
          <w:sz w:val="24"/>
          <w:szCs w:val="24"/>
        </w:rPr>
        <w:t>Предвидимост и правна сигурност по отношение на правната уредба за съблюдаване на етичните норми</w:t>
      </w:r>
    </w:p>
    <w:p w:rsidR="00B13CA4" w:rsidRDefault="00FB4139">
      <w:pPr>
        <w:keepNext/>
        <w:spacing w:after="120" w:line="240" w:lineRule="auto"/>
        <w:jc w:val="both"/>
        <w:rPr>
          <w:rFonts w:ascii="Times New Roman" w:hAnsi="Times New Roman"/>
          <w:noProof/>
          <w:sz w:val="24"/>
          <w:szCs w:val="24"/>
        </w:rPr>
      </w:pPr>
      <w:r>
        <w:rPr>
          <w:rFonts w:ascii="Times New Roman" w:hAnsi="Times New Roman"/>
          <w:noProof/>
          <w:sz w:val="24"/>
          <w:szCs w:val="24"/>
        </w:rPr>
        <w:t>В предишните доклади по МСП б</w:t>
      </w:r>
      <w:r>
        <w:rPr>
          <w:rFonts w:ascii="Times New Roman" w:hAnsi="Times New Roman"/>
          <w:noProof/>
          <w:sz w:val="24"/>
          <w:szCs w:val="24"/>
        </w:rPr>
        <w:t>яха изтъкнати продължаващите предизвикателства, свързани с правната уредба за съблюдаване на етичните норми, и необходимостта от стабилност и яснота. През последните две и половина години бяха приети пет законодателни предложения за изменение на законите з</w:t>
      </w:r>
      <w:r>
        <w:rPr>
          <w:rFonts w:ascii="Times New Roman" w:hAnsi="Times New Roman"/>
          <w:noProof/>
          <w:sz w:val="24"/>
          <w:szCs w:val="24"/>
        </w:rPr>
        <w:t>а съблюдаване на етичните норми. Освен че отслабиха някои разпоредби и способността на Националната агенция по интегритет (НАИ) да продължи да осъществява своята дейност, тази поредица от изменения допълнително допринесе за запазването на фрагментирана пра</w:t>
      </w:r>
      <w:r>
        <w:rPr>
          <w:rFonts w:ascii="Times New Roman" w:hAnsi="Times New Roman"/>
          <w:noProof/>
          <w:sz w:val="24"/>
          <w:szCs w:val="24"/>
        </w:rPr>
        <w:t xml:space="preserve">вна среда. </w:t>
      </w:r>
    </w:p>
    <w:p w:rsidR="00B13CA4" w:rsidRDefault="00FB4139">
      <w:pPr>
        <w:keepNext/>
        <w:spacing w:after="240" w:line="240" w:lineRule="auto"/>
        <w:jc w:val="both"/>
        <w:rPr>
          <w:rFonts w:ascii="Times New Roman" w:hAnsi="Times New Roman"/>
          <w:noProof/>
          <w:sz w:val="24"/>
          <w:szCs w:val="24"/>
        </w:rPr>
      </w:pPr>
      <w:r>
        <w:rPr>
          <w:rFonts w:ascii="Times New Roman" w:hAnsi="Times New Roman"/>
          <w:noProof/>
          <w:sz w:val="24"/>
          <w:szCs w:val="24"/>
        </w:rPr>
        <w:t xml:space="preserve">Две предложения, влизащи в сила през 2019 г., пораждат особени опасения. С първото предложение се въвежда тригодишна давност за преследване на деянията, в резултат на които е налице конфликт на интереси или несъвместимост. На първо място, това </w:t>
      </w:r>
      <w:r>
        <w:rPr>
          <w:rFonts w:ascii="Times New Roman" w:hAnsi="Times New Roman"/>
          <w:noProof/>
          <w:sz w:val="24"/>
          <w:szCs w:val="24"/>
        </w:rPr>
        <w:t xml:space="preserve">има конкретно отражение върху текущите случаи, като се очаква НАИ да трябва да приключи около 200 разследвания до края на тази година. На второ място, това създава несъответствие с други разпоредби на правната уредба за съблюдаване на етичните норми, така </w:t>
      </w:r>
      <w:r>
        <w:rPr>
          <w:rFonts w:ascii="Times New Roman" w:hAnsi="Times New Roman"/>
          <w:noProof/>
          <w:sz w:val="24"/>
          <w:szCs w:val="24"/>
        </w:rPr>
        <w:t>че понастоящем не е ясно дали дадена санкция все още може да бъде наложена след окончателно съдебно решение, ако това решение (а не самият доклад на НАИ) е взето след края на тригодишния период. С второто предложение се изменя режимът за налагане на санкци</w:t>
      </w:r>
      <w:r>
        <w:rPr>
          <w:rFonts w:ascii="Times New Roman" w:hAnsi="Times New Roman"/>
          <w:noProof/>
          <w:sz w:val="24"/>
          <w:szCs w:val="24"/>
        </w:rPr>
        <w:t>и при конфликт на интереси за служители на местната власт на изборни длъжности, като се въвежда нов режим на административни санкции. Този режим е по-малко строг от сегашния и НАИ смята, че не той позволява налагането на възпиращи санкции. Наличието на дос</w:t>
      </w:r>
      <w:r>
        <w:rPr>
          <w:rFonts w:ascii="Times New Roman" w:hAnsi="Times New Roman"/>
          <w:noProof/>
          <w:sz w:val="24"/>
          <w:szCs w:val="24"/>
        </w:rPr>
        <w:t>татъчно възпиращи санкции за несъвместимост и конфликт на интереси е важен елемент от предотвратяването на корупцията. Тези две предложения увеличават правната несигурност по отношение на приложимия режим на съблюдаване на етичните норми и създават риск от</w:t>
      </w:r>
      <w:r>
        <w:rPr>
          <w:rFonts w:ascii="Times New Roman" w:hAnsi="Times New Roman"/>
          <w:noProof/>
          <w:sz w:val="24"/>
          <w:szCs w:val="24"/>
        </w:rPr>
        <w:t xml:space="preserve"> връщане назад по втория показател, ако вече не могат да бъдат налагани „санкции с възпиращ характер“ (въпреки окончателно съдебно решение). </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Препоръка 8: Да се гарантира пускането в действие на системата PREVENT. Национална агенция по интегритет (НАИ) и Н</w:t>
      </w:r>
      <w:r>
        <w:rPr>
          <w:rFonts w:ascii="Times New Roman" w:hAnsi="Times New Roman"/>
          <w:i/>
          <w:noProof/>
          <w:sz w:val="24"/>
          <w:szCs w:val="24"/>
        </w:rPr>
        <w:t>ационалната агенция за обществени поръчки следва да въведат докладване относно предварителните проверки на процедурите за възлагане на обществени поръчки и съответно предприетите последващи действия, в това число последващи проверки, както и относно устано</w:t>
      </w:r>
      <w:r>
        <w:rPr>
          <w:rFonts w:ascii="Times New Roman" w:hAnsi="Times New Roman"/>
          <w:i/>
          <w:noProof/>
          <w:sz w:val="24"/>
          <w:szCs w:val="24"/>
        </w:rPr>
        <w:t>вените случаи на конфликт на интереси или корупция, и да въведат също така организация за провеждането на обществени обсъждания, така че правителството, местните органи на управление, съдебната власт и гражданското общество да бъдат поканени за реакция.</w:t>
      </w:r>
    </w:p>
    <w:p w:rsidR="00B13CA4" w:rsidRDefault="00FB413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szCs w:val="24"/>
        </w:rPr>
        <w:t>Пр</w:t>
      </w:r>
      <w:r>
        <w:rPr>
          <w:rFonts w:ascii="Times New Roman" w:hAnsi="Times New Roman"/>
          <w:i/>
          <w:noProof/>
          <w:sz w:val="24"/>
          <w:szCs w:val="24"/>
        </w:rPr>
        <w:t>епоръка 9: Парламентът следва да взема прозрачно решенията си, що се отнася до последващите действия във връзка с окончателни и неотменими решения относно несъвместимост, конфликти на интереси и богатство с неизяснен произход, които са били постановени сре</w:t>
      </w:r>
      <w:r>
        <w:rPr>
          <w:rFonts w:ascii="Times New Roman" w:hAnsi="Times New Roman"/>
          <w:i/>
          <w:noProof/>
          <w:sz w:val="24"/>
          <w:szCs w:val="24"/>
        </w:rPr>
        <w:t>щу негови членове.</w:t>
      </w:r>
    </w:p>
    <w:p w:rsidR="00B13CA4" w:rsidRDefault="00FB4139">
      <w:pPr>
        <w:spacing w:after="120" w:line="240" w:lineRule="auto"/>
        <w:jc w:val="both"/>
        <w:rPr>
          <w:rFonts w:ascii="Times New Roman" w:hAnsi="Times New Roman"/>
          <w:i/>
          <w:noProof/>
          <w:sz w:val="24"/>
          <w:szCs w:val="24"/>
        </w:rPr>
      </w:pPr>
      <w:r>
        <w:rPr>
          <w:rFonts w:ascii="Times New Roman" w:hAnsi="Times New Roman"/>
          <w:i/>
          <w:noProof/>
          <w:sz w:val="24"/>
          <w:szCs w:val="24"/>
        </w:rPr>
        <w:t>Системата PREVENT</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В доклада от ноември 2018 г. тази препоръка беше счетена за изпълнена. Системата PREVENT продължава да работи пълноценно, а НАИ докладва за положителните резултати.</w:t>
      </w:r>
      <w:r>
        <w:rPr>
          <w:rStyle w:val="FootnoteReference"/>
          <w:rFonts w:ascii="Times New Roman" w:hAnsi="Times New Roman"/>
          <w:noProof/>
          <w:sz w:val="24"/>
          <w:szCs w:val="24"/>
        </w:rPr>
        <w:t xml:space="preserve"> </w:t>
      </w:r>
      <w:r>
        <w:rPr>
          <w:rFonts w:ascii="Times New Roman" w:hAnsi="Times New Roman"/>
          <w:noProof/>
          <w:sz w:val="24"/>
          <w:szCs w:val="24"/>
        </w:rPr>
        <w:t>В по-общ план добрите резултати на НАИ при разследване</w:t>
      </w:r>
      <w:r>
        <w:rPr>
          <w:rFonts w:ascii="Times New Roman" w:hAnsi="Times New Roman"/>
          <w:noProof/>
          <w:sz w:val="24"/>
          <w:szCs w:val="24"/>
        </w:rPr>
        <w:t>то на несъвместимост и административни конфликти на интереси се запазиха</w:t>
      </w:r>
      <w:r>
        <w:rPr>
          <w:rStyle w:val="FootnoteReference"/>
          <w:rFonts w:ascii="Times New Roman" w:hAnsi="Times New Roman"/>
          <w:noProof/>
          <w:sz w:val="24"/>
          <w:szCs w:val="24"/>
        </w:rPr>
        <w:footnoteReference w:id="50"/>
      </w:r>
      <w:r>
        <w:rPr>
          <w:rFonts w:ascii="Times New Roman" w:hAnsi="Times New Roman"/>
          <w:noProof/>
          <w:sz w:val="24"/>
          <w:szCs w:val="24"/>
        </w:rPr>
        <w:t>.</w:t>
      </w:r>
      <w:r>
        <w:rPr>
          <w:rStyle w:val="FootnoteReference"/>
          <w:rFonts w:ascii="Times New Roman" w:hAnsi="Times New Roman"/>
          <w:noProof/>
          <w:sz w:val="24"/>
          <w:szCs w:val="24"/>
        </w:rPr>
        <w:t xml:space="preserve"> </w:t>
      </w:r>
    </w:p>
    <w:p w:rsidR="00B13CA4" w:rsidRDefault="00FB4139">
      <w:pPr>
        <w:spacing w:after="120" w:line="240" w:lineRule="auto"/>
        <w:jc w:val="both"/>
        <w:rPr>
          <w:rFonts w:ascii="Times New Roman" w:hAnsi="Times New Roman"/>
          <w:noProof/>
          <w:sz w:val="24"/>
          <w:szCs w:val="24"/>
        </w:rPr>
      </w:pPr>
      <w:r>
        <w:rPr>
          <w:rFonts w:ascii="Times New Roman" w:hAnsi="Times New Roman"/>
          <w:i/>
          <w:noProof/>
          <w:sz w:val="24"/>
          <w:szCs w:val="24"/>
        </w:rPr>
        <w:t>Последващи действия във връзка със съдебни решения, отнасящи се до членове на парламента</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В доклада от ноември 2018 г. бяха посочени закъснения и явни несъответствия в прилагането </w:t>
      </w:r>
      <w:r>
        <w:rPr>
          <w:rFonts w:ascii="Times New Roman" w:hAnsi="Times New Roman"/>
          <w:noProof/>
          <w:sz w:val="24"/>
          <w:szCs w:val="24"/>
        </w:rPr>
        <w:t>на санкциите спрямо членове на парламента, за които с окончателно съдебно решение, постановено въз основа на доклад на НАИ, е установено, че изпълняват несъвместими функции или че са в ситуация на конфликт на интереси. В него бе изтъкнато възможно различно</w:t>
      </w:r>
      <w:r>
        <w:rPr>
          <w:rFonts w:ascii="Times New Roman" w:hAnsi="Times New Roman"/>
          <w:noProof/>
          <w:sz w:val="24"/>
          <w:szCs w:val="24"/>
        </w:rPr>
        <w:t xml:space="preserve"> тълкуване на правилата (особено когато въпросният инцидент, свързан с етичните норми, е възникнал в предходен мандат или позиция). В доклада бе посочено, че е нужно да се внесе яснота във връзка с правилата относно несъвместимостта и конфликта на интереси</w:t>
      </w:r>
      <w:r>
        <w:rPr>
          <w:rFonts w:ascii="Times New Roman" w:hAnsi="Times New Roman"/>
          <w:noProof/>
          <w:sz w:val="24"/>
          <w:szCs w:val="24"/>
        </w:rPr>
        <w:t xml:space="preserve"> по начин, който изпълнява показателя по МСП за осигуряване на „актове със задължителен характер, въз основа на които могат да бъдат налагани санкции с възпиращ ефект“. От доклада от ноември 2018 г. насам няма ново развитие в това отношение. През юли 2019 </w:t>
      </w:r>
      <w:r>
        <w:rPr>
          <w:rFonts w:ascii="Times New Roman" w:hAnsi="Times New Roman"/>
          <w:noProof/>
          <w:sz w:val="24"/>
          <w:szCs w:val="24"/>
        </w:rPr>
        <w:t>г. министърът на правосъдието предложи организирането на среща с всички заинтересовани органи за решаване на този въпрос. Това може да бъде конструктивна първа стъпка. Целта следва да бъде трайно решение, което осигурява необходимата яснота.</w:t>
      </w:r>
    </w:p>
    <w:p w:rsidR="00B13CA4" w:rsidRDefault="00FB4139">
      <w:pPr>
        <w:spacing w:after="240" w:line="240" w:lineRule="auto"/>
        <w:jc w:val="both"/>
        <w:rPr>
          <w:rFonts w:ascii="Times New Roman" w:hAnsi="Times New Roman"/>
          <w:i/>
          <w:noProof/>
          <w:sz w:val="24"/>
          <w:szCs w:val="24"/>
        </w:rPr>
      </w:pPr>
      <w:r>
        <w:rPr>
          <w:rFonts w:ascii="Times New Roman" w:hAnsi="Times New Roman"/>
          <w:i/>
          <w:noProof/>
          <w:sz w:val="24"/>
          <w:szCs w:val="24"/>
        </w:rPr>
        <w:t>Препоръка 8 пр</w:t>
      </w:r>
      <w:r>
        <w:rPr>
          <w:rFonts w:ascii="Times New Roman" w:hAnsi="Times New Roman"/>
          <w:i/>
          <w:noProof/>
          <w:sz w:val="24"/>
          <w:szCs w:val="24"/>
        </w:rPr>
        <w:t>одължава да бъде изпълнявана. За да се постигне напредък по препоръка 9, е необходимо сегашната неяснота по отношение на правилата да бъде отстранена. Законодателните промени относно законите за съблюдаване на етичните норми ще трябва да бъдат изяснени, за</w:t>
      </w:r>
      <w:r>
        <w:rPr>
          <w:rFonts w:ascii="Times New Roman" w:hAnsi="Times New Roman"/>
          <w:i/>
          <w:noProof/>
          <w:sz w:val="24"/>
          <w:szCs w:val="24"/>
        </w:rPr>
        <w:t xml:space="preserve"> да се избегне рискът от това санкции с възпиращ характер вече да не могат да бъдат налагани след окончателно съдебно решение, което би представлявало стъпка назад по отношение на втория показател. Поради това вторият показател все още не е изпълнен.</w:t>
      </w:r>
    </w:p>
    <w:p w:rsidR="00B13CA4" w:rsidRDefault="00FB4139">
      <w:pPr>
        <w:spacing w:after="120" w:line="240" w:lineRule="auto"/>
        <w:jc w:val="both"/>
        <w:rPr>
          <w:rFonts w:ascii="Times New Roman" w:hAnsi="Times New Roman"/>
          <w:b/>
          <w:noProof/>
          <w:sz w:val="24"/>
          <w:szCs w:val="24"/>
        </w:rPr>
      </w:pPr>
      <w:r>
        <w:rPr>
          <w:rFonts w:ascii="Times New Roman" w:hAnsi="Times New Roman"/>
          <w:b/>
          <w:noProof/>
          <w:sz w:val="24"/>
          <w:szCs w:val="24"/>
        </w:rPr>
        <w:t xml:space="preserve">3.3 </w:t>
      </w:r>
      <w:r>
        <w:rPr>
          <w:rFonts w:ascii="Times New Roman" w:hAnsi="Times New Roman"/>
          <w:b/>
          <w:noProof/>
          <w:sz w:val="24"/>
          <w:szCs w:val="24"/>
        </w:rPr>
        <w:tab/>
      </w:r>
      <w:r>
        <w:rPr>
          <w:rFonts w:ascii="Times New Roman" w:hAnsi="Times New Roman"/>
          <w:b/>
          <w:noProof/>
          <w:sz w:val="24"/>
          <w:szCs w:val="24"/>
        </w:rPr>
        <w:t>Трети показател: борба с корупцията на високо равнище</w:t>
      </w:r>
    </w:p>
    <w:p w:rsidR="00B13CA4" w:rsidRDefault="00FB4139">
      <w:pPr>
        <w:spacing w:after="120" w:line="240" w:lineRule="auto"/>
        <w:jc w:val="both"/>
        <w:rPr>
          <w:rFonts w:ascii="Times New Roman" w:hAnsi="Times New Roman"/>
          <w:i/>
          <w:noProof/>
          <w:sz w:val="24"/>
          <w:szCs w:val="24"/>
        </w:rPr>
      </w:pPr>
      <w:r>
        <w:rPr>
          <w:rFonts w:ascii="Times New Roman" w:hAnsi="Times New Roman"/>
          <w:i/>
          <w:noProof/>
          <w:sz w:val="24"/>
          <w:szCs w:val="24"/>
        </w:rPr>
        <w:t>Устойчивост на Националната дирекция за борба с корупцията и необратимост на борбата с корупцията</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След доклада от ноември 2018 г. и въпреки много трудните обстоятелства, съдебните институции, ангажирани</w:t>
      </w:r>
      <w:r>
        <w:rPr>
          <w:rFonts w:ascii="Times New Roman" w:hAnsi="Times New Roman"/>
          <w:noProof/>
          <w:sz w:val="24"/>
          <w:szCs w:val="24"/>
        </w:rPr>
        <w:t xml:space="preserve"> с борбата с корупцията по високите етажи на властта, продължиха да разследват твърденията и да санкционират високопоставени лица, свързани с корупция по високите етажи на властта. </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В доклада от ноември 2018 г. бе отбелязано наличието на натиск върху основ</w:t>
      </w:r>
      <w:r>
        <w:rPr>
          <w:rFonts w:ascii="Times New Roman" w:hAnsi="Times New Roman"/>
          <w:noProof/>
          <w:sz w:val="24"/>
          <w:szCs w:val="24"/>
        </w:rPr>
        <w:t>ните институции за борба с корупцията, по-специално Националната дирекция за борба с корупцията (НДБК) и Висшия касационен съд, както и растяща загриженост относно това дали те ще продължат да са в състояние да изпълняват задачите си, което оказва въздейст</w:t>
      </w:r>
      <w:r>
        <w:rPr>
          <w:rFonts w:ascii="Times New Roman" w:hAnsi="Times New Roman"/>
          <w:noProof/>
          <w:sz w:val="24"/>
          <w:szCs w:val="24"/>
        </w:rPr>
        <w:t>вие върху необратимостта на борбата с корупцията. Макар че резултатите от дейността им да остават солидни, има признаци, че трайният натиск върху тези институции е оказал отрицателно въздействие.</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Изменените закони в областта на правосъдието включваха резки</w:t>
      </w:r>
      <w:r>
        <w:rPr>
          <w:rFonts w:ascii="Times New Roman" w:hAnsi="Times New Roman"/>
          <w:noProof/>
          <w:sz w:val="24"/>
          <w:szCs w:val="24"/>
        </w:rPr>
        <w:t xml:space="preserve"> промени в изискванията за прослужено време, отразяващи се върху капацитета на НДБК да функционира. Ефективното третиране на делата за корупция по високите етажи на властта също беше неблагоприятно засегнато от прехвърлянето на отговорността за много дела </w:t>
      </w:r>
      <w:r>
        <w:rPr>
          <w:rFonts w:ascii="Times New Roman" w:hAnsi="Times New Roman"/>
          <w:noProof/>
          <w:sz w:val="24"/>
          <w:szCs w:val="24"/>
        </w:rPr>
        <w:t>на Специализирания отдел, който не само е компетентен да разследва престъпленията, извършени от магистрати, но и свързаните с това престъпления на други лица. Стана действителност посоченият през ноември 2018 г. риск, че Специализираният отдел може да бъде</w:t>
      </w:r>
      <w:r>
        <w:rPr>
          <w:rFonts w:ascii="Times New Roman" w:hAnsi="Times New Roman"/>
          <w:noProof/>
          <w:sz w:val="24"/>
          <w:szCs w:val="24"/>
        </w:rPr>
        <w:t xml:space="preserve"> използван като средство за промяна на хода на делата за корупция по високите етажи на властта и за упражняване на натиск върху магистрати (вж. първия показател). След прекъсването на процедурата по назначаване НДБК остава без главен прокурор. Въпреки че с</w:t>
      </w:r>
      <w:r>
        <w:rPr>
          <w:rFonts w:ascii="Times New Roman" w:hAnsi="Times New Roman"/>
          <w:noProof/>
          <w:sz w:val="24"/>
          <w:szCs w:val="24"/>
        </w:rPr>
        <w:t>егашното временно ръководство успешно продължава работата си, временният характер на назначенията добавя елемент на несигурност и уязвимост.</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Рязкото увеличаване на натиска върху Висшия касационен съд (вж. първия показател) също оказа влияние върху ефективн</w:t>
      </w:r>
      <w:r>
        <w:rPr>
          <w:rFonts w:ascii="Times New Roman" w:hAnsi="Times New Roman"/>
          <w:noProof/>
          <w:sz w:val="24"/>
          <w:szCs w:val="24"/>
        </w:rPr>
        <w:t>остта на правосъдието при дела за корупция по високите етажи на властта. По-специално Конституционният съд беше сезиран относно Висшия касационен съд в рамките на две процедури за конституционни конфликти, инициирани от правителството, във връзка с неговот</w:t>
      </w:r>
      <w:r>
        <w:rPr>
          <w:rFonts w:ascii="Times New Roman" w:hAnsi="Times New Roman"/>
          <w:noProof/>
          <w:sz w:val="24"/>
          <w:szCs w:val="24"/>
        </w:rPr>
        <w:t>о тълкуване на процесуалните правила за съставянето на апелативните състави от 5 съдии и във връзка със съставите от 3 съдии за първоинстанционните съдебни дела за корупция. Въпреки че решенията на Конституционния съд не се прилагат по отношение на приключ</w:t>
      </w:r>
      <w:r>
        <w:rPr>
          <w:rFonts w:ascii="Times New Roman" w:hAnsi="Times New Roman"/>
          <w:noProof/>
          <w:sz w:val="24"/>
          <w:szCs w:val="24"/>
        </w:rPr>
        <w:t>ените съдебни дела, последващите действия във връзка с решението относно съставите от 5 съдии доведоха до голяма несигурност. В началото на 2019 г. беше разгледана възможността за приемане на извънредно постановление, което, ако бъде прието, би могло да по</w:t>
      </w:r>
      <w:r>
        <w:rPr>
          <w:rFonts w:ascii="Times New Roman" w:hAnsi="Times New Roman"/>
          <w:noProof/>
          <w:sz w:val="24"/>
          <w:szCs w:val="24"/>
        </w:rPr>
        <w:t>зволи възобновяване на всички дела за корупция на високо равнище, приключени с окончателни решения на Висшия касационен съд, постановени след 2014 г. от състав от 5 съдии. Вътрешната и международната критика на предложението помогнаха да се предотврати при</w:t>
      </w:r>
      <w:r>
        <w:rPr>
          <w:rFonts w:ascii="Times New Roman" w:hAnsi="Times New Roman"/>
          <w:noProof/>
          <w:sz w:val="24"/>
          <w:szCs w:val="24"/>
        </w:rPr>
        <w:t xml:space="preserve">емането на това извънредно постановление, но би било важно румънските </w:t>
      </w:r>
      <w:r w:rsidRPr="00FB4139">
        <w:rPr>
          <w:rFonts w:ascii="Times New Roman" w:hAnsi="Times New Roman"/>
          <w:noProof/>
          <w:sz w:val="24"/>
          <w:szCs w:val="24"/>
        </w:rPr>
        <w:t xml:space="preserve">органи </w:t>
      </w:r>
      <w:r w:rsidRPr="00FB4139">
        <w:rPr>
          <w:rFonts w:ascii="Times New Roman" w:hAnsi="Times New Roman"/>
          <w:noProof/>
          <w:sz w:val="24"/>
          <w:szCs w:val="24"/>
        </w:rPr>
        <w:t>да се откажат от преследването на целите на тази мярка и</w:t>
      </w:r>
      <w:r w:rsidRPr="00FB4139">
        <w:rPr>
          <w:rFonts w:ascii="Times New Roman" w:hAnsi="Times New Roman"/>
          <w:noProof/>
          <w:sz w:val="24"/>
          <w:szCs w:val="24"/>
        </w:rPr>
        <w:t xml:space="preserve"> да</w:t>
      </w:r>
      <w:r>
        <w:rPr>
          <w:rFonts w:ascii="Times New Roman" w:hAnsi="Times New Roman"/>
          <w:noProof/>
          <w:sz w:val="24"/>
          <w:szCs w:val="24"/>
        </w:rPr>
        <w:t xml:space="preserve"> пояснят, че след решенията на Конституционния съд не е необходимо законодателство, засягащо предишни дела, като потвърд</w:t>
      </w:r>
      <w:r>
        <w:rPr>
          <w:rFonts w:ascii="Times New Roman" w:hAnsi="Times New Roman"/>
          <w:noProof/>
          <w:sz w:val="24"/>
          <w:szCs w:val="24"/>
        </w:rPr>
        <w:t>ят отново своя ангажимент за ефективна борба с корупцията.</w:t>
      </w:r>
    </w:p>
    <w:p w:rsidR="00B13CA4" w:rsidRDefault="00FB4139">
      <w:pPr>
        <w:spacing w:after="240" w:line="240" w:lineRule="auto"/>
        <w:jc w:val="both"/>
        <w:rPr>
          <w:rFonts w:ascii="Times New Roman" w:hAnsi="Times New Roman"/>
          <w:noProof/>
          <w:sz w:val="24"/>
          <w:szCs w:val="24"/>
        </w:rPr>
      </w:pPr>
      <w:r>
        <w:rPr>
          <w:rFonts w:ascii="Times New Roman" w:hAnsi="Times New Roman"/>
          <w:noProof/>
          <w:sz w:val="24"/>
          <w:szCs w:val="24"/>
        </w:rPr>
        <w:t>Решенията на Конституционния съд оказват пряко въздействие върху текущите дела за корупция по високите етажи на властта, като водят до забавяне и рестартиране на дела, и позволиха повторното отваря</w:t>
      </w:r>
      <w:r>
        <w:rPr>
          <w:rFonts w:ascii="Times New Roman" w:hAnsi="Times New Roman"/>
          <w:noProof/>
          <w:sz w:val="24"/>
          <w:szCs w:val="24"/>
        </w:rPr>
        <w:t>не на няколко приключени дела при определени условия. Пълните последици все още не са проявили. Ясният отрицателен страничен ефект от това върху процеса на правораздаване породи и по-широки съмнения относно устойчивостта на постигнатия до момента от Румъни</w:t>
      </w:r>
      <w:r>
        <w:rPr>
          <w:rFonts w:ascii="Times New Roman" w:hAnsi="Times New Roman"/>
          <w:noProof/>
          <w:sz w:val="24"/>
          <w:szCs w:val="24"/>
        </w:rPr>
        <w:t>я напредък в борбата с корупцията — още повече когато то е съпроводено от изменения на Наказателния кодекс и Наказателно-процесуалния кодекс, при които не се отчита препоръката от ноември 2018 г. относно необходимостта от съвместимост с правото на ЕС и меж</w:t>
      </w:r>
      <w:r>
        <w:rPr>
          <w:rFonts w:ascii="Times New Roman" w:hAnsi="Times New Roman"/>
          <w:noProof/>
          <w:sz w:val="24"/>
          <w:szCs w:val="24"/>
        </w:rPr>
        <w:t>дународните инструменти за борба с корупцията (вж. също първия показател).</w:t>
      </w:r>
    </w:p>
    <w:p w:rsidR="00FB4139" w:rsidRDefault="00FB4139">
      <w:pPr>
        <w:spacing w:after="240" w:line="240" w:lineRule="auto"/>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9288"/>
      </w:tblGrid>
      <w:tr w:rsidR="00B13CA4">
        <w:tc>
          <w:tcPr>
            <w:tcW w:w="9288" w:type="dxa"/>
          </w:tcPr>
          <w:p w:rsidR="00B13CA4" w:rsidRDefault="00FB4139">
            <w:pPr>
              <w:spacing w:after="120" w:line="240" w:lineRule="auto"/>
              <w:jc w:val="both"/>
              <w:rPr>
                <w:rFonts w:ascii="Times New Roman" w:eastAsia="SimSun" w:hAnsi="Times New Roman"/>
                <w:b/>
                <w:i/>
                <w:noProof/>
                <w:sz w:val="24"/>
                <w:szCs w:val="24"/>
              </w:rPr>
            </w:pPr>
            <w:r>
              <w:rPr>
                <w:rFonts w:ascii="Times New Roman" w:hAnsi="Times New Roman"/>
                <w:i/>
                <w:noProof/>
                <w:sz w:val="24"/>
                <w:szCs w:val="24"/>
              </w:rPr>
              <w:t>Препоръка 10: Да са приемат обективни критерии за вземане на решения и за мотивиране на свалянето на имунитета на членове на парламента, за да се спомогне за това да се гарантира, ч</w:t>
            </w:r>
            <w:r>
              <w:rPr>
                <w:rFonts w:ascii="Times New Roman" w:hAnsi="Times New Roman"/>
                <w:i/>
                <w:noProof/>
                <w:sz w:val="24"/>
                <w:szCs w:val="24"/>
              </w:rPr>
              <w:t>е имунитетът не се използва, за да се избегнат разследване и наказателно преследване за корупционни престъпления. Правителството би могло също така да разгледа възможността да измени закона, за да ограничи имунитета на министрите до периода, в който заемат</w:t>
            </w:r>
            <w:r>
              <w:rPr>
                <w:rFonts w:ascii="Times New Roman" w:hAnsi="Times New Roman"/>
                <w:i/>
                <w:noProof/>
                <w:sz w:val="24"/>
                <w:szCs w:val="24"/>
              </w:rPr>
              <w:t xml:space="preserve"> длъжността. Тези стъпки могат да бъдат подпомогнати от Венецианската комисия и Групата държави срещу корупцията (GRECO). Парламентът следва да въведе система за редовно докладване относно решенията, взети от неговите камари по искания за снемане на имунит</w:t>
            </w:r>
            <w:r>
              <w:rPr>
                <w:rFonts w:ascii="Times New Roman" w:hAnsi="Times New Roman"/>
                <w:i/>
                <w:noProof/>
                <w:sz w:val="24"/>
                <w:szCs w:val="24"/>
              </w:rPr>
              <w:t>ет, и би могъл да организира обществено обсъждане, така че да се даде възможност за реакция от страна на Висшият магистратски съвет и гражданското общество.</w:t>
            </w:r>
          </w:p>
        </w:tc>
      </w:tr>
    </w:tbl>
    <w:p w:rsidR="00B13CA4" w:rsidRDefault="00FB4139">
      <w:pPr>
        <w:spacing w:before="120" w:after="120" w:line="240" w:lineRule="auto"/>
        <w:jc w:val="both"/>
        <w:rPr>
          <w:rFonts w:ascii="Times New Roman" w:eastAsia="SimSun" w:hAnsi="Times New Roman"/>
          <w:noProof/>
          <w:sz w:val="24"/>
          <w:szCs w:val="24"/>
        </w:rPr>
      </w:pPr>
      <w:r>
        <w:rPr>
          <w:rFonts w:ascii="Times New Roman" w:hAnsi="Times New Roman"/>
          <w:noProof/>
          <w:sz w:val="24"/>
          <w:szCs w:val="24"/>
        </w:rPr>
        <w:t>Препоръка 10 се отнася до отчетността на парламента, когато взема решения по искания на прокуратур</w:t>
      </w:r>
      <w:r>
        <w:rPr>
          <w:rFonts w:ascii="Times New Roman" w:hAnsi="Times New Roman"/>
          <w:noProof/>
          <w:sz w:val="24"/>
          <w:szCs w:val="24"/>
        </w:rPr>
        <w:t>ата за разрешаване на превантивни мерки, като например претърсване или арест, и по искания за разрешаване на разследването срещу член на парламента, който е бивш или настоящ министър. Липсата на обяснение на решенията, взети от парламента, както и броят на</w:t>
      </w:r>
      <w:r>
        <w:rPr>
          <w:rFonts w:ascii="Times New Roman" w:hAnsi="Times New Roman"/>
          <w:noProof/>
          <w:sz w:val="24"/>
          <w:szCs w:val="24"/>
        </w:rPr>
        <w:t xml:space="preserve"> случаите, когато парламентът не позволи разследването да продължи, доведоха до опасения, свързани с обективността на тези решения. </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На 5 юни 2019 г. Камарата на депутатите измени своя процедурен правилник по отношение на наказателното преследване на члено</w:t>
      </w:r>
      <w:r>
        <w:rPr>
          <w:rFonts w:ascii="Times New Roman" w:hAnsi="Times New Roman"/>
          <w:noProof/>
          <w:sz w:val="24"/>
          <w:szCs w:val="24"/>
        </w:rPr>
        <w:t>ве или бивши членове на правителството, които са членове на Камарата на депутатите. По-специално бе направено позоваване на критериите, посочени в доклада на Венецианската комисия, относно целта и отнемането на парламентарен имунитет</w:t>
      </w:r>
      <w:r>
        <w:rPr>
          <w:rStyle w:val="FootnoteReference"/>
          <w:rFonts w:ascii="Times New Roman" w:hAnsi="Times New Roman"/>
          <w:noProof/>
          <w:sz w:val="24"/>
          <w:szCs w:val="24"/>
        </w:rPr>
        <w:footnoteReference w:id="51"/>
      </w:r>
      <w:r>
        <w:rPr>
          <w:rFonts w:ascii="Times New Roman" w:hAnsi="Times New Roman"/>
          <w:noProof/>
          <w:sz w:val="24"/>
          <w:szCs w:val="24"/>
        </w:rPr>
        <w:t>. Тази промяна се прив</w:t>
      </w:r>
      <w:r>
        <w:rPr>
          <w:rFonts w:ascii="Times New Roman" w:hAnsi="Times New Roman"/>
          <w:noProof/>
          <w:sz w:val="24"/>
          <w:szCs w:val="24"/>
        </w:rPr>
        <w:t xml:space="preserve">етства и Комисията очаква нейното ефективно изпълнение, също и с оглед на препоръката за включване на съдебните органи и гражданското общество в дебатите. </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Сенатът се приканва да приеме подобни правила. В началото на юни беше отхвърлено искането на прокура</w:t>
      </w:r>
      <w:r>
        <w:rPr>
          <w:rFonts w:ascii="Times New Roman" w:hAnsi="Times New Roman"/>
          <w:noProof/>
          <w:sz w:val="24"/>
          <w:szCs w:val="24"/>
        </w:rPr>
        <w:t>турата за отнемане на имунитета на председателя на Сената. През септември Сенатът отхвърли искане за започване на наказателно преследване срещу сенатор, бивш министър на здравеопазването.</w:t>
      </w:r>
    </w:p>
    <w:p w:rsidR="00B13CA4" w:rsidRDefault="00FB4139">
      <w:pPr>
        <w:spacing w:after="240" w:line="240" w:lineRule="auto"/>
        <w:jc w:val="both"/>
        <w:rPr>
          <w:rFonts w:ascii="Times New Roman" w:hAnsi="Times New Roman"/>
          <w:i/>
          <w:noProof/>
          <w:sz w:val="24"/>
          <w:szCs w:val="24"/>
        </w:rPr>
      </w:pPr>
      <w:r>
        <w:rPr>
          <w:rFonts w:ascii="Times New Roman" w:hAnsi="Times New Roman"/>
          <w:i/>
          <w:noProof/>
          <w:sz w:val="24"/>
          <w:szCs w:val="24"/>
        </w:rPr>
        <w:t>Комисията още веднъж потвърждава заключението си от ноември 2018 г.,</w:t>
      </w:r>
      <w:r>
        <w:rPr>
          <w:rFonts w:ascii="Times New Roman" w:hAnsi="Times New Roman"/>
          <w:i/>
          <w:noProof/>
          <w:sz w:val="24"/>
          <w:szCs w:val="24"/>
        </w:rPr>
        <w:t xml:space="preserve"> че поради действията на Румъния основанието за дадената през януари 2017 г. положителна оценка по третия показател е под въпрос. Въпреки факта, че НДБК и Висшият касационен съд продължават да разследват и санкционират корупцията по високите етажи на власт</w:t>
      </w:r>
      <w:r>
        <w:rPr>
          <w:rFonts w:ascii="Times New Roman" w:hAnsi="Times New Roman"/>
          <w:i/>
          <w:noProof/>
          <w:sz w:val="24"/>
          <w:szCs w:val="24"/>
        </w:rPr>
        <w:t>та и демонстрират професионализъм при изключително трудни обстоятелства, посегателствата върху дейностите им, редуващите се промени на приложимата правна рамка и евентуалното оспорване на правната сила на окончателното съдебно решение повдигат въпроси отно</w:t>
      </w:r>
      <w:r>
        <w:rPr>
          <w:rFonts w:ascii="Times New Roman" w:hAnsi="Times New Roman"/>
          <w:i/>
          <w:noProof/>
          <w:sz w:val="24"/>
          <w:szCs w:val="24"/>
        </w:rPr>
        <w:t>сно устойчивостта на постиженията на Румъния в борбата с корупцията по високите етажи на властта. Поради това, въпреки някои неотдавнашни положителни промени, изпълнението на препоръка 10 вече не може да се счита за достатъчно за целите на прекратяването н</w:t>
      </w:r>
      <w:r>
        <w:rPr>
          <w:rFonts w:ascii="Times New Roman" w:hAnsi="Times New Roman"/>
          <w:i/>
          <w:noProof/>
          <w:sz w:val="24"/>
          <w:szCs w:val="24"/>
        </w:rPr>
        <w:t xml:space="preserve">а наблюдението по показателя. </w:t>
      </w:r>
    </w:p>
    <w:p w:rsidR="00B13CA4" w:rsidRDefault="00FB4139">
      <w:pPr>
        <w:spacing w:after="0" w:line="240" w:lineRule="auto"/>
        <w:rPr>
          <w:rFonts w:ascii="Times New Roman" w:hAnsi="Times New Roman"/>
          <w:b/>
          <w:noProof/>
          <w:sz w:val="24"/>
          <w:szCs w:val="24"/>
        </w:rPr>
      </w:pPr>
      <w:r>
        <w:rPr>
          <w:rFonts w:ascii="Times New Roman" w:hAnsi="Times New Roman"/>
          <w:noProof/>
          <w:sz w:val="24"/>
          <w:szCs w:val="24"/>
        </w:rPr>
        <w:br w:type="page"/>
      </w:r>
    </w:p>
    <w:p w:rsidR="00B13CA4" w:rsidRDefault="00FB4139">
      <w:pPr>
        <w:spacing w:after="120" w:line="240" w:lineRule="auto"/>
        <w:jc w:val="both"/>
        <w:rPr>
          <w:rFonts w:ascii="Times New Roman" w:hAnsi="Times New Roman"/>
          <w:b/>
          <w:noProof/>
          <w:sz w:val="24"/>
          <w:szCs w:val="24"/>
        </w:rPr>
      </w:pPr>
      <w:r>
        <w:rPr>
          <w:rFonts w:ascii="Times New Roman" w:hAnsi="Times New Roman"/>
          <w:b/>
          <w:noProof/>
          <w:sz w:val="24"/>
          <w:szCs w:val="24"/>
        </w:rPr>
        <w:t>3.4</w:t>
      </w:r>
      <w:r>
        <w:rPr>
          <w:rFonts w:ascii="Times New Roman" w:hAnsi="Times New Roman"/>
          <w:b/>
          <w:noProof/>
          <w:sz w:val="24"/>
          <w:szCs w:val="24"/>
        </w:rPr>
        <w:tab/>
        <w:t>Четвърти показател: Борба с корупцията на всички равнища</w:t>
      </w:r>
    </w:p>
    <w:p w:rsidR="00B13CA4" w:rsidRDefault="00FB4139">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i/>
          <w:noProof/>
          <w:sz w:val="24"/>
          <w:szCs w:val="24"/>
        </w:rPr>
      </w:pPr>
      <w:r>
        <w:rPr>
          <w:rFonts w:ascii="Times New Roman" w:hAnsi="Times New Roman"/>
          <w:i/>
          <w:noProof/>
          <w:sz w:val="24"/>
          <w:szCs w:val="24"/>
        </w:rPr>
        <w:t>Препоръка 11:</w:t>
      </w:r>
      <w:r>
        <w:rPr>
          <w:rFonts w:ascii="Times New Roman" w:hAnsi="Times New Roman"/>
          <w:b/>
          <w:i/>
          <w:noProof/>
          <w:sz w:val="24"/>
          <w:szCs w:val="24"/>
        </w:rPr>
        <w:t xml:space="preserve"> </w:t>
      </w:r>
      <w:r>
        <w:rPr>
          <w:rFonts w:ascii="Times New Roman" w:hAnsi="Times New Roman"/>
          <w:i/>
          <w:noProof/>
          <w:sz w:val="24"/>
          <w:szCs w:val="24"/>
        </w:rPr>
        <w:t>Да продължи изпълнението на Националната стратегия за борба с корупцията, като се спазят сроковете, определени от правителството през август 2016 г.</w:t>
      </w:r>
      <w:r>
        <w:rPr>
          <w:rFonts w:ascii="Times New Roman" w:hAnsi="Times New Roman"/>
          <w:i/>
          <w:noProof/>
          <w:sz w:val="24"/>
          <w:szCs w:val="24"/>
        </w:rPr>
        <w:t xml:space="preserve"> Министърът на правосъдието следва да въведе система за докладване относно ефективното изпълнение на Националната стратегия за борба с корупцията (в това число статистика за инцидентите във връзка със съблюдаването на етичните норми в публичната администра</w:t>
      </w:r>
      <w:r>
        <w:rPr>
          <w:rFonts w:ascii="Times New Roman" w:hAnsi="Times New Roman"/>
          <w:i/>
          <w:noProof/>
          <w:sz w:val="24"/>
          <w:szCs w:val="24"/>
        </w:rPr>
        <w:t>ция, информация за дисциплинарните процедури и санкциите и информация за структурните мерки, приложени в уязвими области).</w:t>
      </w:r>
    </w:p>
    <w:p w:rsidR="00B13CA4" w:rsidRDefault="00FB4139">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i/>
          <w:noProof/>
          <w:sz w:val="24"/>
          <w:szCs w:val="24"/>
        </w:rPr>
        <w:t>Препоръка 12:</w:t>
      </w:r>
      <w:r>
        <w:rPr>
          <w:rFonts w:ascii="Times New Roman" w:hAnsi="Times New Roman"/>
          <w:b/>
          <w:i/>
          <w:noProof/>
          <w:sz w:val="24"/>
          <w:szCs w:val="24"/>
        </w:rPr>
        <w:t xml:space="preserve"> </w:t>
      </w:r>
      <w:r>
        <w:rPr>
          <w:rFonts w:ascii="Times New Roman" w:hAnsi="Times New Roman"/>
          <w:i/>
          <w:noProof/>
          <w:sz w:val="24"/>
          <w:szCs w:val="24"/>
        </w:rPr>
        <w:t xml:space="preserve">Да се гарантира, че Националната агенция за управление на иззети активи функционира пълноценно и ефективно, за да може </w:t>
      </w:r>
      <w:r>
        <w:rPr>
          <w:rFonts w:ascii="Times New Roman" w:hAnsi="Times New Roman"/>
          <w:i/>
          <w:noProof/>
          <w:sz w:val="24"/>
          <w:szCs w:val="24"/>
        </w:rPr>
        <w:t>тя да публикува първи годишен доклад с надеждна статистическа информация за отнемането на активи, придобити от престъпна дейност. Агенцията следва да въведе система за редовно докладване във връзка с изграждането на административен капацитет, резултатите п</w:t>
      </w:r>
      <w:r>
        <w:rPr>
          <w:rFonts w:ascii="Times New Roman" w:hAnsi="Times New Roman"/>
          <w:i/>
          <w:noProof/>
          <w:sz w:val="24"/>
          <w:szCs w:val="24"/>
        </w:rPr>
        <w:t>о отношение на отнемането и управлението на активи, придобити от престъпна дейност.</w:t>
      </w:r>
      <w:r>
        <w:rPr>
          <w:rFonts w:ascii="Times New Roman" w:hAnsi="Times New Roman"/>
          <w:b/>
          <w:i/>
          <w:noProof/>
          <w:sz w:val="24"/>
          <w:szCs w:val="24"/>
        </w:rPr>
        <w:t xml:space="preserve"> </w:t>
      </w:r>
    </w:p>
    <w:p w:rsidR="00B13CA4" w:rsidRDefault="00FB4139">
      <w:pPr>
        <w:keepNext/>
        <w:spacing w:before="240" w:after="120" w:line="240" w:lineRule="auto"/>
        <w:jc w:val="both"/>
        <w:rPr>
          <w:rFonts w:ascii="Times New Roman" w:hAnsi="Times New Roman"/>
          <w:i/>
          <w:noProof/>
          <w:sz w:val="24"/>
          <w:szCs w:val="24"/>
        </w:rPr>
      </w:pPr>
      <w:r>
        <w:rPr>
          <w:rFonts w:ascii="Times New Roman" w:hAnsi="Times New Roman"/>
          <w:i/>
          <w:noProof/>
          <w:sz w:val="24"/>
          <w:szCs w:val="24"/>
        </w:rPr>
        <w:t>Националната стратегия за борба с корупцията</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Изпълнението на Националната стратегия за борба с корупцията продължи на техническо равнище. Мерки за предотвратяване на коруп</w:t>
      </w:r>
      <w:r>
        <w:rPr>
          <w:rFonts w:ascii="Times New Roman" w:hAnsi="Times New Roman"/>
          <w:noProof/>
          <w:sz w:val="24"/>
          <w:szCs w:val="24"/>
        </w:rPr>
        <w:t>цията, като например вътрешните одити на всяка от участващите публични институции и планираните през 2018 г. мисии за партньорска оценка, бяха приведени в действие както в централните институции, така и на местно равнище (областни съвети и кметства). Платф</w:t>
      </w:r>
      <w:r>
        <w:rPr>
          <w:rFonts w:ascii="Times New Roman" w:hAnsi="Times New Roman"/>
          <w:noProof/>
          <w:sz w:val="24"/>
          <w:szCs w:val="24"/>
        </w:rPr>
        <w:t>ормите за междуинституционално сътрудничество проведоха среща през април 2019 г. Органите също така докладват за продължаващи мерки и дейности за предотвратяване на корупцията в централните министерства и публичните институции в уязвими области, включителн</w:t>
      </w:r>
      <w:r>
        <w:rPr>
          <w:rFonts w:ascii="Times New Roman" w:hAnsi="Times New Roman"/>
          <w:noProof/>
          <w:sz w:val="24"/>
          <w:szCs w:val="24"/>
        </w:rPr>
        <w:t>о образованието, Министерството на вътрешните работи и финансите. Предотвратяването на корупцията обаче не се разглежда като важен политически приоритет.</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Една от целите на стратегията е да се подобрят резултатите в борбата с корупцията чрез налагане на нак</w:t>
      </w:r>
      <w:r>
        <w:rPr>
          <w:rFonts w:ascii="Times New Roman" w:hAnsi="Times New Roman"/>
          <w:noProof/>
          <w:sz w:val="24"/>
          <w:szCs w:val="24"/>
        </w:rPr>
        <w:t>азателни и административни санкции. От доклада от ноември 2018 г. насам Генералната прокуратура продължи наказателното преследване на корупционни престъпления, които не попадат в правомощията на НДБК</w:t>
      </w:r>
      <w:r>
        <w:rPr>
          <w:rStyle w:val="FootnoteReference"/>
          <w:rFonts w:ascii="Times New Roman" w:hAnsi="Times New Roman"/>
          <w:noProof/>
          <w:sz w:val="24"/>
          <w:szCs w:val="24"/>
        </w:rPr>
        <w:footnoteReference w:id="52"/>
      </w:r>
      <w:r>
        <w:rPr>
          <w:rFonts w:ascii="Times New Roman" w:hAnsi="Times New Roman"/>
          <w:noProof/>
          <w:sz w:val="24"/>
          <w:szCs w:val="24"/>
        </w:rPr>
        <w:t>.</w:t>
      </w:r>
      <w:r>
        <w:rPr>
          <w:rStyle w:val="FootnoteReference"/>
          <w:rFonts w:ascii="Times New Roman" w:hAnsi="Times New Roman"/>
          <w:noProof/>
          <w:sz w:val="24"/>
          <w:szCs w:val="24"/>
        </w:rPr>
        <w:t xml:space="preserve"> </w:t>
      </w:r>
      <w:r>
        <w:rPr>
          <w:rFonts w:ascii="Times New Roman" w:hAnsi="Times New Roman"/>
          <w:noProof/>
          <w:sz w:val="24"/>
          <w:szCs w:val="24"/>
        </w:rPr>
        <w:t>Въпреки това, описаният по-горе натиск върху тези ключ</w:t>
      </w:r>
      <w:r>
        <w:rPr>
          <w:rFonts w:ascii="Times New Roman" w:hAnsi="Times New Roman"/>
          <w:noProof/>
          <w:sz w:val="24"/>
          <w:szCs w:val="24"/>
        </w:rPr>
        <w:t>ови институции</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и законодателните изменения, които са в сила или са приети от парламента, неизбежно оказаха отрицателно въздействие върху борбата с корупцията, не на последно място като изпращаха противоречиви сигнали по отношение на политическата подкрепа</w:t>
      </w:r>
      <w:r>
        <w:rPr>
          <w:rFonts w:ascii="Times New Roman" w:hAnsi="Times New Roman"/>
          <w:noProof/>
          <w:sz w:val="24"/>
          <w:szCs w:val="24"/>
        </w:rPr>
        <w:t xml:space="preserve"> за продължаване на действията за предотвратяване и санкциониране на корупцията. Сред тези инициативи са измененията в наказателните кодекси, както и в правната уредба за съблюдаване на етичните норми, като съществува риск от отрицателни последици на всяко</w:t>
      </w:r>
      <w:r>
        <w:rPr>
          <w:rFonts w:ascii="Times New Roman" w:hAnsi="Times New Roman"/>
          <w:noProof/>
          <w:sz w:val="24"/>
          <w:szCs w:val="24"/>
        </w:rPr>
        <w:t xml:space="preserve"> равнище на публичната администрация. </w:t>
      </w:r>
    </w:p>
    <w:p w:rsidR="00B13CA4" w:rsidRDefault="00FB4139">
      <w:pPr>
        <w:spacing w:after="120" w:line="240" w:lineRule="auto"/>
        <w:jc w:val="both"/>
        <w:rPr>
          <w:rFonts w:ascii="Times New Roman" w:eastAsia="Times New Roman" w:hAnsi="Times New Roman"/>
          <w:i/>
          <w:noProof/>
          <w:sz w:val="24"/>
          <w:szCs w:val="24"/>
        </w:rPr>
      </w:pPr>
      <w:r>
        <w:rPr>
          <w:rFonts w:ascii="Times New Roman" w:hAnsi="Times New Roman"/>
          <w:i/>
          <w:noProof/>
          <w:sz w:val="24"/>
          <w:szCs w:val="24"/>
        </w:rPr>
        <w:t>Национална агенция за управление на иззети активи</w:t>
      </w:r>
    </w:p>
    <w:p w:rsidR="00B13CA4" w:rsidRDefault="00FB4139">
      <w:pPr>
        <w:autoSpaceDE w:val="0"/>
        <w:autoSpaceDN w:val="0"/>
        <w:adjustRightInd w:val="0"/>
        <w:spacing w:after="120" w:line="240" w:lineRule="auto"/>
        <w:jc w:val="both"/>
        <w:rPr>
          <w:rFonts w:ascii="Times New Roman" w:hAnsi="Times New Roman"/>
          <w:noProof/>
          <w:color w:val="000000"/>
          <w:sz w:val="24"/>
          <w:szCs w:val="24"/>
        </w:rPr>
      </w:pPr>
      <w:r>
        <w:rPr>
          <w:rFonts w:ascii="Times New Roman" w:hAnsi="Times New Roman"/>
          <w:noProof/>
          <w:sz w:val="24"/>
          <w:szCs w:val="24"/>
        </w:rPr>
        <w:t xml:space="preserve">Националната агенция за управление на иззети активи (НАУИА) вече функционира пълноценно и продължава да развива дейността си, като ясно посочва това в годишните си </w:t>
      </w:r>
      <w:r>
        <w:rPr>
          <w:rFonts w:ascii="Times New Roman" w:hAnsi="Times New Roman"/>
          <w:noProof/>
          <w:sz w:val="24"/>
          <w:szCs w:val="24"/>
        </w:rPr>
        <w:t>доклади. Това е положителен пример за случай, при който разглеждането на добри практики в други държави членки (Белгия, Франция, Италия и Нидерландия) и отвъд тях е спомогнало за успешно планиране.</w:t>
      </w:r>
    </w:p>
    <w:p w:rsidR="00B13CA4" w:rsidRDefault="00FB4139">
      <w:pPr>
        <w:spacing w:after="120" w:line="240" w:lineRule="auto"/>
        <w:jc w:val="both"/>
        <w:rPr>
          <w:rFonts w:ascii="Times New Roman" w:eastAsia="Times New Roman" w:hAnsi="Times New Roman"/>
          <w:i/>
          <w:noProof/>
          <w:sz w:val="24"/>
          <w:szCs w:val="24"/>
        </w:rPr>
      </w:pPr>
      <w:r>
        <w:rPr>
          <w:rFonts w:ascii="Times New Roman" w:hAnsi="Times New Roman"/>
          <w:i/>
          <w:noProof/>
          <w:sz w:val="24"/>
          <w:szCs w:val="24"/>
        </w:rPr>
        <w:t>Въз основа на анализ на четвъртия показател Комисията може</w:t>
      </w:r>
      <w:r>
        <w:rPr>
          <w:rFonts w:ascii="Times New Roman" w:hAnsi="Times New Roman"/>
          <w:i/>
          <w:noProof/>
          <w:sz w:val="24"/>
          <w:szCs w:val="24"/>
        </w:rPr>
        <w:t xml:space="preserve"> да потвърди отново заключението си от ноември 2018 г., че е необходимо да се работи повече, за да се постигне напредък по изпълнението на показателя.</w:t>
      </w:r>
      <w:r>
        <w:rPr>
          <w:rFonts w:ascii="Times New Roman" w:hAnsi="Times New Roman"/>
          <w:i/>
          <w:iCs/>
          <w:noProof/>
          <w:sz w:val="24"/>
          <w:szCs w:val="24"/>
        </w:rPr>
        <w:t xml:space="preserve"> Предотвратяването на корупцията е възпрепятствано от политически промени, които подкопават надеждността н</w:t>
      </w:r>
      <w:r>
        <w:rPr>
          <w:rFonts w:ascii="Times New Roman" w:hAnsi="Times New Roman"/>
          <w:i/>
          <w:iCs/>
          <w:noProof/>
          <w:sz w:val="24"/>
          <w:szCs w:val="24"/>
        </w:rPr>
        <w:t>а напредъка (препоръка 11). Във връзка с препоръка 12, Комисията потвърждава, че тази препоръка е изпълнена.</w:t>
      </w:r>
    </w:p>
    <w:p w:rsidR="00B13CA4" w:rsidRDefault="00FB4139">
      <w:pPr>
        <w:keepNext/>
        <w:spacing w:before="360" w:after="120" w:line="240" w:lineRule="auto"/>
        <w:jc w:val="both"/>
        <w:rPr>
          <w:rFonts w:ascii="Times New Roman" w:hAnsi="Times New Roman"/>
          <w:b/>
          <w:noProof/>
          <w:sz w:val="24"/>
          <w:szCs w:val="24"/>
        </w:rPr>
      </w:pPr>
      <w:r>
        <w:rPr>
          <w:rFonts w:ascii="Times New Roman" w:hAnsi="Times New Roman"/>
          <w:b/>
          <w:noProof/>
          <w:sz w:val="24"/>
          <w:szCs w:val="24"/>
        </w:rPr>
        <w:t xml:space="preserve">4. </w:t>
      </w:r>
      <w:r>
        <w:rPr>
          <w:rFonts w:ascii="Times New Roman" w:hAnsi="Times New Roman"/>
          <w:b/>
          <w:noProof/>
          <w:sz w:val="24"/>
          <w:szCs w:val="24"/>
        </w:rPr>
        <w:tab/>
        <w:t xml:space="preserve">ЗАКЛЮЧЕНИЕ </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След последния доклад Комисията трябваше да се връща често на развитието в Румъния на въпросите на съдебната реформа и борбата с ко</w:t>
      </w:r>
      <w:r>
        <w:rPr>
          <w:rFonts w:ascii="Times New Roman" w:hAnsi="Times New Roman"/>
          <w:noProof/>
          <w:sz w:val="24"/>
          <w:szCs w:val="24"/>
        </w:rPr>
        <w:t>рупцията. Във всеки един от тези случаи Комисията потвърди отстъплението от постигнатия през предходните години напредък, посочен в доклада ѝ от ноември 2018 г.</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 xml:space="preserve">Развитието на ситуацията през първите месеци на 2019 г. беше източник на голяма загриженост. В </w:t>
      </w:r>
      <w:r>
        <w:rPr>
          <w:rFonts w:ascii="Times New Roman" w:hAnsi="Times New Roman"/>
          <w:noProof/>
          <w:sz w:val="24"/>
          <w:szCs w:val="24"/>
        </w:rPr>
        <w:t>резултат на това през май 2019 г. Комисията трябваше да информира румънските органи, че ако необходимите подобрения не бъдат направени в кратък срок или ако бъдат предприети допълнителни отрицателни стъпки, Комисията ще предприеме стъпки в рамките на уредб</w:t>
      </w:r>
      <w:r>
        <w:rPr>
          <w:rFonts w:ascii="Times New Roman" w:hAnsi="Times New Roman"/>
          <w:noProof/>
          <w:sz w:val="24"/>
          <w:szCs w:val="24"/>
        </w:rPr>
        <w:t xml:space="preserve">ата за принципите на правовата държава, в която се предвижда диалог за справяне с тези опасения (и който следователно може да надхвърли параметрите на МСП). </w:t>
      </w:r>
    </w:p>
    <w:p w:rsidR="00B13CA4" w:rsidRDefault="00FB4139">
      <w:pPr>
        <w:spacing w:after="120" w:line="240" w:lineRule="auto"/>
        <w:jc w:val="both"/>
        <w:rPr>
          <w:rFonts w:ascii="Times New Roman" w:hAnsi="Times New Roman"/>
          <w:noProof/>
          <w:sz w:val="24"/>
          <w:szCs w:val="24"/>
        </w:rPr>
      </w:pPr>
      <w:r>
        <w:rPr>
          <w:rFonts w:ascii="Times New Roman" w:hAnsi="Times New Roman"/>
          <w:noProof/>
          <w:sz w:val="24"/>
          <w:szCs w:val="24"/>
        </w:rPr>
        <w:t>Комисията приветства факта, че през юни румънското правителство изрази желание за преразглеждане н</w:t>
      </w:r>
      <w:r>
        <w:rPr>
          <w:rFonts w:ascii="Times New Roman" w:hAnsi="Times New Roman"/>
          <w:noProof/>
          <w:sz w:val="24"/>
          <w:szCs w:val="24"/>
        </w:rPr>
        <w:t>а подхода и че бяха извършени усилия за нови механизми за консултация и за диалог с органите на съдебната власт. Комисията очаква компетентните румънски органи да превърнат този ангажимент в конкретни законодателни и други мерки. Напредъкът ще изисква осез</w:t>
      </w:r>
      <w:r>
        <w:rPr>
          <w:rFonts w:ascii="Times New Roman" w:hAnsi="Times New Roman"/>
          <w:noProof/>
          <w:sz w:val="24"/>
          <w:szCs w:val="24"/>
        </w:rPr>
        <w:t>аеми стъпки, законодателни и административни, за да бъдат изпълнени препоръките, обобщени в настоящия доклад. Основните институции на Румъния трябва заедно да демонстрират силен ангажимент към независимостта на съдебната власт и борбата с корупцията като з</w:t>
      </w:r>
      <w:r>
        <w:rPr>
          <w:rFonts w:ascii="Times New Roman" w:hAnsi="Times New Roman"/>
          <w:noProof/>
          <w:sz w:val="24"/>
          <w:szCs w:val="24"/>
        </w:rPr>
        <w:t>адължителни основни елементи и да осигурят капацитета за действие на националните гаранции и механизми за взаимозависимост и взаимоограничаване.</w:t>
      </w:r>
    </w:p>
    <w:p w:rsidR="00B13CA4" w:rsidRDefault="00FB4139">
      <w:pPr>
        <w:spacing w:after="120" w:line="240" w:lineRule="auto"/>
        <w:jc w:val="both"/>
        <w:rPr>
          <w:rFonts w:ascii="Times New Roman" w:hAnsi="Times New Roman"/>
          <w:noProof/>
          <w:sz w:val="24"/>
          <w:szCs w:val="24"/>
          <w:highlight w:val="yellow"/>
        </w:rPr>
      </w:pPr>
      <w:r>
        <w:rPr>
          <w:rFonts w:ascii="Times New Roman" w:hAnsi="Times New Roman"/>
          <w:noProof/>
          <w:sz w:val="24"/>
          <w:szCs w:val="24"/>
        </w:rPr>
        <w:t xml:space="preserve">Комисията ще продължи да следи отблизо развитието на ситуацията чрез МСП. Тя изразява съжаление, че Румъния не </w:t>
      </w:r>
      <w:r>
        <w:rPr>
          <w:rFonts w:ascii="Times New Roman" w:hAnsi="Times New Roman"/>
          <w:noProof/>
          <w:sz w:val="24"/>
          <w:szCs w:val="24"/>
        </w:rPr>
        <w:t>се е ангажирала с препоръките от ноември 2018 г., които бяха изцяло в съответствие с позициите на другите институции на ЕС. Тези препоръки трябва да бъдат следвани, за да бъде продължен процесът на реформи и да се поеме отново по пътя към приключване на пр</w:t>
      </w:r>
      <w:r>
        <w:rPr>
          <w:rFonts w:ascii="Times New Roman" w:hAnsi="Times New Roman"/>
          <w:noProof/>
          <w:sz w:val="24"/>
          <w:szCs w:val="24"/>
        </w:rPr>
        <w:t>оцеса по МСП, както бе посочено в доклада от януари 2017 г. Комисията е уверена, че Румъния би могла да даде нов импулс за постигането на целите на МСП и е готова да помогне на румънските органи за тази цел.</w:t>
      </w:r>
    </w:p>
    <w:sectPr w:rsidR="00B13CA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A4" w:rsidRDefault="00FB4139">
      <w:pPr>
        <w:spacing w:after="0" w:line="240" w:lineRule="auto"/>
      </w:pPr>
      <w:r>
        <w:separator/>
      </w:r>
    </w:p>
  </w:endnote>
  <w:endnote w:type="continuationSeparator" w:id="0">
    <w:p w:rsidR="00B13CA4" w:rsidRDefault="00FB4139">
      <w:pPr>
        <w:spacing w:after="0" w:line="240" w:lineRule="auto"/>
      </w:pPr>
      <w:r>
        <w:continuationSeparator/>
      </w:r>
    </w:p>
  </w:endnote>
  <w:endnote w:type="continuationNotice" w:id="1">
    <w:p w:rsidR="00B13CA4" w:rsidRDefault="00B13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FB4139">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FB4139">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A4" w:rsidRDefault="00FB4139">
      <w:pPr>
        <w:spacing w:after="0" w:line="240" w:lineRule="auto"/>
      </w:pPr>
      <w:r>
        <w:separator/>
      </w:r>
    </w:p>
  </w:footnote>
  <w:footnote w:type="continuationSeparator" w:id="0">
    <w:p w:rsidR="00B13CA4" w:rsidRDefault="00FB4139">
      <w:pPr>
        <w:spacing w:after="0" w:line="240" w:lineRule="auto"/>
      </w:pPr>
      <w:r>
        <w:continuationSeparator/>
      </w:r>
    </w:p>
  </w:footnote>
  <w:footnote w:type="continuationNotice" w:id="1">
    <w:p w:rsidR="00B13CA4" w:rsidRDefault="00B13CA4">
      <w:pPr>
        <w:spacing w:after="0" w:line="240" w:lineRule="auto"/>
      </w:pPr>
    </w:p>
  </w:footnote>
  <w:footnote w:id="2">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В </w:t>
      </w:r>
      <w:r>
        <w:rPr>
          <w:rFonts w:ascii="Times New Roman" w:hAnsi="Times New Roman"/>
        </w:rPr>
        <w:t>резултат на заключенията на Съвета на министрите от 17 октомври 2006 г. (13339/06) Механизмът бе създаден с Решение на Комисията от 13 декември 2006 г. (C(2006) 6569).</w:t>
      </w:r>
    </w:p>
  </w:footnote>
  <w:footnote w:id="3">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Заключения на Съвета относно Механизма за сътрудничество и проверка, 12 декември 2017 </w:t>
      </w:r>
      <w:r>
        <w:rPr>
          <w:rFonts w:ascii="Times New Roman" w:hAnsi="Times New Roman"/>
        </w:rPr>
        <w:t xml:space="preserve">г. — </w:t>
      </w:r>
      <w:hyperlink r:id="rId1" w:history="1">
        <w:r>
          <w:rPr>
            <w:rStyle w:val="Hyperlink"/>
            <w:rFonts w:ascii="Times New Roman" w:hAnsi="Times New Roman"/>
          </w:rPr>
          <w:t>https://data.consilium.europa.eu/doc/document/ST-15587-2017-INIT/bg/pdf</w:t>
        </w:r>
      </w:hyperlink>
      <w:r>
        <w:rPr>
          <w:rStyle w:val="Hyperlink"/>
          <w:rFonts w:ascii="Times New Roman" w:hAnsi="Times New Roman"/>
        </w:rPr>
        <w:t>.</w:t>
      </w:r>
      <w:r>
        <w:rPr>
          <w:rFonts w:ascii="Times New Roman" w:hAnsi="Times New Roman"/>
        </w:rPr>
        <w:t xml:space="preserve"> Четирите показателя, приложими за Румъния, са описани на стр. 1 от техническия доклад, придружаващ настоящия доклад.</w:t>
      </w:r>
    </w:p>
  </w:footnote>
  <w:footnote w:id="4">
    <w:p w:rsidR="00B13CA4" w:rsidRDefault="00FB4139">
      <w:pPr>
        <w:pStyle w:val="FootnoteText"/>
        <w:tabs>
          <w:tab w:val="left" w:pos="284"/>
        </w:tabs>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spacing w:val="-4"/>
        </w:rPr>
        <w:t xml:space="preserve">COM(2017) 44 — </w:t>
      </w:r>
      <w:hyperlink r:id="rId2" w:history="1">
        <w:r>
          <w:rPr>
            <w:rStyle w:val="Hyperlink"/>
            <w:rFonts w:ascii="Times New Roman" w:hAnsi="Times New Roman"/>
            <w:spacing w:val="-4"/>
          </w:rPr>
          <w:t>https://eur-lex.europa.</w:t>
        </w:r>
        <w:r>
          <w:rPr>
            <w:rStyle w:val="Hyperlink"/>
            <w:rFonts w:ascii="Times New Roman" w:hAnsi="Times New Roman"/>
            <w:spacing w:val="-4"/>
          </w:rPr>
          <w:t>eu/legal-content/BG/TXT/PDF/?uri=CELEX:52017DC0044&amp;from=en</w:t>
        </w:r>
      </w:hyperlink>
      <w:r>
        <w:rPr>
          <w:rFonts w:ascii="Times New Roman" w:hAnsi="Times New Roman"/>
        </w:rPr>
        <w:t>.</w:t>
      </w:r>
    </w:p>
  </w:footnote>
  <w:footnote w:id="5">
    <w:p w:rsidR="00B13CA4" w:rsidRDefault="00FB4139">
      <w:pPr>
        <w:pStyle w:val="FootnoteText"/>
        <w:tabs>
          <w:tab w:val="left" w:pos="284"/>
        </w:tabs>
        <w:spacing w:after="0" w:line="240" w:lineRule="auto"/>
        <w:ind w:left="380" w:hanging="380"/>
        <w:contextualSpacing/>
        <w:jc w:val="both"/>
        <w:rPr>
          <w:rFonts w:ascii="Times New Roman" w:hAnsi="Times New Roman"/>
          <w:spacing w:val="-4"/>
        </w:rPr>
      </w:pPr>
      <w:r>
        <w:rPr>
          <w:rStyle w:val="FootnoteReference"/>
          <w:rFonts w:ascii="Times New Roman" w:hAnsi="Times New Roman"/>
        </w:rPr>
        <w:footnoteRef/>
      </w:r>
      <w:r>
        <w:rPr>
          <w:rFonts w:ascii="Times New Roman" w:hAnsi="Times New Roman"/>
        </w:rPr>
        <w:tab/>
      </w:r>
      <w:r>
        <w:rPr>
          <w:rFonts w:ascii="Times New Roman" w:hAnsi="Times New Roman"/>
          <w:spacing w:val="-4"/>
        </w:rPr>
        <w:t xml:space="preserve">COM(2017) 751 — </w:t>
      </w:r>
      <w:hyperlink r:id="rId3" w:history="1">
        <w:r>
          <w:rPr>
            <w:rStyle w:val="Hyperlink"/>
            <w:rFonts w:ascii="Times New Roman" w:hAnsi="Times New Roman"/>
            <w:spacing w:val="-4"/>
          </w:rPr>
          <w:t>https://eur-lex.europa.eu/legal-content/BG/TXT/PDF/?uri=CELEX:52017DC0751&amp;from=e</w:t>
        </w:r>
        <w:r>
          <w:rPr>
            <w:rStyle w:val="Hyperlink"/>
            <w:rFonts w:ascii="Times New Roman" w:hAnsi="Times New Roman"/>
            <w:spacing w:val="-4"/>
          </w:rPr>
          <w:t>n</w:t>
        </w:r>
      </w:hyperlink>
      <w:r>
        <w:rPr>
          <w:rStyle w:val="Hyperlink"/>
          <w:rFonts w:ascii="Times New Roman" w:hAnsi="Times New Roman"/>
          <w:spacing w:val="-4"/>
        </w:rPr>
        <w:t>.</w:t>
      </w:r>
    </w:p>
  </w:footnote>
  <w:footnote w:id="6">
    <w:p w:rsidR="00B13CA4" w:rsidRDefault="00FB4139">
      <w:pPr>
        <w:pStyle w:val="FootnoteText"/>
        <w:tabs>
          <w:tab w:val="left" w:pos="284"/>
        </w:tabs>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Заключения на Съвета относно Механизма за сътрудничество и проверка, 12 декември 2017 г. — </w:t>
      </w:r>
      <w:hyperlink r:id="rId4" w:history="1">
        <w:r>
          <w:rPr>
            <w:rStyle w:val="Hyperlink"/>
            <w:rFonts w:ascii="Times New Roman" w:hAnsi="Times New Roman"/>
          </w:rPr>
          <w:t>https://data.consilium.europa.eu/doc/document/ST-15587-2017-INIT/bg/pdf</w:t>
        </w:r>
      </w:hyperlink>
      <w:r>
        <w:rPr>
          <w:rStyle w:val="Hyperlink"/>
          <w:rFonts w:ascii="Times New Roman" w:hAnsi="Times New Roman"/>
        </w:rPr>
        <w:t>.</w:t>
      </w:r>
    </w:p>
  </w:footnote>
  <w:footnote w:id="7">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spacing w:val="-8"/>
        </w:rPr>
        <w:t xml:space="preserve">COM(2018) 851 final — </w:t>
      </w:r>
      <w:hyperlink r:id="rId5" w:history="1">
        <w:r>
          <w:rPr>
            <w:rStyle w:val="Hyperlink"/>
            <w:rFonts w:ascii="Times New Roman" w:hAnsi="Times New Roman"/>
            <w:spacing w:val="-8"/>
          </w:rPr>
          <w:t>https://eur-lex.europa.eu/legal-content/BG/TXT/PDF/?uri=CELEX:52018DC0851&amp;from=en</w:t>
        </w:r>
      </w:hyperlink>
      <w:r>
        <w:rPr>
          <w:rFonts w:ascii="Times New Roman" w:hAnsi="Times New Roman"/>
        </w:rPr>
        <w:t xml:space="preserve"> </w:t>
      </w:r>
    </w:p>
  </w:footnote>
  <w:footnote w:id="8">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Незаконодателна резолюция на Европейския парламе</w:t>
      </w:r>
      <w:r>
        <w:rPr>
          <w:rFonts w:ascii="Times New Roman" w:hAnsi="Times New Roman"/>
        </w:rPr>
        <w:t>нт относно принципите на правовата държава в Румъния от 13 ноември 2018 г., P8_TA-PROV(2018)0446. Тя приканва парламента и правителството на Румъния да решат въпросите въз основа на прозрачен и приобщаващ процес, да си сътрудничат и да приложат изцяло всич</w:t>
      </w:r>
      <w:r>
        <w:rPr>
          <w:rFonts w:ascii="Times New Roman" w:hAnsi="Times New Roman"/>
        </w:rPr>
        <w:t xml:space="preserve">ки препоръки на Европейската комисия, Групата държави срещу корупцията (GRECO) към Съвета на Европа и на Венецианската комисия, и да се въздържат от каквито и да било реформи, които биха изложили на риск зачитането на върховенството на закона, включително </w:t>
      </w:r>
      <w:r>
        <w:rPr>
          <w:rFonts w:ascii="Times New Roman" w:hAnsi="Times New Roman"/>
        </w:rPr>
        <w:t>независимостта на съдебната власт.</w:t>
      </w:r>
    </w:p>
  </w:footnote>
  <w:footnote w:id="9">
    <w:p w:rsidR="00B13CA4" w:rsidRDefault="00FB4139">
      <w:pPr>
        <w:pStyle w:val="FootnoteText"/>
        <w:spacing w:after="0" w:line="240" w:lineRule="auto"/>
        <w:ind w:left="380" w:hanging="380"/>
        <w:contextualSpacing/>
        <w:jc w:val="both"/>
        <w:rPr>
          <w:rFonts w:ascii="Times New Roman" w:hAnsi="Times New Roman"/>
          <w:spacing w:val="-4"/>
        </w:rPr>
      </w:pPr>
      <w:r>
        <w:rPr>
          <w:rStyle w:val="FootnoteReference"/>
          <w:rFonts w:ascii="Times New Roman" w:hAnsi="Times New Roman"/>
        </w:rPr>
        <w:footnoteRef/>
      </w:r>
      <w:r>
        <w:rPr>
          <w:rFonts w:ascii="Times New Roman" w:hAnsi="Times New Roman"/>
        </w:rPr>
        <w:tab/>
      </w:r>
      <w:r>
        <w:rPr>
          <w:rFonts w:ascii="Times New Roman" w:hAnsi="Times New Roman"/>
          <w:spacing w:val="-4"/>
        </w:rPr>
        <w:t>В заключенията си от 12 декември 2018 г. Съветът призовава „Румъния да се върне към положителната динамика на реформите и да предприеме бързи действия, особено по отношение на допълнителните основни препоръки, формулира</w:t>
      </w:r>
      <w:r>
        <w:rPr>
          <w:rFonts w:ascii="Times New Roman" w:hAnsi="Times New Roman"/>
          <w:spacing w:val="-4"/>
        </w:rPr>
        <w:t>ни от Комисията, свързани с независимостта и реформата на съдебната система, борбата с корупцията на всички равнища, както и други, подчертани в доклада въпроси относно професионалната етика“ (</w:t>
      </w:r>
      <w:hyperlink r:id="rId6" w:history="1">
        <w:r>
          <w:rPr>
            <w:rStyle w:val="Hyperlink"/>
            <w:rFonts w:ascii="Times New Roman" w:hAnsi="Times New Roman"/>
            <w:spacing w:val="-4"/>
          </w:rPr>
          <w:t>https://data.consilium.europa.eu/doc/document/ST-15187-2018-INIT/bg/pdf</w:t>
        </w:r>
      </w:hyperlink>
      <w:r>
        <w:rPr>
          <w:rFonts w:ascii="Times New Roman" w:hAnsi="Times New Roman"/>
          <w:spacing w:val="-4"/>
        </w:rPr>
        <w:t>).</w:t>
      </w:r>
    </w:p>
  </w:footnote>
  <w:footnote w:id="10">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По-специално становищата на Венецианската комисия под номер 924/2018 относно измененията на законите в областта на правосъдието и 930/2018 относно изменени</w:t>
      </w:r>
      <w:r>
        <w:rPr>
          <w:rFonts w:ascii="Times New Roman" w:hAnsi="Times New Roman"/>
        </w:rPr>
        <w:t>ята на Наказателния кодекс. AdHocRep(2018) 2 на Групата държави срещу корупцията относно измененията на законите в областта на правосъдието. Групата държави срещу корупцията (GRECO) е създадена от Съвета на Европа през 1999 г., за да следи за спазването на</w:t>
      </w:r>
      <w:r>
        <w:rPr>
          <w:rFonts w:ascii="Times New Roman" w:hAnsi="Times New Roman"/>
        </w:rPr>
        <w:t xml:space="preserve"> стандартите на организацията за борба с корупцията.</w:t>
      </w:r>
    </w:p>
  </w:footnote>
  <w:footnote w:id="11">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Уредбата за принципите на правовата държава беше изготвена от Комисията през 2014 г., за да се предотврати появата на системна заплаха за принципите на правовата държава, която би наложила използването</w:t>
      </w:r>
      <w:r>
        <w:rPr>
          <w:rFonts w:ascii="Times New Roman" w:hAnsi="Times New Roman"/>
        </w:rPr>
        <w:t xml:space="preserve"> на процедурата по член 7 от ДЕС. В нея се предвижда поетапен процес на диалог със съответната държава членка, структуриран със становища и препоръки на Комисията. Приложното поле на Уредбата за принципите на правовата държава е по-широко от това на показа</w:t>
      </w:r>
      <w:r>
        <w:rPr>
          <w:rFonts w:ascii="Times New Roman" w:hAnsi="Times New Roman"/>
        </w:rPr>
        <w:t>телите по МСП и обхваща всички аспекти на принципите на правовата държава.</w:t>
      </w:r>
    </w:p>
  </w:footnote>
  <w:footnote w:id="12">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Референдумът за правосъдието, свикан от президента на Румъния, се проведе на 26 май с процент на участие от над 40 %. Над 80 % от избирателите гласуваха за забрана на амнистията и</w:t>
      </w:r>
      <w:r>
        <w:rPr>
          <w:rFonts w:ascii="Times New Roman" w:hAnsi="Times New Roman"/>
        </w:rPr>
        <w:t xml:space="preserve"> помилването при корупционни престъпления, а 81 % гласуваха за забрана на приемането от страна на правителството на извънредни постановления във връзка с престъпленията, наказанията и съдебната организация и за разширяване на правото на оспорване на такива</w:t>
      </w:r>
      <w:r>
        <w:rPr>
          <w:rFonts w:ascii="Times New Roman" w:hAnsi="Times New Roman"/>
        </w:rPr>
        <w:t xml:space="preserve"> постановления директно пред Конституционния съд.</w:t>
      </w:r>
    </w:p>
  </w:footnote>
  <w:footnote w:id="13">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Вж. Доклада за напредъка от 2018 г., стр. 2.</w:t>
      </w:r>
    </w:p>
  </w:footnote>
  <w:footnote w:id="14">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Дейността на разузнавателните служби не е въпрос от компетентността на ЕС и остава извън приложното поле на показателите по МСП.</w:t>
      </w:r>
    </w:p>
  </w:footnote>
  <w:footnote w:id="15">
    <w:p w:rsidR="00B13CA4" w:rsidRDefault="00FB4139">
      <w:pPr>
        <w:pStyle w:val="FootnoteText"/>
        <w:tabs>
          <w:tab w:val="left" w:pos="284"/>
        </w:tabs>
        <w:spacing w:after="0" w:line="240" w:lineRule="auto"/>
        <w:ind w:left="380" w:hanging="380"/>
        <w:jc w:val="both"/>
        <w:rPr>
          <w:rFonts w:ascii="Times New Roman" w:hAnsi="Times New Roman"/>
        </w:rPr>
      </w:pPr>
      <w:r>
        <w:rPr>
          <w:rFonts w:ascii="Times New Roman" w:hAnsi="Times New Roman"/>
          <w:vertAlign w:val="superscript"/>
        </w:rPr>
        <w:footnoteRef/>
      </w:r>
      <w:r>
        <w:rPr>
          <w:rFonts w:ascii="Times New Roman" w:hAnsi="Times New Roman"/>
        </w:rPr>
        <w:tab/>
      </w:r>
      <w:r>
        <w:rPr>
          <w:rFonts w:ascii="Times New Roman" w:hAnsi="Times New Roman"/>
          <w:i/>
        </w:rPr>
        <w:t xml:space="preserve">Укрепване на </w:t>
      </w:r>
      <w:r>
        <w:rPr>
          <w:rFonts w:ascii="Times New Roman" w:hAnsi="Times New Roman"/>
          <w:i/>
        </w:rPr>
        <w:t>върховенството на закона в Съюза. План за действие</w:t>
      </w:r>
      <w:r>
        <w:t xml:space="preserve"> (</w:t>
      </w:r>
      <w:r>
        <w:rPr>
          <w:rFonts w:ascii="Times New Roman" w:hAnsi="Times New Roman"/>
        </w:rPr>
        <w:t>COM(2019) 343 final). Това ще допълни Уредбата на принципите на правовата държава от 2014 г.</w:t>
      </w:r>
    </w:p>
  </w:footnote>
  <w:footnote w:id="16">
    <w:p w:rsidR="00B13CA4" w:rsidRDefault="00FB4139">
      <w:pPr>
        <w:pStyle w:val="FootnoteText"/>
        <w:tabs>
          <w:tab w:val="left" w:pos="284"/>
        </w:tabs>
        <w:spacing w:after="0" w:line="240" w:lineRule="auto"/>
        <w:ind w:left="380" w:hanging="380"/>
        <w:jc w:val="both"/>
        <w:rPr>
          <w:rFonts w:ascii="Times New Roman" w:hAnsi="Times New Roman"/>
        </w:rPr>
      </w:pPr>
      <w:r>
        <w:rPr>
          <w:rFonts w:ascii="Times New Roman" w:hAnsi="Times New Roman"/>
          <w:vertAlign w:val="superscript"/>
        </w:rPr>
        <w:footnoteRef/>
      </w:r>
      <w:r>
        <w:rPr>
          <w:rFonts w:ascii="Times New Roman" w:hAnsi="Times New Roman"/>
        </w:rPr>
        <w:tab/>
      </w:r>
      <w:r>
        <w:rPr>
          <w:rFonts w:ascii="Times New Roman" w:hAnsi="Times New Roman"/>
          <w:i/>
        </w:rPr>
        <w:t xml:space="preserve">Политически насоки за следващата Комисия (2019—2024 г.) — „Съюз с по-големи амбиции. Моята програма за </w:t>
      </w:r>
      <w:r>
        <w:rPr>
          <w:rFonts w:ascii="Times New Roman" w:hAnsi="Times New Roman"/>
          <w:i/>
        </w:rPr>
        <w:t>Европа“</w:t>
      </w:r>
      <w:r>
        <w:rPr>
          <w:rFonts w:ascii="Times New Roman" w:hAnsi="Times New Roman"/>
        </w:rPr>
        <w:t>, стр. 14—15, вж.</w:t>
      </w:r>
      <w:hyperlink r:id="rId7" w:history="1">
        <w:r>
          <w:rPr>
            <w:rStyle w:val="Hyperlink"/>
            <w:rFonts w:ascii="Times New Roman" w:hAnsi="Times New Roman"/>
          </w:rPr>
          <w:t xml:space="preserve"> https://ec.europa.eu/commission/sites/beta-political/files/political-guidelines-next-commission_bg_1.pdf</w:t>
        </w:r>
      </w:hyperlink>
      <w:r>
        <w:rPr>
          <w:rFonts w:ascii="Times New Roman" w:hAnsi="Times New Roman"/>
        </w:rPr>
        <w:t>.</w:t>
      </w:r>
    </w:p>
  </w:footnote>
  <w:footnote w:id="17">
    <w:p w:rsidR="00B13CA4" w:rsidRDefault="00FB4139">
      <w:pPr>
        <w:pStyle w:val="FootnoteText"/>
        <w:spacing w:after="0" w:line="240" w:lineRule="auto"/>
        <w:ind w:left="380" w:hanging="380"/>
        <w:contextualSpacing/>
        <w:jc w:val="both"/>
        <w:rPr>
          <w:rFonts w:ascii="Times New Roman" w:hAnsi="Times New Roman"/>
          <w:i/>
          <w:iCs/>
        </w:rPr>
      </w:pPr>
      <w:r>
        <w:rPr>
          <w:rStyle w:val="FootnoteReference"/>
          <w:rFonts w:ascii="Times New Roman" w:hAnsi="Times New Roman"/>
        </w:rPr>
        <w:footnoteRef/>
      </w:r>
      <w:r>
        <w:rPr>
          <w:rFonts w:ascii="Times New Roman" w:hAnsi="Times New Roman"/>
        </w:rPr>
        <w:tab/>
      </w:r>
      <w:r>
        <w:rPr>
          <w:rFonts w:ascii="Times New Roman" w:hAnsi="Times New Roman"/>
          <w:iCs/>
        </w:rPr>
        <w:t>Из</w:t>
      </w:r>
      <w:r>
        <w:rPr>
          <w:rFonts w:ascii="Times New Roman" w:hAnsi="Times New Roman"/>
          <w:iCs/>
        </w:rPr>
        <w:t>вънредни постановления № 7/2019 от 20 февруари 2019 г. и № 12/2019</w:t>
      </w:r>
      <w:r>
        <w:rPr>
          <w:rFonts w:ascii="Times New Roman" w:hAnsi="Times New Roman"/>
        </w:rPr>
        <w:t xml:space="preserve"> от 5 март 2019 г.</w:t>
      </w:r>
    </w:p>
  </w:footnote>
  <w:footnote w:id="18">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Вж. също Техническия доклад за повече подробности относно измененията.</w:t>
      </w:r>
    </w:p>
  </w:footnote>
  <w:footnote w:id="19">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Примерите включват: увеличаване със задна дата на изисквания срок за прослужено време за прокуро</w:t>
      </w:r>
      <w:r>
        <w:rPr>
          <w:rFonts w:ascii="Times New Roman" w:hAnsi="Times New Roman"/>
        </w:rPr>
        <w:t>рите, което лиши определени лица от възможността да заемат определени длъжности; занижаване на изискванията и изменение на процедурите за назначаване на ръководни кадри в Специализирания отдел, което позволи назначаването на конкретни лица; и одобряване на</w:t>
      </w:r>
      <w:r>
        <w:rPr>
          <w:rFonts w:ascii="Times New Roman" w:hAnsi="Times New Roman"/>
        </w:rPr>
        <w:t xml:space="preserve"> кандидатурите за висши прокурори от пленума на Висшия съдебен съвет, което позволи несъобразяването с отрицателно становище от страна на прокурорската колегия.</w:t>
      </w:r>
    </w:p>
  </w:footnote>
  <w:footnote w:id="20">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Становище № 950 /2019 на Венецианската комисия, стр. 49.</w:t>
      </w:r>
    </w:p>
  </w:footnote>
  <w:footnote w:id="21">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Във връзка с това следва също така</w:t>
      </w:r>
      <w:r>
        <w:rPr>
          <w:rFonts w:ascii="Times New Roman" w:hAnsi="Times New Roman"/>
        </w:rPr>
        <w:t xml:space="preserve"> да се отбележи, че Специализираният отдел регистрира наказателно разследване срещу няколко членове на Комисията и нейни служители вследствие на жалба, подадена на 30 януари 2019 г., която ги обвинява в злоупотреба със служебно положение, комуникация на не</w:t>
      </w:r>
      <w:r>
        <w:rPr>
          <w:rFonts w:ascii="Times New Roman" w:hAnsi="Times New Roman"/>
        </w:rPr>
        <w:t xml:space="preserve">вярна информация и създаването на организирана престъпна група във връзка с изготвянето на доклада по МСП от ноември 2018 г. Това разследване беше насочено също така към заемащия длъжността главен прокурор. Комисията припомня, че по силата на Протокола за </w:t>
      </w:r>
      <w:r>
        <w:rPr>
          <w:rFonts w:ascii="Times New Roman" w:hAnsi="Times New Roman"/>
        </w:rPr>
        <w:t>привилегиите и имунитетите, приложен към Договорите, на територията на всяка държава членка членовете на Комисията и нейните служители се ползват с имунитет по отношение на съдебни производства във връзка с осъществените от тях действия при изпълнението на</w:t>
      </w:r>
      <w:r>
        <w:rPr>
          <w:rFonts w:ascii="Times New Roman" w:hAnsi="Times New Roman"/>
        </w:rPr>
        <w:t xml:space="preserve"> служебните им задължения.</w:t>
      </w:r>
      <w:r>
        <w:t xml:space="preserve"> </w:t>
      </w:r>
      <w:r>
        <w:rPr>
          <w:rFonts w:ascii="Times New Roman" w:hAnsi="Times New Roman"/>
        </w:rPr>
        <w:t xml:space="preserve">Въпреки че румънските органи нямат юрисдикция по тези въпроси, Специализираният отдел регистрира делото на 11 февруари и го прекрати едва на 27 март, като се позова на липсата на доказателства. </w:t>
      </w:r>
      <w:hyperlink r:id="rId8" w:history="1">
        <w:r>
          <w:rPr>
            <w:rStyle w:val="Hyperlink"/>
            <w:rFonts w:ascii="Times New Roman" w:hAnsi="Times New Roman"/>
          </w:rPr>
          <w:t>http://www.mpublic.ro/ro/content/c_28-03-2019-13-03</w:t>
        </w:r>
      </w:hyperlink>
      <w:r>
        <w:rPr>
          <w:rFonts w:ascii="Times New Roman" w:hAnsi="Times New Roman"/>
        </w:rPr>
        <w:t>.</w:t>
      </w:r>
    </w:p>
  </w:footnote>
  <w:footnote w:id="22">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Още един основен пример е свързан с наказателно дело срещу бившия главен прокурор на Националната дирекция за борба с корупцията, докато тя беше кандидат за европейски </w:t>
      </w:r>
      <w:r>
        <w:rPr>
          <w:rFonts w:ascii="Times New Roman" w:hAnsi="Times New Roman"/>
        </w:rPr>
        <w:t xml:space="preserve">прокурор. Моментът на образуване на наказателното производство и датите на призоваване бяха направени така, че да осуетят по-конкретно тази кандидатура, като в решение на Висшия касационен съд относно наложените превантивни мерки делото беше квалифицирано </w:t>
      </w:r>
      <w:r>
        <w:rPr>
          <w:rFonts w:ascii="Times New Roman" w:hAnsi="Times New Roman"/>
        </w:rPr>
        <w:t xml:space="preserve">като незаконно. Фактът, че беше регистрирано друго дело срещу главния прокурор, изглежда потвърждава наличието на схема на мерки, предприемани срещу висши магистрати, които критикуват Специализирания отдел. </w:t>
      </w:r>
    </w:p>
  </w:footnote>
  <w:footnote w:id="23">
    <w:p w:rsidR="00B13CA4" w:rsidRDefault="00FB4139">
      <w:pPr>
        <w:pStyle w:val="FootnoteText"/>
        <w:spacing w:after="0" w:line="240" w:lineRule="auto"/>
        <w:ind w:left="380" w:hanging="380"/>
        <w:contextualSpacing/>
        <w:jc w:val="both"/>
      </w:pPr>
      <w:r>
        <w:rPr>
          <w:rStyle w:val="FootnoteReference"/>
          <w:rFonts w:ascii="Times New Roman" w:hAnsi="Times New Roman"/>
        </w:rPr>
        <w:footnoteRef/>
      </w:r>
      <w:r>
        <w:rPr>
          <w:rFonts w:ascii="Times New Roman" w:hAnsi="Times New Roman"/>
        </w:rPr>
        <w:tab/>
        <w:t>Вж. Техническия доклад за примери и подробност</w:t>
      </w:r>
      <w:r>
        <w:rPr>
          <w:rFonts w:ascii="Times New Roman" w:hAnsi="Times New Roman"/>
        </w:rPr>
        <w:t>и.</w:t>
      </w:r>
    </w:p>
  </w:footnote>
  <w:footnote w:id="24">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Това включва сдружения на магистратите, организации на гражданското общество и опозиционни партии.</w:t>
      </w:r>
    </w:p>
  </w:footnote>
  <w:footnote w:id="25">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Становище относно извънредни постановления ИПП № 7 и ИПП № 12 за изменение на законите в областта на правосъдието (CDL-AD(2019)014, 21—22 юни 2019 г.)</w:t>
      </w:r>
      <w:r>
        <w:rPr>
          <w:rFonts w:ascii="Times New Roman" w:hAnsi="Times New Roman"/>
        </w:rPr>
        <w:tab/>
      </w:r>
      <w:r>
        <w:rPr>
          <w:rFonts w:ascii="Times New Roman" w:hAnsi="Times New Roman"/>
        </w:rPr>
        <w:br/>
      </w:r>
      <w:hyperlink r:id="rId9" w:history="1">
        <w:r>
          <w:rPr>
            <w:rStyle w:val="Hyperlink"/>
            <w:rFonts w:ascii="Times New Roman" w:hAnsi="Times New Roman"/>
          </w:rPr>
          <w:t>https://www.venice.coe.int/webforms/documents/?pdf=CDL-AD(2019)014-e</w:t>
        </w:r>
      </w:hyperlink>
      <w:r>
        <w:rPr>
          <w:rFonts w:ascii="Times New Roman" w:hAnsi="Times New Roman"/>
        </w:rPr>
        <w:t>.</w:t>
      </w:r>
    </w:p>
  </w:footnote>
  <w:footnote w:id="26">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В становището се поставят сериозни въпроси относно логиката и обосновката на някои от промените.</w:t>
      </w:r>
    </w:p>
  </w:footnote>
  <w:footnote w:id="27">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AdHocRep(2019)1 на Групата държави срещу корупцията и RC4(2019)11 на Групата държави срещу корупцията.</w:t>
      </w:r>
    </w:p>
  </w:footnote>
  <w:footnote w:id="28">
    <w:p w:rsidR="00B13CA4" w:rsidRDefault="00FB4139">
      <w:pPr>
        <w:pStyle w:val="FootnoteText"/>
        <w:spacing w:after="0" w:line="240" w:lineRule="auto"/>
        <w:ind w:left="380" w:hanging="380"/>
        <w:contextualSpacing/>
        <w:jc w:val="both"/>
        <w:rPr>
          <w:rFonts w:ascii="Times New Roman" w:hAnsi="Times New Roman"/>
          <w:sz w:val="18"/>
          <w:szCs w:val="18"/>
        </w:rPr>
      </w:pPr>
      <w:r>
        <w:rPr>
          <w:rStyle w:val="FootnoteReference"/>
          <w:rFonts w:ascii="Times New Roman" w:hAnsi="Times New Roman"/>
        </w:rPr>
        <w:footnoteRef/>
      </w:r>
      <w:r>
        <w:rPr>
          <w:rFonts w:ascii="Times New Roman" w:hAnsi="Times New Roman"/>
        </w:rPr>
        <w:tab/>
        <w:t>Работна група в рамките на Министерството на правосъдието, в консултация с всички съдебни органи и професионални сдружения на магистратите, работи по</w:t>
      </w:r>
      <w:r>
        <w:rPr>
          <w:rFonts w:ascii="Times New Roman" w:hAnsi="Times New Roman"/>
        </w:rPr>
        <w:t xml:space="preserve"> изготвянето на оценка. На 17 септември 2019 г. министърът на правосъдието обяви, че в предварителните заключения, достигнати на работно равнище, функционирането на Специализирания отдел в сегашния му вид не получава подкрепа.</w:t>
      </w:r>
    </w:p>
  </w:footnote>
  <w:footnote w:id="29">
    <w:p w:rsidR="00B13CA4" w:rsidRDefault="00FB413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ab/>
        <w:t>На 2 октомври 2019 г. главн</w:t>
      </w:r>
      <w:r>
        <w:rPr>
          <w:rFonts w:ascii="Times New Roman" w:hAnsi="Times New Roman"/>
        </w:rPr>
        <w:t xml:space="preserve">ият прокурор на Дирекцията за разследване на организираната престъпност и тероризма (ДРОПТ) подаде оставка вследствие на скандали във връзка с текущи разследвания и политически натиск. Понастоящем всички висши прокурорски функции се изпълняват от временно </w:t>
      </w:r>
      <w:r>
        <w:rPr>
          <w:rFonts w:ascii="Times New Roman" w:hAnsi="Times New Roman"/>
        </w:rPr>
        <w:t>изпълняващи длъжността.</w:t>
      </w:r>
    </w:p>
  </w:footnote>
  <w:footnote w:id="30">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Примери за дисциплинарни разследвания във връзка с публични изявления, които критикуват текущите реформи:</w:t>
      </w:r>
    </w:p>
    <w:p w:rsidR="00B13CA4" w:rsidRDefault="00FB4139">
      <w:pPr>
        <w:pStyle w:val="FootnoteText"/>
        <w:spacing w:after="0" w:line="240" w:lineRule="auto"/>
        <w:ind w:left="380"/>
        <w:contextualSpacing/>
        <w:jc w:val="both"/>
        <w:rPr>
          <w:rFonts w:ascii="Times New Roman" w:hAnsi="Times New Roman"/>
        </w:rPr>
      </w:pPr>
      <w:hyperlink r:id="rId10" w:history="1">
        <w:r>
          <w:rPr>
            <w:rStyle w:val="Hyperlink"/>
            <w:rFonts w:ascii="Times New Roman" w:hAnsi="Times New Roman"/>
          </w:rPr>
          <w:t>https://www.csm1909.ro/ViewFile.ashx?guid=2be852a5-365b-44e2-990d-47696231789a|InfoCSM</w:t>
        </w:r>
      </w:hyperlink>
      <w:r>
        <w:rPr>
          <w:rFonts w:ascii="Times New Roman" w:hAnsi="Times New Roman"/>
        </w:rPr>
        <w:t>,</w:t>
      </w:r>
    </w:p>
    <w:p w:rsidR="00B13CA4" w:rsidRDefault="00FB4139">
      <w:pPr>
        <w:pStyle w:val="FootnoteText"/>
        <w:spacing w:after="0" w:line="240" w:lineRule="auto"/>
        <w:ind w:left="380"/>
        <w:contextualSpacing/>
        <w:jc w:val="both"/>
        <w:rPr>
          <w:rFonts w:ascii="Times New Roman" w:hAnsi="Times New Roman"/>
        </w:rPr>
      </w:pPr>
      <w:hyperlink r:id="rId11" w:history="1">
        <w:r>
          <w:rPr>
            <w:rStyle w:val="Hyperlink"/>
            <w:rFonts w:ascii="Times New Roman" w:hAnsi="Times New Roman"/>
          </w:rPr>
          <w:t>https://www.csm1909.ro/ViewFile.ashx?guid=38b70eb6-641a-4794-9109</w:t>
        </w:r>
        <w:r>
          <w:rPr>
            <w:rStyle w:val="Hyperlink"/>
            <w:rFonts w:ascii="Times New Roman" w:hAnsi="Times New Roman"/>
          </w:rPr>
          <w:t>-e6805dfd778e|InfoCSM</w:t>
        </w:r>
      </w:hyperlink>
      <w:r>
        <w:rPr>
          <w:rFonts w:ascii="Times New Roman" w:hAnsi="Times New Roman"/>
        </w:rPr>
        <w:t>,</w:t>
      </w:r>
    </w:p>
    <w:p w:rsidR="00B13CA4" w:rsidRDefault="00FB4139">
      <w:pPr>
        <w:pStyle w:val="FootnoteText"/>
        <w:spacing w:after="0" w:line="240" w:lineRule="auto"/>
        <w:ind w:left="380"/>
        <w:contextualSpacing/>
        <w:jc w:val="both"/>
        <w:rPr>
          <w:rFonts w:ascii="Times New Roman" w:hAnsi="Times New Roman"/>
        </w:rPr>
      </w:pPr>
      <w:hyperlink r:id="rId12" w:history="1">
        <w:r>
          <w:rPr>
            <w:rStyle w:val="Hyperlink"/>
            <w:rFonts w:ascii="Times New Roman" w:hAnsi="Times New Roman"/>
          </w:rPr>
          <w:t>http://www.inspectiajudiciara.ro/Download.aspx?guid=7c561595-2efe-4ce4-abd7-3150b5d52274|InfoCSM</w:t>
        </w:r>
      </w:hyperlink>
      <w:r>
        <w:rPr>
          <w:rFonts w:ascii="Times New Roman" w:hAnsi="Times New Roman"/>
        </w:rPr>
        <w:t>,</w:t>
      </w:r>
    </w:p>
    <w:p w:rsidR="00B13CA4" w:rsidRDefault="00FB4139">
      <w:pPr>
        <w:pStyle w:val="FootnoteText"/>
        <w:spacing w:after="0" w:line="240" w:lineRule="auto"/>
        <w:ind w:left="380"/>
        <w:contextualSpacing/>
        <w:jc w:val="both"/>
        <w:rPr>
          <w:rFonts w:ascii="Times New Roman" w:hAnsi="Times New Roman"/>
        </w:rPr>
      </w:pPr>
      <w:hyperlink r:id="rId13" w:history="1">
        <w:r>
          <w:rPr>
            <w:rStyle w:val="Hyperlink"/>
            <w:rFonts w:ascii="Times New Roman" w:hAnsi="Times New Roman"/>
          </w:rPr>
          <w:t>http://portal.just.ro/36/SitePages/Dosar.aspx?id_dosar=200000000361685&amp;id_inst=36</w:t>
        </w:r>
      </w:hyperlink>
      <w:r>
        <w:rPr>
          <w:rFonts w:ascii="Times New Roman" w:hAnsi="Times New Roman"/>
        </w:rPr>
        <w:t>,</w:t>
      </w:r>
    </w:p>
    <w:p w:rsidR="00B13CA4" w:rsidRDefault="00FB4139">
      <w:pPr>
        <w:pStyle w:val="FootnoteText"/>
        <w:spacing w:after="0" w:line="240" w:lineRule="auto"/>
        <w:ind w:left="380"/>
        <w:contextualSpacing/>
        <w:jc w:val="both"/>
        <w:rPr>
          <w:rFonts w:ascii="Times New Roman" w:hAnsi="Times New Roman"/>
        </w:rPr>
      </w:pPr>
      <w:hyperlink r:id="rId14" w:history="1">
        <w:r>
          <w:rPr>
            <w:rStyle w:val="Hyperlink"/>
            <w:rFonts w:ascii="Times New Roman" w:hAnsi="Times New Roman"/>
          </w:rPr>
          <w:t>https://cursdeguvernare.ro/asociatia-initiativa-pentru-justitie-inspectia-judiciara-incearca-sa-i-intimideze-pe-magistratii-care-lupta-pentru-apararea-indepe</w:t>
        </w:r>
        <w:r>
          <w:rPr>
            <w:rStyle w:val="Hyperlink"/>
            <w:rFonts w:ascii="Times New Roman" w:hAnsi="Times New Roman"/>
          </w:rPr>
          <w:t>ndentei-justitiei.html</w:t>
        </w:r>
      </w:hyperlink>
      <w:r>
        <w:rPr>
          <w:rFonts w:ascii="Times New Roman" w:hAnsi="Times New Roman"/>
        </w:rPr>
        <w:t>.</w:t>
      </w:r>
    </w:p>
  </w:footnote>
  <w:footnote w:id="31">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Неотдавнашен пример е свързан с доклада на Съдебния инспекторат относно използването на споразумения за сътрудничество между прокуратурата и разузнавателните служби за подслушване. Докладът изтече в медиите, преди Висшият съдебен </w:t>
      </w:r>
      <w:r>
        <w:rPr>
          <w:rFonts w:ascii="Times New Roman" w:hAnsi="Times New Roman"/>
        </w:rPr>
        <w:t>съвет да успее да го анализира.</w:t>
      </w:r>
    </w:p>
  </w:footnote>
  <w:footnote w:id="32">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Конституционният съд беше сезиран по тези конституционни спорове от правителството, което се позова на конфликт между парламента (като законодателен орган) и Висшия касационен съд на основание на това, че Висшият </w:t>
      </w:r>
      <w:r>
        <w:rPr>
          <w:rFonts w:ascii="Times New Roman" w:hAnsi="Times New Roman"/>
        </w:rPr>
        <w:t>касационен съд е превишил конституционните си правомощия при тълкуването на закона и се е субституирал във функциите на законодателя.</w:t>
      </w:r>
    </w:p>
  </w:footnote>
  <w:footnote w:id="33">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Бяха изразени съмнения дали е от компетентността на Конституционния съд да се произнесе по правното тълкуване, дадено от</w:t>
      </w:r>
      <w:r>
        <w:rPr>
          <w:rFonts w:ascii="Times New Roman" w:hAnsi="Times New Roman"/>
        </w:rPr>
        <w:t xml:space="preserve"> Висшия касационен съд.</w:t>
      </w:r>
    </w:p>
  </w:footnote>
  <w:footnote w:id="34">
    <w:p w:rsidR="00B13CA4" w:rsidRDefault="00FB413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ab/>
      </w:r>
      <w:hyperlink r:id="rId15" w:history="1">
        <w:r>
          <w:rPr>
            <w:rStyle w:val="Hyperlink"/>
            <w:rFonts w:ascii="Times New Roman" w:hAnsi="Times New Roman"/>
          </w:rPr>
          <w:t>https://www.mediafax.ro/social/tarcea-despre-refuzul-de-</w:t>
        </w:r>
        <w:r>
          <w:rPr>
            <w:rStyle w:val="Hyperlink"/>
            <w:rFonts w:ascii="Times New Roman" w:hAnsi="Times New Roman"/>
          </w:rPr>
          <w:t>a-mai-candida-la-inalta-curte-m-a-facut-sa-imi-fie-dor-sa-traiesc-printre-oameni-cu-bun-simt-18218170</w:t>
        </w:r>
      </w:hyperlink>
      <w:r>
        <w:rPr>
          <w:rFonts w:ascii="Times New Roman" w:hAnsi="Times New Roman"/>
        </w:rPr>
        <w:t>.</w:t>
      </w:r>
    </w:p>
  </w:footnote>
  <w:footnote w:id="35">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Становище № 930 /2018 на Венецианската комисия.</w:t>
      </w:r>
    </w:p>
  </w:footnote>
  <w:footnote w:id="36">
    <w:p w:rsidR="00B13CA4" w:rsidRDefault="00FB4139">
      <w:pPr>
        <w:pStyle w:val="FootnoteText"/>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Мотивите на тези решения все още не са публикувани.</w:t>
      </w:r>
      <w:r>
        <w:rPr>
          <w:rStyle w:val="Hyperlink"/>
          <w:rFonts w:ascii="Times New Roman" w:hAnsi="Times New Roman"/>
          <w:u w:val="none"/>
        </w:rPr>
        <w:t xml:space="preserve"> </w:t>
      </w:r>
    </w:p>
  </w:footnote>
  <w:footnote w:id="37">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През август 2019 г. парламентът официално отх</w:t>
      </w:r>
      <w:r>
        <w:rPr>
          <w:rFonts w:ascii="Times New Roman" w:hAnsi="Times New Roman"/>
        </w:rPr>
        <w:t>върли закона за амнистията и помилването от февруари 2017 г., който все още стоеше на дневен ред в парламента.</w:t>
      </w:r>
    </w:p>
  </w:footnote>
  <w:footnote w:id="38">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COM(2018) 851 и SWD(2018) 551. Вж. също становище № 924/2018 на Венецианската комисия от 20 октомври 2018 г.</w:t>
      </w:r>
    </w:p>
  </w:footnote>
  <w:footnote w:id="39">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6" w:history="1">
        <w:r>
          <w:rPr>
            <w:rStyle w:val="Hyperlink"/>
            <w:rFonts w:ascii="Times New Roman" w:hAnsi="Times New Roman"/>
          </w:rPr>
          <w:t>http://www.cdep.ro/pls/dic/site2015.page?id=1046</w:t>
        </w:r>
      </w:hyperlink>
      <w:r>
        <w:rPr>
          <w:rFonts w:ascii="Times New Roman" w:hAnsi="Times New Roman"/>
        </w:rPr>
        <w:t xml:space="preserve"> </w:t>
      </w:r>
    </w:p>
  </w:footnote>
  <w:footnote w:id="40">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Изменените закони влязоха в сила през декември 2018 г. Закон № 310/2018 от 17 декември 2018 г. за изменение и допълнение на Закон № 134/2010 относно Гражданския процесуа</w:t>
      </w:r>
      <w:r>
        <w:rPr>
          <w:rFonts w:ascii="Times New Roman" w:hAnsi="Times New Roman"/>
        </w:rPr>
        <w:t>лен кодекс.</w:t>
      </w:r>
    </w:p>
  </w:footnote>
  <w:footnote w:id="41">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sidRPr="00FB4139">
        <w:rPr>
          <w:rFonts w:ascii="Times New Roman" w:hAnsi="Times New Roman"/>
        </w:rPr>
        <w:tab/>
      </w:r>
      <w:r>
        <w:rPr>
          <w:rFonts w:ascii="Times New Roman" w:hAnsi="Times New Roman"/>
        </w:rPr>
        <w:t>Становище № 950/2019 на Венецианската комисия.</w:t>
      </w:r>
    </w:p>
  </w:footnote>
  <w:footnote w:id="42">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В становището се заключава: „най-обезпокоителното е, че правителството продължава да прави законодателни изменения чрез извънредни постановления. Въпреки че в Конституцията се посочва ясно, че </w:t>
      </w:r>
      <w:r>
        <w:rPr>
          <w:rFonts w:ascii="Times New Roman" w:hAnsi="Times New Roman"/>
        </w:rPr>
        <w:t>това следва да бъде извънредна мярка, приемането на законодателство чрез извънредни постановления на правителството се превръща в рутина. Основни правила на функционирането на ключови държавни институции се променят прекалено бързо и прекалено често без по</w:t>
      </w:r>
      <w:r>
        <w:rPr>
          <w:rFonts w:ascii="Times New Roman" w:hAnsi="Times New Roman"/>
        </w:rPr>
        <w:t xml:space="preserve">дготовка и консултации, което повдига основателни въпроси относно надеждността на резултатите и относно истинските мотиви за някои от тези промени. Произтичащите от това правни текстове не са ясни. Тази практика отслабва външния контрол на правителството, </w:t>
      </w:r>
      <w:r>
        <w:rPr>
          <w:rFonts w:ascii="Times New Roman" w:hAnsi="Times New Roman"/>
        </w:rPr>
        <w:t>противоречи на принципа на разделение на властите и нарушава правната сигурност.“</w:t>
      </w:r>
    </w:p>
  </w:footnote>
  <w:footnote w:id="43">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Планът за действие на структурните мерки във връзка с групата от дела „Scăleanu срещу Румъния“ може да се намери на адрес</w:t>
      </w:r>
    </w:p>
    <w:p w:rsidR="00B13CA4" w:rsidRDefault="00FB4139">
      <w:pPr>
        <w:pStyle w:val="FootnoteText"/>
        <w:spacing w:after="0" w:line="240" w:lineRule="auto"/>
        <w:ind w:left="380" w:hanging="380"/>
        <w:contextualSpacing/>
        <w:jc w:val="both"/>
        <w:rPr>
          <w:rFonts w:ascii="Times New Roman" w:hAnsi="Times New Roman"/>
          <w:sz w:val="18"/>
          <w:szCs w:val="18"/>
        </w:rPr>
      </w:pPr>
      <w:r>
        <w:rPr>
          <w:rFonts w:ascii="Times New Roman" w:hAnsi="Times New Roman"/>
          <w:sz w:val="18"/>
          <w:szCs w:val="18"/>
        </w:rPr>
        <w:t xml:space="preserve">         </w:t>
      </w:r>
      <w:hyperlink r:id="rId17" w:history="1">
        <w:r>
          <w:rPr>
            <w:rStyle w:val="Hyperlink"/>
            <w:rFonts w:ascii="Times New Roman" w:hAnsi="Times New Roman"/>
            <w:sz w:val="18"/>
            <w:szCs w:val="18"/>
          </w:rPr>
          <w:t>https://rm.coe.int/CoERMPublicCommonSearchServices/DisplayDCTMContent?documentId=09000016806dda63</w:t>
        </w:r>
      </w:hyperlink>
      <w:r>
        <w:rPr>
          <w:rFonts w:ascii="Times New Roman" w:hAnsi="Times New Roman"/>
          <w:sz w:val="18"/>
          <w:szCs w:val="18"/>
          <w:u w:val="single"/>
        </w:rPr>
        <w:t xml:space="preserve"> </w:t>
      </w:r>
    </w:p>
  </w:footnote>
  <w:footnote w:id="44">
    <w:p w:rsidR="00B13CA4" w:rsidRDefault="00FB413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tab/>
        <w:t xml:space="preserve"> </w:t>
      </w:r>
      <w:r>
        <w:rPr>
          <w:rFonts w:ascii="Times New Roman" w:hAnsi="Times New Roman"/>
        </w:rPr>
        <w:t>Вж. също препоръка 5 от Техническия доклад.</w:t>
      </w:r>
    </w:p>
  </w:footnote>
  <w:footnote w:id="45">
    <w:p w:rsidR="00B13CA4" w:rsidRDefault="00FB413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ab/>
        <w:t>Стратегическото ръководство на съде</w:t>
      </w:r>
      <w:r>
        <w:rPr>
          <w:rFonts w:ascii="Times New Roman" w:hAnsi="Times New Roman"/>
        </w:rPr>
        <w:t>бната система включва министъра на правосъдието, Висшия магистратски съвет, Висшия касационен съд и главния прокурор. То бе създадено през 2016 г. като форум за улесняване на обсъждането и вземането на решение с консенсус относно стратегическите насоки и р</w:t>
      </w:r>
      <w:r>
        <w:rPr>
          <w:rFonts w:ascii="Times New Roman" w:hAnsi="Times New Roman"/>
        </w:rPr>
        <w:t>есурси за съдебната система. То също така упражнява надзор върху изпълнението на стратегията за развитие на съдебната власт.</w:t>
      </w:r>
    </w:p>
  </w:footnote>
  <w:footnote w:id="46">
    <w:p w:rsidR="00B13CA4" w:rsidRDefault="00FB413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ab/>
        <w:t>Заседание на Стратегическия съвет за ръководство се състоя на 17 септември. Сегашният министър на правосъдието планира провеждане</w:t>
      </w:r>
      <w:r>
        <w:rPr>
          <w:rFonts w:ascii="Times New Roman" w:hAnsi="Times New Roman"/>
        </w:rPr>
        <w:t xml:space="preserve"> на заседание веднъж на всеки шест седмици. Успоредно с това бяха проведени срещи на работни групи и консултации относно Специализирания отдел за разследването на престъпления, извършени от магистрати, и наказателните кодекси.</w:t>
      </w:r>
    </w:p>
  </w:footnote>
  <w:footnote w:id="47">
    <w:p w:rsidR="00B13CA4" w:rsidRDefault="00FB413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rPr>
        <w:tab/>
        <w:t xml:space="preserve"> Като извънредните постанов</w:t>
      </w:r>
      <w:r>
        <w:rPr>
          <w:rFonts w:ascii="Times New Roman" w:hAnsi="Times New Roman"/>
        </w:rPr>
        <w:t>ления относно законите в областта на правосъдието, приети в периода между септември 2018 г. и март 2019 г.</w:t>
      </w:r>
    </w:p>
  </w:footnote>
  <w:footnote w:id="48">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sidRPr="00FB4139">
        <w:rPr>
          <w:rFonts w:ascii="Times New Roman" w:hAnsi="Times New Roman"/>
        </w:rPr>
        <w:tab/>
      </w:r>
      <w:r>
        <w:rPr>
          <w:rFonts w:ascii="Times New Roman" w:hAnsi="Times New Roman"/>
        </w:rPr>
        <w:t>За периода 2017–2022 г.</w:t>
      </w:r>
    </w:p>
  </w:footnote>
  <w:footnote w:id="49">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Например изявления, в които осъди декларациите на председателя на Европейския парламент, критикуващи превантивните мерки,</w:t>
      </w:r>
      <w:r>
        <w:rPr>
          <w:rFonts w:ascii="Times New Roman" w:hAnsi="Times New Roman"/>
        </w:rPr>
        <w:t xml:space="preserve"> предприети от Специализирания отдел за разследването на магистрати, които попречиха на кандидата на Европейската прокуратура да присъства на изслушването в Европейския парламент; и заявлението на президента на Румъния, в което се отхвърля предложението за</w:t>
      </w:r>
      <w:r>
        <w:rPr>
          <w:rFonts w:ascii="Times New Roman" w:hAnsi="Times New Roman"/>
        </w:rPr>
        <w:t xml:space="preserve"> министър на правосъдието, направено от министър-председателя през август 2019 г.</w:t>
      </w:r>
    </w:p>
    <w:p w:rsidR="00B13CA4" w:rsidRDefault="00FB4139">
      <w:pPr>
        <w:pStyle w:val="FootnoteText"/>
        <w:ind w:left="380" w:hanging="380"/>
        <w:contextualSpacing/>
        <w:jc w:val="both"/>
        <w:rPr>
          <w:sz w:val="18"/>
          <w:szCs w:val="18"/>
        </w:rPr>
      </w:pPr>
      <w:r>
        <w:rPr>
          <w:rFonts w:ascii="Times New Roman" w:hAnsi="Times New Roman"/>
        </w:rPr>
        <w:t xml:space="preserve">      </w:t>
      </w:r>
    </w:p>
  </w:footnote>
  <w:footnote w:id="50">
    <w:p w:rsidR="00B13CA4" w:rsidRDefault="00FB413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 xml:space="preserve"> Вж. също показател 2 от Техническия доклад</w:t>
      </w:r>
    </w:p>
  </w:footnote>
  <w:footnote w:id="51">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CDL-AD (2014) 011</w:t>
      </w:r>
    </w:p>
  </w:footnote>
  <w:footnote w:id="52">
    <w:p w:rsidR="00B13CA4" w:rsidRDefault="00FB413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Резултатите, постигнати от институциите, са представени подробно в Техническия доклад.</w:t>
      </w:r>
    </w:p>
  </w:footnote>
  <w:footnote w:id="53">
    <w:p w:rsidR="00B13CA4" w:rsidRDefault="00FB413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Вж. </w:t>
      </w:r>
      <w:r>
        <w:rPr>
          <w:rFonts w:ascii="Times New Roman" w:hAnsi="Times New Roman"/>
        </w:rPr>
        <w:t>първия и третия показател.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A4" w:rsidRDefault="00B13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C0315"/>
    <w:multiLevelType w:val="hybridMultilevel"/>
    <w:tmpl w:val="7D7A33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56E7"/>
    <w:multiLevelType w:val="hybridMultilevel"/>
    <w:tmpl w:val="A98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B3E6B"/>
    <w:multiLevelType w:val="hybridMultilevel"/>
    <w:tmpl w:val="EE2CC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252E1"/>
    <w:multiLevelType w:val="hybridMultilevel"/>
    <w:tmpl w:val="F2622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366EE"/>
    <w:multiLevelType w:val="hybridMultilevel"/>
    <w:tmpl w:val="6A081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D2B46"/>
    <w:multiLevelType w:val="hybridMultilevel"/>
    <w:tmpl w:val="8F600044"/>
    <w:lvl w:ilvl="0" w:tplc="903CBA98">
      <w:numFmt w:val="bullet"/>
      <w:lvlText w:val="•"/>
      <w:lvlJc w:val="left"/>
      <w:pPr>
        <w:ind w:left="720" w:hanging="72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BE03C6"/>
    <w:multiLevelType w:val="hybridMultilevel"/>
    <w:tmpl w:val="A08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04E55"/>
    <w:multiLevelType w:val="hybridMultilevel"/>
    <w:tmpl w:val="9EFEE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2"/>
  </w:num>
  <w:num w:numId="5">
    <w:abstractNumId w:val="11"/>
  </w:num>
  <w:num w:numId="6">
    <w:abstractNumId w:val="10"/>
  </w:num>
  <w:num w:numId="7">
    <w:abstractNumId w:val="5"/>
  </w:num>
  <w:num w:numId="8">
    <w:abstractNumId w:val="3"/>
  </w:num>
  <w:num w:numId="9">
    <w:abstractNumId w:val="7"/>
  </w:num>
  <w:num w:numId="10">
    <w:abstractNumId w:val="6"/>
  </w:num>
  <w:num w:numId="11">
    <w:abstractNumId w:val="8"/>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E09C81-B0F6-48D5-A97F-CD5A40084B83"/>
    <w:docVar w:name="LW_COVERPAGE_TYPE" w:val="1"/>
    <w:docVar w:name="LW_CROSSREFERENCE" w:val="{SWD(2019) 393 final}"/>
    <w:docVar w:name="LW_DocType" w:val="NORMAL"/>
    <w:docVar w:name="LW_EMISSION" w:val="22.10.2019"/>
    <w:docVar w:name="LW_EMISSION_ISODATE" w:val="2019-10-2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gt;\u1079?\u1072? \u1085?\u1072?\u1087?\u1088?\u1077?\u1076?\u1098?\u1082?\u1072? \u1085?\u1072? \u1056?\u1091?\u1084?\u1098?\u1085?\u1080?\u1103? \u1087?\u1086? \u1084?\u1077?\u1093?\u1072?\u1085?\u1080?\u1079?\u1084?\u1072? \u1079?\u1072? \u1089?\u1098?\u1090?\u1088?\u1091?\u1076?\u1085?\u1080?\u1095?\u1077?\u1089?\u1090?\u1074?\u1086? \u1080? \u1087?\u1088?\u1086?\u1074?\u1077?\u1088?\u1082?\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B13CA4"/>
    <w:rsid w:val="00B13CA4"/>
    <w:rsid w:val="00FB41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E5E88B"/>
  <w15:docId w15:val="{22126DDC-67B6-4C2C-9E20-0760A9C0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eastAsia="zh-TW"/>
    </w:rPr>
  </w:style>
  <w:style w:type="character" w:customStyle="1" w:styleId="PlainTextChar">
    <w:name w:val="Plain Text Char"/>
    <w:link w:val="PlainText"/>
    <w:uiPriority w:val="99"/>
    <w:rPr>
      <w:rFonts w:eastAsia="SimSun"/>
      <w:sz w:val="22"/>
      <w:szCs w:val="21"/>
      <w:lang w:val="bg-BG"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1618">
      <w:bodyDiv w:val="1"/>
      <w:marLeft w:val="0"/>
      <w:marRight w:val="0"/>
      <w:marTop w:val="0"/>
      <w:marBottom w:val="0"/>
      <w:divBdr>
        <w:top w:val="none" w:sz="0" w:space="0" w:color="auto"/>
        <w:left w:val="none" w:sz="0" w:space="0" w:color="auto"/>
        <w:bottom w:val="none" w:sz="0" w:space="0" w:color="auto"/>
        <w:right w:val="none" w:sz="0" w:space="0" w:color="auto"/>
      </w:divBdr>
    </w:div>
    <w:div w:id="307638370">
      <w:bodyDiv w:val="1"/>
      <w:marLeft w:val="0"/>
      <w:marRight w:val="0"/>
      <w:marTop w:val="0"/>
      <w:marBottom w:val="0"/>
      <w:divBdr>
        <w:top w:val="none" w:sz="0" w:space="0" w:color="auto"/>
        <w:left w:val="none" w:sz="0" w:space="0" w:color="auto"/>
        <w:bottom w:val="none" w:sz="0" w:space="0" w:color="auto"/>
        <w:right w:val="none" w:sz="0" w:space="0" w:color="auto"/>
      </w:divBdr>
    </w:div>
    <w:div w:id="344674016">
      <w:bodyDiv w:val="1"/>
      <w:marLeft w:val="0"/>
      <w:marRight w:val="0"/>
      <w:marTop w:val="0"/>
      <w:marBottom w:val="0"/>
      <w:divBdr>
        <w:top w:val="none" w:sz="0" w:space="0" w:color="auto"/>
        <w:left w:val="none" w:sz="0" w:space="0" w:color="auto"/>
        <w:bottom w:val="none" w:sz="0" w:space="0" w:color="auto"/>
        <w:right w:val="none" w:sz="0" w:space="0" w:color="auto"/>
      </w:divBdr>
    </w:div>
    <w:div w:id="381104645">
      <w:bodyDiv w:val="1"/>
      <w:marLeft w:val="0"/>
      <w:marRight w:val="0"/>
      <w:marTop w:val="0"/>
      <w:marBottom w:val="0"/>
      <w:divBdr>
        <w:top w:val="none" w:sz="0" w:space="0" w:color="auto"/>
        <w:left w:val="none" w:sz="0" w:space="0" w:color="auto"/>
        <w:bottom w:val="none" w:sz="0" w:space="0" w:color="auto"/>
        <w:right w:val="none" w:sz="0" w:space="0" w:color="auto"/>
      </w:divBdr>
    </w:div>
    <w:div w:id="453644457">
      <w:bodyDiv w:val="1"/>
      <w:marLeft w:val="0"/>
      <w:marRight w:val="0"/>
      <w:marTop w:val="0"/>
      <w:marBottom w:val="0"/>
      <w:divBdr>
        <w:top w:val="none" w:sz="0" w:space="0" w:color="auto"/>
        <w:left w:val="none" w:sz="0" w:space="0" w:color="auto"/>
        <w:bottom w:val="none" w:sz="0" w:space="0" w:color="auto"/>
        <w:right w:val="none" w:sz="0" w:space="0" w:color="auto"/>
      </w:divBdr>
    </w:div>
    <w:div w:id="601567382">
      <w:bodyDiv w:val="1"/>
      <w:marLeft w:val="0"/>
      <w:marRight w:val="0"/>
      <w:marTop w:val="0"/>
      <w:marBottom w:val="0"/>
      <w:divBdr>
        <w:top w:val="none" w:sz="0" w:space="0" w:color="auto"/>
        <w:left w:val="none" w:sz="0" w:space="0" w:color="auto"/>
        <w:bottom w:val="none" w:sz="0" w:space="0" w:color="auto"/>
        <w:right w:val="none" w:sz="0" w:space="0" w:color="auto"/>
      </w:divBdr>
    </w:div>
    <w:div w:id="606276243">
      <w:bodyDiv w:val="1"/>
      <w:marLeft w:val="0"/>
      <w:marRight w:val="0"/>
      <w:marTop w:val="0"/>
      <w:marBottom w:val="0"/>
      <w:divBdr>
        <w:top w:val="none" w:sz="0" w:space="0" w:color="auto"/>
        <w:left w:val="none" w:sz="0" w:space="0" w:color="auto"/>
        <w:bottom w:val="none" w:sz="0" w:space="0" w:color="auto"/>
        <w:right w:val="none" w:sz="0" w:space="0" w:color="auto"/>
      </w:divBdr>
    </w:div>
    <w:div w:id="608969553">
      <w:bodyDiv w:val="1"/>
      <w:marLeft w:val="0"/>
      <w:marRight w:val="0"/>
      <w:marTop w:val="0"/>
      <w:marBottom w:val="0"/>
      <w:divBdr>
        <w:top w:val="none" w:sz="0" w:space="0" w:color="auto"/>
        <w:left w:val="none" w:sz="0" w:space="0" w:color="auto"/>
        <w:bottom w:val="none" w:sz="0" w:space="0" w:color="auto"/>
        <w:right w:val="none" w:sz="0" w:space="0" w:color="auto"/>
      </w:divBdr>
    </w:div>
    <w:div w:id="617226997">
      <w:bodyDiv w:val="1"/>
      <w:marLeft w:val="0"/>
      <w:marRight w:val="0"/>
      <w:marTop w:val="0"/>
      <w:marBottom w:val="0"/>
      <w:divBdr>
        <w:top w:val="none" w:sz="0" w:space="0" w:color="auto"/>
        <w:left w:val="none" w:sz="0" w:space="0" w:color="auto"/>
        <w:bottom w:val="none" w:sz="0" w:space="0" w:color="auto"/>
        <w:right w:val="none" w:sz="0" w:space="0" w:color="auto"/>
      </w:divBdr>
    </w:div>
    <w:div w:id="886795807">
      <w:bodyDiv w:val="1"/>
      <w:marLeft w:val="0"/>
      <w:marRight w:val="0"/>
      <w:marTop w:val="0"/>
      <w:marBottom w:val="0"/>
      <w:divBdr>
        <w:top w:val="none" w:sz="0" w:space="0" w:color="auto"/>
        <w:left w:val="none" w:sz="0" w:space="0" w:color="auto"/>
        <w:bottom w:val="none" w:sz="0" w:space="0" w:color="auto"/>
        <w:right w:val="none" w:sz="0" w:space="0" w:color="auto"/>
      </w:divBdr>
    </w:div>
    <w:div w:id="909924317">
      <w:bodyDiv w:val="1"/>
      <w:marLeft w:val="0"/>
      <w:marRight w:val="0"/>
      <w:marTop w:val="0"/>
      <w:marBottom w:val="0"/>
      <w:divBdr>
        <w:top w:val="none" w:sz="0" w:space="0" w:color="auto"/>
        <w:left w:val="none" w:sz="0" w:space="0" w:color="auto"/>
        <w:bottom w:val="none" w:sz="0" w:space="0" w:color="auto"/>
        <w:right w:val="none" w:sz="0" w:space="0" w:color="auto"/>
      </w:divBdr>
    </w:div>
    <w:div w:id="968976283">
      <w:bodyDiv w:val="1"/>
      <w:marLeft w:val="0"/>
      <w:marRight w:val="0"/>
      <w:marTop w:val="0"/>
      <w:marBottom w:val="0"/>
      <w:divBdr>
        <w:top w:val="none" w:sz="0" w:space="0" w:color="auto"/>
        <w:left w:val="none" w:sz="0" w:space="0" w:color="auto"/>
        <w:bottom w:val="none" w:sz="0" w:space="0" w:color="auto"/>
        <w:right w:val="none" w:sz="0" w:space="0" w:color="auto"/>
      </w:divBdr>
    </w:div>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 w:id="1056513186">
      <w:bodyDiv w:val="1"/>
      <w:marLeft w:val="0"/>
      <w:marRight w:val="0"/>
      <w:marTop w:val="0"/>
      <w:marBottom w:val="0"/>
      <w:divBdr>
        <w:top w:val="none" w:sz="0" w:space="0" w:color="auto"/>
        <w:left w:val="none" w:sz="0" w:space="0" w:color="auto"/>
        <w:bottom w:val="none" w:sz="0" w:space="0" w:color="auto"/>
        <w:right w:val="none" w:sz="0" w:space="0" w:color="auto"/>
      </w:divBdr>
    </w:div>
    <w:div w:id="1079330659">
      <w:bodyDiv w:val="1"/>
      <w:marLeft w:val="0"/>
      <w:marRight w:val="0"/>
      <w:marTop w:val="0"/>
      <w:marBottom w:val="0"/>
      <w:divBdr>
        <w:top w:val="none" w:sz="0" w:space="0" w:color="auto"/>
        <w:left w:val="none" w:sz="0" w:space="0" w:color="auto"/>
        <w:bottom w:val="none" w:sz="0" w:space="0" w:color="auto"/>
        <w:right w:val="none" w:sz="0" w:space="0" w:color="auto"/>
      </w:divBdr>
    </w:div>
    <w:div w:id="1140417497">
      <w:bodyDiv w:val="1"/>
      <w:marLeft w:val="0"/>
      <w:marRight w:val="0"/>
      <w:marTop w:val="0"/>
      <w:marBottom w:val="0"/>
      <w:divBdr>
        <w:top w:val="none" w:sz="0" w:space="0" w:color="auto"/>
        <w:left w:val="none" w:sz="0" w:space="0" w:color="auto"/>
        <w:bottom w:val="none" w:sz="0" w:space="0" w:color="auto"/>
        <w:right w:val="none" w:sz="0" w:space="0" w:color="auto"/>
      </w:divBdr>
    </w:div>
    <w:div w:id="1182671814">
      <w:bodyDiv w:val="1"/>
      <w:marLeft w:val="0"/>
      <w:marRight w:val="0"/>
      <w:marTop w:val="0"/>
      <w:marBottom w:val="0"/>
      <w:divBdr>
        <w:top w:val="none" w:sz="0" w:space="0" w:color="auto"/>
        <w:left w:val="none" w:sz="0" w:space="0" w:color="auto"/>
        <w:bottom w:val="none" w:sz="0" w:space="0" w:color="auto"/>
        <w:right w:val="none" w:sz="0" w:space="0" w:color="auto"/>
      </w:divBdr>
    </w:div>
    <w:div w:id="1211918705">
      <w:bodyDiv w:val="1"/>
      <w:marLeft w:val="0"/>
      <w:marRight w:val="0"/>
      <w:marTop w:val="0"/>
      <w:marBottom w:val="0"/>
      <w:divBdr>
        <w:top w:val="none" w:sz="0" w:space="0" w:color="auto"/>
        <w:left w:val="none" w:sz="0" w:space="0" w:color="auto"/>
        <w:bottom w:val="none" w:sz="0" w:space="0" w:color="auto"/>
        <w:right w:val="none" w:sz="0" w:space="0" w:color="auto"/>
      </w:divBdr>
    </w:div>
    <w:div w:id="1247576016">
      <w:bodyDiv w:val="1"/>
      <w:marLeft w:val="0"/>
      <w:marRight w:val="0"/>
      <w:marTop w:val="0"/>
      <w:marBottom w:val="0"/>
      <w:divBdr>
        <w:top w:val="none" w:sz="0" w:space="0" w:color="auto"/>
        <w:left w:val="none" w:sz="0" w:space="0" w:color="auto"/>
        <w:bottom w:val="none" w:sz="0" w:space="0" w:color="auto"/>
        <w:right w:val="none" w:sz="0" w:space="0" w:color="auto"/>
      </w:divBdr>
    </w:div>
    <w:div w:id="1277716144">
      <w:bodyDiv w:val="1"/>
      <w:marLeft w:val="0"/>
      <w:marRight w:val="0"/>
      <w:marTop w:val="0"/>
      <w:marBottom w:val="0"/>
      <w:divBdr>
        <w:top w:val="none" w:sz="0" w:space="0" w:color="auto"/>
        <w:left w:val="none" w:sz="0" w:space="0" w:color="auto"/>
        <w:bottom w:val="none" w:sz="0" w:space="0" w:color="auto"/>
        <w:right w:val="none" w:sz="0" w:space="0" w:color="auto"/>
      </w:divBdr>
    </w:div>
    <w:div w:id="1281763777">
      <w:bodyDiv w:val="1"/>
      <w:marLeft w:val="0"/>
      <w:marRight w:val="0"/>
      <w:marTop w:val="0"/>
      <w:marBottom w:val="0"/>
      <w:divBdr>
        <w:top w:val="none" w:sz="0" w:space="0" w:color="auto"/>
        <w:left w:val="none" w:sz="0" w:space="0" w:color="auto"/>
        <w:bottom w:val="none" w:sz="0" w:space="0" w:color="auto"/>
        <w:right w:val="none" w:sz="0" w:space="0" w:color="auto"/>
      </w:divBdr>
    </w:div>
    <w:div w:id="1317302152">
      <w:bodyDiv w:val="1"/>
      <w:marLeft w:val="0"/>
      <w:marRight w:val="0"/>
      <w:marTop w:val="0"/>
      <w:marBottom w:val="0"/>
      <w:divBdr>
        <w:top w:val="none" w:sz="0" w:space="0" w:color="auto"/>
        <w:left w:val="none" w:sz="0" w:space="0" w:color="auto"/>
        <w:bottom w:val="none" w:sz="0" w:space="0" w:color="auto"/>
        <w:right w:val="none" w:sz="0" w:space="0" w:color="auto"/>
      </w:divBdr>
    </w:div>
    <w:div w:id="1579513600">
      <w:bodyDiv w:val="1"/>
      <w:marLeft w:val="0"/>
      <w:marRight w:val="0"/>
      <w:marTop w:val="0"/>
      <w:marBottom w:val="0"/>
      <w:divBdr>
        <w:top w:val="none" w:sz="0" w:space="0" w:color="auto"/>
        <w:left w:val="none" w:sz="0" w:space="0" w:color="auto"/>
        <w:bottom w:val="none" w:sz="0" w:space="0" w:color="auto"/>
        <w:right w:val="none" w:sz="0" w:space="0" w:color="auto"/>
      </w:divBdr>
    </w:div>
    <w:div w:id="20144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public.ro/ro/content/c_28-03-2019-13-03" TargetMode="External"/><Relationship Id="rId13" Type="http://schemas.openxmlformats.org/officeDocument/2006/relationships/hyperlink" Target="http://portal.just.ro/36/SitePages/Dosar.aspx?id_dosar=200000000361685&amp;id_inst=36" TargetMode="External"/><Relationship Id="rId3" Type="http://schemas.openxmlformats.org/officeDocument/2006/relationships/hyperlink" Target="https://eur-lex.europa.eu/legal-content/BG/TXT/PDF/?uri=CELEX:52017DC0751&amp;from=en" TargetMode="External"/><Relationship Id="rId7" Type="http://schemas.openxmlformats.org/officeDocument/2006/relationships/hyperlink" Target="https://ec.europa.eu/commission/sites/beta-political/files/political-guidelines-next-commission_bg_1.pdf" TargetMode="External"/><Relationship Id="rId12" Type="http://schemas.openxmlformats.org/officeDocument/2006/relationships/hyperlink" Target="http://www.inspectiajudiciara.ro/Download.aspx?guid=7c561595-2efe-4ce4-abd7-3150b5d52274|InfoCSM" TargetMode="External"/><Relationship Id="rId17" Type="http://schemas.openxmlformats.org/officeDocument/2006/relationships/hyperlink" Target="https://rm.coe.int/CoERMPublicCommonSearchServices/DisplayDCTMContent?documentId=09000016806dda63" TargetMode="External"/><Relationship Id="rId2" Type="http://schemas.openxmlformats.org/officeDocument/2006/relationships/hyperlink" Target="https://eur-lex.europa.eu/legal-content/BG/TXT/PDF/?uri=CELEX:52017DC0044&amp;from=en" TargetMode="External"/><Relationship Id="rId16" Type="http://schemas.openxmlformats.org/officeDocument/2006/relationships/hyperlink" Target="http://www.cdep.ro/pls/dic/site2015.page?id=1046" TargetMode="External"/><Relationship Id="rId1" Type="http://schemas.openxmlformats.org/officeDocument/2006/relationships/hyperlink" Target="https://data.consilium.europa.eu/doc/document/ST-15587-2017-INIT/bg/pdf" TargetMode="External"/><Relationship Id="rId6" Type="http://schemas.openxmlformats.org/officeDocument/2006/relationships/hyperlink" Target="https://data.consilium.europa.eu/doc/document/ST-15187-2018-INIT/bg/pdf" TargetMode="External"/><Relationship Id="rId11" Type="http://schemas.openxmlformats.org/officeDocument/2006/relationships/hyperlink" Target="https://www.csm1909.ro/ViewFile.ashx?guid=38b70eb6-641a-4794-9109-e6805dfd778e|InfoCSM" TargetMode="External"/><Relationship Id="rId5" Type="http://schemas.openxmlformats.org/officeDocument/2006/relationships/hyperlink" Target="https://eur-lex.europa.eu/legal-content/BG/TXT/PDF/?uri=CELEX:52018DC0851&amp;from=en" TargetMode="External"/><Relationship Id="rId15" Type="http://schemas.openxmlformats.org/officeDocument/2006/relationships/hyperlink" Target="https://www.mediafax.ro/social/tarcea-despre-refuzul-de-a-mai-candida-la-inalta-curte-m-a-facut-sa-imi-fie-dor-sa-traiesc-printre-oameni-cu-bun-simt-18218170" TargetMode="External"/><Relationship Id="rId10" Type="http://schemas.openxmlformats.org/officeDocument/2006/relationships/hyperlink" Target="https://www.csm1909.ro/ViewFile.ashx?guid=2be852a5-365b-44e2-990d-47696231789a|InfoCSM" TargetMode="External"/><Relationship Id="rId4" Type="http://schemas.openxmlformats.org/officeDocument/2006/relationships/hyperlink" Target="https://data.consilium.europa.eu/doc/document/ST-15587-2017-INIT/bg/pdf" TargetMode="External"/><Relationship Id="rId9" Type="http://schemas.openxmlformats.org/officeDocument/2006/relationships/hyperlink" Target="https://www.venice.coe.int/webforms/documents/?pdf=CDL-AD(2019)014-e" TargetMode="External"/><Relationship Id="rId14" Type="http://schemas.openxmlformats.org/officeDocument/2006/relationships/hyperlink" Target="https://cursdeguvernare.ro/asociatia-initiativa-pentru-justitie-inspectia-judiciara-incearca-sa-i-intimideze-pe-magistratii-care-lupta-pentru-apararea-independentei-justiti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5441-EF6B-44D6-BE3E-8A39307B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6884</Words>
  <Characters>48193</Characters>
  <Application>Microsoft Office Word</Application>
  <DocSecurity>0</DocSecurity>
  <Lines>625</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54934</CharactersWithSpaces>
  <SharedDoc>false</SharedDoc>
  <HLinks>
    <vt:vector size="24" baseType="variant">
      <vt:variant>
        <vt:i4>3407895</vt:i4>
      </vt:variant>
      <vt:variant>
        <vt:i4>9</vt:i4>
      </vt:variant>
      <vt:variant>
        <vt:i4>0</vt:i4>
      </vt:variant>
      <vt:variant>
        <vt:i4>5</vt:i4>
      </vt:variant>
      <vt:variant>
        <vt:lpwstr>http://www.echr.coe.int/Documents/Guide_Art_6_ENG.pdf</vt:lpwstr>
      </vt:variant>
      <vt:variant>
        <vt:lpwstr/>
      </vt:variant>
      <vt:variant>
        <vt:i4>6946874</vt:i4>
      </vt:variant>
      <vt:variant>
        <vt:i4>6</vt:i4>
      </vt:variant>
      <vt:variant>
        <vt:i4>0</vt:i4>
      </vt:variant>
      <vt:variant>
        <vt:i4>5</vt:i4>
      </vt:variant>
      <vt:variant>
        <vt:lpwstr>http://ec.europa.eu/COMMFrontOffice/PublicOpinion/index.cfm/Survey/getSurveyDetail/instruments/FLASH/surveyKy/2084</vt:lpwstr>
      </vt:variant>
      <vt:variant>
        <vt:lpwstr/>
      </vt:variant>
      <vt:variant>
        <vt:i4>1441889</vt:i4>
      </vt:variant>
      <vt:variant>
        <vt:i4>3</vt:i4>
      </vt:variant>
      <vt:variant>
        <vt:i4>0</vt:i4>
      </vt:variant>
      <vt:variant>
        <vt:i4>5</vt:i4>
      </vt:variant>
      <vt:variant>
        <vt:lpwstr>https://search.coe.int/cm/Pages/result_details.aspx?ObjectId=09000016806d8adb</vt:lpwstr>
      </vt:variant>
      <vt:variant>
        <vt:lpwstr/>
      </vt:variant>
      <vt:variant>
        <vt:i4>7209018</vt:i4>
      </vt:variant>
      <vt:variant>
        <vt:i4>0</vt:i4>
      </vt:variant>
      <vt:variant>
        <vt:i4>0</vt:i4>
      </vt:variant>
      <vt:variant>
        <vt:i4>5</vt:i4>
      </vt:variant>
      <vt:variant>
        <vt:lpwstr>http://www.inscop.ro/wp-content/uploads/2016/04/INSCOP-raport-martie-2016-INCREDERE-INSTITUTII.pdf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31</cp:revision>
  <cp:lastPrinted>2019-10-21T07:08:00Z</cp:lastPrinted>
  <dcterms:created xsi:type="dcterms:W3CDTF">2019-10-21T12:48:00Z</dcterms:created>
  <dcterms:modified xsi:type="dcterms:W3CDTF">2019-10-28T09:47:00Z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