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B41BA578-EC3A-4428-9B65-D0DC962D7055" style="width:450.35pt;height:334.2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t>ВЪВЕДЕНИЕ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Контекст: Европейското културно наследство като ресурс за Европа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Европейският съюз обяви 2018 година за европейска година на културното наследство.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на Европа е „общ източник на историческа памет, разбиране, идентичност, диалог, сближаване и творчество за Европа“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 w:cs="Times New Roman"/>
          <w:noProof/>
          <w:sz w:val="24"/>
          <w:szCs w:val="24"/>
        </w:rPr>
        <w:t>. To „обхваща широк спектър ресурси, наследени от миналото, във всички форми и аспекти — материални, нематериални и цифрови (създадени като цифрови и цифровизирани), включително паметници, места, пейзажи, умения, практики, познания и изражения на човешкото творчество, както и колекции, съхранени и управлявани от обществени и частни органи като музеи, библиотеки и архиви“, както и филмовото наследство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В Европейския съюз като регион се намират над една трета от обектите, включени в списъка на световното културно наследство на ЮНЕСКО</w:t>
      </w:r>
      <w:r>
        <w:rPr>
          <w:rStyle w:val="FootnoteReference"/>
          <w:noProof/>
          <w:szCs w:val="24"/>
        </w:rPr>
        <w:footnoteReference w:id="3"/>
      </w:r>
      <w:r>
        <w:rPr>
          <w:noProof/>
          <w:szCs w:val="24"/>
        </w:rPr>
        <w:t xml:space="preserve">, </w:t>
      </w:r>
      <w:r>
        <w:rPr>
          <w:rStyle w:val="Hyperlink"/>
          <w:noProof/>
          <w:color w:val="auto"/>
          <w:szCs w:val="24"/>
          <w:u w:val="none"/>
        </w:rPr>
        <w:t>и</w:t>
      </w:r>
      <w:r>
        <w:rPr>
          <w:noProof/>
          <w:szCs w:val="24"/>
        </w:rPr>
        <w:t xml:space="preserve"> една четвърт от представителния списък на нематериалното културно наследство на човечеството на ЮНЕСКО</w:t>
      </w:r>
      <w:r>
        <w:rPr>
          <w:rStyle w:val="FootnoteReference"/>
          <w:noProof/>
          <w:szCs w:val="24"/>
        </w:rPr>
        <w:footnoteReference w:id="4"/>
      </w:r>
      <w:r>
        <w:rPr>
          <w:noProof/>
          <w:szCs w:val="24"/>
        </w:rPr>
        <w:t>. Досега 38 обекта са получили Знака за европейско наследство</w:t>
      </w:r>
      <w:r>
        <w:rPr>
          <w:rStyle w:val="FootnoteReference"/>
          <w:noProof/>
          <w:szCs w:val="24"/>
        </w:rPr>
        <w:footnoteReference w:id="5"/>
      </w:r>
      <w:r>
        <w:rPr>
          <w:noProof/>
          <w:szCs w:val="24"/>
        </w:rPr>
        <w:t xml:space="preserve"> за ролята си в европейската история. Съветът на Европа е сертифицирал 33 културни маршрута</w:t>
      </w:r>
      <w:r>
        <w:rPr>
          <w:rStyle w:val="FootnoteReference"/>
          <w:noProof/>
          <w:szCs w:val="24"/>
        </w:rPr>
        <w:footnoteReference w:id="6"/>
      </w:r>
      <w:r>
        <w:rPr>
          <w:noProof/>
          <w:szCs w:val="24"/>
        </w:rPr>
        <w:t>. Цифровата платформа на Европа за културното наследство Europeana предоставя достъп до 54 милиона предмета от 3</w:t>
      </w:r>
      <w:r>
        <w:rPr>
          <w:noProof/>
          <w:szCs w:val="24"/>
          <w:lang w:val="en-GB"/>
        </w:rPr>
        <w:t> </w:t>
      </w:r>
      <w:r>
        <w:rPr>
          <w:noProof/>
          <w:szCs w:val="24"/>
        </w:rPr>
        <w:t>700 европейски културни институции. По отношение на природното наследство, което е пълноправна част от културното наследство, мрежата от 27 000 защитени обекта по Натура 2000 обхваща 18 % от земната територия и почти 6 % от морската територия на ЕС.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е също така ресурс за Европа. В отрасъла на културното наследство на ЕС работят над 300 000 души, а 7,8 милиона работни места са непряко свързани с него (например устен превод и охрана).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Настоящият доклад съдържа преглед на изпълнението и резултатите от Европейската година на културното наследство 2018 в съответствие с член 10 от Решение (ЕС) 2017/864 на Европейския парламент и на Съвета от 17 май 2017 г.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7"/>
      </w:r>
    </w:p>
    <w:p>
      <w:pPr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Цели на Европейската година на културното наследство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2018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Решение (ЕС) 2017/864 на Европейския парламент и на Съвета относно Европейска година на културното наследство (2018 г.)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8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noProof/>
            <w:sz w:val="24"/>
            <w:szCs w:val="24"/>
          </w:rPr>
          <w:t>се определят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общи и конкретни цели.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Цялостната цел на Европейската година беше да се насърчат споделянето и утвърждаването на стойността на богатото и разнообразно културно наследство на Европа, да се повиши осведомеността за общата ни история и ценности, както и да се засили чувството за принадлежност към едно общо европейско пространство.</w:t>
      </w:r>
    </w:p>
    <w:p>
      <w:pPr>
        <w:spacing w:before="120" w:after="120" w:line="240" w:lineRule="auto"/>
        <w:ind w:right="39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Общите цели на Европейската година се състояха в насърчаването и подкрепата на усилията на Съюза, държавите членки и регионалните и местните органи, в сътрудничество със сектора на културното наследство и гражданското общество като цяло, за защита, опазване, повторно използване, развитие, утвърждаване на стойността и популяризиране на културното наследство на Европа. По-конкретно целите на Европейската година бяха: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 xml:space="preserve">да допринесе за насърчаването на ролята на културното наследство на Европа като ключов компонент на културното многообразие и междукултурния диалог (…); 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 xml:space="preserve">да способства за повишаването на приноса на културното наследство на Европа към обществото и икономиката чрез своя пряк и непряк икономически потенциал (…); 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>да допринесе за утвърждаването на културното наследство като важен елемент на връзките между Съюза и трети страни (…)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Проучване на Евробарометър за културното наследство</w:t>
      </w:r>
    </w:p>
    <w:p>
      <w:pPr>
        <w:pStyle w:val="EBparagraph"/>
        <w:spacing w:before="120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Във връзка с подготовката на Европейската година в края на 2017 г. беше направено специално проучване на Евробарометър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 w:cs="Times New Roman"/>
          <w:noProof/>
          <w:sz w:val="24"/>
          <w:szCs w:val="24"/>
        </w:rPr>
        <w:t>. Целта му беше да се анализират нагласите и мненията на европейците за културното наследство.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Според резултатите от проучването европейците смятат, че: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културното наследство е важно за тях лично (84 %), но и за тяхната общност (84 %), регион (87 %), страна (91 %) и за ЕС като цяло (80 %); 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публичните органи трябва да предоставят повече средства за културното наследство (74 %) и както те, така и ЕС трябва да направят всички възможно за опазването на културното наследство. 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те се гордеят с културното наследство (82 %) и смятат, че то може да повиши качеството на живот (71 %) и чувството за принадлежност към Европа (70 %).</w:t>
      </w: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ИЗПЪЛНЕНИЕ НА ЕВРОПЕЙСКАТА ГОДИНА НА КУЛТУРНОТО НАСЛЕДСТВО 2018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За изпълнението на Европейската година на културното наследство 2018 беше възприет децентрализиран подход.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t>Управление на Европейската година на културното наследство 2018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На национално равнище Европейската година беше координирана от „национални координатори“, представляващи участващите държави — всичките 28 държави членки и девет асоциирани държави (Албания, Босна и Херцеговина, Република Северна Македония, Исландия, Черна гора, Норвегия, Швейцария, Грузия и Сърбия).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На европейско равнище Европейската година се изпълняваше съвместно от Европейската комисия (до 15 генерални дирекции), Европейския парламент, Съвета на ЕС, Комитета на регионите и Европейския икономически и социален комитет. Комисията координираше Европейската година на равнището на Съюза.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Европейската комисия беше подпомагана от група от 38 организации на гражданското общество („комитет на заинтересованите страни“), избрани чрез открита и прозрачна процедура след открита покана за участие. ЮНЕСКО и Съветът на Европа също участваха.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През 2017—2018 г. Комисията организира шест заседания на комитета на заинтересованите страни и националните координатори, за да координира провеждането на Европейската година. В заседанията участваха и представители на Европейския парламент като наблюдатели.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Ресурси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Европейската година на културното наследство 2018 беше отпуснат бюджет в размер на 8 милиона евро за периода 2017—2018 г. в съответствие с посоченото по-горе Решение (ЕС) 2017/864. По-голямата част от бюджета беше използвана за финансиране на специална покана за представяне на проекти за сътрудничество по програма „Творческа Европа“ (4,8 милиона евро). Комисията използва този бюджет и за подпомагане на проекти на европейско равнище, като например работата с ICOMOS по стандарти на ЕС за качество при намеса в областта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1"/>
      </w:r>
      <w:r>
        <w:rPr>
          <w:rFonts w:ascii="Times New Roman" w:hAnsi="Times New Roman" w:cs="Times New Roman"/>
          <w:noProof/>
          <w:sz w:val="24"/>
          <w:szCs w:val="24"/>
        </w:rPr>
        <w:t>, проекта WeAre#EuropeForCulture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2"/>
      </w:r>
      <w:r>
        <w:rPr>
          <w:rFonts w:ascii="Times New Roman" w:hAnsi="Times New Roman" w:cs="Times New Roman"/>
          <w:noProof/>
          <w:sz w:val="24"/>
          <w:szCs w:val="24"/>
        </w:rPr>
        <w:t>, проекта Faro Way със Съвета на Европа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3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съвместния проект на ЕС и ЮНЕСКО за мобилизиране на потенциала на младите хора в областта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4"/>
      </w:r>
      <w:r>
        <w:rPr>
          <w:rFonts w:ascii="Times New Roman" w:hAnsi="Times New Roman" w:cs="Times New Roman"/>
          <w:noProof/>
          <w:sz w:val="24"/>
          <w:szCs w:val="24"/>
        </w:rPr>
        <w:t>, както и за комуникационна кампания и проучване на Евробарометър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5"/>
      </w:r>
      <w:r>
        <w:rPr>
          <w:rFonts w:ascii="Times New Roman" w:hAnsi="Times New Roman" w:cs="Times New Roman"/>
          <w:noProof/>
          <w:sz w:val="24"/>
          <w:szCs w:val="24"/>
        </w:rPr>
        <w:t xml:space="preserve"> (общо 2,8 милиона евро). Останалият бюджет беше използван за помощни и координационни дейности.</w:t>
      </w: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ОСНОВНИ ДЕЙНОСТИ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Комуникационна кампания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равнището на ЕС беше организирана комуникационна кампания. Кампанията беше насочена основно към ученици (на възраст 10—15 години) и млади хора (на възраст 15—25 години).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Всички държави от ЕС получиха материали на съответния език, които включваха визуална идентичност със специално изработено за Европейската година лого на всички 24 езика на ЕС, мото „Нашето наследство: там, където се срещат миналото и бъдещето“, уебсайт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6"/>
      </w:r>
      <w:r>
        <w:rPr>
          <w:rFonts w:ascii="Times New Roman" w:hAnsi="Times New Roman" w:cs="Times New Roman"/>
          <w:noProof/>
          <w:sz w:val="24"/>
          <w:szCs w:val="24"/>
        </w:rPr>
        <w:t>, печатни и аудиовизуални материали на всички езици на ЕС и материали за учителите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7"/>
      </w:r>
      <w:r>
        <w:rPr>
          <w:rFonts w:ascii="Times New Roman" w:hAnsi="Times New Roman" w:cs="Times New Roman"/>
          <w:noProof/>
          <w:sz w:val="24"/>
          <w:szCs w:val="24"/>
        </w:rPr>
        <w:t>. Освен това на всеки два месеца се издаваше бюлетин, който се четеше от над 8000 души (предимно в Испания, Италия, Белгия, Гърция и Франция).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Кампанията в социалните медии достигна до около 18 милиона души, повечето от които бяха млади хора (18—24 години и 25—34 години, като всяка от двете възрастови групи съставляваше приблизително 31—35 %). През 2018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w:t>г. хаштагът #EuropeForCulture се появи 146 000 пъти в социалните медии.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Европейската година на културното наследство получи широк отзвук и в традиционните печатни издания (26 544 статии и общо 5,3 милиона читатели, в които се включват и читателите онлайн). ARTE изготви плейлиста за Европейската година на културното наследство 2018 на пет езика.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Прояви и инициативи в държавите членки и на равнището на ЕС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През 2018 г. бяха организирани повече от 23 000 прояви с над 12,8 милиона участници (11,7 милиона участваха в прояви, организирани от държавите членки и заинтересовани страни, и 1,1 милиона — в прояви, организирани от институциите на ЕС)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8"/>
      </w:r>
      <w:r>
        <w:rPr>
          <w:rFonts w:ascii="Times New Roman" w:hAnsi="Times New Roman" w:cs="Times New Roman"/>
          <w:noProof/>
          <w:sz w:val="24"/>
          <w:szCs w:val="24"/>
        </w:rPr>
        <w:t>. Над 13 000 събития бяха проведени под знака на Европейската година на културното наследство 2018 (само в Ирландия броят им беше 2300).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Третите държави, асоциирани с отбелязването на годината, проведоха над 620 инициативи и мероприятия, които привлякоха повече от 600 000 участници.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Трийсет и осемте членове на комитета на заинтересованите страни, включително ЮНЕСКО и Съветът на Европа, проведоха 475 мероприятия и инициативи, в които участваха почти 400 000 души. Една от водещите инициативи беше срещата на върха по въпросите на европейското културно наследство „Споделяне на наследството – споделяне на ценностите“, която се проведе в Берлин през юни 2018 г. и чиято кулминация беше призивът за действие от Берлин „Културното наследство за бъдещето на Европа“, подписан от над 2200 граждани и организации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9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Европейският парламент организира специална конференция на високо равнище и междупарламентарно заседание на комисиите, като и двете бяха посветени на европейското културно наследство. Европейският икономически и социален комитет и Комитетът на регионите също организираха няколко специални прояви и комуникационни дейности.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Финансирани от ЕС проекти и десет европейски инициативи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Комисията стартира покана за представяне на предложения по програма „Творческа Европа“. От 77 кандидатури бяха избрани 29 проекта за транснационално сътрудничество на обща стойност 4,8 милиона евро</w:t>
      </w:r>
      <w:r>
        <w:rPr>
          <w:rStyle w:val="FootnoteReference"/>
          <w:noProof/>
          <w:szCs w:val="24"/>
        </w:rPr>
        <w:footnoteReference w:id="20"/>
      </w:r>
      <w:r>
        <w:rPr>
          <w:noProof/>
          <w:szCs w:val="24"/>
        </w:rPr>
        <w:t>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Редовната покана за представяне на проекти за сътрудничество по програма „Творческа Европа“ за 2018 г. беше отворена и за проекти в областта на културното наследство. В резултат на това през 2018 г. по линия на „Творческа Европа“ бяха отпуснати общо 10,3 милиона евро за 35 проекта в областта на културното наследство в сравнение с 4,9 милиона евро за 16 проекта през 2016 г.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Освен това действия, свързани с културното наследство, получиха значително финансиране от няколко програми на ЕС, както е предвидено в член 8 от Решение (ЕС) 2017/864. Европейската година беше хоризонтален приоритет за програма „Еразъм+“ за 2018 г., по която бяха отпуснати близо 92 милиона евро за 965 проекта за сътрудничество и мобилност, свързани с културното наследство.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По линия на кохезионните фондове първоначално бяха отпуснати приблизително 6 милиарда евро за културното наследство за периода 2014—2020 г. Актуални данни за инвестициите на Европейския фонд за регионално развитие в действия, свързани с културното наследство, се съдържат в платформата за данни в областта на сближаването</w:t>
      </w:r>
      <w:r>
        <w:rPr>
          <w:rStyle w:val="FootnoteReference"/>
          <w:noProof/>
          <w:szCs w:val="24"/>
        </w:rPr>
        <w:footnoteReference w:id="21"/>
      </w:r>
      <w:r>
        <w:rPr>
          <w:noProof/>
          <w:szCs w:val="24"/>
        </w:rPr>
        <w:t>. През 2018 г. и 2019 г. програма „Хоризонт 2020“ задели 100 милиона евро за научноизследователски проекти в областта на културното наследство. По време на Европейската година важна роля изиграха също финансирането от ЕС за околната среда чрез програма LIFE, което беше насочено към обектите по Натура 2000, и инициативите за културен туризъм</w:t>
      </w:r>
      <w:r>
        <w:rPr>
          <w:rStyle w:val="FootnoteReference"/>
          <w:noProof/>
          <w:szCs w:val="24"/>
        </w:rPr>
        <w:footnoteReference w:id="22"/>
      </w:r>
      <w:r>
        <w:rPr>
          <w:noProof/>
          <w:szCs w:val="24"/>
        </w:rPr>
        <w:t xml:space="preserve"> </w:t>
      </w:r>
      <w:r>
        <w:rPr>
          <w:rStyle w:val="FootnoteReference"/>
          <w:noProof/>
          <w:szCs w:val="24"/>
        </w:rPr>
        <w:footnoteReference w:id="23"/>
      </w:r>
      <w:r>
        <w:rPr>
          <w:noProof/>
          <w:szCs w:val="24"/>
        </w:rPr>
        <w:t xml:space="preserve"> и гражданство по програма „Европа за гражданите“.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Общата селскостопанска политика също подкрепи множество инициативи, свързани с културното наследство на селските райони, по линия на своя Европейски земеделски фонд за развитие на селските райони.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Накрая, през 2018 г. Комисията продължи да предоставя политическа подкрепа и финансиране за паневропейската културна платформа онлайн Europeana.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С цел да допълни тези усилия за финансиране, Комисията изпълняваше дългосрочни проекти и инициативи на политиката по десет теми („десет европейски инициативи“). Десетте европейски инициативи бяха изпълнявани в сътрудничество със Съвета на Европа, ЮНЕСКО и други партньори и организации на заинтересовани страни.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Транснационални инициативи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време на Европейската година на културното наследство 2018 бяха разработени множество трансгранични европейски инициативи, стартирани от заинтересовани страни и националните координатори.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Примери за такива инициативи са #Ode2JoyChallenge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4"/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Europa Nostra (25 държави), инициативата „Раздвижи се“ (Work it out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5"/>
      </w:r>
      <w:r>
        <w:rPr>
          <w:rFonts w:ascii="Times New Roman" w:hAnsi="Times New Roman" w:cs="Times New Roman"/>
          <w:noProof/>
          <w:sz w:val="24"/>
          <w:szCs w:val="24"/>
        </w:rPr>
        <w:t>) на организацията European Route of Industrial Heritage („Европейски маршрут на индустриалното наследство“), при която 3 000 млади хора танцуваха едновременно в 10 страни в Европа, и инициативата „Факел“ (Torch initiative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6"/>
      </w:r>
      <w:r>
        <w:rPr>
          <w:rFonts w:ascii="Times New Roman" w:hAnsi="Times New Roman" w:cs="Times New Roman"/>
          <w:noProof/>
          <w:sz w:val="24"/>
          <w:szCs w:val="24"/>
        </w:rPr>
        <w:t>), координирана от организацията Future for Religious Heritage („Бъдеще за религиозното наследство“), по време на която бяха събрани лични спомени и истории, свързани с религиозното наследство.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Два примера за инициативи, ръководени от държави членки и провеждани из цяла Европа, са Rendez-vous aux Jardins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7"/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Министерството на културата на Франция (16 държави) и Ringing the Bells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8"/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Германския комитет за културно наследство (800 камбани в 25 държави зазвъняха едновременно на Международния ден на мира на 21 септември 2018 г.).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Глобално въздействие на Европейската година 2018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Европейската година имаше глобално въздействие. Държавите от Западните Балкани (Албания, Босна и Херцеговина, Република Северна Македония, Черна гора и Сърбия), Грузия, Исландия, Норвегия и Швейцария бяха асоциирани към годината.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Европейската година с подпомогна също така изграждането на капацитет в областта на културното наследство в целия свят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footnoteReference w:id="29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Делегациите на ЕС по света допринесоха за повишаване на международния престиж на Европейската година чрез различни дейности.</w:t>
      </w:r>
    </w:p>
    <w:p>
      <w:pPr>
        <w:keepNext/>
        <w:keepLines/>
        <w:numPr>
          <w:ilvl w:val="0"/>
          <w:numId w:val="1"/>
        </w:numPr>
        <w:spacing w:before="240" w:after="0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</w:rPr>
        <w:t>РЕЗУЛТАТИ ОТ ПОЛИТИКАТА НА РАВНИЩЕ ЕС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В допълнение към множеството събития, организирани в цяла Европа и извън нея, Европейската година доведе до многобройни конкретни постижения и резултати от политиките.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Ангажимент за културното наследство</w:t>
      </w:r>
    </w:p>
    <w:p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Европейската година даде началото на редица инициативи за ангажиране на по-младите и по-възрастните поколения, специалисти и местни общности с въпросите на културното наследство и неговото европейско измерение. Конкретните постижения включват: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 милиона души взеха участие в 60-те хиляди прояви в рамките на специалното издание на Европейските дни на наследството, което беше посветено на Европейската година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0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линия на инициативата Europeana бяха осъществени редица дейности за популяризиране с цел да се подкрепи цифровата достъпност на ресурсите на културното наследство;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специална награда като част от наградата на Европейската комисия „Достъпен град“ за 2019 г.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1"/>
      </w:r>
      <w:r>
        <w:rPr>
          <w:rFonts w:ascii="Times New Roman" w:hAnsi="Times New Roman" w:cs="Times New Roman"/>
          <w:noProof/>
          <w:sz w:val="24"/>
          <w:szCs w:val="24"/>
        </w:rPr>
        <w:t>, която беше връчена на градовете Вилборг (Дания) и Монтеверде (Италия) за подобряването на достъпа за хората с увреждания;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Съвместният изследователски център на Европейската комисия разработи нови инструменти за насърчаване на участието на гражданите в областта на културното наследство: онлайн платформата Story Maps („Карти с истории“)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2"/>
      </w:r>
      <w:r>
        <w:rPr>
          <w:rFonts w:ascii="Times New Roman" w:hAnsi="Times New Roman" w:cs="Times New Roman"/>
          <w:noProof/>
          <w:sz w:val="24"/>
          <w:szCs w:val="24"/>
        </w:rPr>
        <w:t xml:space="preserve"> — интерактивна и лесно достъпна информация за ръководените от ЕС инициативи в областта на културното наследство в Европа, и уебприложението Cultural gems („Културни съкровища“)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3"/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споделяне и разширяване на познанията относно културните средища в европейските градове;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темата „Културно наследство“ беше приоритетната тема за 2018 г. в схемата eTwinning — общността за учители и училища в Европа. Книгата, издадена по линия на схемата e-Twinning — Europe’s cultural heritage through eTwinning („Културното наследство на Европа чрез eTwinning“)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4"/>
      </w:r>
      <w:r>
        <w:rPr>
          <w:rFonts w:ascii="Times New Roman" w:hAnsi="Times New Roman" w:cs="Times New Roman"/>
          <w:noProof/>
          <w:sz w:val="24"/>
          <w:szCs w:val="24"/>
        </w:rPr>
        <w:t>, предлага примери за проекти и дейности, а в заключителната конференция участваха 600 души;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комплект с материали и онлайн игра на всички езици на ЕС помогнаха на учители по всички предмети и дисциплини да запознаят учениците с темата за културното наследство</w:t>
      </w:r>
      <w:r>
        <w:rPr>
          <w:rFonts w:ascii="Times New Roman" w:hAnsi="Times New Roman" w:cs="Times New Roman"/>
          <w:noProof/>
          <w:sz w:val="24"/>
          <w:szCs w:val="24"/>
        </w:rPr>
        <w:footnoteReference w:id="35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15 000 млади европейци откриха европейското културно наследство чрез пилотната инициатива DiscoverEU;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млади хора участваха като доброволци в проекти, свързани с наследството, в рамките на Европейския корпус за солидарност.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Устойчивост на културното наследство</w:t>
      </w:r>
    </w:p>
    <w:p>
      <w:pPr>
        <w:pStyle w:val="Heading3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color w:val="auto"/>
          <w:u w:color="000000"/>
          <w:bdr w:val="nil"/>
        </w:rPr>
      </w:pPr>
      <w:r>
        <w:rPr>
          <w:rFonts w:ascii="Times New Roman" w:hAnsi="Times New Roman" w:cs="Times New Roman"/>
          <w:noProof/>
          <w:color w:val="auto"/>
          <w:u w:color="000000"/>
          <w:bdr w:val="nil"/>
        </w:rPr>
        <w:t>През 2018 г. Европейската комисия и партньорски организации изпълниха редица действия за интегриране на културното наследство в политиките в областта на околната среда, архитектурата и планирането. Конкретните постижения включват: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Декларацията от Leeuwarden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6"/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адаптивното повторно използване на архитектурното наследство;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каталог от най-добри практики при използването на инвестициите от Европейския фонд за регионално развитие, включително от програмите за междурегионално сътрудничество (Interreg), за подобряване на опазването, повторното използване, развитието и популяризирането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7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доклад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8"/>
      </w:r>
      <w:r>
        <w:rPr>
          <w:rFonts w:ascii="Times New Roman" w:hAnsi="Times New Roman" w:cs="Times New Roman"/>
          <w:noProof/>
          <w:sz w:val="24"/>
          <w:szCs w:val="24"/>
        </w:rPr>
        <w:t xml:space="preserve"> относно връзките между културното наследство и мрежата </w:t>
      </w:r>
      <w:hyperlink r:id="rId17" w:history="1">
        <w:r>
          <w:rPr>
            <w:rFonts w:ascii="Times New Roman" w:hAnsi="Times New Roman" w:cs="Times New Roman"/>
            <w:noProof/>
            <w:sz w:val="24"/>
            <w:szCs w:val="24"/>
          </w:rPr>
          <w:t>„Натура 2000“</w:t>
        </w:r>
        <w:r>
          <w:rPr>
            <w:rStyle w:val="FootnoteReference"/>
            <w:rFonts w:ascii="Times New Roman" w:hAnsi="Times New Roman" w:cs="Times New Roman"/>
            <w:noProof/>
            <w:sz w:val="24"/>
            <w:szCs w:val="24"/>
          </w:rPr>
          <w:footnoteReference w:id="39"/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0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препоръки на политиката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1"/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устойчив културен туризъм и ново определение за устойчив културен туризъм;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18 </w:t>
      </w:r>
      <w:hyperlink r:id="rId18" w:anchor="y2017" w:history="1">
        <w:r>
          <w:rPr>
            <w:rFonts w:ascii="Times New Roman" w:hAnsi="Times New Roman" w:cs="Times New Roman"/>
            <w:noProof/>
            <w:color w:val="444444"/>
            <w:sz w:val="24"/>
            <w:szCs w:val="24"/>
          </w:rPr>
          <w:t>„най-добри“</w:t>
        </w:r>
      </w:hyperlink>
      <w:r>
        <w:rPr>
          <w:rFonts w:ascii="Times New Roman" w:hAnsi="Times New Roman" w:cs="Times New Roman"/>
          <w:noProof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европейски дестинации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2"/>
      </w:r>
      <w:r>
        <w:rPr>
          <w:rFonts w:ascii="Times New Roman" w:hAnsi="Times New Roman" w:cs="Times New Roman"/>
          <w:noProof/>
          <w:sz w:val="24"/>
          <w:szCs w:val="24"/>
        </w:rPr>
        <w:t xml:space="preserve"> беше връчена наградата EDEN за разработването на специална туристическа оферта въз основа на техните местни материални културни активи</w:t>
      </w:r>
      <w:r>
        <w:rPr>
          <w:rStyle w:val="FootnoteReference"/>
          <w:rFonts w:ascii="Times New Roman" w:eastAsia="Calibri" w:hAnsi="Times New Roman" w:cs="Times New Roman"/>
          <w:noProof/>
          <w:color w:val="444444"/>
          <w:sz w:val="24"/>
          <w:szCs w:val="24"/>
        </w:rPr>
        <w:footnoteReference w:id="43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инициативата „Пътешествия за опознаване на световното наследство в ЕС“ в сътрудничество с ЮНЕСКО, свързваща 34 емблематични и по-неизвестни обекта от списъка на ЮНЕСКО в 19 европейски държави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4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 транснационални проекта с 46 бенефициери популяризираха транснационални туристически продукти, свързани с европейското културно наследство, използвайки технологии от културната и творческата индустрия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5"/>
      </w:r>
      <w:r>
        <w:rPr>
          <w:rFonts w:ascii="Times New Roman" w:hAnsi="Times New Roman" w:cs="Times New Roman"/>
          <w:noProof/>
          <w:sz w:val="24"/>
          <w:szCs w:val="24"/>
        </w:rPr>
        <w:t xml:space="preserve">;  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Декларацията от Барселона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6"/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подобряване на устойчивостта и конкурентоспособността на социалните и културните въздействия на туризма в Европа.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Опазване на културното наследство</w:t>
      </w:r>
    </w:p>
    <w:p>
      <w:pPr>
        <w:pStyle w:val="Corpo"/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рамките на Европейската година на културното наследство 2018 започна широкомащабна мобилизация за подобряване на начина на опазване на културното наследство на европейско равнище. Конкретните постижения включват: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„европейски принципи за качество за намеси, финансирани от ЕС, с потенциално въздействие върху културното наследство“ в сътрудничество с ICOMOS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7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проучване относно опазването на културното наследство от природни и причинени от човека бедствия, представляващо първото по рода си картографиране на стратегиите и инструментите на равнището на ЕС, които допринасят за изпълнението на Рамковата програма от Сендай за намаляване на риска от бедствия и проправят пътя за по-добро сътрудничество между държавите членки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8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проекти за научни изследвания и изграждане на капацитет за подобряване на разбирането на рисковете от бедствия за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9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укрепване на превантивните мерки;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проучване на незаконната търговия с културни ценности и използване на наличните технологии за борба с нея; подкрепа за по-задълбочено разбиране на тази престъпна дейност и начините за възпирането 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0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набор от инструменти, разработени в сътрудничество с ЮНЕСКО, на вниманието на европейските служители в съдебната система и правоприлагащите органи по отношение на борбата с незаконния трафик на културни ценности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1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разглеждане на възможността за насърчаване на използването на програмата на ЕС за наблюдение на Земята „Коперник“ за опазване, управление и мониторинг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2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48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мобилизиране на секторите на съхраняване на културното и историческото наследство за действия в областта на климата в подкрепа на Парижкото споразумение по повод инициативата за мобилизиране на секторите на културното и историческото наследство в подкрепа на климата. Това беше организирано съвместно с ICOMOS във връзка с проведената през 2018 г. Световна среща на високо равнище за действия в областта на климата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3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Иновации</w:t>
      </w:r>
    </w:p>
    <w:p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рамките на Европейската година 2018 бе положено началото на мащабни усилия за насърчаване на появата на иновативни и авангардни решения на предизвикателствата в сектора на културното наследство.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Конкретните постижения включват: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публикацията „Policy Review: Innovation in Cultural Heritage Research“ („Преглед на политиката: иновации при научните изследвания на културното наследство“)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4"/>
      </w:r>
      <w:r>
        <w:rPr>
          <w:rFonts w:ascii="Times New Roman" w:hAnsi="Times New Roman" w:cs="Times New Roman"/>
          <w:noProof/>
          <w:sz w:val="24"/>
          <w:szCs w:val="24"/>
        </w:rPr>
        <w:t>, публикувания от CORDIS пакет с резултати, озаглавен „Heritage at Risk: EU research and innovation for a more resilient cultural heritage“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55"/>
      </w:r>
      <w:r>
        <w:rPr>
          <w:rFonts w:ascii="Times New Roman" w:hAnsi="Times New Roman" w:cs="Times New Roman"/>
          <w:noProof/>
          <w:sz w:val="24"/>
          <w:szCs w:val="24"/>
        </w:rPr>
        <w:t xml:space="preserve"> („Наследство в риск: научни изследвания и иновации на ЕС за по-устойчиво културно наследство“), и публикацията „Innovative solutions for Cultural Heritage“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6"/>
      </w:r>
      <w:r>
        <w:rPr>
          <w:rFonts w:ascii="Times New Roman" w:hAnsi="Times New Roman" w:cs="Times New Roman"/>
          <w:noProof/>
          <w:sz w:val="24"/>
          <w:szCs w:val="24"/>
        </w:rPr>
        <w:t xml:space="preserve"> („Иновативни решения за културното наследство“);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наръчник за добри практики за културните и образователните институции „Насърчаване на сътрудничеството в Европейския съюз за умения, обучение и трансфер на знания в професиите в областта на културното наследство“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7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подготовката на новото издание на „Обзор на градовете на културата и творчеството“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8"/>
      </w:r>
      <w:r>
        <w:rPr>
          <w:rFonts w:ascii="Times New Roman" w:hAnsi="Times New Roman" w:cs="Times New Roman"/>
          <w:noProof/>
          <w:sz w:val="24"/>
          <w:szCs w:val="24"/>
        </w:rPr>
        <w:t xml:space="preserve"> — инструмент за сравнителен анализ с цел проследяване на постиженията на градовете на културата и творчеството в Европа;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съвместния пилотен проект на ЕС и Съвета на Европа STEPS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9"/>
      </w:r>
      <w:r>
        <w:rPr>
          <w:rFonts w:ascii="Times New Roman" w:hAnsi="Times New Roman" w:cs="Times New Roman"/>
          <w:noProof/>
          <w:sz w:val="24"/>
          <w:szCs w:val="24"/>
        </w:rPr>
        <w:t xml:space="preserve">, насочен към разглеждането на жизнеспособни модели на основано на участието управление; 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съвместния проект на ЕС и Съвета на Европа „The Faro Way“, който засили участието в областта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0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доклада на експертната група на ЕС за основано на участието управление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1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Heading1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ПОСЛЕДВАЩИ ДЕЙСТВИЯ — ЕВРОПЕЙСКАТА РАМКА ЗА ДЕЙСТВИЕ В ОБЛАСТТА НА КУЛТУРНОТО НАСЛЕДСТВО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цел да се осигури дългосрочно въздействие на политиката на Европейската година, на 5 декември 2018 г. Европейската комисия публикува Европейска рамка за действие в областта на културното наследство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2"/>
      </w:r>
      <w:r>
        <w:rPr>
          <w:rFonts w:ascii="Times New Roman" w:hAnsi="Times New Roman" w:cs="Times New Roman"/>
          <w:noProof/>
          <w:sz w:val="24"/>
          <w:szCs w:val="24"/>
        </w:rPr>
        <w:t xml:space="preserve"> (SWD (2018) 491), в която се излага обща насока за свързани с наследството дейности на европейско равнище, предимно в политиките и програмите на ЕС. 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Рамката за действие е организирана около четири принципа, пет стълба и 65 действия.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Четирите принципа на Европейската рамка за действие в областта на културното наследство са ориентиран към хората подход, интегриране в различните политики на ЕС, основано на факти разработване на политики и многостранно сътрудничество между заинтересованите страни.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Петте области на действие са следните: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за изграждането на приобщаваща Европа: участие и достъп за всички;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за изграждането на устойчива Европа: интелигентни решения за сплотено и устойчиво бъдеще;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за изграждането на издръжлива Европа: опазване на застрашеното наследство;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за изграждането на новаторска Европа: мобилизиране на знанията и изследванията;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културното наследство за изграждането на по-силни световни партньорства: укрепване на международното сътрудничество.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Освен това с рамката се създава нова експертна група на Комисията по въпросите на културното наследство с участието на множество заинтересовани страни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63"/>
      </w:r>
      <w:r>
        <w:rPr>
          <w:rFonts w:ascii="Times New Roman" w:hAnsi="Times New Roman" w:cs="Times New Roman"/>
          <w:noProof/>
          <w:sz w:val="24"/>
          <w:szCs w:val="24"/>
        </w:rPr>
        <w:t>, която ще служи като платформа за консултации и обмен на най-добри практики за устойчиви и приобщаващи политики в областта на културното наследство в Европа.</w:t>
      </w:r>
    </w:p>
    <w:p>
      <w:pPr>
        <w:spacing w:before="240"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6. ЦЯЛОСТНА ОЦЕНКА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Европейската година постигна успех в засилването на европейското измерение на културното наследство.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декларация, приета в Букурещ на 16 април 2019 г., министрите на културата на ЕС признаха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4"/>
      </w:r>
      <w:r>
        <w:rPr>
          <w:rFonts w:ascii="Times New Roman" w:hAnsi="Times New Roman" w:cs="Times New Roman"/>
          <w:noProof/>
          <w:sz w:val="24"/>
          <w:szCs w:val="24"/>
        </w:rPr>
        <w:t>, че „в основата на успеха на Европейската година на културното наследство 2018 са подходящата рамка за управление с участието на множество заинтересовани страни, ясната тематична насоченост, степента на ангажираност на различни групи от нашите общества и трансграничното сътрудничество“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5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 приветстваха Европейската рамка за действие в областта на културното наследство и изразиха подкрепа за по-нататъшни действия на ЕС в тази област в духа на тази рамка.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Европейският парламент изрази своята твърда подкрепа за Европейската година и за по-нататъшни действия на равнището на ЕС в полза на културното наследство. По време на обсъждането на резултатите от Европейската година в комисията по култура членовете ѝ признаха, че тя е била едно от важните постижения на сегашната Комисия както по отношение на политическите инициативи, така и по отношение на изпълнението. Те оцениха високо модела на интегрирано управление и духа на сътрудничество с участието на множество заинтересовани страни, и призоваха за амбициозни последващи действия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6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ЗАКЛЮЧЕНИЕ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Европейската година на културното наследство имаше положително въздействие върху възприемането на културното наследство на Европа като мощен ресурс за Европа. Изтъквайки темата за културното наследство на Европа в работните програми на европейско и национално равнище и благодарение на широката мобилизация на участниците, Европейската година допринесе за междукултурния дебат за това, което обединява Европа.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Въз основа на резултатите от Европейската година на културното наследство и като се вземат предвид принципите, определени в Европейската рамка за действие, Комисията, заедно с държавите членки и заинтересованите страни в областта на културното наследство, ще продължи да изпълнява по-дългосрочна визия за управлението, опазването и подобряването на състоянието на европейското културно наследство.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Segoe UI Light"/>
    <w:panose1 w:val="020B0506040000020004"/>
    <w:charset w:val="00"/>
    <w:family w:val="swiss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348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" w:history="1">
        <w:r>
          <w:rPr>
            <w:rStyle w:val="Hyperlink"/>
            <w:rFonts w:ascii="Times New Roman" w:hAnsi="Times New Roman"/>
            <w:sz w:val="18"/>
            <w:szCs w:val="18"/>
          </w:rPr>
          <w:t>https://eur-lex.europa.eu/legal-content/BG/TXT/?uri=CELEX:32017D0864&amp;from=EN</w:t>
        </w:r>
      </w:hyperlink>
    </w:p>
  </w:footnote>
  <w:footnote w:id="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Пак там.</w:t>
      </w:r>
    </w:p>
  </w:footnote>
  <w:footnote w:id="3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" w:history="1">
        <w:r>
          <w:rPr>
            <w:rStyle w:val="Hyperlink"/>
            <w:rFonts w:ascii="Times New Roman" w:hAnsi="Times New Roman"/>
            <w:sz w:val="18"/>
            <w:szCs w:val="18"/>
          </w:rPr>
          <w:t>http://whc.unesco.org/en/list/?&amp;delisted=1</w:t>
        </w:r>
      </w:hyperlink>
    </w:p>
  </w:footnote>
  <w:footnote w:id="4">
    <w:p>
      <w:pPr>
        <w:pStyle w:val="FootnoteText"/>
        <w:ind w:left="360" w:hanging="360"/>
        <w:rPr>
          <w:rStyle w:val="Hyperlink"/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" w:history="1">
        <w:r>
          <w:rPr>
            <w:rStyle w:val="Hyperlink"/>
            <w:rFonts w:ascii="Times New Roman" w:hAnsi="Times New Roman"/>
            <w:sz w:val="18"/>
            <w:szCs w:val="18"/>
          </w:rPr>
          <w:t>https://ich.unesco.org/en/lists</w:t>
        </w:r>
      </w:hyperlink>
    </w:p>
  </w:footnote>
  <w:footnote w:id="5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https://ec.europa.eu/programmes/creative-europe/actions/heritage-label_en</w:t>
        </w:r>
      </w:hyperlink>
    </w:p>
  </w:footnote>
  <w:footnote w:id="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Съвет на Европа, 2017 г.</w:t>
      </w:r>
    </w:p>
  </w:footnote>
  <w:footnote w:id="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Вж. по-горе бележка под линия 1.</w:t>
      </w:r>
    </w:p>
  </w:footnote>
  <w:footnote w:id="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" w:history="1">
        <w:r>
          <w:rPr>
            <w:rStyle w:val="Hyperlink"/>
            <w:rFonts w:ascii="Times New Roman" w:hAnsi="Times New Roman"/>
            <w:sz w:val="18"/>
            <w:szCs w:val="18"/>
          </w:rPr>
          <w:t>https://eur-lex.europa.eu/legal-content/BG/TXT/?uri=CELEX:32017D0864&amp;from=EN</w:t>
        </w:r>
      </w:hyperlink>
    </w:p>
  </w:footnote>
  <w:footnote w:id="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Решение (ЕС) 2017/864.</w:t>
      </w:r>
    </w:p>
  </w:footnote>
  <w:footnote w:id="1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6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https://europa.eu/cultural-heritage/node/213_bg</w:t>
        </w:r>
      </w:hyperlink>
    </w:p>
  </w:footnote>
  <w:footnote w:id="1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7" w:tgtFrame="_blank" w:history="1">
        <w:r>
          <w:rPr>
            <w:rStyle w:val="Hyperlink"/>
            <w:rFonts w:ascii="Times New Roman" w:hAnsi="Times New Roman"/>
            <w:sz w:val="18"/>
            <w:szCs w:val="18"/>
          </w:rPr>
          <w:t>http://openarchive.icomos.org/2083/</w:t>
        </w:r>
      </w:hyperlink>
    </w:p>
  </w:footnote>
  <w:footnote w:id="1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8" w:history="1">
        <w:r>
          <w:rPr>
            <w:rStyle w:val="Hyperlink"/>
            <w:rFonts w:ascii="Times New Roman" w:hAnsi="Times New Roman"/>
            <w:sz w:val="18"/>
            <w:szCs w:val="18"/>
          </w:rPr>
          <w:t>https://www.photoconsortium.net/we-are-europeforculture/</w:t>
        </w:r>
      </w:hyperlink>
    </w:p>
  </w:footnote>
  <w:footnote w:id="1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Style w:val="FootnoteReference"/>
        </w:rPr>
        <w:tab/>
      </w:r>
      <w:hyperlink r:id="rId9" w:history="1">
        <w:r>
          <w:rPr>
            <w:rStyle w:val="Hyperlink"/>
            <w:rFonts w:ascii="Times New Roman" w:hAnsi="Times New Roman"/>
            <w:sz w:val="18"/>
            <w:szCs w:val="18"/>
          </w:rPr>
          <w:t>https://www.coe.int/en/web/culture-and-heritage/the-faro-way</w:t>
        </w:r>
      </w:hyperlink>
    </w:p>
  </w:footnote>
  <w:footnote w:id="1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0" w:tgtFrame="_blank" w:history="1">
        <w:r>
          <w:rPr>
            <w:rStyle w:val="Hyperlink"/>
            <w:rFonts w:ascii="Times New Roman" w:hAnsi="Times New Roman"/>
            <w:sz w:val="18"/>
            <w:szCs w:val="18"/>
          </w:rPr>
          <w:t>https://en.unesco.org/news/new-network-young-cultural-heritage-professionals-emerges-unescoeu-project</w:t>
        </w:r>
      </w:hyperlink>
    </w:p>
  </w:footnote>
  <w:footnote w:id="15">
    <w:p>
      <w:pPr>
        <w:pStyle w:val="FootnoteText"/>
        <w:ind w:left="360" w:hanging="360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Style w:val="FootnoteReference"/>
        </w:rPr>
        <w:tab/>
      </w:r>
      <w:hyperlink r:id="rId11" w:history="1">
        <w:r>
          <w:rPr>
            <w:rStyle w:val="Hyperlink"/>
            <w:rFonts w:ascii="Times New Roman" w:hAnsi="Times New Roman"/>
            <w:sz w:val="18"/>
            <w:szCs w:val="18"/>
          </w:rPr>
          <w:t>http://data.europa.eu/euodp/en/data/dataset/S2150_88_1_466_ENG</w:t>
        </w:r>
      </w:hyperlink>
    </w:p>
  </w:footnote>
  <w:footnote w:id="16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2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https://europa.eu/cultural-heritage/european-year-cultural-heritage_bg</w:t>
        </w:r>
      </w:hyperlink>
    </w:p>
  </w:footnote>
  <w:footnote w:id="1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3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https://europa.eu/learning-corner/</w:t>
        </w:r>
      </w:hyperlink>
    </w:p>
  </w:footnote>
  <w:footnote w:id="1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>По прогнозни данни въз основа на тримесечни доклади за мониторинг, включително данни от националните координатори в държавите — членки на ЕС, и от организациите, които членуват в комитета на заинтересованите страни на Европейската година на културното наследство, и информация от институциите на ЕС.</w:t>
      </w:r>
    </w:p>
  </w:footnote>
  <w:footnote w:id="1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4" w:history="1">
        <w:r>
          <w:rPr>
            <w:rStyle w:val="Hyperlink"/>
            <w:rFonts w:ascii="Times New Roman" w:hAnsi="Times New Roman"/>
            <w:sz w:val="18"/>
            <w:szCs w:val="18"/>
          </w:rPr>
          <w:t>http://www.europanostra.org/wp-content/uploads/2018/06/Berlin-Call-Action-Cultural-Heritage-Future-Europe.pdf</w:t>
        </w:r>
      </w:hyperlink>
    </w:p>
  </w:footnote>
  <w:footnote w:id="20">
    <w:p>
      <w:pPr>
        <w:pStyle w:val="chap-intro"/>
        <w:spacing w:after="0" w:line="240" w:lineRule="auto"/>
        <w:ind w:left="360" w:hanging="360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Поканата обхващаше две теми: засилване на чувството на принадлежност към общо европейско пространство (12 проекта — 41 % от общото финансиране) и популяризиране на културното наследство като източник на вдъхновение за съвременното творчество (17 проекта — 59 % от общото финансиране). </w:t>
      </w:r>
    </w:p>
  </w:footnote>
  <w:footnote w:id="2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5" w:history="1">
        <w:r>
          <w:rPr>
            <w:rStyle w:val="Hyperlink"/>
            <w:rFonts w:ascii="Times New Roman" w:hAnsi="Times New Roman"/>
            <w:sz w:val="18"/>
            <w:szCs w:val="18"/>
          </w:rPr>
          <w:t>https://cohesiondata.ec.europa.eu/stories/s/9gyi-w56p</w:t>
        </w:r>
      </w:hyperlink>
    </w:p>
  </w:footnote>
  <w:footnote w:id="2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ab/>
        <w:t>Програма за конкурентоспособността на предприятията и малките и средните предприятия</w:t>
      </w:r>
      <w:r>
        <w:rPr>
          <w:rStyle w:val="FootnoteReference"/>
        </w:rPr>
        <w:t xml:space="preserve"> </w:t>
      </w:r>
      <w:hyperlink r:id="rId16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https://ec.europa.eu/growth/smes/cosme_bg</w:t>
        </w:r>
      </w:hyperlink>
    </w:p>
  </w:footnote>
  <w:footnote w:id="23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>02 02 77 21 Подготвително действие — Транснационален европейски туристически продукт, свързан с културата</w:t>
      </w:r>
    </w:p>
  </w:footnote>
  <w:footnote w:id="2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7" w:history="1">
        <w:r>
          <w:rPr>
            <w:rStyle w:val="Hyperlink"/>
            <w:rFonts w:ascii="Times New Roman" w:hAnsi="Times New Roman"/>
            <w:sz w:val="18"/>
            <w:szCs w:val="18"/>
          </w:rPr>
          <w:t>https://www.europanostra.org/ode-joy-challenge/</w:t>
        </w:r>
      </w:hyperlink>
    </w:p>
  </w:footnote>
  <w:footnote w:id="2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8" w:history="1">
        <w:r>
          <w:rPr>
            <w:rStyle w:val="Hyperlink"/>
            <w:rFonts w:ascii="Times New Roman" w:hAnsi="Times New Roman"/>
            <w:sz w:val="18"/>
            <w:szCs w:val="18"/>
          </w:rPr>
          <w:t>https://www.erih.net/projects/erih-dance-event-work-it-out/</w:t>
        </w:r>
      </w:hyperlink>
    </w:p>
  </w:footnote>
  <w:footnote w:id="2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9" w:history="1">
        <w:r>
          <w:rPr>
            <w:rStyle w:val="Hyperlink"/>
            <w:rFonts w:ascii="Times New Roman" w:hAnsi="Times New Roman"/>
            <w:sz w:val="18"/>
            <w:szCs w:val="18"/>
          </w:rPr>
          <w:t>https://www.frh-europe.org/projects/frh-torch/more-information/</w:t>
        </w:r>
      </w:hyperlink>
    </w:p>
  </w:footnote>
  <w:footnote w:id="2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0" w:history="1">
        <w:r>
          <w:rPr>
            <w:rStyle w:val="Hyperlink"/>
            <w:rFonts w:ascii="Times New Roman" w:hAnsi="Times New Roman"/>
            <w:sz w:val="18"/>
            <w:szCs w:val="18"/>
          </w:rPr>
          <w:t>https://rendezvousauxjardins.culture.gouv.fr/</w:t>
        </w:r>
      </w:hyperlink>
    </w:p>
  </w:footnote>
  <w:footnote w:id="2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1" w:history="1">
        <w:r>
          <w:rPr>
            <w:rStyle w:val="Hyperlink"/>
            <w:rFonts w:ascii="Times New Roman" w:hAnsi="Times New Roman"/>
            <w:sz w:val="18"/>
            <w:szCs w:val="18"/>
          </w:rPr>
          <w:t>https://sharingheritage.de/en/projects/friede-sei-ihr-erst-gelaeute-ringing-the-bells/</w:t>
        </w:r>
      </w:hyperlink>
    </w:p>
  </w:footnote>
  <w:footnote w:id="29">
    <w:p>
      <w:pPr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 - Проекти: подкрепа за създаването на устойчива мрежа от оператори на културно наследство чрез „маршрута на културното наследство в Западните Балкани“;</w:t>
      </w:r>
    </w:p>
    <w:p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 изграждане на капацитет за борба с трафика, разграбването и разрушаването на културно наследство в Ирак, Либия, Сирия и Йемен чрез съвместен проект с ЮНЕСКО; както и </w:t>
      </w:r>
    </w:p>
    <w:p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 предприемане на действия за изпълнението на основни цели за развитие в Иран, Афганистан и Централна Азия посредством „коридорите за културно наследство по пътя на коприната“ (финансова подкрепа в размер на 3,4 милиона евро) </w:t>
      </w:r>
      <w:r>
        <w:rPr>
          <w:rFonts w:ascii="Times New Roman" w:hAnsi="Times New Roman"/>
          <w:sz w:val="18"/>
          <w:szCs w:val="18"/>
        </w:rPr>
        <w:br/>
      </w:r>
      <w:hyperlink r:id="rId22" w:history="1">
        <w:r>
          <w:rPr>
            <w:rStyle w:val="Hyperlink"/>
            <w:rFonts w:ascii="Times New Roman" w:hAnsi="Times New Roman"/>
            <w:sz w:val="18"/>
            <w:szCs w:val="18"/>
          </w:rPr>
          <w:t>https://en.unesco.org/silkroad/about-silk-road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0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Книжка със 101 идеи за прояви за участие в Европейската година на културното наследство 2018, </w:t>
      </w:r>
    </w:p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hyperlink r:id="rId23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https://europa.eu/cultural-heritage/toolkits/101-event-ideas-european-heritage-days_en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1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4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https://ec.europa.eu/social/main.jsp?catId=738&amp;langId=en&amp;pubId=8208&amp;furtherPubs=yes</w:t>
        </w:r>
      </w:hyperlink>
    </w:p>
  </w:footnote>
  <w:footnote w:id="32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t xml:space="preserve"> </w:t>
      </w:r>
      <w:r>
        <w:tab/>
      </w:r>
      <w:hyperlink r:id="rId25" w:history="1">
        <w:r>
          <w:rPr>
            <w:rStyle w:val="Hyperlink"/>
            <w:rFonts w:ascii="Times New Roman" w:hAnsi="Times New Roman"/>
            <w:sz w:val="18"/>
            <w:szCs w:val="18"/>
          </w:rPr>
          <w:t>http://eu-commission.maps.arcgis.com/apps/MapJournal/index.html?appid=e3e538d4e4b743c8a6bc7a363fbc2310</w:t>
        </w:r>
      </w:hyperlink>
    </w:p>
  </w:footnote>
  <w:footnote w:id="33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26" w:history="1">
        <w:r>
          <w:rPr>
            <w:rStyle w:val="Hyperlink"/>
            <w:rFonts w:ascii="Times New Roman" w:hAnsi="Times New Roman"/>
            <w:sz w:val="18"/>
            <w:szCs w:val="18"/>
          </w:rPr>
          <w:t>https://culturalgems.jrc.ec.europa.eu</w:t>
        </w:r>
      </w:hyperlink>
    </w:p>
  </w:footnote>
  <w:footnote w:id="34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7" w:history="1">
        <w:r>
          <w:rPr>
            <w:rStyle w:val="Hyperlink"/>
            <w:rFonts w:ascii="Times New Roman" w:hAnsi="Times New Roman"/>
            <w:sz w:val="18"/>
            <w:szCs w:val="18"/>
          </w:rPr>
          <w:t>https://www.etwinning.net/eun-files/Online%20–%20eTwinning%20publication%2024.09.2018.pdf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5">
    <w:p>
      <w:pPr>
        <w:pStyle w:val="FootnoteText"/>
        <w:ind w:left="360" w:hanging="360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8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https://europa.eu/learning-corner/sites/teachers2/files/files/eych-2018-toolkit-teachers_en.pdf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6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9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https://europa.eu/cultural-heritage/news/declaration-adaptive-reuse-built-heritage-adopted_en</w:t>
        </w:r>
      </w:hyperlink>
    </w:p>
  </w:footnote>
  <w:footnote w:id="3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Електронна книга „Свързване на културите за свързаност между гражданите“ („Connecting Cultures, Connected Citizens“),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</w:r>
      <w:hyperlink r:id="rId30" w:history="1">
        <w:r>
          <w:rPr>
            <w:rStyle w:val="Hyperlink"/>
            <w:rFonts w:ascii="Times New Roman" w:hAnsi="Times New Roman"/>
            <w:sz w:val="18"/>
            <w:szCs w:val="18"/>
          </w:rPr>
          <w:t>http://www.interact-eu.net/library/e-book-connecting-cultures-connected-citizens/pageflip</w:t>
        </w:r>
      </w:hyperlink>
    </w:p>
  </w:footnote>
  <w:footnote w:id="38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1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https://ec.europa.eu/environment/nature/natura2000/management/links_natural_cultural_heritage_en.htm</w:t>
        </w:r>
      </w:hyperlink>
    </w:p>
  </w:footnote>
  <w:footnote w:id="39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2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https://ec.europa.eu/environment/nature/natura2000/index_en.htm</w:t>
        </w:r>
      </w:hyperlink>
    </w:p>
  </w:footnote>
  <w:footnote w:id="4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3" w:history="1">
        <w:r>
          <w:rPr>
            <w:rStyle w:val="Hyperlink"/>
            <w:rFonts w:ascii="Times New Roman" w:hAnsi="Times New Roman"/>
            <w:sz w:val="18"/>
            <w:szCs w:val="18"/>
          </w:rPr>
          <w:t>http://ec.europa.eu/environment/nature/natura2000/management/pdf/case_study_natura2000_cultural_heritage.pdf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Препоръки на работната група за отворения метод на координация за устойчивия културен туризъм,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вж. </w:t>
      </w:r>
      <w:hyperlink r:id="rId34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https://europa.eu/cultural-heritage/toolkits/sustainable-cultural-tourism-recommendations_en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2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5" w:anchor="y2017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https://ec.europa.eu/growth/sectors/tourism/eden/about/themes_en#y2017</w:t>
        </w:r>
      </w:hyperlink>
    </w:p>
  </w:footnote>
  <w:footnote w:id="4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6" w:anchor="y2017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https://ec.europa.eu/growth/sectors/tourism/eden/about/themes_en#y2017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7" w:history="1">
        <w:r>
          <w:rPr>
            <w:rStyle w:val="Hyperlink"/>
            <w:rFonts w:ascii="Times New Roman" w:hAnsi="Times New Roman"/>
            <w:sz w:val="18"/>
            <w:szCs w:val="18"/>
          </w:rPr>
          <w:t>https://visitworldheritage.com/en/eu/</w:t>
        </w:r>
      </w:hyperlink>
    </w:p>
  </w:footnote>
  <w:footnote w:id="4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38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https://ec.europa.eu/docsroom/documents/29223</w:t>
        </w:r>
      </w:hyperlink>
    </w:p>
  </w:footnote>
  <w:footnote w:id="4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Разработена по инициатива на Мрежата на европейските региони за конкурентен и устойчив туризъм (NECSTouR) в сътрудничество с Европейската комисия по туризма, организацията Europa Nostra и Европейската мрежа по културен туризъм с подкрепата на платформата European Heritage Alliance 3.3.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Вж. </w:t>
      </w:r>
      <w:hyperlink r:id="rId39" w:history="1">
        <w:r>
          <w:rPr>
            <w:rStyle w:val="Hyperlink"/>
            <w:rFonts w:ascii="Times New Roman" w:hAnsi="Times New Roman"/>
            <w:sz w:val="18"/>
            <w:szCs w:val="18"/>
          </w:rPr>
          <w:t>http://necstour.eu/news/barcelona-declaration-“better-places-live-better-places-visit”-necstour’s-legacy-2018-european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0" w:history="1">
        <w:r>
          <w:rPr>
            <w:rStyle w:val="Hyperlink"/>
            <w:rFonts w:ascii="Times New Roman" w:hAnsi="Times New Roman"/>
            <w:sz w:val="18"/>
            <w:szCs w:val="18"/>
          </w:rPr>
          <w:t>http://openarchive.icomos.org/2083/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1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https://publications.europa.eu/en/publication-detail/-/publication/8fe9ea60-4cea-11e8-be1d-01aa75ed71a1/language-en/format-PDF/source-71040971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9">
    <w:p>
      <w:pPr>
        <w:spacing w:after="0" w:line="240" w:lineRule="auto"/>
        <w:ind w:left="357" w:hanging="357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В съответствие с Рамковата програма от Сендай за намаляване на риска от бедствия, цел С (Оценка на преките икономически загуби),</w:t>
      </w:r>
      <w:r>
        <w:rPr>
          <w:rFonts w:ascii="Times New Roman" w:hAnsi="Times New Roman" w:cs="Times New Roman"/>
        </w:rPr>
        <w:t xml:space="preserve"> </w:t>
      </w:r>
      <w:hyperlink r:id="rId42" w:history="1">
        <w:r>
          <w:rPr>
            <w:rStyle w:val="Hyperlink"/>
            <w:rFonts w:ascii="Times New Roman" w:hAnsi="Times New Roman"/>
            <w:bCs/>
            <w:iCs/>
            <w:sz w:val="18"/>
            <w:szCs w:val="18"/>
          </w:rPr>
          <w:t>https://www.unisdr.org/files/43291_sendaiframeworkfordrren.pdf</w:t>
        </w:r>
      </w:hyperlink>
      <w:r>
        <w:rPr>
          <w:rFonts w:ascii="Times New Roman" w:hAnsi="Times New Roman"/>
          <w:bCs/>
          <w:iCs/>
          <w:sz w:val="18"/>
          <w:szCs w:val="18"/>
        </w:rPr>
        <w:t xml:space="preserve"> </w:t>
      </w:r>
    </w:p>
  </w:footnote>
  <w:footnote w:id="5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43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https://publications.europa.eu/en/publication-detail/-/publication/d79a105a-a6aa-11e9-9d01-01aa75ed71a1/language-en/format-PDF</w:t>
        </w:r>
      </w:hyperlink>
    </w:p>
  </w:footnote>
  <w:footnote w:id="5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4" w:history="1">
        <w:r>
          <w:rPr>
            <w:rStyle w:val="Hyperlink"/>
            <w:rFonts w:ascii="Times New Roman" w:hAnsi="Times New Roman"/>
            <w:sz w:val="18"/>
            <w:szCs w:val="18"/>
          </w:rPr>
          <w:t>https://unesdoc.unesco.org/ark:/48223/pf0000266098</w:t>
        </w:r>
      </w:hyperlink>
    </w:p>
  </w:footnote>
  <w:footnote w:id="5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5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https://publications.europa.eu/en/publication-detail/-/publication/220f385f-76bd-11e9-9f05-01aa75ed71a1/language-en?WT.mc_id=Selectedpublications&amp;WT.ria_c=677&amp;WT.ria_f=3988&amp;WT.ria_ev=search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Link"/>
          <w:rFonts w:ascii="Times New Roman" w:hAnsi="Times New Roman"/>
          <w:sz w:val="18"/>
          <w:szCs w:val="18"/>
          <w:u w:val="none"/>
        </w:rPr>
        <w:t xml:space="preserve"> </w:t>
      </w:r>
      <w:r>
        <w:rPr>
          <w:rStyle w:val="Link"/>
          <w:rFonts w:ascii="Times New Roman" w:hAnsi="Times New Roman"/>
          <w:sz w:val="18"/>
          <w:szCs w:val="18"/>
          <w:u w:val="none"/>
        </w:rPr>
        <w:tab/>
      </w:r>
      <w:r>
        <w:rPr>
          <w:rStyle w:val="Link"/>
          <w:rFonts w:ascii="Times New Roman" w:hAnsi="Times New Roman"/>
          <w:sz w:val="18"/>
          <w:szCs w:val="18"/>
        </w:rPr>
        <w:t>https://www.globalclimateactionsummit.org/events/cultural-heritage-network-2/</w:t>
      </w:r>
    </w:p>
  </w:footnote>
  <w:footnote w:id="5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6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https://publications.europa.eu/en/publication-detail/-/publication/1dd62bd1-2216-11e8-ac73-01aa75ed71a1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7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https://publications.europa.eu/en/publication-detail/-/publication/1dcbe60b-79ba-11e8-ac6a-01aa75ed71a1/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8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https://publications.europa.eu/en/publication-detail/-/publication/2a7477b0-e988-11e8-b690-01aa75ed71a1/language-en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9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https://publications.europa.eu/en/publication-detail/-/publication/e38e8bb3-867b-11e9-9f05-01aa75ed71a1/language-en/format-PDF/source-98656174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0" w:history="1">
        <w:r>
          <w:rPr>
            <w:rStyle w:val="Hyperlink"/>
            <w:rFonts w:ascii="Times New Roman" w:hAnsi="Times New Roman"/>
            <w:sz w:val="18"/>
            <w:szCs w:val="18"/>
          </w:rPr>
          <w:t>https://composite-indicators.jrc.ec.europa.eu/cultural-creative-cities-monitor/</w:t>
        </w:r>
      </w:hyperlink>
    </w:p>
  </w:footnote>
  <w:footnote w:id="5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1" w:history="1">
        <w:r>
          <w:rPr>
            <w:rStyle w:val="Hyperlink"/>
            <w:rFonts w:ascii="Times New Roman" w:hAnsi="Times New Roman"/>
            <w:sz w:val="18"/>
            <w:szCs w:val="18"/>
          </w:rPr>
          <w:t>https://www.coe.int/en/web/interculturalcities/cultural-heritage-and-diversity</w:t>
        </w:r>
      </w:hyperlink>
    </w:p>
  </w:footnote>
  <w:footnote w:id="6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2" w:history="1">
        <w:r>
          <w:rPr>
            <w:rStyle w:val="Hyperlink"/>
            <w:rFonts w:ascii="Times New Roman" w:hAnsi="Times New Roman"/>
            <w:sz w:val="18"/>
            <w:szCs w:val="18"/>
          </w:rPr>
          <w:t>https://www.coe.int/en/web/culture-and-heritage/-/new-joint-project-the-faro-way-enhanced-participation-in-cultural-heritage-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3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https://publications.europa.eu/en/publication-detail/-/publication/b8837a15-437c-11e8-a9f4-01aa75ed71a1/language-en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2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</w:r>
      <w:hyperlink r:id="rId54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https://ec.europa.eu/culture/sites/culture/files/library/documents/staff-working-document-european-agenda-culture-2018.pdf</w:t>
        </w:r>
      </w:hyperlink>
    </w:p>
  </w:footnote>
  <w:footnote w:id="6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5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https://ec.europa.eu/culture/news/call-applications-cultural-heritage-forum_en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6" w:history="1">
        <w:r>
          <w:rPr>
            <w:rStyle w:val="Hyperlink"/>
            <w:rFonts w:ascii="Times New Roman" w:hAnsi="Times New Roman"/>
            <w:sz w:val="18"/>
            <w:szCs w:val="18"/>
          </w:rPr>
          <w:t>https://www.consilium.europa.eu/media/39209/190416-bucharest-declaration-on-the-role-of-culture-in-building-europes-future.pdf</w:t>
        </w:r>
      </w:hyperlink>
    </w:p>
  </w:footnote>
  <w:footnote w:id="6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7" w:history="1">
        <w:r>
          <w:rPr>
            <w:rStyle w:val="Hyperlink"/>
            <w:rFonts w:ascii="Times New Roman" w:hAnsi="Times New Roman"/>
            <w:sz w:val="18"/>
            <w:szCs w:val="18"/>
          </w:rPr>
          <w:t>https://www.consilium.europa.eu/media/39209/190416-bucharest-declaration-on-the-role-of-culture-in-building-europes-future.pdf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Заседание на комисията по култура и образование на 2 април 2019 г., </w:t>
      </w:r>
      <w:hyperlink r:id="rId58" w:history="1">
        <w:r>
          <w:rPr>
            <w:rStyle w:val="Hyperlink"/>
            <w:rFonts w:ascii="Times New Roman" w:hAnsi="Times New Roman"/>
            <w:sz w:val="18"/>
            <w:szCs w:val="18"/>
          </w:rPr>
          <w:t>http://europarl.europa.eu/elive/en/committees/video?event=20190402-0900-COMMITTEE-CULT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DC4"/>
    <w:multiLevelType w:val="hybridMultilevel"/>
    <w:tmpl w:val="0E30B840"/>
    <w:lvl w:ilvl="0" w:tplc="8F80A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220B"/>
    <w:multiLevelType w:val="hybridMultilevel"/>
    <w:tmpl w:val="335CCF3C"/>
    <w:lvl w:ilvl="0" w:tplc="632282EC">
      <w:start w:val="1"/>
      <w:numFmt w:val="bullet"/>
      <w:pStyle w:val="EBbullets1"/>
      <w:lvlText w:val=""/>
      <w:lvlJc w:val="left"/>
      <w:pPr>
        <w:ind w:left="567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7C51"/>
    <w:multiLevelType w:val="hybridMultilevel"/>
    <w:tmpl w:val="DF9A99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44E3"/>
    <w:multiLevelType w:val="hybridMultilevel"/>
    <w:tmpl w:val="11124644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6EA8"/>
    <w:multiLevelType w:val="hybridMultilevel"/>
    <w:tmpl w:val="F3DE1B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553110"/>
    <w:multiLevelType w:val="hybridMultilevel"/>
    <w:tmpl w:val="CAEE87B0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33F4D"/>
    <w:multiLevelType w:val="hybridMultilevel"/>
    <w:tmpl w:val="751C43D4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83EC9"/>
    <w:multiLevelType w:val="hybridMultilevel"/>
    <w:tmpl w:val="CAF82D2A"/>
    <w:lvl w:ilvl="0" w:tplc="865C12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5974"/>
    <w:multiLevelType w:val="hybridMultilevel"/>
    <w:tmpl w:val="950EE760"/>
    <w:lvl w:ilvl="0" w:tplc="B9BCF0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046318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9277E1"/>
    <w:multiLevelType w:val="hybridMultilevel"/>
    <w:tmpl w:val="77F4269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234D7"/>
    <w:multiLevelType w:val="hybridMultilevel"/>
    <w:tmpl w:val="CBBA20F0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7542E"/>
    <w:multiLevelType w:val="hybridMultilevel"/>
    <w:tmpl w:val="5D8E9CBA"/>
    <w:lvl w:ilvl="0" w:tplc="B9BCF0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529DB"/>
    <w:multiLevelType w:val="hybridMultilevel"/>
    <w:tmpl w:val="F12CD198"/>
    <w:lvl w:ilvl="0" w:tplc="B9BCF0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85AF8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E58F7"/>
    <w:multiLevelType w:val="multilevel"/>
    <w:tmpl w:val="4F40C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58435E5"/>
    <w:multiLevelType w:val="multilevel"/>
    <w:tmpl w:val="32E627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right"/>
      <w:pPr>
        <w:ind w:left="1264" w:hanging="363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8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363"/>
      </w:pPr>
      <w:rPr>
        <w:rFonts w:hint="default"/>
      </w:rPr>
    </w:lvl>
  </w:abstractNum>
  <w:abstractNum w:abstractNumId="15">
    <w:nsid w:val="6A14467A"/>
    <w:multiLevelType w:val="hybridMultilevel"/>
    <w:tmpl w:val="715A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70267"/>
    <w:multiLevelType w:val="hybridMultilevel"/>
    <w:tmpl w:val="A91C01E0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90EB2"/>
    <w:multiLevelType w:val="hybridMultilevel"/>
    <w:tmpl w:val="FF226BA8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5678B"/>
    <w:multiLevelType w:val="hybridMultilevel"/>
    <w:tmpl w:val="388CE25C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A3011"/>
    <w:multiLevelType w:val="hybridMultilevel"/>
    <w:tmpl w:val="BAA6152E"/>
    <w:lvl w:ilvl="0" w:tplc="09266D5E">
      <w:start w:val="1"/>
      <w:numFmt w:val="bullet"/>
      <w:pStyle w:val="basic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7"/>
  </w:num>
  <w:num w:numId="5">
    <w:abstractNumId w:val="18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4"/>
  </w:num>
  <w:num w:numId="18">
    <w:abstractNumId w:val="13"/>
  </w:num>
  <w:num w:numId="19">
    <w:abstractNumId w:val="7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17"/>
  </w:num>
  <w:num w:numId="25">
    <w:abstractNumId w:val="18"/>
  </w:num>
  <w:num w:numId="26">
    <w:abstractNumId w:val="16"/>
  </w:num>
  <w:num w:numId="2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B41BA578-EC3A-4428-9B65-D0DC962D7055"/>
    <w:docVar w:name="LW_COVERPAGE_TYPE" w:val="1"/>
    <w:docVar w:name="LW_CROSSREFERENCE" w:val="&lt;UNUSED&gt;"/>
    <w:docVar w:name="LW_DocType" w:val="NORMAL"/>
    <w:docVar w:name="LW_EMISSION" w:val="28.10.2019"/>
    <w:docVar w:name="LW_EMISSION_ISODATE" w:val="2019-10-28"/>
    <w:docVar w:name="LW_EMISSION_LOCATION" w:val="BRX"/>
    <w:docVar w:name="LW_EMISSION_PREFIX" w:val="Брюксел, "/>
    <w:docVar w:name="LW_EMISSION_SUFFIX" w:val=" \u1075?."/>
    <w:docVar w:name="LW_ID_DOCTYPE_NONLW" w:val="CP-008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5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0?\u1079?\u1087?\u1098?\u1083?\u1085?\u1077?\u1085?\u1080?\u1077?\u1090?\u1086?, \u1088?\u1077?\u1091?\u1083?\u1090?\u1072?\u1090?\u1080?\u1090?\u1077? \u1080? \u1086?\u1073?\u1097?\u1072?\u1090?\u1072? \u1086?\u1094?\u1077?\u1085?\u1082?\u1072? \u1085?\u1072? \u1045?\u1074?\u1088?\u1086?\u1087?\u1077?\u1081?\u1089?\u1082?\u1072?\u1090?\u1072? \u1075?\u1086?\u1076?\u1080?\u1085?\u1072? \u1085?\u1072? \u1082?\u1091?\u1083?\u1090?\u1091?\u1088?\u1085?\u1086?\u1090?\u1086? \u1085?\u1072?\u1089?\u1083?\u1077?\u1076?\u1089?\u1090?\u1074?\u1086? 2018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Testo nota a piè di pagina_Rientro Char,stile 1 Char,Footnote1 Char,Footnote2 Char,Footnote3 Char,Footnote4 Char,Footnote5 Char,Footnote6 Char,Footnote7 Char,Footnote8 Char,Footnote9 Char,Footnote10 Char,f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Superscript,stylish,fr,FR,Foo, Exposant 3 Point"/>
    <w:unhideWhenUsed/>
    <w:qFormat/>
    <w:rPr>
      <w:vertAlign w:val="superscript"/>
    </w:rPr>
  </w:style>
  <w:style w:type="paragraph" w:customStyle="1" w:styleId="Normal1">
    <w:name w:val="Normal1"/>
    <w:basedOn w:val="Normal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2">
    <w:name w:val="Text 2"/>
    <w:basedOn w:val="Normal"/>
    <w:link w:val="Text2Char1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1">
    <w:name w:val="Text 2 Char1"/>
    <w:link w:val="Text2"/>
    <w:rPr>
      <w:rFonts w:ascii="Times New Roman" w:eastAsia="Times New Roman" w:hAnsi="Times New Roman" w:cs="Times New Roman"/>
      <w:sz w:val="24"/>
      <w:szCs w:val="20"/>
    </w:rPr>
  </w:style>
  <w:style w:type="paragraph" w:customStyle="1" w:styleId="chap-intro">
    <w:name w:val="chap-intro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240" w:after="8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link w:val="basic-paragraphChar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sic-paragraphChar">
    <w:name w:val="basic-paragraph Char"/>
    <w:link w:val="basic-paragraph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basic-bullet1">
    <w:name w:val="basic-bullet1"/>
    <w:basedOn w:val="Normal"/>
    <w:pPr>
      <w:numPr>
        <w:numId w:val="6"/>
      </w:num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Link">
    <w:name w:val="Link"/>
    <w:rPr>
      <w:color w:val="0000FF"/>
      <w:u w:val="single" w:color="0000FF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EBparagraph">
    <w:name w:val="EB paragraph"/>
    <w:basedOn w:val="Normal"/>
    <w:qFormat/>
    <w:pPr>
      <w:spacing w:after="120" w:line="240" w:lineRule="auto"/>
      <w:jc w:val="both"/>
    </w:pPr>
    <w:rPr>
      <w:rFonts w:ascii="EC Square Sans Pro" w:eastAsiaTheme="minorEastAsia" w:hAnsi="EC Square Sans Pro"/>
    </w:rPr>
  </w:style>
  <w:style w:type="paragraph" w:customStyle="1" w:styleId="EBbullets1">
    <w:name w:val="EB bullets 1"/>
    <w:basedOn w:val="EBparagraph"/>
    <w:qFormat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Testo nota a piè di pagina_Rientro Char,stile 1 Char,Footnote1 Char,Footnote2 Char,Footnote3 Char,Footnote4 Char,Footnote5 Char,Footnote6 Char,Footnote7 Char,Footnote8 Char,Footnote9 Char,Footnote10 Char,f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Superscript,stylish,fr,FR,Foo, Exposant 3 Point"/>
    <w:unhideWhenUsed/>
    <w:qFormat/>
    <w:rPr>
      <w:vertAlign w:val="superscript"/>
    </w:rPr>
  </w:style>
  <w:style w:type="paragraph" w:customStyle="1" w:styleId="Normal1">
    <w:name w:val="Normal1"/>
    <w:basedOn w:val="Normal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2">
    <w:name w:val="Text 2"/>
    <w:basedOn w:val="Normal"/>
    <w:link w:val="Text2Char1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1">
    <w:name w:val="Text 2 Char1"/>
    <w:link w:val="Text2"/>
    <w:rPr>
      <w:rFonts w:ascii="Times New Roman" w:eastAsia="Times New Roman" w:hAnsi="Times New Roman" w:cs="Times New Roman"/>
      <w:sz w:val="24"/>
      <w:szCs w:val="20"/>
    </w:rPr>
  </w:style>
  <w:style w:type="paragraph" w:customStyle="1" w:styleId="chap-intro">
    <w:name w:val="chap-intro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240" w:after="8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link w:val="basic-paragraphChar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sic-paragraphChar">
    <w:name w:val="basic-paragraph Char"/>
    <w:link w:val="basic-paragraph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basic-bullet1">
    <w:name w:val="basic-bullet1"/>
    <w:basedOn w:val="Normal"/>
    <w:pPr>
      <w:numPr>
        <w:numId w:val="6"/>
      </w:num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Link">
    <w:name w:val="Link"/>
    <w:rPr>
      <w:color w:val="0000FF"/>
      <w:u w:val="single" w:color="0000FF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EBparagraph">
    <w:name w:val="EB paragraph"/>
    <w:basedOn w:val="Normal"/>
    <w:qFormat/>
    <w:pPr>
      <w:spacing w:after="120" w:line="240" w:lineRule="auto"/>
      <w:jc w:val="both"/>
    </w:pPr>
    <w:rPr>
      <w:rFonts w:ascii="EC Square Sans Pro" w:eastAsiaTheme="minorEastAsia" w:hAnsi="EC Square Sans Pro"/>
    </w:rPr>
  </w:style>
  <w:style w:type="paragraph" w:customStyle="1" w:styleId="EBbullets1">
    <w:name w:val="EB bullets 1"/>
    <w:basedOn w:val="EBparagraph"/>
    <w:qFormat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1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1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2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c.europa.eu/growth/sectors/tourism/eden/about/themes_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c.europa.eu/environment/nature/natura2000/index_en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tions.europa.eu/bg/publication-detail/-/publication/d6a1438e-3d20-11e7-a08e-01aa75ed71a1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learning-corner/" TargetMode="External"/><Relationship Id="rId18" Type="http://schemas.openxmlformats.org/officeDocument/2006/relationships/hyperlink" Target="https://www.erih.net/projects/erih-dance-event-work-it-out/" TargetMode="External"/><Relationship Id="rId26" Type="http://schemas.openxmlformats.org/officeDocument/2006/relationships/hyperlink" Target="https://culturalgems.jrc.ec.europa.eu" TargetMode="External"/><Relationship Id="rId39" Type="http://schemas.openxmlformats.org/officeDocument/2006/relationships/hyperlink" Target="http://necstour.eu/news/barcelona-declaration-" TargetMode="External"/><Relationship Id="rId21" Type="http://schemas.openxmlformats.org/officeDocument/2006/relationships/hyperlink" Target="https://sharingheritage.de/en/projects/friede-sei-ihr-erst-gelaeute-ringing-the-bells/" TargetMode="External"/><Relationship Id="rId34" Type="http://schemas.openxmlformats.org/officeDocument/2006/relationships/hyperlink" Target="https://europa.eu/cultural-heritage/toolkits/sustainable-cultural-tourism-recommendations_en" TargetMode="External"/><Relationship Id="rId42" Type="http://schemas.openxmlformats.org/officeDocument/2006/relationships/hyperlink" Target="https://www.unisdr.org/files/43291_sendaiframeworkfordrren.pdf" TargetMode="External"/><Relationship Id="rId47" Type="http://schemas.openxmlformats.org/officeDocument/2006/relationships/hyperlink" Target="https://publications.europa.eu/en/publication-detail/-/publication/1dcbe60b-79ba-11e8-ac6a-01aa75ed71a1/" TargetMode="External"/><Relationship Id="rId50" Type="http://schemas.openxmlformats.org/officeDocument/2006/relationships/hyperlink" Target="https://composite-indicators.jrc.ec.europa.eu/cultural-creative-cities-monitor/" TargetMode="External"/><Relationship Id="rId55" Type="http://schemas.openxmlformats.org/officeDocument/2006/relationships/hyperlink" Target="https://ec.europa.eu/culture/news/call-applications-cultural-heritage-forum_en" TargetMode="External"/><Relationship Id="rId7" Type="http://schemas.openxmlformats.org/officeDocument/2006/relationships/hyperlink" Target="http://openarchive.icomos.org/2083/" TargetMode="External"/><Relationship Id="rId12" Type="http://schemas.openxmlformats.org/officeDocument/2006/relationships/hyperlink" Target="https://europa.eu/cultural-heritage/european-year-cultural-heritage_bg.html" TargetMode="External"/><Relationship Id="rId17" Type="http://schemas.openxmlformats.org/officeDocument/2006/relationships/hyperlink" Target="https://www.europanostra.org/ode-joy-challenge/" TargetMode="External"/><Relationship Id="rId25" Type="http://schemas.openxmlformats.org/officeDocument/2006/relationships/hyperlink" Target="http://eu-commission.maps.arcgis.com/apps/MapJournal/index.html?appid=e3e538d4e4b743c8a6bc7a363fbc2310" TargetMode="External"/><Relationship Id="rId33" Type="http://schemas.openxmlformats.org/officeDocument/2006/relationships/hyperlink" Target="http://ec.europa.eu/environment/nature/natura2000/management/pdf/case_study_natura2000_cultural_heritage.pdf" TargetMode="External"/><Relationship Id="rId38" Type="http://schemas.openxmlformats.org/officeDocument/2006/relationships/hyperlink" Target="https://ec.europa.eu/docsroom/documents/29223" TargetMode="External"/><Relationship Id="rId46" Type="http://schemas.openxmlformats.org/officeDocument/2006/relationships/hyperlink" Target="https://publications.europa.eu/en/publication-detail/-/publication/1dd62bd1-2216-11e8-ac73-01aa75ed71a1" TargetMode="External"/><Relationship Id="rId2" Type="http://schemas.openxmlformats.org/officeDocument/2006/relationships/hyperlink" Target="http://whc.unesco.org/en/list/?&amp;delisted=1" TargetMode="External"/><Relationship Id="rId16" Type="http://schemas.openxmlformats.org/officeDocument/2006/relationships/hyperlink" Target="https://ec.europa.eu/growth/smes/cosme_bg" TargetMode="External"/><Relationship Id="rId20" Type="http://schemas.openxmlformats.org/officeDocument/2006/relationships/hyperlink" Target="https://rendezvousauxjardins.culture.gouv.fr/" TargetMode="External"/><Relationship Id="rId29" Type="http://schemas.openxmlformats.org/officeDocument/2006/relationships/hyperlink" Target="https://europa.eu/cultural-heritage/news/declaration-adaptive-reuse-built-heritage-adopted_en" TargetMode="External"/><Relationship Id="rId41" Type="http://schemas.openxmlformats.org/officeDocument/2006/relationships/hyperlink" Target="https://publications.europa.eu/en/publication-detail/-/publication/8fe9ea60-4cea-11e8-be1d-01aa75ed71a1/language-en/format-PDF/source-71040971" TargetMode="External"/><Relationship Id="rId54" Type="http://schemas.openxmlformats.org/officeDocument/2006/relationships/hyperlink" Target="https://ec.europa.eu/culture/sites/culture/files/library/documents/staff-working-document-european-agenda-culture-2018.pdf" TargetMode="External"/><Relationship Id="rId1" Type="http://schemas.openxmlformats.org/officeDocument/2006/relationships/hyperlink" Target="https://eur-lex.europa.eu/legal-content/BG/TXT/?uri=CELEX:32017D0864&amp;from=EN" TargetMode="External"/><Relationship Id="rId6" Type="http://schemas.openxmlformats.org/officeDocument/2006/relationships/hyperlink" Target="https://europa.eu/cultural-heritage/node/213_bg.html" TargetMode="External"/><Relationship Id="rId11" Type="http://schemas.openxmlformats.org/officeDocument/2006/relationships/hyperlink" Target="http://data.europa.eu/euodp/en/data/dataset/S2150_88_1_466_ENG" TargetMode="External"/><Relationship Id="rId24" Type="http://schemas.openxmlformats.org/officeDocument/2006/relationships/hyperlink" Target="https://ec.europa.eu/social/main.jsp?catId=738&amp;langId=en&amp;pubId=8208&amp;furtherPubs=yes" TargetMode="External"/><Relationship Id="rId32" Type="http://schemas.openxmlformats.org/officeDocument/2006/relationships/hyperlink" Target="https://ec.europa.eu/environment/nature/natura2000/index_en.htm" TargetMode="External"/><Relationship Id="rId37" Type="http://schemas.openxmlformats.org/officeDocument/2006/relationships/hyperlink" Target="https://visitworldheritage.com/en/eu/" TargetMode="External"/><Relationship Id="rId40" Type="http://schemas.openxmlformats.org/officeDocument/2006/relationships/hyperlink" Target="http://openarchive.icomos.org/2083/" TargetMode="External"/><Relationship Id="rId45" Type="http://schemas.openxmlformats.org/officeDocument/2006/relationships/hyperlink" Target="https://publications.europa.eu/en/publication-detail/-/publication/220f385f-76bd-11e9-9f05-01aa75ed71a1/language-en?WT.mc_id=Selectedpublications&amp;WT.ria_c=677&amp;WT.ria_f=3988&amp;WT.ria_ev=search" TargetMode="External"/><Relationship Id="rId53" Type="http://schemas.openxmlformats.org/officeDocument/2006/relationships/hyperlink" Target="https://publications.europa.eu/en/publication-detail/-/publication/b8837a15-437c-11e8-a9f4-01aa75ed71a1/language-en" TargetMode="External"/><Relationship Id="rId58" Type="http://schemas.openxmlformats.org/officeDocument/2006/relationships/hyperlink" Target="http://europarl.europa.eu/elive/en/committees/video?event=20190402-0900-COMMITTEE-CULT" TargetMode="External"/><Relationship Id="rId5" Type="http://schemas.openxmlformats.org/officeDocument/2006/relationships/hyperlink" Target="https://eur-lex.europa.eu/legal-content/BG/TXT/?uri=CELEX:32017D0864&amp;from=EN" TargetMode="External"/><Relationship Id="rId15" Type="http://schemas.openxmlformats.org/officeDocument/2006/relationships/hyperlink" Target="https://cohesiondata.ec.europa.eu/stories/s/9gyi-w56p" TargetMode="External"/><Relationship Id="rId23" Type="http://schemas.openxmlformats.org/officeDocument/2006/relationships/hyperlink" Target="https://europa.eu/cultural-heritage/toolkits/101-event-ideas-european-heritage-days_en.html" TargetMode="External"/><Relationship Id="rId28" Type="http://schemas.openxmlformats.org/officeDocument/2006/relationships/hyperlink" Target="https://europa.eu/learning-corner/sites/teachers2/files/files/eych-2018-toolkit-teachers_en.pdf" TargetMode="External"/><Relationship Id="rId36" Type="http://schemas.openxmlformats.org/officeDocument/2006/relationships/hyperlink" Target="https://ec.europa.eu/growth/sectors/tourism/eden/about/themes_en" TargetMode="External"/><Relationship Id="rId49" Type="http://schemas.openxmlformats.org/officeDocument/2006/relationships/hyperlink" Target="https://publications.europa.eu/en/publication-detail/-/publication/e38e8bb3-867b-11e9-9f05-01aa75ed71a1/language-en/format-PDF/source-98656174" TargetMode="External"/><Relationship Id="rId57" Type="http://schemas.openxmlformats.org/officeDocument/2006/relationships/hyperlink" Target="https://www.consilium.europa.eu/media/39209/190416-bucharest-declaration-on-the-role-of-culture-in-building-europes-future.pdf%20" TargetMode="External"/><Relationship Id="rId10" Type="http://schemas.openxmlformats.org/officeDocument/2006/relationships/hyperlink" Target="https://en.unesco.org/news/new-network-young-cultural-heritage-professionals-emerges-unescoeu-project" TargetMode="External"/><Relationship Id="rId19" Type="http://schemas.openxmlformats.org/officeDocument/2006/relationships/hyperlink" Target="https://www.frh-europe.org/projects/frh-torch/more-information/" TargetMode="External"/><Relationship Id="rId31" Type="http://schemas.openxmlformats.org/officeDocument/2006/relationships/hyperlink" Target="https://ec.europa.eu/environment/nature/natura2000/management/links_natural_cultural_heritage_en.htm" TargetMode="External"/><Relationship Id="rId44" Type="http://schemas.openxmlformats.org/officeDocument/2006/relationships/hyperlink" Target="https://unesdoc.unesco.org/ark:/48223/pf0000266098" TargetMode="External"/><Relationship Id="rId52" Type="http://schemas.openxmlformats.org/officeDocument/2006/relationships/hyperlink" Target="https://www.coe.int/en/web/culture-and-heritage/-/new-joint-project-the-faro-way-enhanced-participation-in-cultural-heritage-" TargetMode="External"/><Relationship Id="rId4" Type="http://schemas.openxmlformats.org/officeDocument/2006/relationships/hyperlink" Target="https://ec.europa.eu/programmes/creative-europe/actions/heritage-label_en" TargetMode="External"/><Relationship Id="rId9" Type="http://schemas.openxmlformats.org/officeDocument/2006/relationships/hyperlink" Target="https://www.coe.int/en/web/culture-and-heritage/the-faro-way" TargetMode="External"/><Relationship Id="rId14" Type="http://schemas.openxmlformats.org/officeDocument/2006/relationships/hyperlink" Target="http://www.europanostra.org/wp-content/uploads/2018/06/Berlin-Call-Action-Cultural-Heritage-Future-Europe.pdf" TargetMode="External"/><Relationship Id="rId22" Type="http://schemas.openxmlformats.org/officeDocument/2006/relationships/hyperlink" Target="https://en.unesco.org/silkroad/about-silk-road" TargetMode="External"/><Relationship Id="rId27" Type="http://schemas.openxmlformats.org/officeDocument/2006/relationships/hyperlink" Target="https://www.etwinning.net/eun-files/Online%20&#8211;%20eTwinning%20publication%2024.09.2018.pdf" TargetMode="External"/><Relationship Id="rId30" Type="http://schemas.openxmlformats.org/officeDocument/2006/relationships/hyperlink" Target="http://www.interact-eu.net/library/e-book-connecting-cultures-connected-citizens/pageflip" TargetMode="External"/><Relationship Id="rId35" Type="http://schemas.openxmlformats.org/officeDocument/2006/relationships/hyperlink" Target="https://ec.europa.eu/growth/sectors/tourism/eden/about/themes_en" TargetMode="External"/><Relationship Id="rId43" Type="http://schemas.openxmlformats.org/officeDocument/2006/relationships/hyperlink" Target="https://publications.europa.eu/en/publication-detail/-/publication/d79a105a-a6aa-11e9-9d01-01aa75ed71a1/language-en/format-PDF" TargetMode="External"/><Relationship Id="rId48" Type="http://schemas.openxmlformats.org/officeDocument/2006/relationships/hyperlink" Target="https://publications.europa.eu/en/publication-detail/-/publication/2a7477b0-e988-11e8-b690-01aa75ed71a1/language-en" TargetMode="External"/><Relationship Id="rId56" Type="http://schemas.openxmlformats.org/officeDocument/2006/relationships/hyperlink" Target="https://www.consilium.europa.eu/media/39209/190416-bucharest-declaration-on-the-role-of-culture-in-building-europes-future.pdf" TargetMode="External"/><Relationship Id="rId8" Type="http://schemas.openxmlformats.org/officeDocument/2006/relationships/hyperlink" Target="https://www.photoconsortium.net/we-are-europeforculture/" TargetMode="External"/><Relationship Id="rId51" Type="http://schemas.openxmlformats.org/officeDocument/2006/relationships/hyperlink" Target="https://www.coe.int/en/web/interculturalcities/cultural-heritage-and-diversity" TargetMode="External"/><Relationship Id="rId3" Type="http://schemas.openxmlformats.org/officeDocument/2006/relationships/hyperlink" Target="https://ich.unesco.org/en/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9AA406-AB5E-4651-AD0F-E20D89B6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3472</Words>
  <Characters>20867</Characters>
  <Application>Microsoft Office Word</Application>
  <DocSecurity>0</DocSecurity>
  <Lines>372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26</cp:revision>
  <cp:lastPrinted>2019-09-13T13:49:00Z</cp:lastPrinted>
  <dcterms:created xsi:type="dcterms:W3CDTF">2019-10-04T10:29:00Z</dcterms:created>
  <dcterms:modified xsi:type="dcterms:W3CDTF">2019-10-21T12:24:00Z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7.0, Build 20190717</vt:lpwstr>
  </property>
  <property fmtid="{D5CDD505-2E9C-101B-9397-08002B2CF9AE}" pid="8" name="CPTemplateID">
    <vt:lpwstr>CP-008</vt:lpwstr>
  </property>
</Properties>
</file>