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20A970C-3FB6-4AB0-B4B0-DF9D6DAFC1E7" style="width:450.7pt;height:393.2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13420" w:type="dxa"/>
        <w:tblInd w:w="113" w:type="dxa"/>
        <w:tblLook w:val="04A0" w:firstRow="1" w:lastRow="0" w:firstColumn="1" w:lastColumn="0" w:noHBand="0" w:noVBand="1"/>
        <w:tblCaption w:val="Планиране на исканията за стандартизация до европейските организации за стандартизация за 2020 г."/>
        <w:tblDescription w:val="Планиране на исканията за стандартизация до европейските организации за стандартизация за 2020 г."/>
      </w:tblPr>
      <w:tblGrid>
        <w:gridCol w:w="529"/>
        <w:gridCol w:w="1936"/>
        <w:gridCol w:w="3477"/>
        <w:gridCol w:w="3351"/>
        <w:gridCol w:w="4127"/>
      </w:tblGrid>
      <w:tr>
        <w:trPr>
          <w:trHeight w:val="58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bCs/>
                <w:noProof/>
              </w:rPr>
              <w:lastRenderedPageBreak/>
              <w:t>№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Наименование на действието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Позоваване на съответна политика/законодателен акт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Цел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Въздействие на действието</w:t>
            </w:r>
          </w:p>
        </w:tc>
      </w:tr>
      <w:tr>
        <w:trPr>
          <w:trHeight w:val="315"/>
        </w:trPr>
        <w:tc>
          <w:tcPr>
            <w:tcW w:w="1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Искания в областта на стандартизацията за разработване/преразглеждане на хармонизирани европейски стандарти в подкрепа на законодателството на Съюза</w:t>
            </w:r>
          </w:p>
        </w:tc>
      </w:tr>
      <w:tr>
        <w:trPr>
          <w:cantSplit/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Екопроектиране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Пре</w:t>
            </w:r>
            <w:r>
              <w:rPr>
                <w:rFonts w:ascii="Times New Roman" w:hAnsi="Times New Roman"/>
                <w:noProof/>
                <w:lang w:val="bg-BG"/>
              </w:rPr>
              <w:t>разглеждане</w:t>
            </w:r>
            <w:r>
              <w:rPr>
                <w:rFonts w:ascii="Times New Roman" w:hAnsi="Times New Roman"/>
                <w:noProof/>
              </w:rPr>
              <w:t xml:space="preserve"> на Регламент (ЕО) № 640/2009 по отношение на изискванията за екопроектиране на електродвигатели.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Оценяване на енергийните загуби, генерирани преди и след регулатор на честотата на въртене, в допълнение към загубите </w:t>
            </w:r>
            <w:r>
              <w:rPr>
                <w:rFonts w:ascii="Times New Roman" w:hAnsi="Times New Roman"/>
                <w:noProof/>
                <w:lang w:val="bg-BG"/>
              </w:rPr>
              <w:t>в него</w:t>
            </w:r>
            <w:r>
              <w:rPr>
                <w:rFonts w:ascii="Times New Roman" w:hAnsi="Times New Roman"/>
                <w:noProof/>
              </w:rPr>
              <w:t xml:space="preserve">, които вече са обхванати от стандарт IEC 61800-9-2.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Оценяване на въздействието на регулаторите на честотата на въртене чрез системен подход, за да се насърчи използването на регулатори на честотата на въртене, които свеждат до минимум енергийните загуби.</w:t>
            </w:r>
          </w:p>
        </w:tc>
      </w:tr>
      <w:tr>
        <w:trPr>
          <w:cantSplit/>
          <w:trHeight w:val="3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Екопроектиране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Регламент за екопроектиране и енергийно етикетиране на водоподгреватели (пре</w:t>
            </w:r>
            <w:r>
              <w:rPr>
                <w:rFonts w:ascii="Times New Roman" w:hAnsi="Times New Roman"/>
                <w:noProof/>
                <w:lang w:val="bg-BG"/>
              </w:rPr>
              <w:t>разглеждане</w:t>
            </w:r>
            <w:r>
              <w:rPr>
                <w:rFonts w:ascii="Times New Roman" w:hAnsi="Times New Roman"/>
                <w:noProof/>
              </w:rPr>
              <w:t xml:space="preserve"> на Делегиран регламент (ЕС) № 812/2013 на Комисията за допълване на Директива 2010/30/ЕС по отношение на енергийното етикетиране на водоподгреватели, топлоакумулиращи резервоари за гореща вода и комплекти от водоподгревател и слънчево съоръжение, и Регламент (ЕС) № 814/2013 за прилагане на Директива 2009/125/ЕО по отношение на изискванията за екопроектиране за водоподгреватели и топлоакумулиращи резервоари за гореща вода).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Оценяване на енергийната ефективност на водоподгревателите, емисиите от тях и възможните други въздействия върху околната среда.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Подобряване на екологичните характеристики на водоподгревателите и създаване на еднакви условия на конкуренция за производителите, които трябва да спазват регламента.</w:t>
            </w:r>
          </w:p>
        </w:tc>
      </w:tr>
      <w:tr>
        <w:trPr>
          <w:cantSplit/>
          <w:trHeight w:val="2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Екопроектиране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Изисквания за екопроектиране за битови съдомиялни машини, битови перални машини и битови перални машини със сушилня; енергийно етикетиране на битови съдомиялни машини, битови перални машини и битови перални машини със сушилня; приемане на четири регламента на Комисията през 2019 г.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Преработване на хармонизираните стандарти за провеждане на изпитвания с цел измерване на работните показатели на битовите съдомиялни машини, битовите перални машини и битовите перални машини със сушилня, след като съответните регламенти за екопроектиране и енергийно етикетиране бъдат преразгледани.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Улесняване на пускането на пазара на уреди, които са в съответствие с преразгледаните регламенти по отношение на икономиите на енергия, вода и други ресурси, и същевременно отговарят на нуждите на </w:t>
            </w:r>
            <w:r>
              <w:rPr>
                <w:rFonts w:ascii="Times New Roman" w:hAnsi="Times New Roman"/>
                <w:noProof/>
                <w:lang w:val="bg-BG"/>
              </w:rPr>
              <w:t>потребители</w:t>
            </w:r>
            <w:r>
              <w:rPr>
                <w:rFonts w:ascii="Times New Roman" w:hAnsi="Times New Roman"/>
                <w:noProof/>
              </w:rPr>
              <w:t>те и гарантират конкурентоспособността на промишлеността.</w:t>
            </w:r>
          </w:p>
        </w:tc>
      </w:tr>
      <w:tr>
        <w:trPr>
          <w:cantSplit/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Регистрация, оценка, разрешаване и ограничаване на химикали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Регламент (ЕО) № 1907/2006 относно регистрацията, оценката, разрешаването и ограничаването на химикали —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приложение XVII — вписване 50.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Прилагане на ограничително вписване 50, подточки 5 и 6 (полициклични ароматни въглеводороди (PAH)), за което при преглед може да се разгледат възможностите за въвеждане на ограничение за миграцията в гума и пластмаса.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Гарантиране, че потребителските продукти от пластмаса/гума могат да се произвеждат/движат свободно в рамките на единния пазар.</w:t>
            </w:r>
          </w:p>
        </w:tc>
      </w:tr>
      <w:tr>
        <w:trPr>
          <w:cantSplit/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Торове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Регламент (ЕС) 2019/1009 на Европейския парламент и на Съвета от 5 юни 2019 г. за определяне на правила за предоставяне на пазара на ЕС продукти за наторяване и за изменение на регламенти (ЕО) № 1069/2009 и (ЕО) № 1107/2009 и за отмяна на Регламент (ЕО) № 2003/2003.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Хармонизиране на аналитичните методи за провеждане на изпитвания с цел проверка на съответствието на продукти за наторяване, произведени от вторични суровини, с основните изисквания на новия Регламент за продуктите за наторяване.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Създаване на възможност за въвеждане на практики за общи изпитвания и проверки на съответствието с правните изисквания, което ще улесни търговията в рамките на единния пазар. </w:t>
            </w:r>
          </w:p>
        </w:tc>
      </w:tr>
      <w:tr>
        <w:trPr>
          <w:cantSplit/>
          <w:trHeight w:val="27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Експлозивна атмосфера (ATEX)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Директива 2014/34/ЕС на Европейския парламент и на Съвета за хармонизиране на законодателствата на държавите членки относно съоръженията и системите за защита, предназначени за използване в потенциално експлозивна атмосфера (ATEX).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Разработване на технически спецификации, които в съответствие с основните изисквания на директивата да бъдат насочени към технологичните новости в съоръженията и системите за защита, предназначени за използване в потенциално експлозивна атмосфера.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Проектиране и конструиране на оборудване, отговарящо на съвременното технологично равнище на секторните технологии</w:t>
            </w:r>
            <w:r>
              <w:rPr>
                <w:rFonts w:ascii="Times New Roman" w:hAnsi="Times New Roman"/>
                <w:noProof/>
                <w:lang w:val="bg-BG"/>
              </w:rPr>
              <w:t>,</w:t>
            </w:r>
            <w:r>
              <w:rPr>
                <w:rFonts w:ascii="Times New Roman" w:hAnsi="Times New Roman"/>
                <w:noProof/>
              </w:rPr>
              <w:t xml:space="preserve"> и предоставяне на възможност на потребителите да се възползват от съвременното равнище на безопасност. </w:t>
            </w:r>
          </w:p>
        </w:tc>
      </w:tr>
      <w:tr>
        <w:trPr>
          <w:cantSplit/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Безопасност на пиротехническите изделия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Директива 2013/29/ЕС на Европейския парламент и на Съвета от 12 юни 2013 г. за хармонизиране на законодателствата на държавите членки за предоставяне на пазара на пиротехнически изделия (преработен текст).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Работа в областта на стандартизацията за повишаване на безопасността на пиротехническите изделия: актуализиране на действащите стандарти за пиротехнически изделия, за да бъдат отразени изискванията на настоящата Директива 2013/29/ЕС и последните новости в развитието на технологи</w:t>
            </w:r>
            <w:r>
              <w:rPr>
                <w:rFonts w:ascii="Times New Roman" w:hAnsi="Times New Roman"/>
                <w:noProof/>
                <w:lang w:val="bg-BG"/>
              </w:rPr>
              <w:t>ите</w:t>
            </w:r>
            <w:r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Действието ще повиши безопасността на пиротехническите изделия и качеството на оценките на съответствието на тези изделия чрез съгласуване на действащите стандарти в тази област с настоящите законодателни изисквания и изисквания за безопасност, както и с последните новости в технологиите.</w:t>
            </w:r>
          </w:p>
        </w:tc>
      </w:tr>
      <w:tr>
        <w:trPr>
          <w:cantSplit/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Радионуклидни калибратори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Регламент за медицинските изделия (MDR) (Регламент (ЕС) 2017/745); основни норми на безопасност, Директива 2013/59/Евратом на Съвета.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Проектиране, производство, монтиране, използване и проверка на експлоатационните показатели на радионуклидни калибратори, използвани за измерване на активността на радиофармацевтичните средства преди прилагането им върху пациента.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Подобряване на процеса на оптимизиране на дозите чрез проверка на активността, предписана на пациентите.</w:t>
            </w:r>
          </w:p>
        </w:tc>
      </w:tr>
      <w:tr>
        <w:trPr>
          <w:cantSplit/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Строителни продукти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Регламент за строителните продукти (Регламент (ЕС) № 305/2011).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Разработване на методи и критерии за оценяване на експлоатационните показатели на строителните продукти.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Установяване на общ технически език, който е нужен за правилното функциониране на системата за хармонизиране, създадена в рамките на този регламент или чрез него.</w:t>
            </w:r>
          </w:p>
        </w:tc>
      </w:tr>
      <w:tr>
        <w:trPr>
          <w:cantSplit/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Железопътна система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Директива (ЕС) 2016/797 относно оперативната съвместимост на железопътната система в рамките на Европейския съюз (преработен текст).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Подкрепяне на техническите спецификации за оперативна съвместимост и архитектурата на железопътната система, в това число цифровизация за ефективна експлоатация на влаковете и ползи за ползвателите, автоматизация и киберсигурност.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Подготвяне на по-нататъшното интегриране и хармонизиране на железопътния сектор в единното европейско железопътно пространство като основа на бъдещата мултимодална и цифровизирана европейска транспортна мрежа.</w:t>
            </w:r>
          </w:p>
        </w:tc>
      </w:tr>
      <w:tr>
        <w:trPr>
          <w:cantSplit/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Акредитация и оценяване на съответствието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Регламент (ЕО) № 765/2008 за определяне на изискванията за акредитация и надзор на пазара във връзка с предлагането на пазара на продукти и Регламент (ЕО) № 1221/2009.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Хармонизиране на критерии</w:t>
            </w:r>
            <w:r>
              <w:rPr>
                <w:rFonts w:ascii="Times New Roman" w:hAnsi="Times New Roman"/>
                <w:noProof/>
                <w:lang w:val="bg-BG"/>
              </w:rPr>
              <w:t>те</w:t>
            </w:r>
            <w:r>
              <w:rPr>
                <w:rFonts w:ascii="Times New Roman" w:hAnsi="Times New Roman"/>
                <w:noProof/>
              </w:rPr>
              <w:t xml:space="preserve"> за партньорски оценки между националните органи по акредитация. Хармонизиране на критерии</w:t>
            </w:r>
            <w:r>
              <w:rPr>
                <w:rFonts w:ascii="Times New Roman" w:hAnsi="Times New Roman"/>
                <w:noProof/>
                <w:lang w:val="bg-BG"/>
              </w:rPr>
              <w:t>те</w:t>
            </w:r>
            <w:r>
              <w:rPr>
                <w:rFonts w:ascii="Times New Roman" w:hAnsi="Times New Roman"/>
                <w:noProof/>
              </w:rPr>
              <w:t xml:space="preserve"> за акредитация на органите за оценяване на съответствието от националните органи по акредитация в държавите членки.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Гарантиране, че акредитацията и оценяването на съответствието са еднакво строги във всички държави членки, като се осигури високо ниво на компетентност на органите за акредитация и оценяване на съответствието, което ще създаде справедливи и еднакви условия на конкуренция за операторите (по-специално </w:t>
            </w:r>
            <w:r>
              <w:rPr>
                <w:rFonts w:ascii="Times New Roman" w:hAnsi="Times New Roman"/>
                <w:noProof/>
                <w:lang w:val="bg-BG"/>
              </w:rPr>
              <w:t xml:space="preserve">за </w:t>
            </w:r>
            <w:r>
              <w:rPr>
                <w:rFonts w:ascii="Times New Roman" w:hAnsi="Times New Roman"/>
                <w:noProof/>
              </w:rPr>
              <w:t>МСП).</w:t>
            </w:r>
          </w:p>
        </w:tc>
      </w:tr>
      <w:tr>
        <w:trPr>
          <w:cantSplit/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Достъпност за хора с увреждания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Директива (ЕС) 2019/882 на Европейския парламент и на Съвета от 17 април 2019 г. за изискванията за достъпност на продукти и услуги.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Хармонизиране на подходите, които понастоящем се използват от производителите и доставчиците на услуги в целия свят, за да отговорят на изискванията за достъпност при производството на продукти/предоставянето на услуги със специфични характеристики по отношение на достъпността.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Гарантиране, че хората с увреждания имат достъп до продукти и услуги на вътрешния пазар.</w:t>
            </w:r>
          </w:p>
        </w:tc>
      </w:tr>
      <w:tr>
        <w:trPr>
          <w:cantSplit/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Повторна употреба на риболовните съоръжения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Директива (ЕС) 2019/904 относно намаляването на въздействието на определени пластмасови продукти върху околната среда.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Разработване на хармонизирани стандарти за дизайн на риболовните съоръжения, съответстващ на кръговата икономика, с цел насърчаване на подготовката за повторната им употреба и улесняване на възможността за рециклиране в края на жизнения им цикъл.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Насърчаване на подготовката за повторната им употреба и улесняване на възможността за рециклиране в края на жизнения им цикъл.</w:t>
            </w:r>
          </w:p>
        </w:tc>
      </w:tr>
    </w:tbl>
    <w:p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5667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20A970C-3FB6-4AB0-B4B0-DF9D6DAFC1E7"/>
    <w:docVar w:name="LW_COVERPAGE_TYPE" w:val="1"/>
    <w:docVar w:name="LW_CROSSREFERENCE" w:val="&lt;UNUSED&gt;"/>
    <w:docVar w:name="LW_DocType" w:val="NORMAL"/>
    <w:docVar w:name="LW_EMISSION" w:val="28.10.2019"/>
    <w:docVar w:name="LW_EMISSION_ISODATE" w:val="2019-10-2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3?\u1086?\u1076?\u1080?\u1096?\u1085?\u1072? \u1088?\u1072?\u1073?\u1086?\u1090?\u1085?\u1072? \u1087?\u1088?\u1086?\u1075?\u1088?\u1072?\u1084?\u1072? \u1085?\u1072? \u1057?\u1098?\u1102?\u1079?\u1072? \u1074? \u1086?\u1073?\u1083?\u1072?\u1089?\u1090?\u1090?\u1072? \u1085?\u1072? \u1089?\u1090?\u1072?\u1085?\u1076?\u1072?\u1088?\u1090?\u1080?\u1079?\u1072?\u1094?\u1080?\u1103?\u1090?\u1072? \u1079?\u1072? 2020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9) 48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60D4551-4EC8-4279-AE1C-46D86D97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1136</Words>
  <Characters>7414</Characters>
  <Application>Microsoft Office Word</Application>
  <DocSecurity>0</DocSecurity>
  <Lines>353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DIAMANTOPOULOS Dimitrios (GROW)</dc:creator>
  <cp:lastModifiedBy>WES PDFC Administrator</cp:lastModifiedBy>
  <cp:revision>11</cp:revision>
  <cp:lastPrinted>2019-09-19T09:41:00Z</cp:lastPrinted>
  <dcterms:created xsi:type="dcterms:W3CDTF">2019-10-15T13:22:00Z</dcterms:created>
  <dcterms:modified xsi:type="dcterms:W3CDTF">2019-10-21T07:46:00Z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reated using">
    <vt:lpwstr>LW 6.0.1, Build 20180503</vt:lpwstr>
  </property>
  <property fmtid="{D5CDD505-2E9C-101B-9397-08002B2CF9AE}" pid="7" name="Last edited using">
    <vt:lpwstr>LW 7.0, Build 20190717</vt:lpwstr>
  </property>
  <property fmtid="{D5CDD505-2E9C-101B-9397-08002B2CF9AE}" pid="8" name="First annex">
    <vt:lpwstr>1</vt:lpwstr>
  </property>
  <property fmtid="{D5CDD505-2E9C-101B-9397-08002B2CF9AE}" pid="9" name="Last annex">
    <vt:lpwstr>1</vt:lpwstr>
  </property>
  <property fmtid="{D5CDD505-2E9C-101B-9397-08002B2CF9AE}" pid="10" name="Unique annex">
    <vt:lpwstr>1</vt:lpwstr>
  </property>
  <property fmtid="{D5CDD505-2E9C-101B-9397-08002B2CF9AE}" pid="11" name="CPTemplateID">
    <vt:lpwstr>CP-039</vt:lpwstr>
  </property>
</Properties>
</file>