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B8FEB7C1-0D9A-4D5F-B7D3-CC55F66ACA96" style="width:450.75pt;height:393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tbl>
      <w:tblPr>
        <w:tblW w:w="13420" w:type="dxa"/>
        <w:tblInd w:w="113" w:type="dxa"/>
        <w:tblLook w:val="04A0" w:firstRow="1" w:lastRow="0" w:firstColumn="1" w:lastColumn="0" w:noHBand="0" w:noVBand="1"/>
        <w:tblCaption w:val="Planning of standardisation requests to the European standardisation organisations for 2020"/>
        <w:tblDescription w:val="Planning of standardisation requests to the European standardisation organisations for 2020"/>
      </w:tblPr>
      <w:tblGrid>
        <w:gridCol w:w="546"/>
        <w:gridCol w:w="1439"/>
        <w:gridCol w:w="3553"/>
        <w:gridCol w:w="3479"/>
        <w:gridCol w:w="4403"/>
      </w:tblGrid>
      <w:tr>
        <w:trPr>
          <w:trHeight w:val="585"/>
          <w:tblHeader/>
        </w:trPr>
        <w:tc>
          <w:tcPr>
            <w:tcW w:w="546" w:type="dxa"/>
            <w:tcBorders>
              <w:top w:val="single" w:sz="4" w:space="0" w:color="auto"/>
              <w:left w:val="single" w:sz="4" w:space="0" w:color="auto"/>
              <w:bottom w:val="single" w:sz="4" w:space="0" w:color="auto"/>
              <w:right w:val="single" w:sz="4" w:space="0" w:color="auto"/>
            </w:tcBorders>
            <w:shd w:val="clear" w:color="000000" w:fill="A6A6A6"/>
            <w:vAlign w:val="center"/>
            <w:hideMark/>
          </w:tcPr>
          <w:p>
            <w:pPr>
              <w:spacing w:after="0" w:line="240" w:lineRule="auto"/>
              <w:jc w:val="center"/>
              <w:rPr>
                <w:rFonts w:ascii="Times New Roman" w:eastAsia="Times New Roman" w:hAnsi="Times New Roman" w:cs="Times New Roman"/>
                <w:b/>
                <w:bCs/>
                <w:noProof/>
                <w:color w:val="000000"/>
                <w:lang w:eastAsia="en-GB"/>
              </w:rPr>
            </w:pPr>
            <w:bookmarkStart w:id="1" w:name="_GoBack"/>
            <w:bookmarkEnd w:id="1"/>
            <w:r>
              <w:rPr>
                <w:rFonts w:ascii="Times New Roman" w:eastAsia="Times New Roman" w:hAnsi="Times New Roman" w:cs="Times New Roman"/>
                <w:b/>
                <w:bCs/>
                <w:noProof/>
                <w:color w:val="000000"/>
                <w:lang w:eastAsia="en-GB"/>
              </w:rPr>
              <w:lastRenderedPageBreak/>
              <w:t>Ref</w:t>
            </w:r>
          </w:p>
        </w:tc>
        <w:tc>
          <w:tcPr>
            <w:tcW w:w="1439" w:type="dxa"/>
            <w:tcBorders>
              <w:top w:val="single" w:sz="4" w:space="0" w:color="auto"/>
              <w:left w:val="nil"/>
              <w:bottom w:val="single" w:sz="4" w:space="0" w:color="auto"/>
              <w:right w:val="single" w:sz="4" w:space="0" w:color="auto"/>
            </w:tcBorders>
            <w:shd w:val="clear" w:color="000000" w:fill="A6A6A6"/>
            <w:vAlign w:val="center"/>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Title of the action</w:t>
            </w:r>
          </w:p>
        </w:tc>
        <w:tc>
          <w:tcPr>
            <w:tcW w:w="3553" w:type="dxa"/>
            <w:tcBorders>
              <w:top w:val="single" w:sz="4" w:space="0" w:color="auto"/>
              <w:left w:val="nil"/>
              <w:bottom w:val="single" w:sz="4" w:space="0" w:color="auto"/>
              <w:right w:val="single" w:sz="4" w:space="0" w:color="auto"/>
            </w:tcBorders>
            <w:shd w:val="clear" w:color="000000" w:fill="A6A6A6"/>
            <w:vAlign w:val="center"/>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Policy/legislative reference</w:t>
            </w:r>
          </w:p>
        </w:tc>
        <w:tc>
          <w:tcPr>
            <w:tcW w:w="3479" w:type="dxa"/>
            <w:tcBorders>
              <w:top w:val="single" w:sz="4" w:space="0" w:color="auto"/>
              <w:left w:val="nil"/>
              <w:bottom w:val="single" w:sz="4" w:space="0" w:color="auto"/>
              <w:right w:val="single" w:sz="4" w:space="0" w:color="auto"/>
            </w:tcBorders>
            <w:shd w:val="clear" w:color="000000" w:fill="A6A6A6"/>
            <w:vAlign w:val="center"/>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Objective</w:t>
            </w:r>
          </w:p>
        </w:tc>
        <w:tc>
          <w:tcPr>
            <w:tcW w:w="4403" w:type="dxa"/>
            <w:tcBorders>
              <w:top w:val="single" w:sz="4" w:space="0" w:color="auto"/>
              <w:left w:val="nil"/>
              <w:bottom w:val="single" w:sz="4" w:space="0" w:color="auto"/>
              <w:right w:val="single" w:sz="4" w:space="0" w:color="auto"/>
            </w:tcBorders>
            <w:shd w:val="clear" w:color="000000" w:fill="A6A6A6"/>
            <w:vAlign w:val="center"/>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Impact of the action</w:t>
            </w:r>
          </w:p>
        </w:tc>
      </w:tr>
      <w:tr>
        <w:trPr>
          <w:trHeight w:val="315"/>
        </w:trPr>
        <w:tc>
          <w:tcPr>
            <w:tcW w:w="1342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lang w:eastAsia="en-GB"/>
              </w:rPr>
            </w:pPr>
            <w:r>
              <w:rPr>
                <w:rFonts w:ascii="Times New Roman" w:eastAsia="Times New Roman" w:hAnsi="Times New Roman" w:cs="Times New Roman"/>
                <w:b/>
                <w:bCs/>
                <w:noProof/>
                <w:lang w:eastAsia="en-GB"/>
              </w:rPr>
              <w:t>Standardisation requests for development/revision of harmonised European standards in support of Union legislation</w:t>
            </w:r>
          </w:p>
        </w:tc>
      </w:tr>
      <w:tr>
        <w:trPr>
          <w:cantSplit/>
          <w:trHeight w:val="1500"/>
        </w:trPr>
        <w:tc>
          <w:tcPr>
            <w:tcW w:w="546"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w:t>
            </w:r>
          </w:p>
        </w:tc>
        <w:tc>
          <w:tcPr>
            <w:tcW w:w="143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Eco-design</w:t>
            </w:r>
          </w:p>
        </w:tc>
        <w:tc>
          <w:tcPr>
            <w:tcW w:w="355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 xml:space="preserve"> Review of Regulation (EU) 640/2009 with regard to eco-design requirements for electric motors.</w:t>
            </w:r>
          </w:p>
        </w:tc>
        <w:tc>
          <w:tcPr>
            <w:tcW w:w="347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 xml:space="preserve">Assess the energy losses generated upstream and downstream of a variable speed drive in addition to the drive losses already covered by standard IEC 61800-9-2. </w:t>
            </w:r>
          </w:p>
        </w:tc>
        <w:tc>
          <w:tcPr>
            <w:tcW w:w="440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Assess the impact of variable speed drives in a systems approach, in order to promote VSDs that minimize energy losses.</w:t>
            </w:r>
          </w:p>
        </w:tc>
      </w:tr>
      <w:tr>
        <w:trPr>
          <w:cantSplit/>
          <w:trHeight w:val="3900"/>
        </w:trPr>
        <w:tc>
          <w:tcPr>
            <w:tcW w:w="546"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w:t>
            </w:r>
          </w:p>
        </w:tc>
        <w:tc>
          <w:tcPr>
            <w:tcW w:w="143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Eco-design</w:t>
            </w:r>
          </w:p>
        </w:tc>
        <w:tc>
          <w:tcPr>
            <w:tcW w:w="355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Eco-design and Energy labelling regulation for water heaters (review of Commission Delegated Regulation (EU) No 812/2013 supplementing Directive 2010/30/EU with regard to the energy labelling of water heaters, hot water storage tanks and packages of water heater and solar device and Regulation  No 814/2013 implementing Directive 2009/125/EC with regard to eco-design requirements for water heaters and hot water storage tanks).</w:t>
            </w:r>
          </w:p>
        </w:tc>
        <w:tc>
          <w:tcPr>
            <w:tcW w:w="347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Assess the water heater's energy efficiency, their emissions and possible other environmental impacts.</w:t>
            </w:r>
          </w:p>
        </w:tc>
        <w:tc>
          <w:tcPr>
            <w:tcW w:w="440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Improve the environmental performance of water heaters and create a level playing field for manufacturers who need to comply with the regulation.</w:t>
            </w:r>
          </w:p>
        </w:tc>
      </w:tr>
      <w:tr>
        <w:trPr>
          <w:cantSplit/>
          <w:trHeight w:val="2400"/>
        </w:trPr>
        <w:tc>
          <w:tcPr>
            <w:tcW w:w="546"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w:t>
            </w:r>
          </w:p>
        </w:tc>
        <w:tc>
          <w:tcPr>
            <w:tcW w:w="143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Eco-design</w:t>
            </w:r>
          </w:p>
        </w:tc>
        <w:tc>
          <w:tcPr>
            <w:tcW w:w="355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Eco-design requirements for household dishwashers, household washing machines and household washer-dryers; Energy labelling of household dishwashers, household washing machines and washer-dryers; four Commission Regulations to be adopted in 2019.</w:t>
            </w:r>
          </w:p>
        </w:tc>
        <w:tc>
          <w:tcPr>
            <w:tcW w:w="347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Revise harmonised test standards to measure the performance of household dishwashers, household washing machines and household washer-dryers, following the revision of the relevant Eco-design and Energy Labelling Regulations.</w:t>
            </w:r>
          </w:p>
        </w:tc>
        <w:tc>
          <w:tcPr>
            <w:tcW w:w="440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Facilitate the placing on the market of appliances complying with the revised Regulations, saving energy, water and other resources while addressing consumers’ needs and industry competitiveness.</w:t>
            </w:r>
          </w:p>
        </w:tc>
      </w:tr>
      <w:tr>
        <w:trPr>
          <w:cantSplit/>
          <w:trHeight w:val="1200"/>
        </w:trPr>
        <w:tc>
          <w:tcPr>
            <w:tcW w:w="546"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w:t>
            </w:r>
          </w:p>
        </w:tc>
        <w:tc>
          <w:tcPr>
            <w:tcW w:w="143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Registration, Evaluation, Authorisation and Restriction of Chemicals</w:t>
            </w:r>
          </w:p>
        </w:tc>
        <w:tc>
          <w:tcPr>
            <w:tcW w:w="355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 xml:space="preserve">Regulation 1907/2006 on </w:t>
            </w:r>
          </w:p>
          <w:p>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concerning the Registration, Evaluation, Authorisation and</w:t>
            </w:r>
          </w:p>
          <w:p>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Restriction of Chemicals -</w:t>
            </w:r>
            <w:r>
              <w:rPr>
                <w:noProof/>
              </w:rPr>
              <w:t xml:space="preserve"> </w:t>
            </w:r>
            <w:r>
              <w:rPr>
                <w:rFonts w:ascii="Times New Roman" w:eastAsia="Times New Roman" w:hAnsi="Times New Roman" w:cs="Times New Roman"/>
                <w:noProof/>
                <w:color w:val="000000"/>
                <w:lang w:eastAsia="en-GB"/>
              </w:rPr>
              <w:t xml:space="preserve">Annex XVII - Entry 50. </w:t>
            </w:r>
          </w:p>
        </w:tc>
        <w:tc>
          <w:tcPr>
            <w:tcW w:w="347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Implementation of restriction entry 50 (5) and (6) (polycyclic-aromatic hydrocarbons (PAH)), for which a review may consider the introduction of a migration based limit in rubber and plastic.</w:t>
            </w:r>
          </w:p>
        </w:tc>
        <w:tc>
          <w:tcPr>
            <w:tcW w:w="440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Ensure that plastic/rubber consumer products can be produced/circulated freely in the single market.</w:t>
            </w:r>
          </w:p>
        </w:tc>
      </w:tr>
      <w:tr>
        <w:trPr>
          <w:cantSplit/>
          <w:trHeight w:val="2100"/>
        </w:trPr>
        <w:tc>
          <w:tcPr>
            <w:tcW w:w="546"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w:t>
            </w:r>
          </w:p>
        </w:tc>
        <w:tc>
          <w:tcPr>
            <w:tcW w:w="143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Fertilisers</w:t>
            </w:r>
          </w:p>
        </w:tc>
        <w:tc>
          <w:tcPr>
            <w:tcW w:w="355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Regulation (EU) 2019/1009 of the European Parliament and of the Council of 5 June 2019 laying down rules on the making available on the market of EU fertilising products and amending Regulations (EC) No 1069/2009 and (EC) No 1107/2009 and repealing Regulation (EC) No 2003/2003.</w:t>
            </w:r>
          </w:p>
        </w:tc>
        <w:tc>
          <w:tcPr>
            <w:tcW w:w="347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Harmonisation of analytical test methods for verifying the conformity of fertilising products from secondary raw material with the essential requirements of the new Regulation on Fertilising Products.</w:t>
            </w:r>
          </w:p>
        </w:tc>
        <w:tc>
          <w:tcPr>
            <w:tcW w:w="440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 xml:space="preserve">Enable common inspection and testing practices for conformity to legal requirements, facilitating trade in the single market. </w:t>
            </w:r>
          </w:p>
        </w:tc>
      </w:tr>
      <w:tr>
        <w:trPr>
          <w:cantSplit/>
          <w:trHeight w:val="2700"/>
        </w:trPr>
        <w:tc>
          <w:tcPr>
            <w:tcW w:w="546"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w:t>
            </w:r>
          </w:p>
        </w:tc>
        <w:tc>
          <w:tcPr>
            <w:tcW w:w="143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Explosive atmospheres (ATEX)</w:t>
            </w:r>
          </w:p>
        </w:tc>
        <w:tc>
          <w:tcPr>
            <w:tcW w:w="355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Directive 2014/34/EU of the European Parliament and of the Council on the harmonisation of the laws of the Member States relating to equipment and protective systems intended for use in potentially explosive atmospheres (ATEX).</w:t>
            </w:r>
          </w:p>
        </w:tc>
        <w:tc>
          <w:tcPr>
            <w:tcW w:w="347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Development of technical specifications that address, in line with the essential requirements of the Directive, the technological updates on the equipment and protective systems intended for use in potentially explosive atmospheres.</w:t>
            </w:r>
          </w:p>
        </w:tc>
        <w:tc>
          <w:tcPr>
            <w:tcW w:w="440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 xml:space="preserve">Design and construct equipment to updated state-of-the-art in sectorial technologies as well as enable the users to benefit from the up-to-date level of safety. </w:t>
            </w:r>
          </w:p>
        </w:tc>
      </w:tr>
      <w:tr>
        <w:trPr>
          <w:cantSplit/>
          <w:trHeight w:val="2100"/>
        </w:trPr>
        <w:tc>
          <w:tcPr>
            <w:tcW w:w="546"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7</w:t>
            </w:r>
          </w:p>
        </w:tc>
        <w:tc>
          <w:tcPr>
            <w:tcW w:w="143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Safety of pyrotechnic articles</w:t>
            </w:r>
          </w:p>
        </w:tc>
        <w:tc>
          <w:tcPr>
            <w:tcW w:w="355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Directive 2013/29/EU of the European Parliament and of the Council of 12 June 2013 on the harmonisation of the laws of the Member States relating to the making available on the market of pyrotechnic articles (recast).</w:t>
            </w:r>
          </w:p>
        </w:tc>
        <w:tc>
          <w:tcPr>
            <w:tcW w:w="347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Standardisation work to increase safety of pyrotechnic articles: update the current standards on pyrotechnic articles in order to reflect the requirements of the current Directive 2013/29/EU and the latest developments in technology.</w:t>
            </w:r>
          </w:p>
        </w:tc>
        <w:tc>
          <w:tcPr>
            <w:tcW w:w="440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The action will increase safety of pyrotechnic articles and quality of conformity assessments of such articles, by aligning the existing standards in this field with current legislative and safety requirements as well as with latest technologies.</w:t>
            </w:r>
          </w:p>
        </w:tc>
      </w:tr>
      <w:tr>
        <w:trPr>
          <w:cantSplit/>
          <w:trHeight w:val="2100"/>
        </w:trPr>
        <w:tc>
          <w:tcPr>
            <w:tcW w:w="546"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8</w:t>
            </w:r>
          </w:p>
        </w:tc>
        <w:tc>
          <w:tcPr>
            <w:tcW w:w="143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Radionuclide calibrators</w:t>
            </w:r>
          </w:p>
        </w:tc>
        <w:tc>
          <w:tcPr>
            <w:tcW w:w="355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Medical Devices Regulation (MDR), Regulation (EU) 2017/745;  Basic Safety Standard (BSS), Council Directive 2013/59/Euratom.</w:t>
            </w:r>
          </w:p>
        </w:tc>
        <w:tc>
          <w:tcPr>
            <w:tcW w:w="347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Design, manufacturing, installation, use and performance verification of radionuclide calibrators used to measure the activity of radiopharmaceuticals prior to administration to the patient.</w:t>
            </w:r>
          </w:p>
        </w:tc>
        <w:tc>
          <w:tcPr>
            <w:tcW w:w="440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Improve the dose optimisation and process by verification of the administered activity to patients.</w:t>
            </w:r>
          </w:p>
        </w:tc>
      </w:tr>
      <w:tr>
        <w:trPr>
          <w:cantSplit/>
          <w:trHeight w:val="1800"/>
        </w:trPr>
        <w:tc>
          <w:tcPr>
            <w:tcW w:w="546"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w:t>
            </w:r>
          </w:p>
        </w:tc>
        <w:tc>
          <w:tcPr>
            <w:tcW w:w="143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Construction products</w:t>
            </w:r>
          </w:p>
        </w:tc>
        <w:tc>
          <w:tcPr>
            <w:tcW w:w="355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Construction Products Regulation (EU) No 305/2011.</w:t>
            </w:r>
          </w:p>
        </w:tc>
        <w:tc>
          <w:tcPr>
            <w:tcW w:w="347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 xml:space="preserve">Develop assessment methods and criteria for the performance of construction products. </w:t>
            </w:r>
          </w:p>
        </w:tc>
        <w:tc>
          <w:tcPr>
            <w:tcW w:w="440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Common technical language, required for the appropriate functioning of the harmonisation system created in or by means of this Regulation.</w:t>
            </w:r>
          </w:p>
        </w:tc>
      </w:tr>
      <w:tr>
        <w:trPr>
          <w:cantSplit/>
          <w:trHeight w:val="1200"/>
        </w:trPr>
        <w:tc>
          <w:tcPr>
            <w:tcW w:w="546"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10</w:t>
            </w:r>
          </w:p>
        </w:tc>
        <w:tc>
          <w:tcPr>
            <w:tcW w:w="143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Rail</w:t>
            </w:r>
          </w:p>
        </w:tc>
        <w:tc>
          <w:tcPr>
            <w:tcW w:w="355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Directive (EU) 2016/797 on the interoperability of the rail system within the European Union (recast).</w:t>
            </w:r>
          </w:p>
        </w:tc>
        <w:tc>
          <w:tcPr>
            <w:tcW w:w="347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Support the technical specifications for interoperability and rail system architecture, including digitalisation for efficient train operations and user benefits, automation and cybersecurity.</w:t>
            </w:r>
          </w:p>
        </w:tc>
        <w:tc>
          <w:tcPr>
            <w:tcW w:w="440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Prepare the rail sector’s further integration and harmonisation into the Single European rail area as the backbone of the future multimodal and digital European transport network.</w:t>
            </w:r>
          </w:p>
        </w:tc>
      </w:tr>
      <w:tr>
        <w:trPr>
          <w:cantSplit/>
          <w:trHeight w:val="1800"/>
        </w:trPr>
        <w:tc>
          <w:tcPr>
            <w:tcW w:w="546"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11</w:t>
            </w:r>
          </w:p>
        </w:tc>
        <w:tc>
          <w:tcPr>
            <w:tcW w:w="143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Accreditation and conformity assessment</w:t>
            </w:r>
          </w:p>
        </w:tc>
        <w:tc>
          <w:tcPr>
            <w:tcW w:w="355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Regulation (EC) 765/2008 setting out the requirements for accreditation and market surveillance relating to the marketing of products and Regulation (EC) 1221/2009.</w:t>
            </w:r>
          </w:p>
        </w:tc>
        <w:tc>
          <w:tcPr>
            <w:tcW w:w="347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Harmonisation of peer evaluation criteria among National Accreditation Bodies. Harmonisation of accreditation criteria for Conformity Assessment Bodies by the National Accreditation Bodies in the Member States.</w:t>
            </w:r>
          </w:p>
        </w:tc>
        <w:tc>
          <w:tcPr>
            <w:tcW w:w="440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Ensure that accreditation and conformity assessment has the same stringency in all Member States, ensuring high competence of Accreditation and Conformity Assessment Bodies, creating a fair level playing field for operators (especially SMEs).</w:t>
            </w:r>
          </w:p>
        </w:tc>
      </w:tr>
      <w:tr>
        <w:trPr>
          <w:cantSplit/>
          <w:trHeight w:val="2100"/>
        </w:trPr>
        <w:tc>
          <w:tcPr>
            <w:tcW w:w="546"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12</w:t>
            </w:r>
          </w:p>
        </w:tc>
        <w:tc>
          <w:tcPr>
            <w:tcW w:w="143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Accessibility for persons with disabilities</w:t>
            </w:r>
          </w:p>
        </w:tc>
        <w:tc>
          <w:tcPr>
            <w:tcW w:w="355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Directive (EU) 2019/882 of the European Parliament and of the Council of 17 April 2019 on the accessibility requirements for products and services.</w:t>
            </w:r>
          </w:p>
        </w:tc>
        <w:tc>
          <w:tcPr>
            <w:tcW w:w="3479"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Harmonise the approaches that manufacturers and service providers worldwide currently use to comply with accessibility requirements whenever they do produce/provide products and services with specific accessibility features.</w:t>
            </w:r>
          </w:p>
        </w:tc>
        <w:tc>
          <w:tcPr>
            <w:tcW w:w="4403"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Ensure that persons with disabilities have access to products and services in the internal market.</w:t>
            </w:r>
          </w:p>
        </w:tc>
      </w:tr>
      <w:tr>
        <w:trPr>
          <w:cantSplit/>
          <w:trHeight w:val="2100"/>
        </w:trPr>
        <w:tc>
          <w:tcPr>
            <w:tcW w:w="546" w:type="dxa"/>
            <w:tcBorders>
              <w:top w:val="nil"/>
              <w:left w:val="single" w:sz="4" w:space="0" w:color="auto"/>
              <w:bottom w:val="single" w:sz="4" w:space="0" w:color="auto"/>
              <w:right w:val="single" w:sz="4" w:space="0" w:color="auto"/>
            </w:tcBorders>
            <w:shd w:val="clear" w:color="auto" w:fill="auto"/>
            <w:vAlign w:val="center"/>
          </w:tcPr>
          <w:p>
            <w:pPr>
              <w:spacing w:after="0" w:line="240" w:lineRule="auto"/>
              <w:jc w:val="center"/>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13</w:t>
            </w:r>
          </w:p>
        </w:tc>
        <w:tc>
          <w:tcPr>
            <w:tcW w:w="1439" w:type="dxa"/>
            <w:tcBorders>
              <w:top w:val="nil"/>
              <w:left w:val="nil"/>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Reuse of fishing gear</w:t>
            </w:r>
          </w:p>
        </w:tc>
        <w:tc>
          <w:tcPr>
            <w:tcW w:w="3553" w:type="dxa"/>
            <w:tcBorders>
              <w:top w:val="nil"/>
              <w:left w:val="nil"/>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cs="Times New Roman"/>
                <w:noProof/>
                <w:color w:val="000000"/>
                <w:lang w:eastAsia="en-GB"/>
              </w:rPr>
            </w:pPr>
          </w:p>
          <w:p>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Directive 2019/904 on the reduction of the impact of certain plastic products on the environment.</w:t>
            </w:r>
          </w:p>
        </w:tc>
        <w:tc>
          <w:tcPr>
            <w:tcW w:w="3479" w:type="dxa"/>
            <w:tcBorders>
              <w:top w:val="nil"/>
              <w:left w:val="nil"/>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Develop harmonised standards relating to the circular design of fishing gear to encourage preparing for re-use and facilitate recyclability at end of life.</w:t>
            </w:r>
          </w:p>
        </w:tc>
        <w:tc>
          <w:tcPr>
            <w:tcW w:w="4403" w:type="dxa"/>
            <w:tcBorders>
              <w:top w:val="nil"/>
              <w:left w:val="nil"/>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To encourage preparing for re-use and facilitate recyclability at end of life.</w:t>
            </w:r>
          </w:p>
        </w:tc>
      </w:tr>
    </w:tbl>
    <w:p>
      <w:pPr>
        <w:rPr>
          <w:rFonts w:ascii="Times New Roman" w:hAnsi="Times New Roman" w:cs="Times New Roman"/>
          <w:noProof/>
        </w:rPr>
      </w:pPr>
    </w:p>
    <w:p>
      <w:pPr>
        <w:spacing w:after="0" w:line="240" w:lineRule="auto"/>
        <w:rPr>
          <w:rFonts w:ascii="Arial" w:eastAsia="Times New Roman" w:hAnsi="Arial" w:cs="Arial"/>
          <w:noProof/>
          <w:sz w:val="20"/>
          <w:szCs w:val="20"/>
          <w:lang w:eastAsia="en-GB"/>
        </w:rPr>
      </w:pPr>
    </w:p>
    <w:sectPr>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75667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w:docVar w:name="LW_ANNEX_NBR_FIRST" w:val="1"/>
    <w:docVar w:name="LW_ANNEX_NBR_LAST" w:val="1"/>
    <w:docVar w:name="LW_ANNEX_UNIQUE" w:val="1"/>
    <w:docVar w:name="LW_CORRIGENDUM" w:val="&lt;UNUSED&gt;"/>
    <w:docVar w:name="LW_COVERPAGE_EXISTS" w:val="True"/>
    <w:docVar w:name="LW_COVERPAGE_GUID" w:val="B8FEB7C1-0D9A-4D5F-B7D3-CC55F66ACA96"/>
    <w:docVar w:name="LW_COVERPAGE_TYPE" w:val="1"/>
    <w:docVar w:name="LW_CROSSREFERENCE" w:val="&lt;UNUSED&gt;"/>
    <w:docVar w:name="LW_DocType" w:val="NORMAL"/>
    <w:docVar w:name="LW_EMISSION" w:val="28.10.2019"/>
    <w:docVar w:name="LW_EMISSION_ISODATE" w:val="2019-10-28"/>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The Annual Union work programme for European standardisation for 2020"/>
    <w:docVar w:name="LW_PART_NBR" w:val="1"/>
    <w:docVar w:name="LW_PART_NBR_TOTAL" w:val="1"/>
    <w:docVar w:name="LW_REF.INST.NEW" w:val="COM"/>
    <w:docVar w:name="LW_REF.INST.NEW_ADOPTED" w:val="final"/>
    <w:docVar w:name="LW_REF.INST.NEW_TEXT" w:val="(2019) 4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 COMMUNICATION FROM THE COMMISSION TO THE EUROPEAN PARLIAMENT, THE COUNCIL, THE EUROPEAN ECONOMIC AND SOCIAL COMMITTEE AND THE COMMITTEE OF THE REGIONS "/>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u w:val="single"/>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1">
    <w:name w:val="toc 1"/>
    <w:basedOn w:val="Normal"/>
    <w:next w:val="Normal"/>
    <w:autoRedefine/>
    <w:uiPriority w:val="39"/>
    <w:unhideWhenUsed/>
    <w:pPr>
      <w:spacing w:after="100"/>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u w:val="single"/>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1">
    <w:name w:val="toc 1"/>
    <w:basedOn w:val="Normal"/>
    <w:next w:val="Normal"/>
    <w:autoRedefine/>
    <w:uiPriority w:val="39"/>
    <w:unhideWhenUsed/>
    <w:pPr>
      <w:spacing w:after="100"/>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0061">
      <w:bodyDiv w:val="1"/>
      <w:marLeft w:val="0"/>
      <w:marRight w:val="0"/>
      <w:marTop w:val="0"/>
      <w:marBottom w:val="0"/>
      <w:divBdr>
        <w:top w:val="none" w:sz="0" w:space="0" w:color="auto"/>
        <w:left w:val="none" w:sz="0" w:space="0" w:color="auto"/>
        <w:bottom w:val="none" w:sz="0" w:space="0" w:color="auto"/>
        <w:right w:val="none" w:sz="0" w:space="0" w:color="auto"/>
      </w:divBdr>
    </w:div>
    <w:div w:id="59257575">
      <w:bodyDiv w:val="1"/>
      <w:marLeft w:val="0"/>
      <w:marRight w:val="0"/>
      <w:marTop w:val="0"/>
      <w:marBottom w:val="0"/>
      <w:divBdr>
        <w:top w:val="none" w:sz="0" w:space="0" w:color="auto"/>
        <w:left w:val="none" w:sz="0" w:space="0" w:color="auto"/>
        <w:bottom w:val="none" w:sz="0" w:space="0" w:color="auto"/>
        <w:right w:val="none" w:sz="0" w:space="0" w:color="auto"/>
      </w:divBdr>
    </w:div>
    <w:div w:id="90123971">
      <w:bodyDiv w:val="1"/>
      <w:marLeft w:val="0"/>
      <w:marRight w:val="0"/>
      <w:marTop w:val="0"/>
      <w:marBottom w:val="0"/>
      <w:divBdr>
        <w:top w:val="none" w:sz="0" w:space="0" w:color="auto"/>
        <w:left w:val="none" w:sz="0" w:space="0" w:color="auto"/>
        <w:bottom w:val="none" w:sz="0" w:space="0" w:color="auto"/>
        <w:right w:val="none" w:sz="0" w:space="0" w:color="auto"/>
      </w:divBdr>
    </w:div>
    <w:div w:id="444227640">
      <w:bodyDiv w:val="1"/>
      <w:marLeft w:val="0"/>
      <w:marRight w:val="0"/>
      <w:marTop w:val="0"/>
      <w:marBottom w:val="0"/>
      <w:divBdr>
        <w:top w:val="none" w:sz="0" w:space="0" w:color="auto"/>
        <w:left w:val="none" w:sz="0" w:space="0" w:color="auto"/>
        <w:bottom w:val="none" w:sz="0" w:space="0" w:color="auto"/>
        <w:right w:val="none" w:sz="0" w:space="0" w:color="auto"/>
      </w:divBdr>
    </w:div>
    <w:div w:id="517886257">
      <w:bodyDiv w:val="1"/>
      <w:marLeft w:val="0"/>
      <w:marRight w:val="0"/>
      <w:marTop w:val="0"/>
      <w:marBottom w:val="0"/>
      <w:divBdr>
        <w:top w:val="none" w:sz="0" w:space="0" w:color="auto"/>
        <w:left w:val="none" w:sz="0" w:space="0" w:color="auto"/>
        <w:bottom w:val="none" w:sz="0" w:space="0" w:color="auto"/>
        <w:right w:val="none" w:sz="0" w:space="0" w:color="auto"/>
      </w:divBdr>
    </w:div>
    <w:div w:id="698046593">
      <w:bodyDiv w:val="1"/>
      <w:marLeft w:val="0"/>
      <w:marRight w:val="0"/>
      <w:marTop w:val="0"/>
      <w:marBottom w:val="0"/>
      <w:divBdr>
        <w:top w:val="none" w:sz="0" w:space="0" w:color="auto"/>
        <w:left w:val="none" w:sz="0" w:space="0" w:color="auto"/>
        <w:bottom w:val="none" w:sz="0" w:space="0" w:color="auto"/>
        <w:right w:val="none" w:sz="0" w:space="0" w:color="auto"/>
      </w:divBdr>
    </w:div>
    <w:div w:id="713778082">
      <w:bodyDiv w:val="1"/>
      <w:marLeft w:val="0"/>
      <w:marRight w:val="0"/>
      <w:marTop w:val="0"/>
      <w:marBottom w:val="0"/>
      <w:divBdr>
        <w:top w:val="none" w:sz="0" w:space="0" w:color="auto"/>
        <w:left w:val="none" w:sz="0" w:space="0" w:color="auto"/>
        <w:bottom w:val="none" w:sz="0" w:space="0" w:color="auto"/>
        <w:right w:val="none" w:sz="0" w:space="0" w:color="auto"/>
      </w:divBdr>
    </w:div>
    <w:div w:id="725685129">
      <w:bodyDiv w:val="1"/>
      <w:marLeft w:val="0"/>
      <w:marRight w:val="0"/>
      <w:marTop w:val="0"/>
      <w:marBottom w:val="0"/>
      <w:divBdr>
        <w:top w:val="none" w:sz="0" w:space="0" w:color="auto"/>
        <w:left w:val="none" w:sz="0" w:space="0" w:color="auto"/>
        <w:bottom w:val="none" w:sz="0" w:space="0" w:color="auto"/>
        <w:right w:val="none" w:sz="0" w:space="0" w:color="auto"/>
      </w:divBdr>
    </w:div>
    <w:div w:id="1050885442">
      <w:bodyDiv w:val="1"/>
      <w:marLeft w:val="0"/>
      <w:marRight w:val="0"/>
      <w:marTop w:val="0"/>
      <w:marBottom w:val="0"/>
      <w:divBdr>
        <w:top w:val="none" w:sz="0" w:space="0" w:color="auto"/>
        <w:left w:val="none" w:sz="0" w:space="0" w:color="auto"/>
        <w:bottom w:val="none" w:sz="0" w:space="0" w:color="auto"/>
        <w:right w:val="none" w:sz="0" w:space="0" w:color="auto"/>
      </w:divBdr>
    </w:div>
    <w:div w:id="1466463057">
      <w:bodyDiv w:val="1"/>
      <w:marLeft w:val="0"/>
      <w:marRight w:val="0"/>
      <w:marTop w:val="0"/>
      <w:marBottom w:val="0"/>
      <w:divBdr>
        <w:top w:val="none" w:sz="0" w:space="0" w:color="auto"/>
        <w:left w:val="none" w:sz="0" w:space="0" w:color="auto"/>
        <w:bottom w:val="none" w:sz="0" w:space="0" w:color="auto"/>
        <w:right w:val="none" w:sz="0" w:space="0" w:color="auto"/>
      </w:divBdr>
    </w:div>
    <w:div w:id="1527907588">
      <w:bodyDiv w:val="1"/>
      <w:marLeft w:val="0"/>
      <w:marRight w:val="0"/>
      <w:marTop w:val="0"/>
      <w:marBottom w:val="0"/>
      <w:divBdr>
        <w:top w:val="none" w:sz="0" w:space="0" w:color="auto"/>
        <w:left w:val="none" w:sz="0" w:space="0" w:color="auto"/>
        <w:bottom w:val="none" w:sz="0" w:space="0" w:color="auto"/>
        <w:right w:val="none" w:sz="0" w:space="0" w:color="auto"/>
      </w:divBdr>
    </w:div>
    <w:div w:id="1547254381">
      <w:bodyDiv w:val="1"/>
      <w:marLeft w:val="0"/>
      <w:marRight w:val="0"/>
      <w:marTop w:val="0"/>
      <w:marBottom w:val="0"/>
      <w:divBdr>
        <w:top w:val="none" w:sz="0" w:space="0" w:color="auto"/>
        <w:left w:val="none" w:sz="0" w:space="0" w:color="auto"/>
        <w:bottom w:val="none" w:sz="0" w:space="0" w:color="auto"/>
        <w:right w:val="none" w:sz="0" w:space="0" w:color="auto"/>
      </w:divBdr>
    </w:div>
    <w:div w:id="1886793612">
      <w:bodyDiv w:val="1"/>
      <w:marLeft w:val="0"/>
      <w:marRight w:val="0"/>
      <w:marTop w:val="0"/>
      <w:marBottom w:val="0"/>
      <w:divBdr>
        <w:top w:val="none" w:sz="0" w:space="0" w:color="auto"/>
        <w:left w:val="none" w:sz="0" w:space="0" w:color="auto"/>
        <w:bottom w:val="none" w:sz="0" w:space="0" w:color="auto"/>
        <w:right w:val="none" w:sz="0" w:space="0" w:color="auto"/>
      </w:divBdr>
    </w:div>
    <w:div w:id="2081293551">
      <w:bodyDiv w:val="1"/>
      <w:marLeft w:val="0"/>
      <w:marRight w:val="0"/>
      <w:marTop w:val="0"/>
      <w:marBottom w:val="0"/>
      <w:divBdr>
        <w:top w:val="none" w:sz="0" w:space="0" w:color="auto"/>
        <w:left w:val="none" w:sz="0" w:space="0" w:color="auto"/>
        <w:bottom w:val="none" w:sz="0" w:space="0" w:color="auto"/>
        <w:right w:val="none" w:sz="0" w:space="0" w:color="auto"/>
      </w:divBdr>
    </w:div>
    <w:div w:id="208721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B27062F-AE29-472C-8295-62CDF7F3F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1002</Words>
  <Characters>6255</Characters>
  <Application>Microsoft Office Word</Application>
  <DocSecurity>0</DocSecurity>
  <Lines>260</Lines>
  <Paragraphs>84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DIAMANTOPOULOS Dimitrios (GROW)</dc:creator>
  <cp:lastModifiedBy>WES PDFC Administrator</cp:lastModifiedBy>
  <cp:revision>7</cp:revision>
  <cp:lastPrinted>2019-09-19T09:41:00Z</cp:lastPrinted>
  <dcterms:created xsi:type="dcterms:W3CDTF">2019-10-15T13:22:00Z</dcterms:created>
  <dcterms:modified xsi:type="dcterms:W3CDTF">2019-10-21T07:46:00Z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First annex">
    <vt:lpwstr>1</vt:lpwstr>
  </property>
  <property fmtid="{D5CDD505-2E9C-101B-9397-08002B2CF9AE}" pid="9" name="Last annex">
    <vt:lpwstr>1</vt:lpwstr>
  </property>
  <property fmtid="{D5CDD505-2E9C-101B-9397-08002B2CF9AE}" pid="10" name="Unique annex">
    <vt:lpwstr>1</vt:lpwstr>
  </property>
  <property fmtid="{D5CDD505-2E9C-101B-9397-08002B2CF9AE}" pid="11" name="CPTemplateID">
    <vt:lpwstr>CP-039</vt:lpwstr>
  </property>
</Properties>
</file>