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5D069E-961E-4FB8-8FA9-B1FE8D3EA8A5" style="width:450.35pt;height:40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1" w:name="_GoBack"/>
      <w:bookmarkEnd w:id="1"/>
      <w:r>
        <w:rPr>
          <w:noProof/>
        </w:rPr>
        <w:lastRenderedPageBreak/>
        <w:t>като взе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и по-специално член 42 от него,</w:t>
      </w:r>
    </w:p>
    <w:p>
      <w:pPr>
        <w:pStyle w:val="Tiret0"/>
        <w:tabs>
          <w:tab w:val="clear" w:pos="850"/>
          <w:tab w:val="num" w:pos="927"/>
        </w:tabs>
        <w:rPr>
          <w:noProof/>
        </w:rPr>
      </w:pPr>
      <w:r>
        <w:rPr>
          <w:noProof/>
        </w:rPr>
        <w:t>проекта на общ бюджет на Европейския съюз за 2020 финансова година, приет от Комисията на 5 юли 2019 г.</w:t>
      </w:r>
      <w:r>
        <w:rPr>
          <w:rStyle w:val="FootnoteReference"/>
          <w:noProof/>
        </w:rPr>
        <w:footnoteReference w:id="3"/>
      </w:r>
      <w:r>
        <w:rPr>
          <w:noProof/>
        </w:rPr>
        <w:t>,</w:t>
      </w:r>
    </w:p>
    <w:p>
      <w:pPr>
        <w:spacing w:after="600"/>
        <w:jc w:val="both"/>
        <w:rPr>
          <w:noProof/>
        </w:rPr>
      </w:pPr>
      <w:r>
        <w:rPr>
          <w:noProof/>
        </w:rPr>
        <w:t>с настоящото Европейската комисия представя на Европейския парламент и на Съвета писмо за внасяне на корекции № 1 към проекта на общ бюджет на Европейския съюз за 2020 финансова година поради причините, изложени в обяснителния меморандум.</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history="1">
        <w:r>
          <w:rPr>
            <w:rStyle w:val="Hyperlink"/>
            <w:noProof/>
          </w:rPr>
          <w:t>https://eur-lex.europa.eu/budget/www/index-bg.htm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20"/>
          <w:docGrid w:linePitch="360"/>
        </w:sectPr>
      </w:pPr>
    </w:p>
    <w:p>
      <w:pPr>
        <w:pStyle w:val="TOCHeading"/>
        <w:rPr>
          <w:noProof/>
        </w:rPr>
      </w:pPr>
      <w:r>
        <w:rPr>
          <w:noProof/>
        </w:rPr>
        <w:t>СЪДЪРЖАНИЕ</w:t>
      </w:r>
    </w:p>
    <w:p>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22911242" w:history="1">
        <w:r>
          <w:rPr>
            <w:rStyle w:val="Hyperlink"/>
            <w:noProof/>
          </w:rPr>
          <w:t>1.</w:t>
        </w:r>
        <w:r>
          <w:rPr>
            <w:rFonts w:asciiTheme="minorHAnsi" w:eastAsiaTheme="minorEastAsia" w:hAnsiTheme="minorHAnsi" w:cstheme="minorBidi"/>
            <w:b w:val="0"/>
            <w:bCs w:val="0"/>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_Toc22911242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22911243"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Европейски фонд за гарантиране на земеделието</w:t>
        </w:r>
        <w:r>
          <w:rPr>
            <w:noProof/>
            <w:webHidden/>
          </w:rPr>
          <w:tab/>
        </w:r>
        <w:r>
          <w:rPr>
            <w:noProof/>
            <w:webHidden/>
          </w:rPr>
          <w:fldChar w:fldCharType="begin"/>
        </w:r>
        <w:r>
          <w:rPr>
            <w:noProof/>
            <w:webHidden/>
          </w:rPr>
          <w:instrText xml:space="preserve"> PAGEREF _Toc22911243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44" w:history="1">
        <w:r>
          <w:rPr>
            <w:rStyle w:val="Hyperlink"/>
            <w:b/>
            <w:noProof/>
          </w:rPr>
          <w:t xml:space="preserve">2.1 </w:t>
        </w:r>
        <w:r>
          <w:rPr>
            <w:rFonts w:asciiTheme="minorHAnsi" w:eastAsiaTheme="minorEastAsia" w:hAnsiTheme="minorHAnsi" w:cstheme="minorBidi"/>
            <w:smallCaps w:val="0"/>
            <w:noProof/>
            <w:sz w:val="22"/>
            <w:szCs w:val="22"/>
            <w:lang w:val="en-US" w:eastAsia="en-US"/>
          </w:rPr>
          <w:tab/>
        </w:r>
        <w:r>
          <w:rPr>
            <w:rStyle w:val="Hyperlink"/>
            <w:b/>
            <w:noProof/>
          </w:rPr>
          <w:t>Преглед</w:t>
        </w:r>
        <w:r>
          <w:rPr>
            <w:noProof/>
            <w:webHidden/>
          </w:rPr>
          <w:tab/>
        </w:r>
        <w:r>
          <w:rPr>
            <w:noProof/>
            <w:webHidden/>
          </w:rPr>
          <w:fldChar w:fldCharType="begin"/>
        </w:r>
        <w:r>
          <w:rPr>
            <w:noProof/>
            <w:webHidden/>
          </w:rPr>
          <w:instrText xml:space="preserve"> PAGEREF _Toc22911244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45" w:history="1">
        <w:r>
          <w:rPr>
            <w:rStyle w:val="Hyperlink"/>
            <w:b/>
            <w:noProof/>
          </w:rPr>
          <w:t xml:space="preserve">2.2 </w:t>
        </w:r>
        <w:r>
          <w:rPr>
            <w:rFonts w:asciiTheme="minorHAnsi" w:eastAsiaTheme="minorEastAsia" w:hAnsiTheme="minorHAnsi" w:cstheme="minorBidi"/>
            <w:smallCaps w:val="0"/>
            <w:noProof/>
            <w:sz w:val="22"/>
            <w:szCs w:val="22"/>
            <w:lang w:val="en-US" w:eastAsia="en-US"/>
          </w:rPr>
          <w:tab/>
        </w:r>
        <w:r>
          <w:rPr>
            <w:rStyle w:val="Hyperlink"/>
            <w:b/>
            <w:noProof/>
          </w:rPr>
          <w:t>Подробни бележки</w:t>
        </w:r>
        <w:r>
          <w:rPr>
            <w:noProof/>
            <w:webHidden/>
          </w:rPr>
          <w:tab/>
        </w:r>
        <w:r>
          <w:rPr>
            <w:noProof/>
            <w:webHidden/>
          </w:rPr>
          <w:fldChar w:fldCharType="begin"/>
        </w:r>
        <w:r>
          <w:rPr>
            <w:noProof/>
            <w:webHidden/>
          </w:rPr>
          <w:instrText xml:space="preserve"> PAGEREF _Toc22911245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46" w:history="1">
        <w:r>
          <w:rPr>
            <w:rStyle w:val="Hyperlink"/>
            <w:b/>
            <w:noProof/>
          </w:rPr>
          <w:t xml:space="preserve">2.3 </w:t>
        </w:r>
        <w:r>
          <w:rPr>
            <w:rFonts w:asciiTheme="minorHAnsi" w:eastAsiaTheme="minorEastAsia" w:hAnsiTheme="minorHAnsi" w:cstheme="minorBidi"/>
            <w:smallCaps w:val="0"/>
            <w:noProof/>
            <w:sz w:val="22"/>
            <w:szCs w:val="22"/>
            <w:lang w:val="en-US" w:eastAsia="en-US"/>
          </w:rPr>
          <w:tab/>
        </w:r>
        <w:r>
          <w:rPr>
            <w:rStyle w:val="Hyperlink"/>
            <w:b/>
            <w:noProof/>
          </w:rPr>
          <w:t>Данни по бюджетни редове</w:t>
        </w:r>
        <w:r>
          <w:rPr>
            <w:noProof/>
            <w:webHidden/>
          </w:rPr>
          <w:tab/>
        </w:r>
        <w:r>
          <w:rPr>
            <w:noProof/>
            <w:webHidden/>
          </w:rPr>
          <w:fldChar w:fldCharType="begin"/>
        </w:r>
        <w:r>
          <w:rPr>
            <w:noProof/>
            <w:webHidden/>
          </w:rPr>
          <w:instrText xml:space="preserve"> PAGEREF _Toc22911246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22911247"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Корекциите, отнасящи се до законодателните предложения, включени в пакета за готовност за Брексит, от 4 септември 2019 г.</w:t>
        </w:r>
        <w:r>
          <w:rPr>
            <w:noProof/>
            <w:webHidden/>
          </w:rPr>
          <w:tab/>
        </w:r>
        <w:r>
          <w:rPr>
            <w:noProof/>
            <w:webHidden/>
          </w:rPr>
          <w:fldChar w:fldCharType="begin"/>
        </w:r>
        <w:r>
          <w:rPr>
            <w:noProof/>
            <w:webHidden/>
          </w:rPr>
          <w:instrText xml:space="preserve"> PAGEREF _Toc22911247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48" w:history="1">
        <w:r>
          <w:rPr>
            <w:rStyle w:val="Hyperlink"/>
            <w:b/>
            <w:noProof/>
          </w:rPr>
          <w:t xml:space="preserve">3.1 </w:t>
        </w:r>
        <w:r>
          <w:rPr>
            <w:rFonts w:asciiTheme="minorHAnsi" w:eastAsiaTheme="minorEastAsia" w:hAnsiTheme="minorHAnsi" w:cstheme="minorBidi"/>
            <w:smallCaps w:val="0"/>
            <w:noProof/>
            <w:sz w:val="22"/>
            <w:szCs w:val="22"/>
            <w:lang w:val="en-US" w:eastAsia="en-US"/>
          </w:rPr>
          <w:tab/>
        </w:r>
        <w:r>
          <w:rPr>
            <w:rStyle w:val="Hyperlink"/>
            <w:b/>
            <w:noProof/>
          </w:rPr>
          <w:t>Фонд „Солидарност“ на Европейския съюз</w:t>
        </w:r>
        <w:r>
          <w:rPr>
            <w:noProof/>
            <w:webHidden/>
          </w:rPr>
          <w:tab/>
        </w:r>
        <w:r>
          <w:rPr>
            <w:noProof/>
            <w:webHidden/>
          </w:rPr>
          <w:fldChar w:fldCharType="begin"/>
        </w:r>
        <w:r>
          <w:rPr>
            <w:noProof/>
            <w:webHidden/>
          </w:rPr>
          <w:instrText xml:space="preserve"> PAGEREF _Toc22911248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49" w:history="1">
        <w:r>
          <w:rPr>
            <w:rStyle w:val="Hyperlink"/>
            <w:b/>
            <w:noProof/>
          </w:rPr>
          <w:t xml:space="preserve">3.2 </w:t>
        </w:r>
        <w:r>
          <w:rPr>
            <w:rFonts w:asciiTheme="minorHAnsi" w:eastAsiaTheme="minorEastAsia" w:hAnsiTheme="minorHAnsi" w:cstheme="minorBidi"/>
            <w:smallCaps w:val="0"/>
            <w:noProof/>
            <w:sz w:val="22"/>
            <w:szCs w:val="22"/>
            <w:lang w:val="en-US" w:eastAsia="en-US"/>
          </w:rPr>
          <w:tab/>
        </w:r>
        <w:r>
          <w:rPr>
            <w:rStyle w:val="Hyperlink"/>
            <w:b/>
            <w:noProof/>
          </w:rPr>
          <w:t>Създаване на нов бюджетен ред в общата приходна част на бюджета</w:t>
        </w:r>
        <w:r>
          <w:rPr>
            <w:noProof/>
            <w:webHidden/>
          </w:rPr>
          <w:tab/>
        </w:r>
        <w:r>
          <w:rPr>
            <w:noProof/>
            <w:webHidden/>
          </w:rPr>
          <w:fldChar w:fldCharType="begin"/>
        </w:r>
        <w:r>
          <w:rPr>
            <w:noProof/>
            <w:webHidden/>
          </w:rPr>
          <w:instrText xml:space="preserve"> PAGEREF _Toc22911249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22911250"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Други корекции</w:t>
        </w:r>
        <w:r>
          <w:rPr>
            <w:noProof/>
            <w:webHidden/>
          </w:rPr>
          <w:tab/>
        </w:r>
        <w:r>
          <w:rPr>
            <w:noProof/>
            <w:webHidden/>
          </w:rPr>
          <w:fldChar w:fldCharType="begin"/>
        </w:r>
        <w:r>
          <w:rPr>
            <w:noProof/>
            <w:webHidden/>
          </w:rPr>
          <w:instrText xml:space="preserve"> PAGEREF _Toc22911250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51" w:history="1">
        <w:r>
          <w:rPr>
            <w:rStyle w:val="Hyperlink"/>
            <w:b/>
            <w:noProof/>
          </w:rPr>
          <w:t xml:space="preserve">4.1 </w:t>
        </w:r>
        <w:r>
          <w:rPr>
            <w:rFonts w:asciiTheme="minorHAnsi" w:eastAsiaTheme="minorEastAsia" w:hAnsiTheme="minorHAnsi" w:cstheme="minorBidi"/>
            <w:smallCaps w:val="0"/>
            <w:noProof/>
            <w:sz w:val="22"/>
            <w:szCs w:val="22"/>
            <w:lang w:val="en-US" w:eastAsia="en-US"/>
          </w:rPr>
          <w:tab/>
        </w:r>
        <w:r>
          <w:rPr>
            <w:rStyle w:val="Hyperlink"/>
            <w:b/>
            <w:noProof/>
          </w:rPr>
          <w:t>Раздел I — Европейски парламент</w:t>
        </w:r>
        <w:r>
          <w:rPr>
            <w:noProof/>
            <w:webHidden/>
          </w:rPr>
          <w:tab/>
        </w:r>
        <w:r>
          <w:rPr>
            <w:noProof/>
            <w:webHidden/>
          </w:rPr>
          <w:fldChar w:fldCharType="begin"/>
        </w:r>
        <w:r>
          <w:rPr>
            <w:noProof/>
            <w:webHidden/>
          </w:rPr>
          <w:instrText xml:space="preserve"> PAGEREF _Toc22911251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52" w:history="1">
        <w:r>
          <w:rPr>
            <w:rStyle w:val="Hyperlink"/>
            <w:b/>
            <w:noProof/>
          </w:rPr>
          <w:t xml:space="preserve">4.2 </w:t>
        </w:r>
        <w:r>
          <w:rPr>
            <w:rFonts w:asciiTheme="minorHAnsi" w:eastAsiaTheme="minorEastAsia" w:hAnsiTheme="minorHAnsi" w:cstheme="minorBidi"/>
            <w:smallCaps w:val="0"/>
            <w:noProof/>
            <w:sz w:val="22"/>
            <w:szCs w:val="22"/>
            <w:lang w:val="en-US" w:eastAsia="en-US"/>
          </w:rPr>
          <w:tab/>
        </w:r>
        <w:r>
          <w:rPr>
            <w:rStyle w:val="Hyperlink"/>
            <w:b/>
            <w:noProof/>
          </w:rPr>
          <w:t>Раздел X — Европейска служба за външна дейност</w:t>
        </w:r>
        <w:r>
          <w:rPr>
            <w:noProof/>
            <w:webHidden/>
          </w:rPr>
          <w:tab/>
        </w:r>
        <w:r>
          <w:rPr>
            <w:noProof/>
            <w:webHidden/>
          </w:rPr>
          <w:fldChar w:fldCharType="begin"/>
        </w:r>
        <w:r>
          <w:rPr>
            <w:noProof/>
            <w:webHidden/>
          </w:rPr>
          <w:instrText xml:space="preserve"> PAGEREF _Toc22911252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53" w:history="1">
        <w:r>
          <w:rPr>
            <w:rStyle w:val="Hyperlink"/>
            <w:b/>
            <w:noProof/>
          </w:rPr>
          <w:t xml:space="preserve">4.3 </w:t>
        </w:r>
        <w:r>
          <w:rPr>
            <w:rFonts w:asciiTheme="minorHAnsi" w:eastAsiaTheme="minorEastAsia" w:hAnsiTheme="minorHAnsi" w:cstheme="minorBidi"/>
            <w:smallCaps w:val="0"/>
            <w:noProof/>
            <w:sz w:val="22"/>
            <w:szCs w:val="22"/>
            <w:lang w:val="en-US" w:eastAsia="en-US"/>
          </w:rPr>
          <w:tab/>
        </w:r>
        <w:r>
          <w:rPr>
            <w:rStyle w:val="Hyperlink"/>
            <w:b/>
            <w:noProof/>
          </w:rPr>
          <w:t>Актуализация на споразуменията за партньорство в областта на устойчивото рибарство</w:t>
        </w:r>
        <w:r>
          <w:rPr>
            <w:noProof/>
            <w:webHidden/>
          </w:rPr>
          <w:tab/>
        </w:r>
        <w:r>
          <w:rPr>
            <w:noProof/>
            <w:webHidden/>
          </w:rPr>
          <w:fldChar w:fldCharType="begin"/>
        </w:r>
        <w:r>
          <w:rPr>
            <w:noProof/>
            <w:webHidden/>
          </w:rPr>
          <w:instrText xml:space="preserve"> PAGEREF _Toc22911253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22911254"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Техническа корекция</w:t>
        </w:r>
        <w:r>
          <w:rPr>
            <w:noProof/>
            <w:webHidden/>
          </w:rPr>
          <w:tab/>
        </w:r>
        <w:r>
          <w:rPr>
            <w:noProof/>
            <w:webHidden/>
          </w:rPr>
          <w:fldChar w:fldCharType="begin"/>
        </w:r>
        <w:r>
          <w:rPr>
            <w:noProof/>
            <w:webHidden/>
          </w:rPr>
          <w:instrText xml:space="preserve"> PAGEREF _Toc22911254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55" w:history="1">
        <w:r>
          <w:rPr>
            <w:rStyle w:val="Hyperlink"/>
            <w:b/>
            <w:noProof/>
          </w:rPr>
          <w:t xml:space="preserve">5.1 </w:t>
        </w:r>
        <w:r>
          <w:rPr>
            <w:rFonts w:asciiTheme="minorHAnsi" w:eastAsiaTheme="minorEastAsia" w:hAnsiTheme="minorHAnsi" w:cstheme="minorBidi"/>
            <w:smallCaps w:val="0"/>
            <w:noProof/>
            <w:sz w:val="22"/>
            <w:szCs w:val="22"/>
            <w:lang w:val="en-US" w:eastAsia="en-US"/>
          </w:rPr>
          <w:tab/>
        </w:r>
        <w:r>
          <w:rPr>
            <w:rStyle w:val="Hyperlink"/>
            <w:b/>
            <w:noProof/>
          </w:rPr>
          <w:t>Фонд за иновации</w:t>
        </w:r>
        <w:r>
          <w:rPr>
            <w:noProof/>
            <w:webHidden/>
          </w:rPr>
          <w:tab/>
        </w:r>
        <w:r>
          <w:rPr>
            <w:noProof/>
            <w:webHidden/>
          </w:rPr>
          <w:fldChar w:fldCharType="begin"/>
        </w:r>
        <w:r>
          <w:rPr>
            <w:noProof/>
            <w:webHidden/>
          </w:rPr>
          <w:instrText xml:space="preserve"> PAGEREF _Toc22911255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val="en-US" w:eastAsia="en-US"/>
        </w:rPr>
      </w:pPr>
      <w:hyperlink w:anchor="_Toc22911256" w:history="1">
        <w:r>
          <w:rPr>
            <w:rStyle w:val="Hyperlink"/>
            <w:b/>
            <w:noProof/>
          </w:rPr>
          <w:t xml:space="preserve">5.2 </w:t>
        </w:r>
        <w:r>
          <w:rPr>
            <w:rFonts w:asciiTheme="minorHAnsi" w:eastAsiaTheme="minorEastAsia" w:hAnsiTheme="minorHAnsi" w:cstheme="minorBidi"/>
            <w:smallCaps w:val="0"/>
            <w:noProof/>
            <w:sz w:val="22"/>
            <w:szCs w:val="22"/>
            <w:lang w:val="en-US" w:eastAsia="en-US"/>
          </w:rPr>
          <w:tab/>
        </w:r>
        <w:r>
          <w:rPr>
            <w:rStyle w:val="Hyperlink"/>
            <w:b/>
            <w:noProof/>
          </w:rPr>
          <w:t>Агенция на Европейския съюз за оперативното управление на широкомащабни информационни системи в пространството на свобода, сигурност и правосъдие (eu-LISA)</w:t>
        </w:r>
        <w:r>
          <w:rPr>
            <w:noProof/>
            <w:webHidden/>
          </w:rPr>
          <w:tab/>
        </w:r>
        <w:r>
          <w:rPr>
            <w:noProof/>
            <w:webHidden/>
          </w:rPr>
          <w:fldChar w:fldCharType="begin"/>
        </w:r>
        <w:r>
          <w:rPr>
            <w:noProof/>
            <w:webHidden/>
          </w:rPr>
          <w:instrText xml:space="preserve"> PAGEREF _Toc22911256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22911257"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_Toc22911257 \h </w:instrText>
        </w:r>
        <w:r>
          <w:rPr>
            <w:noProof/>
            <w:webHidden/>
          </w:rPr>
        </w:r>
        <w:r>
          <w:rPr>
            <w:noProof/>
            <w:webHidden/>
          </w:rPr>
          <w:fldChar w:fldCharType="separate"/>
        </w:r>
        <w:r>
          <w:rPr>
            <w:noProof/>
            <w:webHidden/>
          </w:rPr>
          <w:t>12</w:t>
        </w:r>
        <w:r>
          <w:rPr>
            <w:noProof/>
            <w:webHidden/>
          </w:rPr>
          <w:fldChar w:fldCharType="end"/>
        </w:r>
      </w:hyperlink>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noProof/>
        </w:rPr>
        <w:fldChar w:fldCharType="end"/>
      </w:r>
    </w:p>
    <w:p>
      <w:pPr>
        <w:pStyle w:val="ManualHeading1"/>
        <w:spacing w:before="240"/>
        <w:ind w:left="0" w:firstLine="0"/>
        <w:rPr>
          <w:noProof/>
        </w:rPr>
      </w:pPr>
      <w:bookmarkStart w:id="2" w:name="_Toc22911242"/>
      <w:r>
        <w:rPr>
          <w:noProof/>
        </w:rPr>
        <w:t>1.</w:t>
      </w:r>
      <w:r>
        <w:rPr>
          <w:noProof/>
        </w:rPr>
        <w:tab/>
        <w:t>Въведение</w:t>
      </w:r>
      <w:bookmarkEnd w:id="2"/>
    </w:p>
    <w:p>
      <w:pPr>
        <w:spacing w:before="120" w:after="120"/>
        <w:jc w:val="both"/>
        <w:rPr>
          <w:noProof/>
          <w:szCs w:val="20"/>
        </w:rPr>
      </w:pPr>
      <w:r>
        <w:rPr>
          <w:noProof/>
        </w:rPr>
        <w:t>Писмо за внасяне на корекции № 1 в проекта на общ бюджет на Европейския съюз за 2020 финансова година (ПВК № 1/2020) се отнася до следното:</w:t>
      </w:r>
    </w:p>
    <w:p>
      <w:pPr>
        <w:numPr>
          <w:ilvl w:val="0"/>
          <w:numId w:val="10"/>
        </w:numPr>
        <w:spacing w:before="120" w:after="120"/>
        <w:jc w:val="both"/>
        <w:rPr>
          <w:noProof/>
          <w:szCs w:val="20"/>
        </w:rPr>
      </w:pPr>
      <w:r>
        <w:rPr>
          <w:noProof/>
        </w:rPr>
        <w:t>Актуализирането на прогнозните нужди, целевите приходи и бюджетните кредити за селскостопански разходи. В допълнение към променящите се пазарни фактори ПВК № 1/2020 включва също така отражението на решенията в селскостопанския сектор след приемането на проектобюджета за 2020 г. (ПБ за 2020 г.) през месец юли 2019 г., както и други предложения, за които се очаква, че ще окажат значително влияние през бюджетната година.</w:t>
      </w:r>
    </w:p>
    <w:p>
      <w:pPr>
        <w:numPr>
          <w:ilvl w:val="0"/>
          <w:numId w:val="10"/>
        </w:numPr>
        <w:spacing w:before="120" w:after="120"/>
        <w:jc w:val="both"/>
        <w:rPr>
          <w:noProof/>
        </w:rPr>
      </w:pPr>
      <w:r>
        <w:rPr>
          <w:noProof/>
        </w:rPr>
        <w:t>Корекциите, отнасящи се до законодателните предложения, включени в пакета за готовност за Брексит, от 4 септември 2019 г.</w:t>
      </w:r>
    </w:p>
    <w:p>
      <w:pPr>
        <w:numPr>
          <w:ilvl w:val="0"/>
          <w:numId w:val="10"/>
        </w:numPr>
        <w:spacing w:before="120" w:after="120"/>
        <w:jc w:val="both"/>
        <w:rPr>
          <w:noProof/>
        </w:rPr>
      </w:pPr>
      <w:r>
        <w:rPr>
          <w:noProof/>
        </w:rPr>
        <w:t>Други корекции относно административните бюджети на Европейския парламент и Европейската служба за външна дейност и споразумения за партньорство в областта на устойчивото рибарство.</w:t>
      </w:r>
    </w:p>
    <w:p>
      <w:pPr>
        <w:numPr>
          <w:ilvl w:val="0"/>
          <w:numId w:val="10"/>
        </w:numPr>
        <w:spacing w:before="120" w:after="120"/>
        <w:jc w:val="both"/>
        <w:rPr>
          <w:noProof/>
        </w:rPr>
      </w:pPr>
      <w:r>
        <w:rPr>
          <w:noProof/>
        </w:rPr>
        <w:t>Корекция на устройството на бюджета за включване на Фонда за иновации.</w:t>
      </w:r>
    </w:p>
    <w:p>
      <w:pPr>
        <w:numPr>
          <w:ilvl w:val="0"/>
          <w:numId w:val="10"/>
        </w:numPr>
        <w:spacing w:before="120" w:after="120"/>
        <w:jc w:val="both"/>
        <w:rPr>
          <w:noProof/>
        </w:rPr>
      </w:pPr>
      <w:r>
        <w:rPr>
          <w:noProof/>
        </w:rPr>
        <w:t xml:space="preserve">Техническа корекция (eu-LISA). </w:t>
      </w:r>
    </w:p>
    <w:p>
      <w:pPr>
        <w:spacing w:before="120" w:after="120"/>
        <w:jc w:val="both"/>
        <w:rPr>
          <w:noProof/>
          <w:szCs w:val="20"/>
        </w:rPr>
      </w:pPr>
      <w:r>
        <w:rPr>
          <w:noProof/>
        </w:rPr>
        <w:t>Като цяло нетното отражение на ПВК № 1/2020 върху разходите в проектобюджета за 2020 г. представлява увеличение в размер на 16,4 милиона евро бюджетни кредити за поети задължения и намаление с 5,4 милиона евро бюджетни кредити за плащания.</w:t>
      </w:r>
    </w:p>
    <w:p>
      <w:pPr>
        <w:pStyle w:val="ManualHeading1"/>
        <w:spacing w:before="240"/>
        <w:ind w:left="0" w:firstLine="0"/>
        <w:rPr>
          <w:noProof/>
        </w:rPr>
      </w:pPr>
      <w:bookmarkStart w:id="3" w:name="_Toc22911243"/>
      <w:r>
        <w:rPr>
          <w:noProof/>
        </w:rPr>
        <w:t>2.</w:t>
      </w:r>
      <w:r>
        <w:rPr>
          <w:noProof/>
        </w:rPr>
        <w:tab/>
        <w:t>Европейски фонд за гарантиране на земеделието</w:t>
      </w:r>
      <w:bookmarkEnd w:id="3"/>
      <w:r>
        <w:rPr>
          <w:noProof/>
        </w:rPr>
        <w:t xml:space="preserve"> </w:t>
      </w:r>
    </w:p>
    <w:p>
      <w:pPr>
        <w:keepNext/>
        <w:tabs>
          <w:tab w:val="left" w:pos="850"/>
        </w:tabs>
        <w:spacing w:before="360" w:after="120"/>
        <w:ind w:left="357" w:hanging="357"/>
        <w:jc w:val="both"/>
        <w:outlineLvl w:val="1"/>
        <w:rPr>
          <w:rFonts w:eastAsia="Calibri"/>
          <w:b/>
          <w:noProof/>
        </w:rPr>
      </w:pPr>
      <w:bookmarkStart w:id="4" w:name="_Toc22911244"/>
      <w:r>
        <w:rPr>
          <w:b/>
          <w:noProof/>
        </w:rPr>
        <w:t xml:space="preserve">2.1 </w:t>
      </w:r>
      <w:r>
        <w:rPr>
          <w:b/>
          <w:noProof/>
        </w:rPr>
        <w:tab/>
        <w:t>Преглед</w:t>
      </w:r>
      <w:bookmarkEnd w:id="4"/>
    </w:p>
    <w:p>
      <w:pPr>
        <w:autoSpaceDE w:val="0"/>
        <w:autoSpaceDN w:val="0"/>
        <w:adjustRightInd w:val="0"/>
        <w:spacing w:before="120" w:after="120"/>
        <w:jc w:val="both"/>
        <w:rPr>
          <w:noProof/>
        </w:rPr>
      </w:pPr>
      <w:r>
        <w:rPr>
          <w:noProof/>
        </w:rPr>
        <w:t xml:space="preserve">С ПВК № 1/2020 се актуализират прогнозите за селскостопанските разходи въз основа на най-актуалните икономически данни и законодателна рамка. Към края на месец септември 2019 г. Комисията разполага с първите данни за нивото на производството за 2019 г. и за перспективите пред селскостопанските пазари, както и с реалните данни за по-голямата част от изпълнението на бюджета за 2019 г. относно споделеното управление на ЕФГЗ, които са основата за актуализираните прогнози за бюджетните нужди за 2020 г. </w:t>
      </w:r>
    </w:p>
    <w:p>
      <w:pPr>
        <w:autoSpaceDE w:val="0"/>
        <w:autoSpaceDN w:val="0"/>
        <w:adjustRightInd w:val="0"/>
        <w:spacing w:before="120" w:after="120"/>
        <w:jc w:val="both"/>
        <w:rPr>
          <w:noProof/>
        </w:rPr>
      </w:pPr>
      <w:r>
        <w:rPr>
          <w:noProof/>
        </w:rPr>
        <w:t xml:space="preserve">Освен че се отчитат пазарните фактори, в настоящото ПВК № 1/2020 е включено също така отражението на законодателните решения в селскостопанския сектор, приети след изготвянето на ПБ за 2020 г. през месец юни 2019 г., както и на някои законодателни решения, които са в процес на подготовка и които скоро ще бъдат приети. </w:t>
      </w:r>
    </w:p>
    <w:p>
      <w:pPr>
        <w:autoSpaceDE w:val="0"/>
        <w:autoSpaceDN w:val="0"/>
        <w:adjustRightInd w:val="0"/>
        <w:spacing w:before="120" w:after="120"/>
        <w:jc w:val="both"/>
        <w:rPr>
          <w:noProof/>
        </w:rPr>
      </w:pPr>
      <w:r>
        <w:rPr>
          <w:noProof/>
        </w:rPr>
        <w:t xml:space="preserve">Като цяло </w:t>
      </w:r>
      <w:r>
        <w:rPr>
          <w:b/>
          <w:noProof/>
        </w:rPr>
        <w:t>нуждите за ЕФГЗ за 2020 г.</w:t>
      </w:r>
      <w:r>
        <w:rPr>
          <w:noProof/>
        </w:rPr>
        <w:t xml:space="preserve"> (след като бъдат взети предвид разпоредбите на ЕФГЗ по отношение на „финансовата дисциплина“) понастоящем се определят на 44 481,1 млн. евро</w:t>
      </w:r>
      <w:r>
        <w:rPr>
          <w:noProof/>
          <w:vertAlign w:val="superscript"/>
        </w:rPr>
        <w:footnoteReference w:id="4"/>
      </w:r>
      <w:r>
        <w:rPr>
          <w:noProof/>
        </w:rPr>
        <w:t xml:space="preserve">, което представлява увеличение със 304,3 млн. евро спрямо ПБ за 2020 г. Това увеличение се дължи главно на допълнителните нужди за глава 05 07 </w:t>
      </w:r>
      <w:r>
        <w:rPr>
          <w:i/>
          <w:noProof/>
        </w:rPr>
        <w:t>Одит на разходите за земеделие, финансирани от Европейския фонд за гарантиране на земеделието (ЕФГЗ)</w:t>
      </w:r>
      <w:r>
        <w:rPr>
          <w:noProof/>
        </w:rPr>
        <w:t xml:space="preserve"> (+174,3 милиона евро), както и за глава 05 03 </w:t>
      </w:r>
      <w:r>
        <w:rPr>
          <w:i/>
          <w:noProof/>
        </w:rPr>
        <w:t>Преки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w:t>
      </w:r>
      <w:r>
        <w:rPr>
          <w:noProof/>
        </w:rPr>
        <w:t xml:space="preserve"> (+94 милиона евро).</w:t>
      </w:r>
      <w:r>
        <w:rPr>
          <w:i/>
          <w:noProof/>
        </w:rPr>
        <w:t xml:space="preserve"> </w:t>
      </w:r>
      <w:r>
        <w:rPr>
          <w:noProof/>
        </w:rPr>
        <w:t xml:space="preserve">Има и малки промени в глава 05 02 </w:t>
      </w:r>
      <w:r>
        <w:rPr>
          <w:i/>
          <w:noProof/>
        </w:rPr>
        <w:t>Повишаване на конкурентоспособността на селскостопанския сектор чрез интервенции на селскостопанските пазари</w:t>
      </w:r>
      <w:r>
        <w:rPr>
          <w:noProof/>
        </w:rPr>
        <w:t xml:space="preserve"> в размер на +36,0 милиона евро. </w:t>
      </w:r>
    </w:p>
    <w:p>
      <w:pPr>
        <w:spacing w:before="120" w:after="120"/>
        <w:jc w:val="both"/>
        <w:rPr>
          <w:noProof/>
        </w:rPr>
      </w:pPr>
      <w:r>
        <w:rPr>
          <w:noProof/>
        </w:rPr>
        <w:t xml:space="preserve">Сумата на </w:t>
      </w:r>
      <w:r>
        <w:rPr>
          <w:b/>
          <w:noProof/>
        </w:rPr>
        <w:t>целевите приходи</w:t>
      </w:r>
      <w:r>
        <w:rPr>
          <w:noProof/>
        </w:rPr>
        <w:t>, която се прогнозира да бъде налична през 2020 г., се увеличава от 645,0 милиона евро в ПБ за 2020 г. на 999,0 милиона евро (+354,0 милиона евро), с което допълнителните нужди се покриват повече от необходимото. Актуализирането на прогнозите е свързано със суми, произтичащи от решения за уравняване на сметки (+181,0 милиона евро) и нередности (-7,0 милиона евро). Освен това ПВК № 1/2020 включва очаквано пренасяне на целеви приходи от 2019 г. за 2020 г. в размер на 280,0 милиона евро (очакван „излишък“ по ЕФГЗ)</w:t>
      </w:r>
      <w:r>
        <w:rPr>
          <w:noProof/>
          <w:vertAlign w:val="superscript"/>
        </w:rPr>
        <w:footnoteReference w:id="5"/>
      </w:r>
      <w:r>
        <w:rPr>
          <w:noProof/>
        </w:rPr>
        <w:t>, от които 100,0 милиона евро вече са предвидени в ПБ за 2020 г. Прогнозният излишък не включва неусвоените бюджетни кредити (468,7 милиона евро) за резерва за кризи в селскостопанския сектор за 2019 г., който няма да бъде използван. Въпросните неусвоени бюджетни кредити ще бъдат пренесени за възстановявания на средства на земеделски стопани, които са обект на механизма за финансова дисциплина през 2020 г.</w:t>
      </w:r>
    </w:p>
    <w:p>
      <w:pPr>
        <w:autoSpaceDE w:val="0"/>
        <w:autoSpaceDN w:val="0"/>
        <w:adjustRightInd w:val="0"/>
        <w:spacing w:before="120" w:after="120"/>
        <w:jc w:val="both"/>
        <w:rPr>
          <w:noProof/>
        </w:rPr>
      </w:pPr>
      <w:r>
        <w:rPr>
          <w:noProof/>
        </w:rPr>
        <w:t xml:space="preserve">В резултат на тези актуализации Комисията предлага да се намалят прогнозните разходи за селско стопанство с -49,7 милиона евро спрямо ПБ за 2020 г. За да бъдат покрити нуждите по ЕФГЗ за 2020 г., са необходими бюджетни кредити за поети задължения в размер на 43 482,1 милиона евро, в това число 478,0 милиона евро за </w:t>
      </w:r>
      <w:r>
        <w:rPr>
          <w:i/>
          <w:noProof/>
        </w:rPr>
        <w:t>резерва за кризи в селскостопанския сектор</w:t>
      </w:r>
      <w:r>
        <w:rPr>
          <w:noProof/>
        </w:rPr>
        <w:t>. Тази обща сума остава под нетния подтаван за ЕФГЗ от 43 887,1 милиона евро. Това означава, че механизмът за финансова дисциплина ще се прилага само за да се установи резервът за кризи в селскостопанския сектор за 2020 бюджетна година</w:t>
      </w:r>
      <w:r>
        <w:rPr>
          <w:noProof/>
          <w:vertAlign w:val="superscript"/>
        </w:rPr>
        <w:footnoteReference w:id="6"/>
      </w:r>
      <w:r>
        <w:rPr>
          <w:noProof/>
        </w:rPr>
        <w:t>.</w:t>
      </w:r>
    </w:p>
    <w:p>
      <w:pPr>
        <w:keepNext/>
        <w:tabs>
          <w:tab w:val="left" w:pos="850"/>
        </w:tabs>
        <w:spacing w:before="360" w:after="120"/>
        <w:ind w:left="357" w:hanging="357"/>
        <w:jc w:val="both"/>
        <w:outlineLvl w:val="1"/>
        <w:rPr>
          <w:rFonts w:eastAsia="Calibri"/>
          <w:b/>
          <w:noProof/>
        </w:rPr>
      </w:pPr>
      <w:bookmarkStart w:id="5" w:name="_Toc22911245"/>
      <w:r>
        <w:rPr>
          <w:b/>
          <w:noProof/>
        </w:rPr>
        <w:t xml:space="preserve">2.2 </w:t>
      </w:r>
      <w:r>
        <w:rPr>
          <w:b/>
          <w:noProof/>
        </w:rPr>
        <w:tab/>
        <w:t>Подробни бележки</w:t>
      </w:r>
      <w:bookmarkEnd w:id="5"/>
    </w:p>
    <w:p>
      <w:pPr>
        <w:keepNext/>
        <w:spacing w:before="120" w:after="120"/>
        <w:jc w:val="both"/>
        <w:rPr>
          <w:b/>
          <w:i/>
          <w:noProof/>
        </w:rPr>
      </w:pPr>
      <w:r>
        <w:rPr>
          <w:b/>
          <w:noProof/>
        </w:rPr>
        <w:t>05 02 </w:t>
      </w:r>
      <w:r>
        <w:rPr>
          <w:noProof/>
        </w:rPr>
        <w:sym w:font="Symbol" w:char="F0BE"/>
      </w:r>
      <w:r>
        <w:rPr>
          <w:b/>
          <w:noProof/>
        </w:rPr>
        <w:t xml:space="preserve"> Повишаване на конкурентоспособността на селскостопанския сектор чрез интервенции на селскостопанските пазари </w:t>
      </w:r>
      <w:r>
        <w:rPr>
          <w:b/>
          <w:i/>
          <w:noProof/>
        </w:rPr>
        <w:t>(бюджетни кредити +36,0 милиона евро)</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iCs/>
                <w:noProof/>
                <w:sz w:val="16"/>
                <w:szCs w:val="16"/>
              </w:rPr>
              <w:t>(в млн. евро, закръглени стойности по текущи цени)</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Интервенции на селскостопанските пазари</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Проектобюджет за 2020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Писмо за внасяне на корекции</w:t>
            </w:r>
            <w:r>
              <w:rPr>
                <w:b/>
                <w:noProof/>
                <w:sz w:val="16"/>
                <w:szCs w:val="16"/>
              </w:rPr>
              <w:br/>
              <w:t xml:space="preserve"> № 1/2020</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Проектобюджет за 2020 г.</w:t>
            </w:r>
            <w:r>
              <w:rPr>
                <w:b/>
                <w:noProof/>
                <w:sz w:val="16"/>
                <w:szCs w:val="16"/>
              </w:rPr>
              <w:br/>
              <w:t>(вкл. ПВК № 1/2020)</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Нужди</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2 644,1</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+36,0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2 680,1</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szCs w:val="16"/>
              </w:rPr>
              <w:t>- Прогнозни целеви приходи, налични през 2020 г.</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150,0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150,0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Поискани бюджетни кредити</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2 494,1</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+36,0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2 530,1</w:t>
            </w:r>
          </w:p>
        </w:tc>
      </w:tr>
    </w:tbl>
    <w:p>
      <w:pPr>
        <w:spacing w:before="120" w:after="120"/>
        <w:jc w:val="both"/>
        <w:rPr>
          <w:noProof/>
        </w:rPr>
      </w:pPr>
      <w:r>
        <w:rPr>
          <w:noProof/>
        </w:rPr>
        <w:t>Като цяло нуждите за интервенционни мерки на селскостопанските пазари леко нарастват с 36,0 милиона евро в сравнение с ПБ за 2020 г. Тъй като сумата на целевите приходи остава непроменена спрямо ПБ за 2020 г., поисканите бюджетни кредити в ПВК № 1/2020 се увеличават със същия размер до 2 530,1 милиона евро.</w:t>
      </w:r>
    </w:p>
    <w:p>
      <w:pPr>
        <w:spacing w:before="120" w:after="120"/>
        <w:jc w:val="both"/>
        <w:rPr>
          <w:noProof/>
        </w:rPr>
      </w:pPr>
      <w:r>
        <w:rPr>
          <w:noProof/>
        </w:rPr>
        <w:t xml:space="preserve">Най-значимата промяна, предложена в ПВК № 1/2020 по отношение на пазарните мерки, е свързана със </w:t>
      </w:r>
      <w:r>
        <w:rPr>
          <w:b/>
          <w:noProof/>
        </w:rPr>
        <w:t>сектора на птичето месо</w:t>
      </w:r>
      <w:r>
        <w:rPr>
          <w:noProof/>
        </w:rPr>
        <w:t xml:space="preserve"> (бюджетна позиция 05 02 15 99). Тя се състои в увеличение с 32,0 милиона евро във връзка със специфични изключителни мерки за земеделските стопани след появата на огнища на птичи грип. Освен това се предлага увеличение с 4,0 милиона евро за специфичните помощи за пчеларство (бюджетна позиция 05 02 15 06).</w:t>
      </w:r>
    </w:p>
    <w:p>
      <w:pPr>
        <w:keepNext/>
        <w:keepLines/>
        <w:spacing w:before="120" w:after="120"/>
        <w:jc w:val="both"/>
        <w:rPr>
          <w:b/>
          <w:i/>
          <w:noProof/>
        </w:rPr>
      </w:pPr>
      <w:r>
        <w:rPr>
          <w:b/>
          <w:noProof/>
        </w:rPr>
        <w:t>05 03 </w:t>
      </w:r>
      <w:r>
        <w:rPr>
          <w:noProof/>
        </w:rPr>
        <w:sym w:font="Symbol" w:char="F0BE"/>
      </w:r>
      <w:r>
        <w:rPr>
          <w:b/>
          <w:noProof/>
        </w:rPr>
        <w:t xml:space="preserve"> Преки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 </w:t>
      </w:r>
      <w:r>
        <w:rPr>
          <w:b/>
          <w:i/>
          <w:noProof/>
        </w:rPr>
        <w:t>(бюджетни кредити - 260,0 милиона евро)</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iCs/>
                <w:noProof/>
                <w:sz w:val="16"/>
                <w:szCs w:val="16"/>
              </w:rPr>
              <w:t>(в млн. евро, закръглени стойности по текущи цени)</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Преки плащания</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Проектобюджет за 2020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Писмо за внасяне на корекции</w:t>
            </w:r>
            <w:r>
              <w:rPr>
                <w:b/>
                <w:noProof/>
                <w:sz w:val="16"/>
                <w:szCs w:val="16"/>
              </w:rPr>
              <w:br/>
              <w:t xml:space="preserve"> № 1/2020</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szCs w:val="16"/>
              </w:rPr>
              <w:t xml:space="preserve">Проектобюджет за 2020 г. </w:t>
            </w:r>
            <w:r>
              <w:rPr>
                <w:b/>
                <w:noProof/>
                <w:sz w:val="16"/>
                <w:szCs w:val="16"/>
              </w:rPr>
              <w:br/>
              <w:t>(вкл. ПВК № 1/2020)</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rPr>
            </w:pPr>
            <w:r>
              <w:rPr>
                <w:b/>
                <w:i/>
                <w:noProof/>
                <w:sz w:val="16"/>
                <w:szCs w:val="16"/>
              </w:rPr>
              <w:t>След прилагането на механизма за финансова дисциплина (вкл. кредитите за резерва за кризи в селскостопанския сектор)</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Нужди</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41 448,0</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+94,0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41 542,0</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 Прогнозни целеви приходи, налични през 2020 г.</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495,0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+354,0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849,0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Поискани бюджетни кредити</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40 953,0</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-260,0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40 693,0</w:t>
            </w:r>
          </w:p>
        </w:tc>
      </w:tr>
    </w:tbl>
    <w:p>
      <w:pPr>
        <w:autoSpaceDE w:val="0"/>
        <w:autoSpaceDN w:val="0"/>
        <w:adjustRightInd w:val="0"/>
        <w:spacing w:before="120" w:after="120"/>
        <w:jc w:val="both"/>
        <w:rPr>
          <w:noProof/>
        </w:rPr>
      </w:pPr>
      <w:r>
        <w:rPr>
          <w:noProof/>
        </w:rPr>
        <w:t xml:space="preserve">В сравнение с ПБ за 2020 г. бюджетните кредити, поискани за глава 05 03, се намаляват с 260,0 милиона евро. Тази промяна се дължи най-вече на по-високата сума на приходите (354,0 милиона евро), предназначени за позиция 05 03 01 10 </w:t>
      </w:r>
      <w:r>
        <w:rPr>
          <w:i/>
          <w:noProof/>
        </w:rPr>
        <w:t>Схема за основно плащане (СОП)</w:t>
      </w:r>
      <w:r>
        <w:rPr>
          <w:noProof/>
        </w:rPr>
        <w:t xml:space="preserve">. Увеличението за прогнозните нужди (+94,0 милиона евро) спрямо ПБ за 2020 г. отразява много високото изпълнение през 2019 бюджетна година, което се очаква да продължи през 2020 г. Съществуват някои различия между бюджетните позиции за преки плащания, които отразяват актуализираната оценка на нуждите (вж. таблицата по-долу). </w:t>
      </w:r>
    </w:p>
    <w:p>
      <w:pPr>
        <w:keepNext/>
        <w:keepLines/>
        <w:tabs>
          <w:tab w:val="right" w:pos="5640"/>
        </w:tabs>
        <w:spacing w:before="120" w:after="120"/>
        <w:jc w:val="both"/>
        <w:rPr>
          <w:b/>
          <w:i/>
          <w:noProof/>
        </w:rPr>
      </w:pPr>
      <w:r>
        <w:rPr>
          <w:b/>
          <w:noProof/>
        </w:rPr>
        <w:t xml:space="preserve">Други селскостопански разходи, финансирани от Европейския фонд за гарантиране на земеделието (ЕФГЗ) </w:t>
      </w:r>
      <w:r>
        <w:rPr>
          <w:b/>
          <w:i/>
          <w:noProof/>
        </w:rPr>
        <w:t>(бюджетни кредити 174,3 милиона евро)</w:t>
      </w:r>
    </w:p>
    <w:p>
      <w:pPr>
        <w:spacing w:before="120" w:after="120"/>
        <w:jc w:val="both"/>
        <w:rPr>
          <w:noProof/>
        </w:rPr>
      </w:pPr>
      <w:r>
        <w:rPr>
          <w:noProof/>
        </w:rPr>
        <w:t xml:space="preserve">Бюджетните кредити за бюджетна статия 05 07 01 07 </w:t>
      </w:r>
      <w:r>
        <w:rPr>
          <w:i/>
          <w:noProof/>
        </w:rPr>
        <w:t>Финансови корекции в полза на държавите членки вследствие на решения за уравняване по съответствие</w:t>
      </w:r>
      <w:r>
        <w:rPr>
          <w:noProof/>
        </w:rPr>
        <w:t xml:space="preserve"> трябва да бъдат увеличени със 176,6 милиона евро вследствие на две решения на Съда на Европейския съюз (дела T-459/16 и T-237/17) в полза на държавите членки по предишни решения за уравняване. Освен това има малка актуализация за бюджетна позиция 05 07 01 06 </w:t>
      </w:r>
      <w:r>
        <w:rPr>
          <w:i/>
          <w:noProof/>
        </w:rPr>
        <w:t>Финансови корекции в полза на държавите членки вследствие на решения за счетоводно уравняване на сметки</w:t>
      </w:r>
      <w:r>
        <w:rPr>
          <w:noProof/>
        </w:rPr>
        <w:t xml:space="preserve"> за сума в размер на -2,3 милиона евро (вж. таблицата по-долу).</w:t>
      </w:r>
    </w:p>
    <w:p>
      <w:pPr>
        <w:keepNext/>
        <w:tabs>
          <w:tab w:val="left" w:pos="850"/>
        </w:tabs>
        <w:spacing w:before="360" w:after="120"/>
        <w:ind w:left="357" w:hanging="357"/>
        <w:jc w:val="both"/>
        <w:outlineLvl w:val="1"/>
        <w:rPr>
          <w:rFonts w:eastAsia="Calibri"/>
          <w:b/>
          <w:noProof/>
        </w:rPr>
      </w:pPr>
      <w:bookmarkStart w:id="6" w:name="_Toc22911246"/>
      <w:r>
        <w:rPr>
          <w:b/>
          <w:noProof/>
        </w:rPr>
        <w:t xml:space="preserve">2.3 </w:t>
      </w:r>
      <w:r>
        <w:rPr>
          <w:b/>
          <w:noProof/>
        </w:rPr>
        <w:tab/>
        <w:t>Данни по бюджетни редове</w:t>
      </w:r>
      <w:bookmarkEnd w:id="6"/>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284"/>
          <w:tblHeader/>
          <w:jc w:val="center"/>
        </w:trPr>
        <w:tc>
          <w:tcPr>
            <w:tcW w:w="9983" w:type="dxa"/>
            <w:gridSpan w:val="4"/>
            <w:shd w:val="clear" w:color="auto" w:fill="FFFFFF"/>
            <w:vAlign w:val="center"/>
          </w:tcPr>
          <w:p>
            <w:pPr>
              <w:jc w:val="right"/>
              <w:rPr>
                <w:noProof/>
                <w:sz w:val="16"/>
                <w:szCs w:val="16"/>
              </w:rPr>
            </w:pPr>
            <w:r>
              <w:rPr>
                <w:i/>
                <w:iCs/>
                <w:noProof/>
                <w:sz w:val="16"/>
                <w:szCs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blHeader/>
        </w:trPr>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Бюджетен ред</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szCs w:val="20"/>
              </w:rPr>
              <w:t>Наименование</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szCs w:val="20"/>
              </w:rPr>
              <w:t>Бюджетни кредити за поети задължения</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0000" w:type="dxa"/>
            <w:gridSpan w:val="6"/>
            <w:shd w:val="clear" w:color="auto" w:fill="F2F2F2" w:themeFill="background1" w:themeFillShade="F2"/>
            <w:vAlign w:val="center"/>
          </w:tcPr>
          <w:p>
            <w:pPr>
              <w:widowControl w:val="0"/>
              <w:spacing w:before="15" w:after="15" w:line="276" w:lineRule="auto"/>
              <w:rPr>
                <w:i/>
                <w:noProof/>
                <w:sz w:val="20"/>
                <w:szCs w:val="20"/>
              </w:rPr>
            </w:pPr>
            <w:r>
              <w:rPr>
                <w:i/>
                <w:noProof/>
                <w:sz w:val="20"/>
                <w:szCs w:val="20"/>
              </w:rPr>
              <w:t>Раздел III — Европейска комисия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05 02 15 06</w:t>
            </w:r>
          </w:p>
        </w:tc>
        <w:tc>
          <w:tcPr>
            <w:tcW w:w="5503" w:type="dxa"/>
            <w:vAlign w:val="center"/>
          </w:tcPr>
          <w:p>
            <w:pPr>
              <w:rPr>
                <w:noProof/>
                <w:sz w:val="20"/>
                <w:szCs w:val="20"/>
              </w:rPr>
            </w:pPr>
            <w:r>
              <w:rPr>
                <w:noProof/>
                <w:sz w:val="20"/>
                <w:szCs w:val="20"/>
              </w:rPr>
              <w:t>Специфични помощи за пчеларство</w:t>
            </w:r>
          </w:p>
        </w:tc>
        <w:tc>
          <w:tcPr>
            <w:tcW w:w="1617" w:type="dxa"/>
            <w:vAlign w:val="center"/>
          </w:tcPr>
          <w:p>
            <w:pPr>
              <w:jc w:val="right"/>
              <w:rPr>
                <w:bCs/>
                <w:noProof/>
                <w:sz w:val="20"/>
                <w:szCs w:val="20"/>
              </w:rPr>
            </w:pPr>
            <w:r>
              <w:rPr>
                <w:bCs/>
                <w:noProof/>
                <w:sz w:val="20"/>
                <w:szCs w:val="20"/>
              </w:rPr>
              <w:t>+4 000 000</w:t>
            </w:r>
          </w:p>
        </w:tc>
        <w:tc>
          <w:tcPr>
            <w:tcW w:w="1680" w:type="dxa"/>
            <w:gridSpan w:val="2"/>
            <w:vAlign w:val="center"/>
          </w:tcPr>
          <w:p>
            <w:pPr>
              <w:jc w:val="right"/>
              <w:rPr>
                <w:bCs/>
                <w:noProof/>
                <w:sz w:val="20"/>
                <w:szCs w:val="20"/>
              </w:rPr>
            </w:pPr>
            <w:r>
              <w:rPr>
                <w:bCs/>
                <w:noProof/>
                <w:sz w:val="20"/>
                <w:szCs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05 02 15 99</w:t>
            </w:r>
          </w:p>
        </w:tc>
        <w:tc>
          <w:tcPr>
            <w:tcW w:w="5503" w:type="dxa"/>
            <w:vAlign w:val="center"/>
          </w:tcPr>
          <w:p>
            <w:pPr>
              <w:rPr>
                <w:noProof/>
                <w:sz w:val="20"/>
                <w:szCs w:val="20"/>
              </w:rPr>
            </w:pPr>
            <w:r>
              <w:rPr>
                <w:noProof/>
                <w:sz w:val="20"/>
                <w:szCs w:val="20"/>
              </w:rPr>
              <w:t>Други мерки за свинско месо, птиче месо, яйца, пчеларство, други животински продукти</w:t>
            </w:r>
          </w:p>
        </w:tc>
        <w:tc>
          <w:tcPr>
            <w:tcW w:w="1617" w:type="dxa"/>
            <w:vAlign w:val="center"/>
          </w:tcPr>
          <w:p>
            <w:pPr>
              <w:jc w:val="right"/>
              <w:rPr>
                <w:bCs/>
                <w:noProof/>
                <w:sz w:val="20"/>
                <w:szCs w:val="20"/>
              </w:rPr>
            </w:pPr>
            <w:r>
              <w:rPr>
                <w:bCs/>
                <w:noProof/>
                <w:sz w:val="20"/>
                <w:szCs w:val="20"/>
              </w:rPr>
              <w:t>+32 000 000</w:t>
            </w:r>
          </w:p>
        </w:tc>
        <w:tc>
          <w:tcPr>
            <w:tcW w:w="1680" w:type="dxa"/>
            <w:gridSpan w:val="2"/>
            <w:vAlign w:val="center"/>
          </w:tcPr>
          <w:p>
            <w:pPr>
              <w:jc w:val="right"/>
              <w:rPr>
                <w:bCs/>
                <w:noProof/>
                <w:sz w:val="20"/>
                <w:szCs w:val="20"/>
              </w:rPr>
            </w:pPr>
            <w:r>
              <w:rPr>
                <w:bCs/>
                <w:noProof/>
                <w:sz w:val="20"/>
                <w:szCs w:val="20"/>
              </w:rPr>
              <w:t>+32 000 000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Междинна сума</w:t>
            </w:r>
            <w:r>
              <w:rPr>
                <w:b/>
                <w:i/>
                <w:noProof/>
                <w:sz w:val="20"/>
                <w:szCs w:val="20"/>
              </w:rPr>
              <w:tab/>
              <w:t>05 02</w:t>
            </w:r>
          </w:p>
        </w:tc>
        <w:tc>
          <w:tcPr>
            <w:tcW w:w="1617" w:type="dxa"/>
            <w:shd w:val="clear" w:color="auto" w:fill="D9D9D9"/>
            <w:vAlign w:val="center"/>
          </w:tcPr>
          <w:p>
            <w:pPr>
              <w:widowControl w:val="0"/>
              <w:spacing w:before="15" w:after="15"/>
              <w:jc w:val="right"/>
              <w:rPr>
                <w:b/>
                <w:i/>
                <w:noProof/>
                <w:sz w:val="20"/>
                <w:szCs w:val="20"/>
              </w:rPr>
            </w:pPr>
            <w:r>
              <w:rPr>
                <w:b/>
                <w:i/>
                <w:noProof/>
                <w:sz w:val="20"/>
                <w:szCs w:val="20"/>
              </w:rPr>
              <w:t>+36 000 000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+36 000 000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05 03 01 02</w:t>
            </w:r>
          </w:p>
        </w:tc>
        <w:tc>
          <w:tcPr>
            <w:tcW w:w="5503" w:type="dxa"/>
            <w:vAlign w:val="center"/>
          </w:tcPr>
          <w:p>
            <w:pPr>
              <w:rPr>
                <w:noProof/>
                <w:sz w:val="20"/>
                <w:szCs w:val="20"/>
              </w:rPr>
            </w:pPr>
            <w:r>
              <w:rPr>
                <w:noProof/>
                <w:sz w:val="20"/>
                <w:szCs w:val="20"/>
              </w:rPr>
              <w:t>Схема за единно плащане на площ (СЕПП)</w:t>
            </w:r>
          </w:p>
        </w:tc>
        <w:tc>
          <w:tcPr>
            <w:tcW w:w="1617" w:type="dxa"/>
            <w:vAlign w:val="center"/>
          </w:tcPr>
          <w:p>
            <w:pPr>
              <w:jc w:val="right"/>
              <w:rPr>
                <w:bCs/>
                <w:noProof/>
                <w:sz w:val="20"/>
                <w:szCs w:val="20"/>
              </w:rPr>
            </w:pPr>
            <w:r>
              <w:rPr>
                <w:bCs/>
                <w:noProof/>
                <w:sz w:val="20"/>
                <w:szCs w:val="20"/>
              </w:rPr>
              <w:t>+21 000 000</w:t>
            </w:r>
          </w:p>
        </w:tc>
        <w:tc>
          <w:tcPr>
            <w:tcW w:w="1680" w:type="dxa"/>
            <w:gridSpan w:val="2"/>
            <w:vAlign w:val="center"/>
          </w:tcPr>
          <w:p>
            <w:pPr>
              <w:jc w:val="right"/>
              <w:rPr>
                <w:bCs/>
                <w:noProof/>
                <w:sz w:val="20"/>
                <w:szCs w:val="20"/>
              </w:rPr>
            </w:pPr>
            <w:r>
              <w:rPr>
                <w:bCs/>
                <w:noProof/>
                <w:sz w:val="20"/>
                <w:szCs w:val="20"/>
              </w:rPr>
              <w:t>+21 000 000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05 03 01 07</w:t>
            </w:r>
          </w:p>
        </w:tc>
        <w:tc>
          <w:tcPr>
            <w:tcW w:w="5503" w:type="dxa"/>
            <w:vAlign w:val="center"/>
          </w:tcPr>
          <w:p>
            <w:pPr>
              <w:rPr>
                <w:noProof/>
                <w:sz w:val="20"/>
                <w:szCs w:val="20"/>
              </w:rPr>
            </w:pPr>
            <w:r>
              <w:rPr>
                <w:noProof/>
                <w:sz w:val="20"/>
                <w:szCs w:val="20"/>
              </w:rPr>
              <w:t>Преразпределително плащане</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05 03 01 10</w:t>
            </w:r>
          </w:p>
        </w:tc>
        <w:tc>
          <w:tcPr>
            <w:tcW w:w="5503" w:type="dxa"/>
            <w:vAlign w:val="center"/>
          </w:tcPr>
          <w:p>
            <w:pPr>
              <w:rPr>
                <w:noProof/>
                <w:sz w:val="20"/>
                <w:szCs w:val="20"/>
              </w:rPr>
            </w:pPr>
            <w:r>
              <w:rPr>
                <w:noProof/>
                <w:sz w:val="20"/>
                <w:szCs w:val="20"/>
              </w:rPr>
              <w:t>Схема за основно плащане (СОП)</w:t>
            </w:r>
          </w:p>
        </w:tc>
        <w:tc>
          <w:tcPr>
            <w:tcW w:w="1617" w:type="dxa"/>
            <w:vAlign w:val="center"/>
          </w:tcPr>
          <w:p>
            <w:pPr>
              <w:jc w:val="right"/>
              <w:rPr>
                <w:bCs/>
                <w:noProof/>
                <w:sz w:val="20"/>
                <w:szCs w:val="20"/>
              </w:rPr>
            </w:pPr>
            <w:r>
              <w:rPr>
                <w:bCs/>
                <w:noProof/>
                <w:sz w:val="20"/>
                <w:szCs w:val="20"/>
              </w:rPr>
              <w:t>-325 000 000</w:t>
            </w:r>
          </w:p>
        </w:tc>
        <w:tc>
          <w:tcPr>
            <w:tcW w:w="1680" w:type="dxa"/>
            <w:gridSpan w:val="2"/>
            <w:vAlign w:val="center"/>
          </w:tcPr>
          <w:p>
            <w:pPr>
              <w:jc w:val="right"/>
              <w:rPr>
                <w:bCs/>
                <w:noProof/>
                <w:sz w:val="20"/>
                <w:szCs w:val="20"/>
              </w:rPr>
            </w:pPr>
            <w:r>
              <w:rPr>
                <w:bCs/>
                <w:noProof/>
                <w:sz w:val="20"/>
                <w:szCs w:val="20"/>
              </w:rPr>
              <w:t>-325 000 000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05 03 01 11</w:t>
            </w:r>
          </w:p>
        </w:tc>
        <w:tc>
          <w:tcPr>
            <w:tcW w:w="5503" w:type="dxa"/>
            <w:vAlign w:val="center"/>
          </w:tcPr>
          <w:p>
            <w:pPr>
              <w:rPr>
                <w:noProof/>
                <w:sz w:val="20"/>
                <w:szCs w:val="20"/>
              </w:rPr>
            </w:pPr>
            <w:r>
              <w:rPr>
                <w:noProof/>
                <w:sz w:val="20"/>
                <w:szCs w:val="20"/>
              </w:rPr>
              <w:t>Плащане за селскостопански практики, благоприятни за климата и околната среда</w:t>
            </w:r>
          </w:p>
        </w:tc>
        <w:tc>
          <w:tcPr>
            <w:tcW w:w="1617" w:type="dxa"/>
            <w:vAlign w:val="center"/>
          </w:tcPr>
          <w:p>
            <w:pPr>
              <w:jc w:val="right"/>
              <w:rPr>
                <w:bCs/>
                <w:noProof/>
                <w:sz w:val="20"/>
                <w:szCs w:val="20"/>
              </w:rPr>
            </w:pPr>
            <w:r>
              <w:rPr>
                <w:bCs/>
                <w:noProof/>
                <w:sz w:val="20"/>
                <w:szCs w:val="20"/>
              </w:rPr>
              <w:t>+54 000 000</w:t>
            </w:r>
          </w:p>
        </w:tc>
        <w:tc>
          <w:tcPr>
            <w:tcW w:w="1680" w:type="dxa"/>
            <w:gridSpan w:val="2"/>
            <w:vAlign w:val="center"/>
          </w:tcPr>
          <w:p>
            <w:pPr>
              <w:jc w:val="right"/>
              <w:rPr>
                <w:bCs/>
                <w:noProof/>
                <w:sz w:val="20"/>
                <w:szCs w:val="20"/>
              </w:rPr>
            </w:pPr>
            <w:r>
              <w:rPr>
                <w:bCs/>
                <w:noProof/>
                <w:sz w:val="20"/>
                <w:szCs w:val="20"/>
              </w:rPr>
              <w:t>+54 000 000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05 03 01 13</w:t>
            </w:r>
          </w:p>
        </w:tc>
        <w:tc>
          <w:tcPr>
            <w:tcW w:w="5503" w:type="dxa"/>
            <w:vAlign w:val="center"/>
          </w:tcPr>
          <w:p>
            <w:pPr>
              <w:rPr>
                <w:noProof/>
                <w:sz w:val="20"/>
                <w:szCs w:val="20"/>
              </w:rPr>
            </w:pPr>
            <w:r>
              <w:rPr>
                <w:noProof/>
                <w:sz w:val="20"/>
                <w:szCs w:val="20"/>
              </w:rPr>
              <w:t>Плащане за млади земеделски стопани</w:t>
            </w:r>
          </w:p>
        </w:tc>
        <w:tc>
          <w:tcPr>
            <w:tcW w:w="1617" w:type="dxa"/>
            <w:vAlign w:val="center"/>
          </w:tcPr>
          <w:p>
            <w:pPr>
              <w:jc w:val="right"/>
              <w:rPr>
                <w:bCs/>
                <w:noProof/>
                <w:sz w:val="20"/>
                <w:szCs w:val="20"/>
              </w:rPr>
            </w:pPr>
            <w:r>
              <w:rPr>
                <w:bCs/>
                <w:noProof/>
                <w:sz w:val="20"/>
                <w:szCs w:val="20"/>
              </w:rPr>
              <w:t>+120 000 000</w:t>
            </w:r>
          </w:p>
        </w:tc>
        <w:tc>
          <w:tcPr>
            <w:tcW w:w="1680" w:type="dxa"/>
            <w:gridSpan w:val="2"/>
            <w:vAlign w:val="center"/>
          </w:tcPr>
          <w:p>
            <w:pPr>
              <w:jc w:val="right"/>
              <w:rPr>
                <w:bCs/>
                <w:noProof/>
                <w:sz w:val="20"/>
                <w:szCs w:val="20"/>
              </w:rPr>
            </w:pPr>
            <w:r>
              <w:rPr>
                <w:bCs/>
                <w:noProof/>
                <w:sz w:val="20"/>
                <w:szCs w:val="20"/>
              </w:rPr>
              <w:t>+120 000 000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05 03 01 99</w:t>
            </w:r>
          </w:p>
        </w:tc>
        <w:tc>
          <w:tcPr>
            <w:tcW w:w="5503" w:type="dxa"/>
            <w:vAlign w:val="center"/>
          </w:tcPr>
          <w:p>
            <w:pPr>
              <w:rPr>
                <w:noProof/>
                <w:sz w:val="20"/>
                <w:szCs w:val="20"/>
              </w:rPr>
            </w:pPr>
            <w:r>
              <w:rPr>
                <w:noProof/>
                <w:sz w:val="20"/>
                <w:szCs w:val="20"/>
              </w:rPr>
              <w:t>Други (необвързани с производството преки плащания)</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05 03 02 50</w:t>
            </w:r>
          </w:p>
        </w:tc>
        <w:tc>
          <w:tcPr>
            <w:tcW w:w="5503" w:type="dxa"/>
            <w:vAlign w:val="center"/>
          </w:tcPr>
          <w:p>
            <w:pPr>
              <w:rPr>
                <w:noProof/>
                <w:sz w:val="20"/>
                <w:szCs w:val="20"/>
              </w:rPr>
            </w:pPr>
            <w:r>
              <w:rPr>
                <w:noProof/>
                <w:sz w:val="20"/>
                <w:szCs w:val="20"/>
              </w:rPr>
              <w:t>POSEI — програми на Европейския съюз за подпомагане</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05 03 02 60</w:t>
            </w:r>
          </w:p>
        </w:tc>
        <w:tc>
          <w:tcPr>
            <w:tcW w:w="5503" w:type="dxa"/>
            <w:vAlign w:val="center"/>
          </w:tcPr>
          <w:p>
            <w:pPr>
              <w:rPr>
                <w:noProof/>
                <w:sz w:val="20"/>
                <w:szCs w:val="20"/>
              </w:rPr>
            </w:pPr>
            <w:r>
              <w:rPr>
                <w:noProof/>
                <w:sz w:val="20"/>
                <w:szCs w:val="20"/>
              </w:rPr>
              <w:t>Схема за доброволно обвързано с производството подпомагане</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05 03 02 61</w:t>
            </w:r>
          </w:p>
        </w:tc>
        <w:tc>
          <w:tcPr>
            <w:tcW w:w="5503" w:type="dxa"/>
            <w:vAlign w:val="center"/>
          </w:tcPr>
          <w:p>
            <w:pPr>
              <w:rPr>
                <w:noProof/>
                <w:sz w:val="20"/>
                <w:szCs w:val="20"/>
              </w:rPr>
            </w:pPr>
            <w:r>
              <w:rPr>
                <w:noProof/>
                <w:sz w:val="20"/>
                <w:szCs w:val="20"/>
              </w:rPr>
              <w:t>Схема за дребни земеделски стопани</w:t>
            </w:r>
          </w:p>
        </w:tc>
        <w:tc>
          <w:tcPr>
            <w:tcW w:w="1617" w:type="dxa"/>
            <w:vAlign w:val="center"/>
          </w:tcPr>
          <w:p>
            <w:pPr>
              <w:jc w:val="right"/>
              <w:rPr>
                <w:bCs/>
                <w:noProof/>
                <w:sz w:val="20"/>
                <w:szCs w:val="20"/>
              </w:rPr>
            </w:pPr>
            <w:r>
              <w:rPr>
                <w:bCs/>
                <w:noProof/>
                <w:sz w:val="20"/>
                <w:szCs w:val="20"/>
              </w:rPr>
              <w:t>-137 000 000</w:t>
            </w:r>
          </w:p>
        </w:tc>
        <w:tc>
          <w:tcPr>
            <w:tcW w:w="1680" w:type="dxa"/>
            <w:gridSpan w:val="2"/>
            <w:vAlign w:val="center"/>
          </w:tcPr>
          <w:p>
            <w:pPr>
              <w:jc w:val="right"/>
              <w:rPr>
                <w:bCs/>
                <w:noProof/>
                <w:sz w:val="20"/>
                <w:szCs w:val="20"/>
              </w:rPr>
            </w:pPr>
            <w:r>
              <w:rPr>
                <w:bCs/>
                <w:noProof/>
                <w:sz w:val="20"/>
                <w:szCs w:val="20"/>
              </w:rPr>
              <w:t>-137 000 000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05 03 02 99</w:t>
            </w:r>
          </w:p>
        </w:tc>
        <w:tc>
          <w:tcPr>
            <w:tcW w:w="5503" w:type="dxa"/>
            <w:vAlign w:val="center"/>
          </w:tcPr>
          <w:p>
            <w:pPr>
              <w:rPr>
                <w:noProof/>
                <w:sz w:val="20"/>
                <w:szCs w:val="20"/>
              </w:rPr>
            </w:pPr>
            <w:r>
              <w:rPr>
                <w:noProof/>
                <w:sz w:val="20"/>
                <w:szCs w:val="20"/>
              </w:rPr>
              <w:t>Други (преки плащания)</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Междинна сума</w:t>
            </w:r>
            <w:r>
              <w:rPr>
                <w:b/>
                <w:i/>
                <w:noProof/>
                <w:sz w:val="20"/>
                <w:szCs w:val="20"/>
              </w:rPr>
              <w:tab/>
              <w:t>05 03</w:t>
            </w:r>
          </w:p>
        </w:tc>
        <w:tc>
          <w:tcPr>
            <w:tcW w:w="1617" w:type="dxa"/>
            <w:shd w:val="clear" w:color="auto" w:fill="D9D9D9"/>
            <w:vAlign w:val="center"/>
          </w:tcPr>
          <w:p>
            <w:pPr>
              <w:widowControl w:val="0"/>
              <w:spacing w:before="15" w:after="15"/>
              <w:jc w:val="right"/>
              <w:rPr>
                <w:b/>
                <w:i/>
                <w:noProof/>
                <w:sz w:val="20"/>
                <w:szCs w:val="20"/>
              </w:rPr>
            </w:pPr>
            <w:r>
              <w:rPr>
                <w:b/>
                <w:i/>
                <w:noProof/>
                <w:sz w:val="20"/>
                <w:szCs w:val="20"/>
              </w:rPr>
              <w:t>-260 000 000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-260 000 000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05 07 01 06</w:t>
            </w:r>
          </w:p>
        </w:tc>
        <w:tc>
          <w:tcPr>
            <w:tcW w:w="5503" w:type="dxa"/>
            <w:vAlign w:val="center"/>
          </w:tcPr>
          <w:p>
            <w:pPr>
              <w:rPr>
                <w:noProof/>
                <w:sz w:val="20"/>
                <w:szCs w:val="20"/>
              </w:rPr>
            </w:pPr>
            <w:r>
              <w:rPr>
                <w:noProof/>
                <w:sz w:val="20"/>
                <w:szCs w:val="20"/>
              </w:rPr>
              <w:t>Разходи за финансови корекции в полза на държавите членки вследствие на решения за счетоводно уравняване на сметки за предходни години с оглед на поделеното управление, декларирани по линия на секция „Гарантиране“ на ФЕОГА (предходни мерки) и ЕФГЗ</w:t>
            </w:r>
          </w:p>
        </w:tc>
        <w:tc>
          <w:tcPr>
            <w:tcW w:w="1617" w:type="dxa"/>
            <w:vAlign w:val="center"/>
          </w:tcPr>
          <w:p>
            <w:pPr>
              <w:jc w:val="right"/>
              <w:rPr>
                <w:bCs/>
                <w:noProof/>
                <w:sz w:val="20"/>
                <w:szCs w:val="20"/>
              </w:rPr>
            </w:pPr>
            <w:r>
              <w:rPr>
                <w:bCs/>
                <w:noProof/>
                <w:sz w:val="20"/>
                <w:szCs w:val="20"/>
              </w:rPr>
              <w:t>-2 300 000</w:t>
            </w:r>
          </w:p>
        </w:tc>
        <w:tc>
          <w:tcPr>
            <w:tcW w:w="1680" w:type="dxa"/>
            <w:gridSpan w:val="2"/>
            <w:vAlign w:val="center"/>
          </w:tcPr>
          <w:p>
            <w:pPr>
              <w:jc w:val="right"/>
              <w:rPr>
                <w:bCs/>
                <w:noProof/>
                <w:sz w:val="20"/>
                <w:szCs w:val="20"/>
              </w:rPr>
            </w:pPr>
            <w:r>
              <w:rPr>
                <w:bCs/>
                <w:noProof/>
                <w:sz w:val="20"/>
                <w:szCs w:val="20"/>
              </w:rPr>
              <w:t>-2 300 000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05 07 01 07</w:t>
            </w:r>
          </w:p>
        </w:tc>
        <w:tc>
          <w:tcPr>
            <w:tcW w:w="5503" w:type="dxa"/>
            <w:vAlign w:val="center"/>
          </w:tcPr>
          <w:p>
            <w:pPr>
              <w:rPr>
                <w:noProof/>
                <w:sz w:val="20"/>
                <w:szCs w:val="20"/>
              </w:rPr>
            </w:pPr>
            <w:r>
              <w:rPr>
                <w:noProof/>
                <w:sz w:val="20"/>
                <w:szCs w:val="20"/>
              </w:rPr>
              <w:t>Разходи за финансови корекции в полза на държавите членки вследствие на решения за уравняване по съответствие на сметки за предходни години с оглед на поделеното управление, декларирани по линия на секция „Гарантиране“ на ФЕОГА (предходни мерки) и ЕФГЗ</w:t>
            </w:r>
          </w:p>
        </w:tc>
        <w:tc>
          <w:tcPr>
            <w:tcW w:w="1617" w:type="dxa"/>
            <w:vAlign w:val="center"/>
          </w:tcPr>
          <w:p>
            <w:pPr>
              <w:jc w:val="right"/>
              <w:rPr>
                <w:bCs/>
                <w:noProof/>
                <w:sz w:val="20"/>
                <w:szCs w:val="20"/>
              </w:rPr>
            </w:pPr>
            <w:r>
              <w:rPr>
                <w:bCs/>
                <w:noProof/>
                <w:sz w:val="20"/>
                <w:szCs w:val="20"/>
              </w:rPr>
              <w:t>+176 600 000</w:t>
            </w:r>
          </w:p>
        </w:tc>
        <w:tc>
          <w:tcPr>
            <w:tcW w:w="1680" w:type="dxa"/>
            <w:gridSpan w:val="2"/>
            <w:vAlign w:val="center"/>
          </w:tcPr>
          <w:p>
            <w:pPr>
              <w:jc w:val="right"/>
              <w:rPr>
                <w:bCs/>
                <w:noProof/>
                <w:sz w:val="20"/>
                <w:szCs w:val="20"/>
              </w:rPr>
            </w:pPr>
            <w:r>
              <w:rPr>
                <w:bCs/>
                <w:noProof/>
                <w:sz w:val="20"/>
                <w:szCs w:val="20"/>
              </w:rPr>
              <w:t>+176 600 000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Междинна сума</w:t>
            </w:r>
            <w:r>
              <w:rPr>
                <w:b/>
                <w:i/>
                <w:noProof/>
                <w:sz w:val="20"/>
                <w:szCs w:val="20"/>
              </w:rPr>
              <w:tab/>
              <w:t>05 07</w:t>
            </w:r>
          </w:p>
        </w:tc>
        <w:tc>
          <w:tcPr>
            <w:tcW w:w="1617" w:type="dxa"/>
            <w:shd w:val="clear" w:color="auto" w:fill="D9D9D9"/>
            <w:vAlign w:val="center"/>
          </w:tcPr>
          <w:p>
            <w:pPr>
              <w:widowControl w:val="0"/>
              <w:spacing w:before="15" w:after="15"/>
              <w:jc w:val="right"/>
              <w:rPr>
                <w:b/>
                <w:i/>
                <w:noProof/>
                <w:sz w:val="20"/>
                <w:szCs w:val="20"/>
              </w:rPr>
            </w:pPr>
            <w:r>
              <w:rPr>
                <w:b/>
                <w:i/>
                <w:noProof/>
                <w:sz w:val="20"/>
                <w:szCs w:val="20"/>
              </w:rPr>
              <w:t>+174 300 000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+174 300 000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rPr>
                <w:b/>
                <w:noProof/>
                <w:sz w:val="20"/>
                <w:szCs w:val="20"/>
              </w:rPr>
            </w:pPr>
            <w:r>
              <w:rPr>
                <w:b/>
                <w:noProof/>
                <w:sz w:val="20"/>
                <w:szCs w:val="20"/>
              </w:rPr>
              <w:t>Общо ЕФГЗ</w:t>
            </w:r>
            <w:r>
              <w:rPr>
                <w:b/>
                <w:noProof/>
                <w:sz w:val="20"/>
                <w:szCs w:val="20"/>
              </w:rPr>
              <w:tab/>
            </w:r>
          </w:p>
        </w:tc>
        <w:tc>
          <w:tcPr>
            <w:tcW w:w="1617" w:type="dxa"/>
            <w:shd w:val="clear" w:color="auto" w:fill="D9D9D9"/>
            <w:vAlign w:val="center"/>
          </w:tcPr>
          <w:p>
            <w:pPr>
              <w:widowControl w:val="0"/>
              <w:spacing w:before="15" w:after="15"/>
              <w:jc w:val="right"/>
              <w:rPr>
                <w:b/>
                <w:noProof/>
                <w:sz w:val="20"/>
                <w:szCs w:val="20"/>
              </w:rPr>
            </w:pPr>
            <w:r>
              <w:rPr>
                <w:b/>
                <w:noProof/>
                <w:sz w:val="20"/>
                <w:szCs w:val="20"/>
              </w:rPr>
              <w:t>-49 700 000</w:t>
            </w:r>
          </w:p>
        </w:tc>
        <w:tc>
          <w:tcPr>
            <w:tcW w:w="1680" w:type="dxa"/>
            <w:gridSpan w:val="2"/>
            <w:shd w:val="clear" w:color="auto" w:fill="D9D9D9"/>
            <w:vAlign w:val="center"/>
          </w:tcPr>
          <w:p>
            <w:pPr>
              <w:widowControl w:val="0"/>
              <w:spacing w:before="15" w:after="15"/>
              <w:jc w:val="right"/>
              <w:rPr>
                <w:b/>
                <w:noProof/>
                <w:sz w:val="20"/>
                <w:szCs w:val="20"/>
              </w:rPr>
            </w:pPr>
            <w:r>
              <w:rPr>
                <w:b/>
                <w:noProof/>
                <w:sz w:val="20"/>
                <w:szCs w:val="20"/>
              </w:rPr>
              <w:t>-49 700 000</w:t>
            </w:r>
          </w:p>
        </w:tc>
      </w:tr>
    </w:tbl>
    <w:p>
      <w:pPr>
        <w:autoSpaceDE w:val="0"/>
        <w:autoSpaceDN w:val="0"/>
        <w:adjustRightInd w:val="0"/>
        <w:spacing w:before="120" w:after="120"/>
        <w:jc w:val="both"/>
        <w:rPr>
          <w:noProof/>
        </w:rPr>
      </w:pPr>
      <w:r>
        <w:rPr>
          <w:noProof/>
        </w:rPr>
        <w:t>Съответните бюджетни забележки са коригирани в приложението.</w:t>
      </w:r>
    </w:p>
    <w:p>
      <w:pPr>
        <w:pStyle w:val="ManualHeading1"/>
        <w:spacing w:before="240"/>
        <w:rPr>
          <w:noProof/>
        </w:rPr>
      </w:pPr>
      <w:bookmarkStart w:id="7" w:name="_Toc22911247"/>
      <w:r>
        <w:rPr>
          <w:noProof/>
        </w:rPr>
        <w:t>3.</w:t>
      </w:r>
      <w:r>
        <w:rPr>
          <w:noProof/>
        </w:rPr>
        <w:tab/>
        <w:t>Корекциите, отнасящи се до законодателните предложения, включени в пакета за готовност за Брексит, от 4 септември 2019 г.</w:t>
      </w:r>
      <w:bookmarkEnd w:id="7"/>
    </w:p>
    <w:p>
      <w:pPr>
        <w:keepNext/>
        <w:tabs>
          <w:tab w:val="left" w:pos="850"/>
        </w:tabs>
        <w:spacing w:before="360" w:after="120"/>
        <w:ind w:left="357" w:hanging="357"/>
        <w:jc w:val="both"/>
        <w:outlineLvl w:val="1"/>
        <w:rPr>
          <w:rFonts w:eastAsia="Calibri"/>
          <w:b/>
          <w:noProof/>
        </w:rPr>
      </w:pPr>
      <w:bookmarkStart w:id="8" w:name="_Toc22911248"/>
      <w:r>
        <w:rPr>
          <w:b/>
          <w:noProof/>
        </w:rPr>
        <w:t xml:space="preserve">3.1 </w:t>
      </w:r>
      <w:r>
        <w:rPr>
          <w:b/>
          <w:noProof/>
        </w:rPr>
        <w:tab/>
        <w:t>Фонд „Солидарност“ на Европейския съюз</w:t>
      </w:r>
      <w:bookmarkEnd w:id="8"/>
      <w:r>
        <w:rPr>
          <w:b/>
          <w:noProof/>
        </w:rPr>
        <w:t xml:space="preserve"> </w:t>
      </w:r>
    </w:p>
    <w:p>
      <w:pPr>
        <w:spacing w:before="120" w:after="120"/>
        <w:jc w:val="both"/>
        <w:rPr>
          <w:noProof/>
        </w:rPr>
      </w:pPr>
      <w:r>
        <w:rPr>
          <w:noProof/>
        </w:rPr>
        <w:t>В съответствие с член 4а, параграф 4 от Регламент (ЕО) № 2012/2002 на Съвета в ПБ за 2020 г. е включена сума в размер на 50 милиона евро по бюджетна статия 13 06 01. Целта е да се гарантира своевременното наличие на бюджетни ресурси в случаи, когато при подаване на заявление за финансов принос от фонда държава членка поиска плащането на аванс.</w:t>
      </w:r>
    </w:p>
    <w:p>
      <w:pPr>
        <w:spacing w:before="120" w:after="120"/>
        <w:jc w:val="both"/>
        <w:rPr>
          <w:noProof/>
        </w:rPr>
      </w:pPr>
      <w:r>
        <w:rPr>
          <w:noProof/>
        </w:rPr>
        <w:t>Предложението на Комисията за регламент на Европейския парламент и на Съвета за изменение на Регламент (ЕО) № 2012/2002 на Съвета с оглед на предоставяне на финансово подпомагане на държавите членки за компенсиране на сериозното финансово бреме вследствие на оттеглянето на Обединеното кралство от Съюза без споразумение</w:t>
      </w:r>
      <w:r>
        <w:rPr>
          <w:rStyle w:val="FootnoteReference"/>
          <w:noProof/>
        </w:rPr>
        <w:footnoteReference w:id="7"/>
      </w:r>
      <w:r>
        <w:rPr>
          <w:noProof/>
        </w:rPr>
        <w:t xml:space="preserve"> въвежда нов член 4б с по-висок максимален размер на стойност 100 милиона евро за авансовите плащания. Поради това Комисията предлага да се повиши равнището на авансовите плащания в рамките на фонд „Солидарност“ на Европейския съюз с 50 милиона евро и тази допълнителна сума да се постави в резерв в очакване на приемането на изменението на правното основание от страна на Европейския парламент и Съвета.</w:t>
      </w:r>
    </w:p>
    <w:p>
      <w:pPr>
        <w:spacing w:before="120" w:after="120"/>
        <w:jc w:val="both"/>
        <w:rPr>
          <w:rFonts w:eastAsia="Calibri"/>
          <w:noProof/>
        </w:rPr>
      </w:pPr>
      <w:r>
        <w:rPr>
          <w:noProof/>
        </w:rPr>
        <w:t>Статията за резерва е коригирана така, както е представено в таблицата по-долу, и бюджетните забележки по статии 13 06 01 и 13 06 02 са изменени.</w:t>
      </w:r>
    </w:p>
    <w:tbl>
      <w:tblPr>
        <w:tblW w:w="10060" w:type="dxa"/>
        <w:jc w:val="center"/>
        <w:tblLayout w:type="fixed"/>
        <w:tblCellMar>
          <w:left w:w="40" w:type="dxa"/>
          <w:right w:w="40" w:type="dxa"/>
        </w:tblCellMar>
        <w:tblLook w:val="0000" w:firstRow="0" w:lastRow="0" w:firstColumn="0" w:lastColumn="0" w:noHBand="0" w:noVBand="0"/>
      </w:tblPr>
      <w:tblGrid>
        <w:gridCol w:w="77"/>
        <w:gridCol w:w="1341"/>
        <w:gridCol w:w="4502"/>
        <w:gridCol w:w="1842"/>
        <w:gridCol w:w="2269"/>
        <w:gridCol w:w="29"/>
      </w:tblGrid>
      <w:tr>
        <w:trPr>
          <w:gridBefore w:val="1"/>
          <w:wBefore w:w="77" w:type="dxa"/>
          <w:trHeight w:val="284"/>
          <w:tblHeader/>
          <w:jc w:val="center"/>
        </w:trPr>
        <w:tc>
          <w:tcPr>
            <w:tcW w:w="9983" w:type="dxa"/>
            <w:gridSpan w:val="5"/>
            <w:shd w:val="clear" w:color="auto" w:fill="FFFFFF"/>
            <w:vAlign w:val="center"/>
          </w:tcPr>
          <w:p>
            <w:pPr>
              <w:jc w:val="right"/>
              <w:rPr>
                <w:noProof/>
                <w:sz w:val="16"/>
                <w:szCs w:val="16"/>
              </w:rPr>
            </w:pPr>
            <w:r>
              <w:rPr>
                <w:i/>
                <w:iCs/>
                <w:noProof/>
                <w:sz w:val="16"/>
                <w:szCs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2269"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418" w:type="dxa"/>
            <w:gridSpan w:val="2"/>
            <w:vAlign w:val="center"/>
          </w:tcPr>
          <w:p>
            <w:pPr>
              <w:jc w:val="center"/>
              <w:rPr>
                <w:noProof/>
                <w:sz w:val="20"/>
                <w:szCs w:val="20"/>
              </w:rPr>
            </w:pPr>
            <w:r>
              <w:rPr>
                <w:noProof/>
                <w:sz w:val="20"/>
                <w:szCs w:val="20"/>
              </w:rPr>
              <w:t>40 02 41</w:t>
            </w:r>
          </w:p>
        </w:tc>
        <w:tc>
          <w:tcPr>
            <w:tcW w:w="4502" w:type="dxa"/>
          </w:tcPr>
          <w:p>
            <w:pPr>
              <w:widowControl w:val="0"/>
              <w:tabs>
                <w:tab w:val="left" w:pos="1350"/>
              </w:tabs>
              <w:spacing w:before="15" w:after="15"/>
              <w:jc w:val="both"/>
              <w:rPr>
                <w:noProof/>
                <w:sz w:val="20"/>
                <w:szCs w:val="20"/>
              </w:rPr>
            </w:pPr>
            <w:r>
              <w:rPr>
                <w:noProof/>
                <w:sz w:val="20"/>
                <w:szCs w:val="20"/>
              </w:rPr>
              <w:t>Многогодишни бюджетни кредити (</w:t>
            </w:r>
            <w:r>
              <w:rPr>
                <w:i/>
                <w:noProof/>
                <w:sz w:val="20"/>
                <w:szCs w:val="20"/>
              </w:rPr>
              <w:t>Резерв за бюджетна статия 13 06 01 „Подпомагане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r>
              <w:rPr>
                <w:noProof/>
                <w:sz w:val="20"/>
                <w:szCs w:val="20"/>
              </w:rPr>
              <w:t>)</w:t>
            </w:r>
          </w:p>
        </w:tc>
        <w:tc>
          <w:tcPr>
            <w:tcW w:w="1842" w:type="dxa"/>
            <w:vAlign w:val="center"/>
          </w:tcPr>
          <w:p>
            <w:pPr>
              <w:widowControl w:val="0"/>
              <w:spacing w:before="15" w:after="15"/>
              <w:jc w:val="right"/>
              <w:rPr>
                <w:noProof/>
                <w:sz w:val="20"/>
                <w:szCs w:val="20"/>
              </w:rPr>
            </w:pPr>
            <w:r>
              <w:rPr>
                <w:noProof/>
                <w:sz w:val="20"/>
                <w:szCs w:val="20"/>
              </w:rPr>
              <w:t>50 000 000</w:t>
            </w:r>
          </w:p>
        </w:tc>
        <w:tc>
          <w:tcPr>
            <w:tcW w:w="2269" w:type="dxa"/>
            <w:vAlign w:val="center"/>
          </w:tcPr>
          <w:p>
            <w:pPr>
              <w:widowControl w:val="0"/>
              <w:spacing w:before="15" w:after="15"/>
              <w:jc w:val="right"/>
              <w:rPr>
                <w:noProof/>
                <w:sz w:val="20"/>
                <w:szCs w:val="20"/>
              </w:rPr>
            </w:pPr>
            <w:r>
              <w:rPr>
                <w:noProof/>
                <w:sz w:val="20"/>
                <w:szCs w:val="20"/>
              </w:rPr>
              <w:t>50 000 000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50 000 000</w:t>
            </w:r>
          </w:p>
        </w:tc>
        <w:tc>
          <w:tcPr>
            <w:tcW w:w="2269" w:type="dxa"/>
            <w:shd w:val="clear" w:color="auto" w:fill="D9D9D9"/>
          </w:tcPr>
          <w:p>
            <w:pPr>
              <w:widowControl w:val="0"/>
              <w:spacing w:before="15" w:after="15"/>
              <w:jc w:val="right"/>
              <w:rPr>
                <w:b/>
                <w:noProof/>
                <w:sz w:val="20"/>
                <w:szCs w:val="20"/>
              </w:rPr>
            </w:pPr>
            <w:r>
              <w:rPr>
                <w:b/>
                <w:noProof/>
                <w:sz w:val="20"/>
                <w:szCs w:val="20"/>
              </w:rPr>
              <w:t>50 000 000</w:t>
            </w:r>
          </w:p>
        </w:tc>
      </w:tr>
    </w:tbl>
    <w:p>
      <w:pPr>
        <w:keepNext/>
        <w:tabs>
          <w:tab w:val="left" w:pos="850"/>
        </w:tabs>
        <w:spacing w:before="360" w:after="120"/>
        <w:ind w:left="357" w:hanging="357"/>
        <w:jc w:val="both"/>
        <w:outlineLvl w:val="1"/>
        <w:rPr>
          <w:rFonts w:eastAsia="Calibri"/>
          <w:b/>
          <w:noProof/>
        </w:rPr>
      </w:pPr>
      <w:bookmarkStart w:id="9" w:name="_Toc22911249"/>
      <w:r>
        <w:rPr>
          <w:b/>
          <w:noProof/>
        </w:rPr>
        <w:t xml:space="preserve">3.2 </w:t>
      </w:r>
      <w:r>
        <w:rPr>
          <w:b/>
          <w:noProof/>
        </w:rPr>
        <w:tab/>
        <w:t>Създаване на нов бюджетен ред в общата приходна част на бюджета</w:t>
      </w:r>
      <w:bookmarkEnd w:id="9"/>
    </w:p>
    <w:p>
      <w:pPr>
        <w:spacing w:before="120" w:after="120"/>
        <w:jc w:val="both"/>
        <w:rPr>
          <w:noProof/>
        </w:rPr>
      </w:pPr>
      <w:r>
        <w:rPr>
          <w:noProof/>
        </w:rPr>
        <w:t>Предложението на Комисията за регламент на Съвета относно мерките за изпълнение и финансиране на общия бюджет на Съюза за 2020 г. във връзка с оттеглянето на Обединеното кралство от Съюза</w:t>
      </w:r>
      <w:r>
        <w:rPr>
          <w:rStyle w:val="FootnoteReference"/>
          <w:noProof/>
        </w:rPr>
        <w:footnoteReference w:id="8"/>
      </w:r>
      <w:r>
        <w:rPr>
          <w:noProof/>
        </w:rPr>
        <w:t xml:space="preserve"> установява правилата относно отношенията между Съюза, от една страна, и Обединеното кралство и неговите бенефициери, от друга страна, по отношение на финансирането и изпълнението на бюджета през 2020 г. в случай на оттегляне на Обединеното кралство без споразумение.</w:t>
      </w:r>
    </w:p>
    <w:p>
      <w:pPr>
        <w:spacing w:before="120" w:after="120"/>
        <w:jc w:val="both"/>
        <w:rPr>
          <w:noProof/>
        </w:rPr>
      </w:pPr>
      <w:r>
        <w:rPr>
          <w:noProof/>
        </w:rPr>
        <w:t xml:space="preserve">Предложената рамка за извънредни мерки предвижда възможността Обединеното кралство и образуванията от него да запазят през цялата 2020 г. допустимостта за ползване на финансиране от Съюза за правните задължения, поети преди датата на оттегляне или между датата на оттегляне и края на 2019 г., в приложение на Регламент (ЕС, Евратом) 2019/1197. Това важи, при условие че се спазват сроковете и условията, определени в предложението. </w:t>
      </w:r>
    </w:p>
    <w:p>
      <w:pPr>
        <w:spacing w:before="120" w:after="120"/>
        <w:jc w:val="both"/>
        <w:rPr>
          <w:noProof/>
        </w:rPr>
      </w:pPr>
      <w:r>
        <w:rPr>
          <w:noProof/>
        </w:rPr>
        <w:t>С цел да се позволи на Комисията да изпълни предложението, по-специално с цел да ѝ се даде възможност да впише вноската на Обединеното кралство в общия бюджет, трябва да бъде създадена необходимата бюджетна структура за бюджета за 2020 г. Поради това Комисията предлага да се създаде нов бюджетен ред в част Б от общата приходна част на бюджета: нова статия 3 8 0, предназначена за вписване на вноската на Обединеното кралство във връзка с прилагането на рамката за извънредни мерки.</w:t>
      </w:r>
    </w:p>
    <w:p>
      <w:pPr>
        <w:spacing w:before="120" w:after="120"/>
        <w:jc w:val="both"/>
        <w:rPr>
          <w:noProof/>
        </w:rPr>
      </w:pPr>
      <w:r>
        <w:rPr>
          <w:noProof/>
        </w:rPr>
        <w:t>Бюджетните забележки, свързани с предложения нов ред, са посочени в приложението.</w:t>
      </w:r>
    </w:p>
    <w:p>
      <w:pPr>
        <w:pStyle w:val="ManualHeading1"/>
        <w:spacing w:before="240"/>
        <w:rPr>
          <w:noProof/>
        </w:rPr>
      </w:pPr>
      <w:bookmarkStart w:id="10" w:name="_Toc22911250"/>
      <w:r>
        <w:rPr>
          <w:noProof/>
        </w:rPr>
        <w:t>4.</w:t>
      </w:r>
      <w:r>
        <w:rPr>
          <w:noProof/>
        </w:rPr>
        <w:tab/>
        <w:t>Други корекции</w:t>
      </w:r>
      <w:bookmarkEnd w:id="10"/>
    </w:p>
    <w:p>
      <w:pPr>
        <w:keepNext/>
        <w:tabs>
          <w:tab w:val="left" w:pos="850"/>
        </w:tabs>
        <w:spacing w:before="360" w:after="120"/>
        <w:ind w:left="357" w:hanging="357"/>
        <w:jc w:val="both"/>
        <w:outlineLvl w:val="1"/>
        <w:rPr>
          <w:rFonts w:eastAsia="Calibri"/>
          <w:b/>
          <w:noProof/>
        </w:rPr>
      </w:pPr>
      <w:bookmarkStart w:id="11" w:name="_Toc22911251"/>
      <w:r>
        <w:rPr>
          <w:b/>
          <w:noProof/>
        </w:rPr>
        <w:t xml:space="preserve">4.1 </w:t>
      </w:r>
      <w:r>
        <w:rPr>
          <w:b/>
          <w:noProof/>
        </w:rPr>
        <w:tab/>
        <w:t>Раздел I — Европейски парламент</w:t>
      </w:r>
      <w:bookmarkEnd w:id="11"/>
      <w:r>
        <w:rPr>
          <w:b/>
          <w:noProof/>
        </w:rPr>
        <w:t xml:space="preserve"> </w:t>
      </w:r>
    </w:p>
    <w:p>
      <w:pPr>
        <w:pStyle w:val="Default"/>
        <w:spacing w:before="120" w:after="120"/>
        <w:jc w:val="both"/>
        <w:rPr>
          <w:bCs/>
          <w:noProof/>
          <w:color w:val="auto"/>
        </w:rPr>
      </w:pPr>
      <w:r>
        <w:rPr>
          <w:noProof/>
        </w:rPr>
        <w:t>Исканията за увеличаване на щатното разписание на Европейския парламент (ЕП) с 89 длъжности и за увеличаване на равнището на бюджетните кредити за административни разходи, за да се даде възможност за създаване на допълнителни длъжности за договорно наети служители, не бяха включени в раздела за ЕП от ПБ за 2020 г. в очакване на допълнителни пояснения относно причините за това увеличение.</w:t>
      </w:r>
    </w:p>
    <w:p>
      <w:pPr>
        <w:pStyle w:val="Default"/>
        <w:spacing w:before="120" w:after="120"/>
        <w:jc w:val="both"/>
        <w:rPr>
          <w:noProof/>
          <w:color w:val="auto"/>
        </w:rPr>
      </w:pPr>
      <w:r>
        <w:rPr>
          <w:noProof/>
        </w:rPr>
        <w:t>След допълнителна кореспонденция с ЕП и предвид задълбочено изготвените предложения за административната функция на следващата многогодишна финансова рамка, се предлага в ПБ за 2020 г. да се включат следните елементи за Европейския парламент:</w:t>
      </w:r>
    </w:p>
    <w:p>
      <w:pPr>
        <w:numPr>
          <w:ilvl w:val="0"/>
          <w:numId w:val="10"/>
        </w:numPr>
        <w:spacing w:before="120" w:after="120"/>
        <w:jc w:val="both"/>
        <w:rPr>
          <w:noProof/>
        </w:rPr>
      </w:pPr>
      <w:r>
        <w:rPr>
          <w:noProof/>
        </w:rPr>
        <w:t>89 допълнителни длъжности в щатното разписание за 2020 г. Тези длъжности са предназначени само за една бюджетна година и ще бъдат премахнати от щатното разписание в проектобюджета за 2021 г. Те имат за цел улесняване на непрекъснатостта на заетостта на срочно наетите служители с оглед на прилагането на член 29, параграф 4 от Правилника за длъжностните лица. Не са необходими допълнителни бюджетни кредити. Актуализираното щатно разписание е посочено в бюджетното приложение.</w:t>
      </w:r>
    </w:p>
    <w:p>
      <w:pPr>
        <w:numPr>
          <w:ilvl w:val="0"/>
          <w:numId w:val="10"/>
        </w:numPr>
        <w:spacing w:before="120" w:after="120"/>
        <w:jc w:val="both"/>
        <w:rPr>
          <w:noProof/>
        </w:rPr>
      </w:pPr>
      <w:r>
        <w:rPr>
          <w:noProof/>
        </w:rPr>
        <w:t>13,3 милиона евро бюджетни кредити за външен персонал, съответстващи на 155 длъжности за договорно наети служители, както и увеличението на бюджетните кредити, необходимо за покриване на актуализациите на заплатите и кариерното развитие. Що се отнася до договорно наетите служители, 20 са нови длъжности, които трябва да бъдат създадени в бюджета за 2020 г. за засилване на сигурността, и се финансират по бюджетен ред 1 4 0 1 „Друг персонал — сигурност“. Допълнителни 135 договорно наети служители ще бъдат финансирани по бюджетен ред 1 4 0 0 „Друг персонал — Генерален секретариат и политически групи“. Изпълнението на тези договори вече е започнало, тъй като служителите са били назначени на работа през 2019 г. с финансиране, осигурено посредством трансфери, одобрени от Комисията по бюджети на Европейския парламент (трансфери C1/2019 и C7/2019).</w:t>
      </w:r>
    </w:p>
    <w:p>
      <w:pPr>
        <w:spacing w:before="240" w:line="276" w:lineRule="auto"/>
        <w:rPr>
          <w:bCs/>
          <w:i/>
          <w:noProof/>
        </w:rPr>
      </w:pPr>
      <w:r>
        <w:rPr>
          <w:bCs/>
          <w:i/>
          <w:noProof/>
        </w:rPr>
        <w:t>Комбиниран ефект върху раздела за ЕП от проектобюджета за 2020 г.</w:t>
      </w:r>
    </w:p>
    <w:tbl>
      <w:tblPr>
        <w:tblW w:w="10000" w:type="dxa"/>
        <w:jc w:val="center"/>
        <w:tblLayout w:type="fixed"/>
        <w:tblCellMar>
          <w:left w:w="40" w:type="dxa"/>
          <w:right w:w="40" w:type="dxa"/>
        </w:tblCellMar>
        <w:tblLook w:val="0000" w:firstRow="0" w:lastRow="0" w:firstColumn="0" w:lastColumn="0" w:noHBand="0" w:noVBand="0"/>
      </w:tblPr>
      <w:tblGrid>
        <w:gridCol w:w="1200"/>
        <w:gridCol w:w="5503"/>
        <w:gridCol w:w="1617"/>
        <w:gridCol w:w="1499"/>
        <w:gridCol w:w="181"/>
      </w:tblGrid>
      <w:tr>
        <w:trPr>
          <w:gridAfter w:val="1"/>
          <w:wAfter w:w="181"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rPr>
            </w:pPr>
            <w:r>
              <w:rPr>
                <w:i/>
                <w:iCs/>
                <w:noProof/>
                <w:sz w:val="16"/>
                <w:szCs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shd w:val="clear" w:color="auto" w:fill="D9D9D9"/>
            <w:vAlign w:val="center"/>
          </w:tcPr>
          <w:p>
            <w:pPr>
              <w:widowControl w:val="0"/>
              <w:spacing w:before="15" w:after="15" w:line="276" w:lineRule="auto"/>
              <w:jc w:val="center"/>
              <w:rPr>
                <w:b/>
                <w:noProof/>
                <w:sz w:val="20"/>
                <w:szCs w:val="20"/>
              </w:rPr>
            </w:pPr>
            <w:r>
              <w:rPr>
                <w:b/>
                <w:noProof/>
                <w:sz w:val="20"/>
                <w:szCs w:val="20"/>
              </w:rPr>
              <w:t>Бюджетен ред</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szCs w:val="20"/>
              </w:rPr>
              <w:t>Наименование</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szCs w:val="20"/>
              </w:rPr>
              <w:t>Бюджетни кредити за поети задължения</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5"/>
            <w:shd w:val="clear" w:color="auto" w:fill="F2F2F2" w:themeFill="background1" w:themeFillShade="F2"/>
          </w:tcPr>
          <w:p>
            <w:pPr>
              <w:widowControl w:val="0"/>
              <w:spacing w:before="15" w:after="15" w:line="276" w:lineRule="auto"/>
              <w:rPr>
                <w:i/>
                <w:noProof/>
                <w:sz w:val="20"/>
                <w:szCs w:val="20"/>
              </w:rPr>
            </w:pPr>
            <w:r>
              <w:rPr>
                <w:i/>
                <w:noProof/>
                <w:sz w:val="20"/>
                <w:szCs w:val="20"/>
              </w:rPr>
              <w:t>Раздел I — Европейски парламент</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tcBorders>
              <w:top w:val="nil"/>
              <w:left w:val="single" w:sz="4" w:space="0" w:color="auto"/>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1400</w:t>
            </w:r>
          </w:p>
        </w:tc>
        <w:tc>
          <w:tcPr>
            <w:tcW w:w="5503" w:type="dxa"/>
            <w:tcBorders>
              <w:top w:val="nil"/>
              <w:left w:val="nil"/>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Друг персонал — Генерален секретариат и политически групи</w:t>
            </w:r>
          </w:p>
        </w:tc>
        <w:tc>
          <w:tcPr>
            <w:tcW w:w="1617" w:type="dxa"/>
            <w:vAlign w:val="bottom"/>
          </w:tcPr>
          <w:p>
            <w:pPr>
              <w:widowControl w:val="0"/>
              <w:spacing w:before="15" w:after="15"/>
              <w:jc w:val="right"/>
              <w:rPr>
                <w:noProof/>
                <w:sz w:val="20"/>
                <w:szCs w:val="20"/>
              </w:rPr>
            </w:pPr>
            <w:r>
              <w:rPr>
                <w:noProof/>
                <w:sz w:val="20"/>
                <w:szCs w:val="20"/>
              </w:rPr>
              <w:t>8 880 451</w:t>
            </w:r>
          </w:p>
        </w:tc>
        <w:tc>
          <w:tcPr>
            <w:tcW w:w="1680" w:type="dxa"/>
            <w:gridSpan w:val="2"/>
            <w:vAlign w:val="bottom"/>
          </w:tcPr>
          <w:p>
            <w:pPr>
              <w:widowControl w:val="0"/>
              <w:spacing w:before="15" w:after="15"/>
              <w:jc w:val="right"/>
              <w:rPr>
                <w:noProof/>
                <w:sz w:val="20"/>
                <w:szCs w:val="20"/>
              </w:rPr>
            </w:pPr>
            <w:r>
              <w:rPr>
                <w:noProof/>
                <w:sz w:val="20"/>
                <w:szCs w:val="20"/>
              </w:rPr>
              <w:t>8 880 451</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tcBorders>
              <w:top w:val="nil"/>
              <w:left w:val="single" w:sz="4" w:space="0" w:color="auto"/>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1401</w:t>
            </w:r>
          </w:p>
        </w:tc>
        <w:tc>
          <w:tcPr>
            <w:tcW w:w="5503" w:type="dxa"/>
            <w:tcBorders>
              <w:top w:val="nil"/>
              <w:left w:val="nil"/>
              <w:bottom w:val="single" w:sz="4" w:space="0" w:color="auto"/>
              <w:right w:val="single" w:sz="4" w:space="0" w:color="auto"/>
            </w:tcBorders>
            <w:shd w:val="clear" w:color="auto" w:fill="auto"/>
            <w:vAlign w:val="bottom"/>
          </w:tcPr>
          <w:p>
            <w:pPr>
              <w:widowControl w:val="0"/>
              <w:spacing w:before="15" w:after="15" w:line="276" w:lineRule="auto"/>
              <w:ind w:right="-113"/>
              <w:jc w:val="both"/>
              <w:rPr>
                <w:noProof/>
                <w:sz w:val="20"/>
                <w:szCs w:val="20"/>
              </w:rPr>
            </w:pPr>
            <w:r>
              <w:rPr>
                <w:noProof/>
                <w:sz w:val="20"/>
                <w:szCs w:val="20"/>
              </w:rPr>
              <w:t>Друг персонал — Сигурност</w:t>
            </w:r>
          </w:p>
        </w:tc>
        <w:tc>
          <w:tcPr>
            <w:tcW w:w="1617" w:type="dxa"/>
            <w:vAlign w:val="bottom"/>
          </w:tcPr>
          <w:p>
            <w:pPr>
              <w:widowControl w:val="0"/>
              <w:spacing w:before="15" w:after="15"/>
              <w:jc w:val="right"/>
              <w:rPr>
                <w:noProof/>
                <w:sz w:val="20"/>
                <w:szCs w:val="20"/>
              </w:rPr>
            </w:pPr>
            <w:r>
              <w:rPr>
                <w:noProof/>
                <w:sz w:val="20"/>
                <w:szCs w:val="20"/>
              </w:rPr>
              <w:t>4 452 138</w:t>
            </w:r>
          </w:p>
        </w:tc>
        <w:tc>
          <w:tcPr>
            <w:tcW w:w="1680" w:type="dxa"/>
            <w:gridSpan w:val="2"/>
            <w:vAlign w:val="bottom"/>
          </w:tcPr>
          <w:p>
            <w:pPr>
              <w:widowControl w:val="0"/>
              <w:spacing w:before="15" w:after="15"/>
              <w:jc w:val="right"/>
              <w:rPr>
                <w:noProof/>
                <w:sz w:val="20"/>
                <w:szCs w:val="20"/>
              </w:rPr>
            </w:pPr>
            <w:r>
              <w:rPr>
                <w:noProof/>
                <w:sz w:val="20"/>
                <w:szCs w:val="20"/>
              </w:rPr>
              <w:t>4 452 138</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2"/>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13 332 589</w:t>
            </w:r>
          </w:p>
        </w:tc>
        <w:tc>
          <w:tcPr>
            <w:tcW w:w="1680" w:type="dxa"/>
            <w:gridSpan w:val="2"/>
            <w:shd w:val="clear" w:color="auto" w:fill="D9D9D9"/>
          </w:tcPr>
          <w:p>
            <w:pPr>
              <w:widowControl w:val="0"/>
              <w:spacing w:before="15" w:after="15"/>
              <w:jc w:val="right"/>
              <w:rPr>
                <w:b/>
                <w:noProof/>
                <w:sz w:val="20"/>
                <w:szCs w:val="20"/>
              </w:rPr>
            </w:pPr>
            <w:r>
              <w:rPr>
                <w:b/>
                <w:noProof/>
                <w:sz w:val="20"/>
                <w:szCs w:val="20"/>
              </w:rPr>
              <w:t>13 332 589</w:t>
            </w:r>
          </w:p>
        </w:tc>
      </w:tr>
    </w:tbl>
    <w:p>
      <w:pPr>
        <w:rPr>
          <w:rFonts w:eastAsia="Calibri"/>
          <w:b/>
          <w:noProof/>
        </w:rPr>
      </w:pPr>
    </w:p>
    <w:p>
      <w:pPr>
        <w:keepNext/>
        <w:tabs>
          <w:tab w:val="left" w:pos="850"/>
        </w:tabs>
        <w:spacing w:before="360" w:after="120"/>
        <w:ind w:left="357" w:hanging="357"/>
        <w:jc w:val="both"/>
        <w:outlineLvl w:val="1"/>
        <w:rPr>
          <w:rFonts w:eastAsia="Calibri"/>
          <w:b/>
          <w:noProof/>
        </w:rPr>
      </w:pPr>
      <w:bookmarkStart w:id="12" w:name="_Toc22911252"/>
      <w:r>
        <w:rPr>
          <w:b/>
          <w:noProof/>
        </w:rPr>
        <w:t xml:space="preserve">4.2 </w:t>
      </w:r>
      <w:r>
        <w:rPr>
          <w:b/>
          <w:noProof/>
        </w:rPr>
        <w:tab/>
        <w:t>Раздел X — Европейска служба за външна дейност</w:t>
      </w:r>
      <w:bookmarkEnd w:id="12"/>
    </w:p>
    <w:p>
      <w:pPr>
        <w:autoSpaceDE w:val="0"/>
        <w:autoSpaceDN w:val="0"/>
        <w:adjustRightInd w:val="0"/>
        <w:spacing w:before="120" w:after="120"/>
        <w:jc w:val="both"/>
        <w:rPr>
          <w:bCs/>
          <w:noProof/>
          <w:color w:val="000000"/>
        </w:rPr>
      </w:pPr>
      <w:r>
        <w:rPr>
          <w:noProof/>
        </w:rPr>
        <w:t>След представянето на ПБ за 2020 г. настъпи промяна в два елемента от раздела за Европейската служба за външна дейност (ЕСВД), поради което те се нуждаят от актуализиране, а именно:</w:t>
      </w:r>
    </w:p>
    <w:p>
      <w:pPr>
        <w:numPr>
          <w:ilvl w:val="0"/>
          <w:numId w:val="10"/>
        </w:numPr>
        <w:spacing w:before="120" w:after="120"/>
        <w:jc w:val="both"/>
        <w:rPr>
          <w:noProof/>
        </w:rPr>
      </w:pPr>
      <w:r>
        <w:rPr>
          <w:noProof/>
        </w:rPr>
        <w:t>сградата NEO;</w:t>
      </w:r>
    </w:p>
    <w:p>
      <w:pPr>
        <w:numPr>
          <w:ilvl w:val="0"/>
          <w:numId w:val="10"/>
        </w:numPr>
        <w:spacing w:before="120" w:after="120"/>
        <w:jc w:val="both"/>
        <w:rPr>
          <w:noProof/>
        </w:rPr>
      </w:pPr>
      <w:r>
        <w:rPr>
          <w:noProof/>
        </w:rPr>
        <w:t>адаптирането на числеността на персонала на офиса на ЕС в Косово.</w:t>
      </w:r>
    </w:p>
    <w:p>
      <w:pPr>
        <w:tabs>
          <w:tab w:val="left" w:pos="851"/>
        </w:tabs>
        <w:spacing w:before="240" w:after="120"/>
        <w:ind w:left="851" w:hanging="851"/>
        <w:rPr>
          <w:bCs/>
          <w:i/>
          <w:noProof/>
        </w:rPr>
      </w:pPr>
      <w:r>
        <w:rPr>
          <w:bCs/>
          <w:i/>
          <w:noProof/>
        </w:rPr>
        <w:t xml:space="preserve">Сградата NEO </w:t>
      </w:r>
    </w:p>
    <w:p>
      <w:pPr>
        <w:autoSpaceDE w:val="0"/>
        <w:autoSpaceDN w:val="0"/>
        <w:adjustRightInd w:val="0"/>
        <w:spacing w:after="120"/>
        <w:jc w:val="both"/>
        <w:rPr>
          <w:bCs/>
          <w:noProof/>
          <w:color w:val="000000"/>
        </w:rPr>
      </w:pPr>
      <w:r>
        <w:rPr>
          <w:noProof/>
        </w:rPr>
        <w:t>Строителният проект NEO се състои от две сгради, които следва да заместят сградата Kortenberg за службите на общата политика за сигурност и отбрана (ОПСО). Проектът се осъществява в момента и се очаква да бъде приключен до края на 2020 г./началото на 2021 г.</w:t>
      </w:r>
    </w:p>
    <w:p>
      <w:pPr>
        <w:autoSpaceDE w:val="0"/>
        <w:autoSpaceDN w:val="0"/>
        <w:adjustRightInd w:val="0"/>
        <w:spacing w:after="120"/>
        <w:jc w:val="both"/>
        <w:rPr>
          <w:bCs/>
          <w:noProof/>
          <w:color w:val="000000"/>
        </w:rPr>
      </w:pPr>
      <w:r>
        <w:rPr>
          <w:noProof/>
        </w:rPr>
        <w:t xml:space="preserve">Въпреки това по време на обновяването и оборудването ЕСВД си даде сметка, че в рамките на предварително прогнозирания бюджет не може да бъде постигнато необходимото равнище на техническите характеристики в областта на физическата сигурност и защитените комуникации. </w:t>
      </w:r>
    </w:p>
    <w:p>
      <w:pPr>
        <w:autoSpaceDE w:val="0"/>
        <w:autoSpaceDN w:val="0"/>
        <w:adjustRightInd w:val="0"/>
        <w:spacing w:after="120"/>
        <w:jc w:val="both"/>
        <w:rPr>
          <w:bCs/>
          <w:noProof/>
          <w:color w:val="000000"/>
        </w:rPr>
      </w:pPr>
      <w:r>
        <w:rPr>
          <w:noProof/>
        </w:rPr>
        <w:t xml:space="preserve">Увеличенията са свързани с необходимостта от защита на работната среда срещу проникване и подслушване в съответствие с правилата за сигурност, определени от Съвета и от държавите членки. Нивото на необходимите предпазни мерки се променя с технологичния напредък и в съответствие с прогнозните равнища на заплахите. Това означава, че много от прилаганите по-рано решения, на които се основава първоначалната оценка на разходите, вече не са достатъчни. </w:t>
      </w:r>
    </w:p>
    <w:p>
      <w:pPr>
        <w:autoSpaceDE w:val="0"/>
        <w:autoSpaceDN w:val="0"/>
        <w:adjustRightInd w:val="0"/>
        <w:spacing w:after="120"/>
        <w:jc w:val="both"/>
        <w:rPr>
          <w:bCs/>
          <w:noProof/>
          <w:color w:val="000000"/>
        </w:rPr>
      </w:pPr>
      <w:r>
        <w:rPr>
          <w:noProof/>
        </w:rPr>
        <w:t>Поради това на Европейския парламент и на Съвета беше представен актуализиран проект, съдържащ промените и произтичащите от тях допълнителни разходи, който беше одобрен от съответните им бюджетни комисии на 3 и 13 септември 2019 г.</w:t>
      </w:r>
    </w:p>
    <w:p>
      <w:pPr>
        <w:autoSpaceDE w:val="0"/>
        <w:autoSpaceDN w:val="0"/>
        <w:adjustRightInd w:val="0"/>
        <w:spacing w:after="120"/>
        <w:jc w:val="both"/>
        <w:rPr>
          <w:bCs/>
          <w:noProof/>
          <w:color w:val="000000"/>
        </w:rPr>
      </w:pPr>
      <w:r>
        <w:rPr>
          <w:noProof/>
        </w:rPr>
        <w:t>Допълнителните разходи за тези мерки, свързани със сигурността, ще възлизат на 5,0 милиона евро за бюджетна позиция 2 0 0 2 на ЕСВД. Чрез преразглеждане на приоритетите и планирано преразпределение на средствата обаче допълнителната поискана сума за 2020 г. може да бъде намалена на 2,8 милиона евро.</w:t>
      </w:r>
    </w:p>
    <w:p>
      <w:pPr>
        <w:spacing w:before="240" w:after="120"/>
        <w:ind w:left="851" w:hanging="851"/>
        <w:rPr>
          <w:bCs/>
          <w:i/>
          <w:noProof/>
        </w:rPr>
      </w:pPr>
      <w:r>
        <w:rPr>
          <w:bCs/>
          <w:i/>
          <w:noProof/>
        </w:rPr>
        <w:t>Адаптиране на числеността на персонала на офиса на ЕС в Косово</w:t>
      </w:r>
    </w:p>
    <w:p>
      <w:pPr>
        <w:autoSpaceDE w:val="0"/>
        <w:autoSpaceDN w:val="0"/>
        <w:adjustRightInd w:val="0"/>
        <w:spacing w:after="120"/>
        <w:jc w:val="both"/>
        <w:rPr>
          <w:noProof/>
          <w:color w:val="000000"/>
        </w:rPr>
      </w:pPr>
      <w:r>
        <w:rPr>
          <w:noProof/>
        </w:rPr>
        <w:t xml:space="preserve">В резултат на стратегическия преглед на мисията EULEX за 2015/2016 г. през юни 2018 г. редица задачи за наблюдение, насочване и консултации бяха прехвърлени от EULEX на офиса на ЕС в Косово. Поради това Европейският парламент и Съветът предоставиха на ЕСВД бюджет за финансиране на 12 членове на персонала на офиса на ЕС в Косово, който ще бъде компенсиран с по-големи съкращения в организацията на EULEX. </w:t>
      </w:r>
    </w:p>
    <w:p>
      <w:pPr>
        <w:autoSpaceDE w:val="0"/>
        <w:autoSpaceDN w:val="0"/>
        <w:adjustRightInd w:val="0"/>
        <w:spacing w:after="120"/>
        <w:jc w:val="both"/>
        <w:rPr>
          <w:noProof/>
          <w:color w:val="000000"/>
        </w:rPr>
      </w:pPr>
      <w:r>
        <w:rPr>
          <w:noProof/>
        </w:rPr>
        <w:t>Допълнителен бюджет за финансиране на други три длъжности бе предоставен на ЕСВД от януари 2019 г., с което общият брой на длъжностите за задачи, свързани с прехода, достигна 15. Бюджетът на ЕСВД за 2019 г. също бе изменен с цел преобразуване на три неизискващи разходи длъжности за командировани национални експерти (КНЕ) в съфинансирани длъжности, за да се привлекат повече интерес и потенциални кандидати от държавите членки.</w:t>
      </w:r>
    </w:p>
    <w:p>
      <w:pPr>
        <w:autoSpaceDE w:val="0"/>
        <w:autoSpaceDN w:val="0"/>
        <w:adjustRightInd w:val="0"/>
        <w:spacing w:after="120"/>
        <w:jc w:val="both"/>
        <w:rPr>
          <w:noProof/>
          <w:color w:val="000000"/>
        </w:rPr>
      </w:pPr>
      <w:r>
        <w:rPr>
          <w:noProof/>
        </w:rPr>
        <w:t xml:space="preserve">Тази промяна обаче не се оказа достатъчна, за да привлече задоволителен интерес, и до този момент са запълнени само две длъжности за КНЕ от наличните общо шест. </w:t>
      </w:r>
    </w:p>
    <w:p>
      <w:pPr>
        <w:autoSpaceDE w:val="0"/>
        <w:autoSpaceDN w:val="0"/>
        <w:adjustRightInd w:val="0"/>
        <w:spacing w:after="120"/>
        <w:jc w:val="both"/>
        <w:rPr>
          <w:noProof/>
          <w:color w:val="000000"/>
        </w:rPr>
      </w:pPr>
      <w:r>
        <w:rPr>
          <w:noProof/>
        </w:rPr>
        <w:t>Поради тази ситуация и въз основа на оценка на нуждите в офиса на ЕС в Косово ЕСВД възнамерява да преобразува една от тези неизползвани длъжности за КНЕ в две длъжности за местен персонал. Тази промяна не се очаква да доведе до допълнителни разходи за ЕСВД, но може, в зависимост от опита на назначените служители, да допринесе за известни икономии с течение на времето.</w:t>
      </w:r>
    </w:p>
    <w:p>
      <w:pPr>
        <w:tabs>
          <w:tab w:val="left" w:pos="851"/>
        </w:tabs>
        <w:spacing w:before="360" w:after="120"/>
        <w:ind w:left="851" w:hanging="851"/>
        <w:rPr>
          <w:bCs/>
          <w:i/>
          <w:noProof/>
        </w:rPr>
      </w:pPr>
      <w:r>
        <w:rPr>
          <w:bCs/>
          <w:i/>
          <w:noProof/>
        </w:rPr>
        <w:t>Комбиниран ефект върху раздела за ЕСВД от проектобюджета за 2019 г.</w:t>
      </w:r>
      <w:r>
        <w:rPr>
          <w:bCs/>
          <w:i/>
          <w:noProof/>
        </w:rPr>
        <w:tab/>
      </w:r>
    </w:p>
    <w:tbl>
      <w:tblPr>
        <w:tblW w:w="10068" w:type="dxa"/>
        <w:jc w:val="center"/>
        <w:tblLayout w:type="fixed"/>
        <w:tblCellMar>
          <w:left w:w="40" w:type="dxa"/>
          <w:right w:w="40" w:type="dxa"/>
        </w:tblCellMar>
        <w:tblLook w:val="0000" w:firstRow="0" w:lastRow="0" w:firstColumn="0" w:lastColumn="0" w:noHBand="0" w:noVBand="0"/>
      </w:tblPr>
      <w:tblGrid>
        <w:gridCol w:w="68"/>
        <w:gridCol w:w="1200"/>
        <w:gridCol w:w="5503"/>
        <w:gridCol w:w="1617"/>
        <w:gridCol w:w="1643"/>
        <w:gridCol w:w="37"/>
      </w:tblGrid>
      <w:tr>
        <w:trPr>
          <w:gridAfter w:val="1"/>
          <w:wAfter w:w="37" w:type="dxa"/>
          <w:trHeight w:val="164"/>
          <w:tblHeader/>
          <w:jc w:val="center"/>
        </w:trPr>
        <w:tc>
          <w:tcPr>
            <w:tcW w:w="10031" w:type="dxa"/>
            <w:gridSpan w:val="5"/>
            <w:tcBorders>
              <w:bottom w:val="single" w:sz="4" w:space="0" w:color="auto"/>
            </w:tcBorders>
            <w:shd w:val="clear" w:color="auto" w:fill="FFFFFF"/>
            <w:vAlign w:val="center"/>
          </w:tcPr>
          <w:p>
            <w:pPr>
              <w:jc w:val="right"/>
              <w:rPr>
                <w:i/>
                <w:iCs/>
                <w:noProof/>
                <w:sz w:val="16"/>
                <w:szCs w:val="16"/>
              </w:rPr>
            </w:pPr>
            <w:r>
              <w:rPr>
                <w:i/>
                <w:iCs/>
                <w:noProof/>
                <w:sz w:val="16"/>
                <w:szCs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blHeader/>
        </w:trPr>
        <w:tc>
          <w:tcPr>
            <w:tcW w:w="1200" w:type="dxa"/>
            <w:shd w:val="clear" w:color="auto" w:fill="D9D9D9"/>
            <w:vAlign w:val="center"/>
          </w:tcPr>
          <w:p>
            <w:pPr>
              <w:widowControl w:val="0"/>
              <w:spacing w:before="15" w:after="15" w:line="276" w:lineRule="auto"/>
              <w:jc w:val="center"/>
              <w:rPr>
                <w:b/>
                <w:noProof/>
                <w:sz w:val="20"/>
                <w:szCs w:val="20"/>
              </w:rPr>
            </w:pPr>
            <w:r>
              <w:rPr>
                <w:b/>
                <w:noProof/>
                <w:sz w:val="20"/>
                <w:szCs w:val="20"/>
              </w:rPr>
              <w:t>Бюджетен ред</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szCs w:val="20"/>
              </w:rPr>
              <w:t>Наименование</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szCs w:val="20"/>
              </w:rPr>
              <w:t>Бюджетни кредити за поети задължения</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szCs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10000" w:type="dxa"/>
            <w:gridSpan w:val="5"/>
            <w:shd w:val="clear" w:color="auto" w:fill="F2F2F2" w:themeFill="background1" w:themeFillShade="F2"/>
          </w:tcPr>
          <w:p>
            <w:pPr>
              <w:widowControl w:val="0"/>
              <w:spacing w:before="15" w:after="15" w:line="276" w:lineRule="auto"/>
              <w:rPr>
                <w:i/>
                <w:noProof/>
                <w:sz w:val="20"/>
                <w:szCs w:val="20"/>
              </w:rPr>
            </w:pPr>
            <w:r>
              <w:rPr>
                <w:i/>
                <w:noProof/>
                <w:sz w:val="20"/>
                <w:szCs w:val="20"/>
              </w:rPr>
              <w:t>Раздел X — Европейска служба за външна дейност</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1200" w:type="dxa"/>
          </w:tcPr>
          <w:p>
            <w:pPr>
              <w:widowControl w:val="0"/>
              <w:spacing w:before="15" w:after="15" w:line="276" w:lineRule="auto"/>
              <w:ind w:right="-113"/>
              <w:jc w:val="both"/>
              <w:rPr>
                <w:noProof/>
                <w:sz w:val="20"/>
                <w:szCs w:val="20"/>
              </w:rPr>
            </w:pPr>
            <w:r>
              <w:rPr>
                <w:noProof/>
                <w:sz w:val="20"/>
                <w:szCs w:val="20"/>
              </w:rPr>
              <w:t>2 0 0 2</w:t>
            </w:r>
          </w:p>
        </w:tc>
        <w:tc>
          <w:tcPr>
            <w:tcW w:w="5503" w:type="dxa"/>
          </w:tcPr>
          <w:p>
            <w:pPr>
              <w:rPr>
                <w:noProof/>
                <w:sz w:val="20"/>
                <w:szCs w:val="20"/>
              </w:rPr>
            </w:pPr>
            <w:r>
              <w:rPr>
                <w:noProof/>
                <w:sz w:val="20"/>
                <w:szCs w:val="20"/>
              </w:rPr>
              <w:t>Работа по оборудването и по сигурността</w:t>
            </w:r>
          </w:p>
        </w:tc>
        <w:tc>
          <w:tcPr>
            <w:tcW w:w="1617" w:type="dxa"/>
          </w:tcPr>
          <w:p>
            <w:pPr>
              <w:widowControl w:val="0"/>
              <w:spacing w:before="15" w:after="15" w:line="276" w:lineRule="auto"/>
              <w:jc w:val="right"/>
              <w:rPr>
                <w:noProof/>
                <w:sz w:val="20"/>
                <w:szCs w:val="20"/>
              </w:rPr>
            </w:pPr>
            <w:r>
              <w:rPr>
                <w:noProof/>
                <w:sz w:val="20"/>
                <w:szCs w:val="20"/>
              </w:rPr>
              <w:t>2 786 000</w:t>
            </w:r>
          </w:p>
        </w:tc>
        <w:tc>
          <w:tcPr>
            <w:tcW w:w="1680" w:type="dxa"/>
            <w:gridSpan w:val="2"/>
          </w:tcPr>
          <w:p>
            <w:pPr>
              <w:widowControl w:val="0"/>
              <w:spacing w:before="15" w:after="15" w:line="276" w:lineRule="auto"/>
              <w:jc w:val="right"/>
              <w:rPr>
                <w:noProof/>
                <w:sz w:val="20"/>
                <w:szCs w:val="20"/>
              </w:rPr>
            </w:pPr>
            <w:r>
              <w:rPr>
                <w:noProof/>
                <w:sz w:val="20"/>
                <w:szCs w:val="20"/>
              </w:rPr>
              <w:t>2 786 000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8" w:type="dxa"/>
        </w:trPr>
        <w:tc>
          <w:tcPr>
            <w:tcW w:w="6703" w:type="dxa"/>
            <w:gridSpan w:val="2"/>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2 786 000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2 786 000</w:t>
            </w:r>
          </w:p>
        </w:tc>
      </w:tr>
    </w:tbl>
    <w:p>
      <w:pPr>
        <w:keepNext/>
        <w:tabs>
          <w:tab w:val="left" w:pos="850"/>
        </w:tabs>
        <w:spacing w:before="360" w:after="120"/>
        <w:ind w:left="851" w:hanging="851"/>
        <w:jc w:val="both"/>
        <w:outlineLvl w:val="1"/>
        <w:rPr>
          <w:rFonts w:eastAsia="Calibri"/>
          <w:b/>
          <w:noProof/>
        </w:rPr>
      </w:pPr>
      <w:bookmarkStart w:id="13" w:name="_Toc22911253"/>
      <w:r>
        <w:rPr>
          <w:b/>
          <w:noProof/>
        </w:rPr>
        <w:t xml:space="preserve">4.3 </w:t>
      </w:r>
      <w:r>
        <w:rPr>
          <w:b/>
          <w:noProof/>
        </w:rPr>
        <w:tab/>
        <w:t>Актуализация на споразуменията за партньорство в областта на устойчивото рибарство</w:t>
      </w:r>
      <w:bookmarkEnd w:id="13"/>
    </w:p>
    <w:p>
      <w:pPr>
        <w:spacing w:before="120" w:after="120"/>
        <w:jc w:val="both"/>
        <w:rPr>
          <w:rFonts w:eastAsia="Calibri"/>
          <w:noProof/>
        </w:rPr>
      </w:pPr>
      <w:r>
        <w:rPr>
          <w:noProof/>
        </w:rPr>
        <w:t>Както е предвидено в буква В на част II от Междуинституционалното споразумение (МС)</w:t>
      </w:r>
      <w:r>
        <w:rPr>
          <w:rStyle w:val="FootnoteReference"/>
          <w:noProof/>
        </w:rPr>
        <w:footnoteReference w:id="9"/>
      </w:r>
      <w:r>
        <w:rPr>
          <w:noProof/>
        </w:rPr>
        <w:t xml:space="preserve">, Комисията проучи най-актуалната налична информация по отношение на споразуменията за партньорство в областта на устойчивото рибарство (СПОУР) и прегледа очакваните нужди за 2020 г. въз основа на развитието на процесите на преговори със съответните трети държави. Въз основа на този преглед Комисията предлага да се прехвърлят бюджетни кредити за поети задължения в размер на 16,9 милиона евро и бюджетни кредити за плащания в размер на 14,9 милиона евро от резерва (40 02 41) към оперативния бюджетен ред (11 03 01 </w:t>
      </w:r>
      <w:r>
        <w:rPr>
          <w:i/>
          <w:noProof/>
        </w:rPr>
        <w:t>Установяване на рамка за управление на риболовните дейности, извършвани от риболовните кораби на Съюза във водите на трети държави</w:t>
      </w:r>
      <w:r>
        <w:rPr>
          <w:noProof/>
        </w:rPr>
        <w:t xml:space="preserve">). Този бюджетно неутрален трансфер е свързан със споразуменията в областта на рибарството с Република Кабо Верде, Република Гамбия и Република Гвинея Бисау, за които споразуменията и протоколите към тях междувременно бяха подписани и започна временното им прилагане. </w:t>
      </w:r>
    </w:p>
    <w:p>
      <w:pPr>
        <w:spacing w:before="480" w:after="120"/>
        <w:jc w:val="both"/>
        <w:rPr>
          <w:rFonts w:eastAsia="Calibri"/>
          <w:noProof/>
        </w:rPr>
      </w:pPr>
      <w:r>
        <w:rPr>
          <w:noProof/>
        </w:rPr>
        <w:t>Данните по бюджетни редове са представени в таблицата по-долу, а съответните бюджетни забележки са коригирани в приложението.</w:t>
      </w:r>
    </w:p>
    <w:tbl>
      <w:tblPr>
        <w:tblW w:w="10031" w:type="dxa"/>
        <w:jc w:val="center"/>
        <w:tblLayout w:type="fixed"/>
        <w:tblCellMar>
          <w:left w:w="40" w:type="dxa"/>
          <w:right w:w="40" w:type="dxa"/>
        </w:tblCellMar>
        <w:tblLook w:val="0000" w:firstRow="0" w:lastRow="0" w:firstColumn="0" w:lastColumn="0" w:noHBand="0" w:noVBand="0"/>
      </w:tblPr>
      <w:tblGrid>
        <w:gridCol w:w="68"/>
        <w:gridCol w:w="1350"/>
        <w:gridCol w:w="4502"/>
        <w:gridCol w:w="1842"/>
        <w:gridCol w:w="2125"/>
        <w:gridCol w:w="144"/>
      </w:tblGrid>
      <w:tr>
        <w:trPr>
          <w:gridBefore w:val="1"/>
          <w:gridAfter w:val="1"/>
          <w:wBefore w:w="68" w:type="dxa"/>
          <w:wAfter w:w="144"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rPr>
            </w:pPr>
            <w:r>
              <w:rPr>
                <w:i/>
                <w:iCs/>
                <w:noProof/>
                <w:sz w:val="16"/>
                <w:szCs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2269" w:type="dxa"/>
            <w:gridSpan w:val="2"/>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11 03 01</w:t>
            </w:r>
          </w:p>
        </w:tc>
        <w:tc>
          <w:tcPr>
            <w:tcW w:w="4502" w:type="dxa"/>
          </w:tcPr>
          <w:p>
            <w:pPr>
              <w:widowControl w:val="0"/>
              <w:tabs>
                <w:tab w:val="left" w:pos="1350"/>
              </w:tabs>
              <w:spacing w:before="15" w:after="15"/>
              <w:jc w:val="both"/>
              <w:rPr>
                <w:noProof/>
                <w:sz w:val="20"/>
                <w:szCs w:val="20"/>
              </w:rPr>
            </w:pPr>
            <w:r>
              <w:rPr>
                <w:noProof/>
                <w:sz w:val="20"/>
                <w:szCs w:val="20"/>
              </w:rPr>
              <w:t>Установяване на рамка за управление на риболовните дейности, извършвани от риболовните кораби на Съюза във водите на трети държави</w:t>
            </w:r>
          </w:p>
        </w:tc>
        <w:tc>
          <w:tcPr>
            <w:tcW w:w="1842" w:type="dxa"/>
            <w:vAlign w:val="center"/>
          </w:tcPr>
          <w:p>
            <w:pPr>
              <w:widowControl w:val="0"/>
              <w:spacing w:before="15" w:after="15"/>
              <w:jc w:val="right"/>
              <w:rPr>
                <w:noProof/>
                <w:sz w:val="20"/>
                <w:szCs w:val="20"/>
              </w:rPr>
            </w:pPr>
            <w:r>
              <w:rPr>
                <w:noProof/>
                <w:sz w:val="20"/>
                <w:szCs w:val="20"/>
              </w:rPr>
              <w:t>+16 900 000</w:t>
            </w:r>
          </w:p>
        </w:tc>
        <w:tc>
          <w:tcPr>
            <w:tcW w:w="2269" w:type="dxa"/>
            <w:gridSpan w:val="2"/>
            <w:vAlign w:val="center"/>
          </w:tcPr>
          <w:p>
            <w:pPr>
              <w:widowControl w:val="0"/>
              <w:spacing w:before="15" w:after="15"/>
              <w:jc w:val="right"/>
              <w:rPr>
                <w:noProof/>
                <w:sz w:val="20"/>
                <w:szCs w:val="20"/>
              </w:rPr>
            </w:pPr>
            <w:r>
              <w:rPr>
                <w:noProof/>
                <w:sz w:val="20"/>
                <w:szCs w:val="20"/>
              </w:rPr>
              <w:t>+14 900 000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40 02 41</w:t>
            </w:r>
          </w:p>
        </w:tc>
        <w:tc>
          <w:tcPr>
            <w:tcW w:w="4502" w:type="dxa"/>
          </w:tcPr>
          <w:p>
            <w:pPr>
              <w:widowControl w:val="0"/>
              <w:tabs>
                <w:tab w:val="left" w:pos="1350"/>
              </w:tabs>
              <w:spacing w:before="15" w:after="15"/>
              <w:jc w:val="both"/>
              <w:rPr>
                <w:noProof/>
                <w:sz w:val="20"/>
                <w:szCs w:val="20"/>
              </w:rPr>
            </w:pPr>
            <w:r>
              <w:rPr>
                <w:noProof/>
                <w:sz w:val="20"/>
                <w:szCs w:val="20"/>
              </w:rPr>
              <w:t>Многогодишни бюджетни кредити (</w:t>
            </w:r>
            <w:r>
              <w:rPr>
                <w:i/>
                <w:noProof/>
                <w:sz w:val="20"/>
                <w:szCs w:val="20"/>
              </w:rPr>
              <w:t>Резерв за бюджетна статия 11 03 01</w:t>
            </w:r>
            <w:r>
              <w:rPr>
                <w:noProof/>
                <w:sz w:val="20"/>
                <w:szCs w:val="20"/>
              </w:rPr>
              <w:t>)</w:t>
            </w:r>
          </w:p>
        </w:tc>
        <w:tc>
          <w:tcPr>
            <w:tcW w:w="1842" w:type="dxa"/>
            <w:vAlign w:val="center"/>
          </w:tcPr>
          <w:p>
            <w:pPr>
              <w:widowControl w:val="0"/>
              <w:spacing w:before="15" w:after="15"/>
              <w:jc w:val="right"/>
              <w:rPr>
                <w:noProof/>
                <w:sz w:val="20"/>
                <w:szCs w:val="20"/>
              </w:rPr>
            </w:pPr>
            <w:r>
              <w:rPr>
                <w:noProof/>
                <w:sz w:val="20"/>
                <w:szCs w:val="20"/>
              </w:rPr>
              <w:t>-16 900 000</w:t>
            </w:r>
          </w:p>
        </w:tc>
        <w:tc>
          <w:tcPr>
            <w:tcW w:w="2269" w:type="dxa"/>
            <w:gridSpan w:val="2"/>
            <w:vAlign w:val="center"/>
          </w:tcPr>
          <w:p>
            <w:pPr>
              <w:widowControl w:val="0"/>
              <w:spacing w:before="15" w:after="15"/>
              <w:jc w:val="right"/>
              <w:rPr>
                <w:noProof/>
                <w:sz w:val="20"/>
                <w:szCs w:val="20"/>
              </w:rPr>
            </w:pPr>
            <w:r>
              <w:rPr>
                <w:noProof/>
                <w:sz w:val="20"/>
                <w:szCs w:val="20"/>
              </w:rPr>
              <w:t>-14 900 000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0</w:t>
            </w:r>
          </w:p>
        </w:tc>
        <w:tc>
          <w:tcPr>
            <w:tcW w:w="2269" w:type="dxa"/>
            <w:gridSpan w:val="2"/>
            <w:shd w:val="clear" w:color="auto" w:fill="D9D9D9"/>
          </w:tcPr>
          <w:p>
            <w:pPr>
              <w:widowControl w:val="0"/>
              <w:spacing w:before="15" w:after="15"/>
              <w:jc w:val="right"/>
              <w:rPr>
                <w:b/>
                <w:noProof/>
                <w:sz w:val="20"/>
                <w:szCs w:val="20"/>
              </w:rPr>
            </w:pPr>
            <w:r>
              <w:rPr>
                <w:b/>
                <w:noProof/>
                <w:sz w:val="20"/>
                <w:szCs w:val="20"/>
              </w:rPr>
              <w:t>0</w:t>
            </w:r>
          </w:p>
        </w:tc>
      </w:tr>
    </w:tbl>
    <w:p>
      <w:pPr>
        <w:pStyle w:val="ManualHeading1"/>
        <w:spacing w:before="240"/>
        <w:rPr>
          <w:noProof/>
        </w:rPr>
      </w:pPr>
      <w:bookmarkStart w:id="14" w:name="_Toc22911254"/>
      <w:r>
        <w:rPr>
          <w:noProof/>
        </w:rPr>
        <w:t>5.</w:t>
      </w:r>
      <w:r>
        <w:rPr>
          <w:noProof/>
        </w:rPr>
        <w:tab/>
        <w:t>Техническа корекция</w:t>
      </w:r>
      <w:bookmarkEnd w:id="14"/>
    </w:p>
    <w:p>
      <w:pPr>
        <w:keepNext/>
        <w:tabs>
          <w:tab w:val="left" w:pos="850"/>
        </w:tabs>
        <w:spacing w:before="360" w:after="120"/>
        <w:ind w:left="357" w:hanging="357"/>
        <w:jc w:val="both"/>
        <w:outlineLvl w:val="1"/>
        <w:rPr>
          <w:rFonts w:eastAsia="Calibri"/>
          <w:b/>
          <w:noProof/>
        </w:rPr>
      </w:pPr>
      <w:bookmarkStart w:id="15" w:name="_Toc22911255"/>
      <w:r>
        <w:rPr>
          <w:b/>
          <w:noProof/>
        </w:rPr>
        <w:t xml:space="preserve">5.1 </w:t>
      </w:r>
      <w:r>
        <w:rPr>
          <w:b/>
          <w:noProof/>
        </w:rPr>
        <w:tab/>
        <w:t>Фонд за иновации</w:t>
      </w:r>
      <w:bookmarkEnd w:id="15"/>
    </w:p>
    <w:p>
      <w:pPr>
        <w:spacing w:after="120"/>
        <w:jc w:val="both"/>
        <w:rPr>
          <w:noProof/>
        </w:rPr>
      </w:pPr>
      <w:r>
        <w:rPr>
          <w:noProof/>
        </w:rPr>
        <w:t>Фондът за иновации бе създаден с Директива (ЕС) 2018/410 на Европейския парламент и на Съвета за изменение на Директива 2003/87/ЕО за установяване на схема за търговия с квоти за емисии на парникови газове в рамките на Съюза. Той подкрепя иновациите в областта на нисковъглеродните технологии и процеси в определени икономически сектори. В съответствие с разпоредбите на член 10а, параграф 8 от Директивата за схемата за търговия с емисии (СТЕ) (Директива 2003/87/ЕО) Фондът за иновации се финансира изцяло от приходите от продажбата на търг на известно количество квоти за отделяне на един тон въглероден диоксид (еквивалент през определен период) в рамките на СТЕ.</w:t>
      </w:r>
    </w:p>
    <w:p>
      <w:pPr>
        <w:spacing w:after="120"/>
        <w:jc w:val="both"/>
        <w:rPr>
          <w:noProof/>
        </w:rPr>
      </w:pPr>
      <w:r>
        <w:rPr>
          <w:noProof/>
        </w:rPr>
        <w:t>Съгласно член 16, параграф 1 от Делегиран регламент (ЕС) 2019/856 на Комисията от 26 февруари 2019 г. за допълнение на Директива 2003/87/ЕО по отношение на функционирането на Фонда за иновации Комисията изпълнява дейностите в рамките на Фонда за иновации чрез пряко управление или непряко управление в съответствие със съответните разпоредби на Финансовия регламент. Съгласно член 19, параграф 3 от Регламент (ЕС) 2019/856 за всички задачи по изпълнение, извършвани от Комисията, включително чрез изпълнителна агенция на ЕС, приходите на Фонда за иновации представляват външни целеви приходи за бюджета на ЕС по смисъла на член 21, параграфи 1 и 5 от Финансовия регламент. Разходите на Фонда за иновации, включително административните му разходи, ще бъдат финансирани изцяло от външните целеви приходи, получени от продажбата на търг на квоти за емисии, и неизразходваните суми от предходната програмата NER300.</w:t>
      </w:r>
    </w:p>
    <w:p>
      <w:pPr>
        <w:spacing w:after="120"/>
        <w:jc w:val="both"/>
        <w:rPr>
          <w:noProof/>
        </w:rPr>
      </w:pPr>
      <w:r>
        <w:rPr>
          <w:noProof/>
        </w:rPr>
        <w:t>За да се даде възможност на Комисията да започне изпълнението на фонда, по-специално за да може първата покана за представяне на предложения за проекти да бъде публикувана до средата на 2020 г., в бюджета за 2020 г. трябва да бъде създадена необходимата бюджетна структура. Поради това Комисията предлага да бъдат създадени три нови бюджетни реда: един в приходната част на бюджета от раздела за Комисията — статия 6 3 7, предназначена за вписване на външните целеви приходи; два в разходната част на бюджета от раздела за Комисията — статия 34 03 01 и позиция 34 01 06 01, предназначени за покриване на оперативните и административните разходи (изцяло финансирани от външни целеви приходи), които са необходими за изпълнението на Фонда за иновации от Комисията в съответствие с член 4 от Делегиран регламент (ЕС) 2019/856 на Комисията.</w:t>
      </w:r>
    </w:p>
    <w:p>
      <w:pPr>
        <w:spacing w:before="120" w:after="120"/>
        <w:jc w:val="both"/>
        <w:rPr>
          <w:rFonts w:eastAsia="Calibri"/>
          <w:noProof/>
        </w:rPr>
      </w:pPr>
      <w:r>
        <w:rPr>
          <w:noProof/>
        </w:rPr>
        <w:t xml:space="preserve">В съответствие с член 22, параграф 1 от Финансовия регламент всички бюджетни редове, създадени за Фонда за иновации, ще имат символичен запис </w:t>
      </w:r>
      <w:r>
        <w:rPr>
          <w:i/>
          <w:noProof/>
        </w:rPr>
        <w:t>pro memoria</w:t>
      </w:r>
      <w:r>
        <w:rPr>
          <w:noProof/>
        </w:rPr>
        <w:t xml:space="preserve"> (p.m.). Бюджетните забележки, предложени за тези нови редове, се съдържат в бюджетното приложение. Предложената бюджетна структура ще даде възможност за докладване за изпълнението на Фонда за иновации в рамките на годишните отчети.</w:t>
      </w:r>
    </w:p>
    <w:p>
      <w:pPr>
        <w:keepNext/>
        <w:tabs>
          <w:tab w:val="left" w:pos="850"/>
        </w:tabs>
        <w:spacing w:before="360" w:after="120"/>
        <w:ind w:left="720" w:hanging="720"/>
        <w:jc w:val="both"/>
        <w:outlineLvl w:val="1"/>
        <w:rPr>
          <w:rFonts w:eastAsia="Calibri"/>
          <w:b/>
          <w:noProof/>
        </w:rPr>
      </w:pPr>
      <w:bookmarkStart w:id="16" w:name="_Toc22911256"/>
      <w:r>
        <w:rPr>
          <w:b/>
          <w:noProof/>
        </w:rPr>
        <w:t xml:space="preserve">5.2 </w:t>
      </w:r>
      <w:r>
        <w:rPr>
          <w:b/>
          <w:noProof/>
        </w:rPr>
        <w:tab/>
        <w:t>Агенция на Европейския съюз за оперативното управление на широкомащабни информационни системи в пространството на свобода, сигурност и правосъдие (eu-LISA)</w:t>
      </w:r>
      <w:bookmarkEnd w:id="16"/>
    </w:p>
    <w:p>
      <w:pPr>
        <w:jc w:val="both"/>
        <w:rPr>
          <w:noProof/>
        </w:rPr>
      </w:pPr>
      <w:r>
        <w:rPr>
          <w:noProof/>
        </w:rPr>
        <w:t xml:space="preserve">В резултат на техническа грешка бюджетните кредити за плащания за тази позиция, публикувани в ПБ за 2020 г., не отговаряха на нуждите на агенцията, представени в Работен документ III, приложен към предварителния разчет за 2020 г. Затова се предлага намаляване на бюджетните кредити за плащания за eu-LISA с 21,8 милиона евро, което дава обща сума от 196 милиона евро, съответстваща на действителните нужди на агенцията за 2020 г. </w:t>
      </w:r>
    </w:p>
    <w:tbl>
      <w:tblPr>
        <w:tblW w:w="10031" w:type="dxa"/>
        <w:jc w:val="center"/>
        <w:tblLayout w:type="fixed"/>
        <w:tblCellMar>
          <w:left w:w="40" w:type="dxa"/>
          <w:right w:w="40" w:type="dxa"/>
        </w:tblCellMar>
        <w:tblLook w:val="0000" w:firstRow="0" w:lastRow="0" w:firstColumn="0" w:lastColumn="0" w:noHBand="0" w:noVBand="0"/>
      </w:tblPr>
      <w:tblGrid>
        <w:gridCol w:w="68"/>
        <w:gridCol w:w="1350"/>
        <w:gridCol w:w="4502"/>
        <w:gridCol w:w="1842"/>
        <w:gridCol w:w="2125"/>
        <w:gridCol w:w="144"/>
      </w:tblGrid>
      <w:tr>
        <w:trPr>
          <w:gridBefore w:val="1"/>
          <w:gridAfter w:val="1"/>
          <w:wBefore w:w="68" w:type="dxa"/>
          <w:wAfter w:w="144" w:type="dxa"/>
          <w:trHeight w:val="164"/>
          <w:tblHeader/>
          <w:jc w:val="center"/>
        </w:trPr>
        <w:tc>
          <w:tcPr>
            <w:tcW w:w="9819" w:type="dxa"/>
            <w:gridSpan w:val="4"/>
            <w:tcBorders>
              <w:bottom w:val="single" w:sz="4" w:space="0" w:color="auto"/>
            </w:tcBorders>
            <w:shd w:val="clear" w:color="auto" w:fill="FFFFFF"/>
            <w:vAlign w:val="center"/>
          </w:tcPr>
          <w:p>
            <w:pPr>
              <w:jc w:val="right"/>
              <w:rPr>
                <w:i/>
                <w:iCs/>
                <w:noProof/>
                <w:sz w:val="16"/>
                <w:szCs w:val="16"/>
              </w:rPr>
            </w:pPr>
            <w:r>
              <w:rPr>
                <w:i/>
                <w:iCs/>
                <w:noProof/>
                <w:sz w:val="16"/>
                <w:szCs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502" w:type="dxa"/>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842"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2269" w:type="dxa"/>
            <w:gridSpan w:val="2"/>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18" w:type="dxa"/>
            <w:gridSpan w:val="2"/>
            <w:vAlign w:val="center"/>
          </w:tcPr>
          <w:p>
            <w:pPr>
              <w:jc w:val="center"/>
              <w:rPr>
                <w:noProof/>
                <w:sz w:val="20"/>
                <w:szCs w:val="20"/>
              </w:rPr>
            </w:pPr>
            <w:r>
              <w:rPr>
                <w:noProof/>
                <w:sz w:val="20"/>
                <w:szCs w:val="20"/>
              </w:rPr>
              <w:t>18 02 07</w:t>
            </w:r>
          </w:p>
        </w:tc>
        <w:tc>
          <w:tcPr>
            <w:tcW w:w="4502" w:type="dxa"/>
          </w:tcPr>
          <w:p>
            <w:pPr>
              <w:widowControl w:val="0"/>
              <w:tabs>
                <w:tab w:val="left" w:pos="1350"/>
              </w:tabs>
              <w:spacing w:before="15" w:after="15"/>
              <w:jc w:val="both"/>
              <w:rPr>
                <w:noProof/>
                <w:sz w:val="20"/>
                <w:szCs w:val="20"/>
              </w:rPr>
            </w:pPr>
            <w:r>
              <w:rPr>
                <w:noProof/>
                <w:sz w:val="20"/>
                <w:szCs w:val="20"/>
              </w:rPr>
              <w:t>Агенция на Европейския съюз за оперативното управление на широкомащабни информационни системи в пространството на свобода, сигурност и правосъдие (eu-LISA)</w:t>
            </w:r>
          </w:p>
        </w:tc>
        <w:tc>
          <w:tcPr>
            <w:tcW w:w="1842" w:type="dxa"/>
            <w:vAlign w:val="center"/>
          </w:tcPr>
          <w:p>
            <w:pPr>
              <w:widowControl w:val="0"/>
              <w:spacing w:before="15" w:after="15"/>
              <w:jc w:val="right"/>
              <w:rPr>
                <w:noProof/>
                <w:sz w:val="20"/>
                <w:szCs w:val="20"/>
              </w:rPr>
            </w:pPr>
            <w:r>
              <w:rPr>
                <w:noProof/>
                <w:sz w:val="20"/>
                <w:szCs w:val="20"/>
              </w:rPr>
              <w:t>-</w:t>
            </w:r>
          </w:p>
        </w:tc>
        <w:tc>
          <w:tcPr>
            <w:tcW w:w="2269" w:type="dxa"/>
            <w:gridSpan w:val="2"/>
            <w:vAlign w:val="center"/>
          </w:tcPr>
          <w:p>
            <w:pPr>
              <w:widowControl w:val="0"/>
              <w:spacing w:before="15" w:after="15"/>
              <w:jc w:val="right"/>
              <w:rPr>
                <w:noProof/>
                <w:sz w:val="20"/>
                <w:szCs w:val="20"/>
              </w:rPr>
            </w:pPr>
            <w:r>
              <w:rPr>
                <w:noProof/>
                <w:sz w:val="20"/>
                <w:szCs w:val="20"/>
              </w:rPr>
              <w:t>-21 794 627</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5920" w:type="dxa"/>
            <w:gridSpan w:val="3"/>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842" w:type="dxa"/>
            <w:shd w:val="clear" w:color="auto" w:fill="D9D9D9"/>
          </w:tcPr>
          <w:p>
            <w:pPr>
              <w:widowControl w:val="0"/>
              <w:spacing w:before="15" w:after="15"/>
              <w:jc w:val="right"/>
              <w:rPr>
                <w:b/>
                <w:noProof/>
                <w:sz w:val="20"/>
                <w:szCs w:val="20"/>
              </w:rPr>
            </w:pPr>
            <w:r>
              <w:rPr>
                <w:b/>
                <w:noProof/>
                <w:sz w:val="20"/>
                <w:szCs w:val="20"/>
              </w:rPr>
              <w:t>-</w:t>
            </w:r>
          </w:p>
        </w:tc>
        <w:tc>
          <w:tcPr>
            <w:tcW w:w="2269" w:type="dxa"/>
            <w:gridSpan w:val="2"/>
            <w:shd w:val="clear" w:color="auto" w:fill="D9D9D9"/>
          </w:tcPr>
          <w:p>
            <w:pPr>
              <w:widowControl w:val="0"/>
              <w:spacing w:before="15" w:after="15"/>
              <w:jc w:val="right"/>
              <w:rPr>
                <w:b/>
                <w:noProof/>
                <w:sz w:val="20"/>
                <w:szCs w:val="20"/>
              </w:rPr>
            </w:pPr>
            <w:r>
              <w:rPr>
                <w:b/>
                <w:noProof/>
                <w:sz w:val="20"/>
                <w:szCs w:val="20"/>
              </w:rPr>
              <w:t>-21 794 627</w:t>
            </w:r>
          </w:p>
        </w:tc>
      </w:tr>
    </w:tbl>
    <w:p>
      <w:pPr>
        <w:spacing w:after="200" w:line="276" w:lineRule="auto"/>
        <w:rPr>
          <w:rFonts w:eastAsia="Calibri"/>
          <w:b/>
          <w:noProof/>
        </w:rPr>
      </w:pPr>
      <w:r>
        <w:rPr>
          <w:noProof/>
        </w:rPr>
        <w:br w:type="page"/>
      </w:r>
    </w:p>
    <w:p>
      <w:pPr>
        <w:pStyle w:val="ManualHeading1"/>
        <w:spacing w:before="240"/>
        <w:rPr>
          <w:noProof/>
        </w:rPr>
      </w:pPr>
      <w:bookmarkStart w:id="17" w:name="_Toc22911257"/>
      <w:r>
        <w:rPr>
          <w:noProof/>
        </w:rPr>
        <w:t>6.</w:t>
      </w:r>
      <w:r>
        <w:rPr>
          <w:noProof/>
        </w:rPr>
        <w:tab/>
        <w:t>Обобщаваща таблица по функции от МФР</w:t>
      </w:r>
      <w:bookmarkEnd w:id="17"/>
    </w:p>
    <w:tbl>
      <w:tblPr>
        <w:tblW w:w="10900" w:type="dxa"/>
        <w:jc w:val="center"/>
        <w:tblLook w:val="04A0" w:firstRow="1" w:lastRow="0" w:firstColumn="1" w:lastColumn="0" w:noHBand="0" w:noVBand="1"/>
      </w:tblPr>
      <w:tblGrid>
        <w:gridCol w:w="359"/>
        <w:gridCol w:w="2779"/>
        <w:gridCol w:w="1347"/>
        <w:gridCol w:w="1345"/>
        <w:gridCol w:w="1190"/>
        <w:gridCol w:w="1188"/>
        <w:gridCol w:w="1347"/>
        <w:gridCol w:w="1345"/>
      </w:tblGrid>
      <w:tr>
        <w:trPr>
          <w:trHeight w:val="210"/>
          <w:jc w:val="center"/>
        </w:trPr>
        <w:tc>
          <w:tcPr>
            <w:tcW w:w="30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Функция</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Проектобюджет за 2020 г.</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Писмо за внасяне на корекции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Проектобюджет за 2020 г.</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 </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sz w:val="14"/>
                <w:szCs w:val="14"/>
              </w:rPr>
              <w:t>(вкл. ПВК 1/2020)</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БКП</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БКПЗ</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БКП</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sz w:val="14"/>
                <w:szCs w:val="14"/>
              </w:rPr>
              <w:t>БКП</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1.</w:t>
            </w:r>
          </w:p>
        </w:tc>
        <w:tc>
          <w:tcPr>
            <w:tcW w:w="28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Интелигентен и приобщаващ растеж</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83 328 329 504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72 150 922 336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83 328 329 504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72 150 922 336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 xml:space="preserve">Таван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sz w:val="14"/>
                <w:szCs w:val="14"/>
              </w:rPr>
              <w:t>1a</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sz w:val="14"/>
                <w:szCs w:val="14"/>
              </w:rPr>
              <w:t>Конкурентоспособност за растеж и работни места</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24 716 438 982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22 108 515 486</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24 716 438 982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22 108 515 486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474 561 018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sz w:val="14"/>
                <w:szCs w:val="14"/>
              </w:rPr>
              <w:t xml:space="preserve">1б </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sz w:val="14"/>
                <w:szCs w:val="14"/>
              </w:rPr>
              <w:t>Икономическо, социално и териториално сближаване</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58 611 890 522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50 042 406 850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58 611 890 522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50 042 406 850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141 890 522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2.</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Устойчив растеж: природни ресурси</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59 994 906 170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58 014 263 718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- 49 700 000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- 49 700 000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59 945 206 170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57 964 563 718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426 093 830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475 793 830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34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sz w:val="14"/>
                <w:szCs w:val="14"/>
              </w:rPr>
              <w:t>От който: Европейски фонд за гарантиране на земеделието (ЕФГЗ) — Разходи, свързани с пазара, и преки плащания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43 531 805 687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43 501 731 798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- 49 700 000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- 49 700 000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43 482 105 687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43 452 031 798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Разлика от закръгляне, изключена от изчислението на маржа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3.</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Сигурност и гражданство</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3 729 074 489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3 723 911 857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- 21 794 627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3 729 074 489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3 702 117 230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778 074 489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778 074 489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4.</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Глобална Европа</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10 307 572 239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8 986 061 191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10 307 572 239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8 986 061 191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202 427 761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202 427 761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sz w:val="14"/>
                <w:szCs w:val="14"/>
              </w:rPr>
              <w:t>5.</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Администрация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10 324 060 577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10 327 063 787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16 118 589</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16 118 589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10 340 179 166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10 343 182 376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677 939 423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661 820 834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360"/>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sz w:val="14"/>
                <w:szCs w:val="14"/>
              </w:rPr>
              <w:t>От който: Административни разходи на институциите</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7 985 277 215</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7 988 280 425</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xml:space="preserve"> 16 118 589</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 xml:space="preserve"> 16 118 589</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8 001 395 804</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sz w:val="14"/>
                <w:szCs w:val="14"/>
              </w:rPr>
              <w:t>8 004 399 014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833 722 785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xml:space="preserve"> 817 604 196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sz w:val="14"/>
                <w:szCs w:val="14"/>
              </w:rPr>
              <w:t> </w:t>
            </w:r>
          </w:p>
        </w:tc>
      </w:tr>
      <w:tr>
        <w:trPr>
          <w:trHeight w:val="225"/>
          <w:jc w:val="center"/>
        </w:trPr>
        <w:tc>
          <w:tcPr>
            <w:tcW w:w="30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sz w:val="14"/>
                <w:szCs w:val="14"/>
              </w:rPr>
              <w:t>Общо</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167 683 942 979</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153 202 222 889</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- 33 581 411</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- 55 376 038</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167 650 361 568</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153 146 846 851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- 14 914 951</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834 864 246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141 890 522</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141 890 522</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Таван</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172 420 000 000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172 420 000 000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r>
      <w:tr>
        <w:trPr>
          <w:trHeight w:val="225"/>
          <w:jc w:val="center"/>
        </w:trPr>
        <w:tc>
          <w:tcPr>
            <w:tcW w:w="30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sz w:val="14"/>
                <w:szCs w:val="14"/>
              </w:rPr>
              <w:t>Марж</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1 781 022 032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20 067 556 308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1 814 603 443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sz w:val="14"/>
                <w:szCs w:val="14"/>
              </w:rPr>
              <w:t>20 108 017 395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sz w:val="14"/>
                <w:szCs w:val="14"/>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sz w:val="14"/>
                <w:szCs w:val="14"/>
              </w:rPr>
              <w:t>Други специални инструменти</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50 000 000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50 000 000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637 763 000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sz w:val="14"/>
                <w:szCs w:val="14"/>
              </w:rPr>
              <w:t xml:space="preserve"> 468 500 000</w:t>
            </w:r>
          </w:p>
        </w:tc>
      </w:tr>
      <w:tr>
        <w:trPr>
          <w:trHeight w:val="225"/>
          <w:jc w:val="center"/>
        </w:trPr>
        <w:tc>
          <w:tcPr>
            <w:tcW w:w="30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sz w:val="14"/>
                <w:szCs w:val="14"/>
              </w:rPr>
              <w:t>Всичко общо</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168 271 705 979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153 620 722 889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xml:space="preserve"> 16 418 589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- 5 376 038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168 288 124 568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sz w:val="14"/>
                <w:szCs w:val="14"/>
              </w:rPr>
              <w:t>153 615 346 851</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851" w:right="1021" w:bottom="851" w:left="1021" w:header="280"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rPr>
    </w:pPr>
  </w:p>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11</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r>
      <w:r>
        <w:rPr>
          <w:sz w:val="18"/>
          <w:szCs w:val="18"/>
        </w:rPr>
        <w:t>ОВ L 193, 30.7.2018 г., стр. 1.</w:t>
      </w:r>
    </w:p>
  </w:footnote>
  <w:footnote w:id="3">
    <w:p>
      <w:pPr>
        <w:pStyle w:val="FootnoteText"/>
      </w:pPr>
      <w:r>
        <w:rPr>
          <w:rStyle w:val="FootnoteReference"/>
        </w:rPr>
        <w:footnoteRef/>
      </w:r>
      <w:r>
        <w:tab/>
      </w:r>
      <w:r>
        <w:rPr>
          <w:sz w:val="18"/>
          <w:szCs w:val="18"/>
        </w:rPr>
        <w:t>COM(2019) 400, 5.7.2019 г.</w:t>
      </w:r>
    </w:p>
  </w:footnote>
  <w:footnote w:id="4">
    <w:p>
      <w:pPr>
        <w:pStyle w:val="FootnoteText"/>
      </w:pPr>
      <w:r>
        <w:rPr>
          <w:rStyle w:val="FootnoteReference"/>
        </w:rPr>
        <w:footnoteRef/>
      </w:r>
      <w:r>
        <w:t xml:space="preserve"> </w:t>
      </w:r>
      <w:r>
        <w:tab/>
        <w:t>Нуждите възлизат на 43 482,1 милиона евро нови бюджетни кредити плюс 999,0 милиона евро целеви приходи.</w:t>
      </w:r>
    </w:p>
  </w:footnote>
  <w:footnote w:id="5">
    <w:p>
      <w:pPr>
        <w:pStyle w:val="FootnoteText"/>
      </w:pPr>
      <w:r>
        <w:rPr>
          <w:rStyle w:val="FootnoteReference"/>
        </w:rPr>
        <w:footnoteRef/>
      </w:r>
      <w:r>
        <w:t xml:space="preserve"> </w:t>
      </w:r>
      <w:r>
        <w:tab/>
        <w:t xml:space="preserve">Тази прогноза се основава на декларациите за действителните разходи, получени от държавите членки до август 2019 г., допълнени от прогнози за периода 1.9.2019 г.—15.10.2019 г. Пълната информация за действителните разходи за оставащия период ще е налична в края на октомври / началото на ноември 2019 г. </w:t>
      </w:r>
    </w:p>
  </w:footnote>
  <w:footnote w:id="6">
    <w:p>
      <w:pPr>
        <w:pStyle w:val="FootnoteText"/>
      </w:pPr>
      <w:r>
        <w:rPr>
          <w:rStyle w:val="FootnoteReference"/>
        </w:rPr>
        <w:footnoteRef/>
      </w:r>
      <w:r>
        <w:t xml:space="preserve"> </w:t>
      </w:r>
      <w:r>
        <w:tab/>
        <w:t>Ставката на корекция за директните плащания във връзка с механизма за финансова дисциплина по отношение на календарната 2019 г. е определена в Регламент за изпълнение (ЕС) 2019/916 на Комисията. Комисията ще актуализира тази ставка, като вземе предвид измененията, предложени в настоящото ПВК.</w:t>
      </w:r>
    </w:p>
  </w:footnote>
  <w:footnote w:id="7">
    <w:p>
      <w:pPr>
        <w:pStyle w:val="FootnoteText"/>
      </w:pPr>
      <w:r>
        <w:rPr>
          <w:rStyle w:val="FootnoteReference"/>
        </w:rPr>
        <w:footnoteRef/>
      </w:r>
      <w:r>
        <w:t xml:space="preserve"> </w:t>
      </w:r>
      <w:r>
        <w:tab/>
        <w:t>COM(2019) 399 final, 4.9.2019 г.</w:t>
      </w:r>
    </w:p>
  </w:footnote>
  <w:footnote w:id="8">
    <w:p>
      <w:pPr>
        <w:pStyle w:val="FootnoteText"/>
      </w:pPr>
      <w:r>
        <w:rPr>
          <w:rStyle w:val="FootnoteReference"/>
        </w:rPr>
        <w:footnoteRef/>
      </w:r>
      <w:r>
        <w:t xml:space="preserve"> </w:t>
      </w:r>
      <w:r>
        <w:tab/>
        <w:t>COM(2019) 461 final, 4.9.2019 г.</w:t>
      </w:r>
    </w:p>
  </w:footnote>
  <w:footnote w:id="9">
    <w:p>
      <w:pPr>
        <w:pStyle w:val="FootnoteText"/>
      </w:pPr>
      <w:r>
        <w:rPr>
          <w:rStyle w:val="FootnoteReference"/>
        </w:rPr>
        <w:footnoteRef/>
      </w:r>
      <w:r>
        <w:t xml:space="preserve"> </w:t>
      </w:r>
      <w:r>
        <w:tab/>
        <w:t>ОВ C 373, 20.12.2013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1">
    <w:nsid w:val="3A7730C4"/>
    <w:multiLevelType w:val="singleLevel"/>
    <w:tmpl w:val="0809000F"/>
    <w:lvl w:ilvl="0">
      <w:start w:val="1"/>
      <w:numFmt w:val="decimal"/>
      <w:pStyle w:val="ManualHeading2"/>
      <w:lvlText w:val="%1."/>
      <w:lvlJc w:val="left"/>
      <w:pPr>
        <w:ind w:left="720" w:hanging="360"/>
      </w:pPr>
    </w:lvl>
  </w:abstractNum>
  <w:abstractNum w:abstractNumId="12">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0"/>
  </w:num>
  <w:num w:numId="5">
    <w:abstractNumId w:val="11"/>
  </w:num>
  <w:num w:numId="6">
    <w:abstractNumId w:val="7"/>
  </w:num>
  <w:num w:numId="7">
    <w:abstractNumId w:val="17"/>
  </w:num>
  <w:num w:numId="8">
    <w:abstractNumId w:val="4"/>
  </w:num>
  <w:num w:numId="9">
    <w:abstractNumId w:val="19"/>
  </w:num>
  <w:num w:numId="10">
    <w:abstractNumId w:val="14"/>
  </w:num>
  <w:num w:numId="11">
    <w:abstractNumId w:val="12"/>
  </w:num>
  <w:num w:numId="12">
    <w:abstractNumId w:val="6"/>
  </w:num>
  <w:num w:numId="13">
    <w:abstractNumId w:val="3"/>
  </w:num>
  <w:num w:numId="14">
    <w:abstractNumId w:val="2"/>
  </w:num>
  <w:num w:numId="15">
    <w:abstractNumId w:val="18"/>
  </w:num>
  <w:num w:numId="16">
    <w:abstractNumId w:val="22"/>
  </w:num>
  <w:num w:numId="17">
    <w:abstractNumId w:val="8"/>
  </w:num>
  <w:num w:numId="18">
    <w:abstractNumId w:val="9"/>
  </w:num>
  <w:num w:numId="19">
    <w:abstractNumId w:val="15"/>
  </w:num>
  <w:num w:numId="20">
    <w:abstractNumId w:val="5"/>
  </w:num>
  <w:num w:numId="21">
    <w:abstractNumId w:val="21"/>
  </w:num>
  <w:num w:numId="22">
    <w:abstractNumId w:val="13"/>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5D069E-961E-4FB8-8FA9-B1FE8D3EA8A5"/>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0?\u1082?\u1090?\u1091?\u1072?\u1083?\u1080?\u1079?\u1080?\u1088?\u1072?\u1085?\u1080? \u1087?\u1088?\u1086?\u1075?\u1085?\u1086?\u1079?\u1085?\u1080? \u1085?\u1091?\u1078?\u1076?\u1080? \u1079?\u1072? \u1089?\u1077?\u1083?\u1089?\u1082?\u1086?\u1089?\u1090?\u1086?\u1087?\u1072?\u1085?\u1089?\u1082?\u1080?\u1090?\u1077? \u1088?\u1072?\u1079?\u1093?\u1086?\u1076?\u1080?&lt;/FMT&gt;&lt;FMT:Font=Calibri&gt;_x000d__x000d__x000d__x000d__x000d__x000d__x000d__x000d__x000d__x000d__x000d_&lt;/FMT&gt;_x000b_\u1050?\u1086?\u1088?\u1077?\u1082?\u1094?\u1080?\u1080?, \u1086?\u1090?\u1085?\u1072?\u1089?\u1103?\u1097?\u1080? \u1089?\u1077? \u1076?\u1086? \u1079?\u1072?\u1082?\u1086?\u1085?\u1086?\u1076?\u1072?\u1090?\u1077?\u1083?\u1085?\u1080?\u1090?\u1077? \u1087?\u1088?\u1077?\u1076?\u1083?\u1086?\u1078?\u1077?\u1085?\u1080?\u1103?, \u1074?\u1082?\u1083?\u1102?\u1095?\u1077?\u1085?\u1080? \u1074? \u1087?\u1072?\u1082?\u1077?\u1090?\u1072? \u1079?\u1072? \u1075?\u1086?\u1090?\u1086?\u1074?\u1085?\u1086?\u1089?\u1090? \u1079?\u1072? \u1041?\u1088?\u1077?\u1082?\u1089?\u1080?\u1090?, \u1086?\u1090? 4 \u1089?\u1077?\u1087?\u1090?\u1077?\u1084?\u1074?\u1088?\u1080? 2019 \u1075?.&lt;FMT:Font=Calibri&gt;_x000d__x000d__x000d__x000d_&lt;/FMT&gt;_x000b_&lt;FMT:Font=Calibri&gt;_x000d__x000d_&lt;/FMT&gt;&lt;FMT:Font=Calibri Cyr&gt;\u1059?\u1074?\u1077?\u1083?\u1080?\u1095?\u1072?\u1074?\u1072?\u1085?\u1077? \u1085?\u1072? \u1072?\u1076?\u1084?\u1080?\u1085?\u1080?\u1089?\u1090?\u1088?\u1072?\u1090?\u1080?\u1074?\u1085?\u1080?\u1090?\u1077? \u1073?\u1102?\u1076?\u1078?\u1077?\u1090?\u1080? \u1080? \u1076?\u1088?\u1091?\u1075?\u1080? \u1072?\u1082?\u1090?\u1091?\u1072?\u1083?\u1080?\u1079?\u1072?\u1094?\u1080?\u1080? \u1074?\u1098?\u1079? \u1086?\u1089?\u1085?\u1086?\u1074?\u1072? \u1085?\u1072? \u1087?\u1086?\u1089?\u1083?\u1077?\u1076?\u1085?\u1080?\u1090?\u1077? \u1088?\u1072?\u1079?\u1074?\u1080?\u1090?\u1080?\u1103?&lt;/FMT&gt;&lt;FMT:Font=Calibri&gt;_x000d__x000d__x000d__x000d__x000d__x000d__x000d__x000d__x000d__x000d_&lt;/FMT&gt;_x000b_\u1050?\u1086?\u1088?\u1077?\u1082?\u1094?\u1080?\u1103? \u1085?\u1072? \u1091?\u1089?\u1090?\u1088?\u1086?\u1081?\u1089?\u1090?\u1074?\u1086?\u1090?\u1086? \u1085?\u1072? \u1073?\u1102?\u1076?\u1078?\u1077?\u1090?\u1072? \u1080? \u1090?\u1077?\u1093?\u1085?\u1080?\u1095?\u1077?\u1089?\u1082?\u1072? \u1082?\u1086?\u1088?\u1077?\u1082?\u1094?\u1080?\u1103?&lt;FMT:Font=Calibri&gt;_x000d__x000d__x000d__x000d__x000d__x000d__x000d__x000d__x000d__x000d__x000d_&lt;/FMT&gt;_x000b_&lt;FMT:Font=Calibri&gt;_x000d__x000d__x000d__x000d__x000d__x000d__x000d__x000d__x000d__x000d__x000d_&lt;/FMT&gt;_x000b_"/>
    <w:docVar w:name="LW_TYPE.DOC.CP" w:val="\u1055?\u1048?\u1057?\u1052?\u1054? \u1047?\u1040? \u1042?\u1053?\u1040?\u1057?\u1071?\u1053?\u1045? \u1053?\u1040? \u1050?\u1054?\u1056?\u1045?\u1050?\u1062?\u1048?\u1048? \u8470? 1 \u1042? \u1055?\u1056?\u1054?\u1045?\u1050?\u1058?\u1040? \u1053?\u1040? \u1054?\u1041?\u1065? \u1041?\u1070?\u1044?\u1046?\u1045?\u1058? \u1047?\u1040? 2020 \u107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bg-BG"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bg-BG"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bg-BG"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bg-BG"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2D47-224A-4034-A1C7-5D87EF41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5008</Words>
  <Characters>25494</Characters>
  <Application>Microsoft Office Word</Application>
  <DocSecurity>0</DocSecurity>
  <Lines>910</Lines>
  <Paragraphs>564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2019-10-09T16:22:00Z</dcterms:created>
  <dcterms:modified xsi:type="dcterms:W3CDTF">2019-10-28T12:21:00Z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