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C2204E97-AABC-4EDF-A3CD-C37EA502FF44" style="width:450.75pt;height:361.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rPr>
          <w:noProof/>
        </w:rPr>
      </w:pPr>
      <w:bookmarkStart w:id="1" w:name="_GoBack"/>
      <w:bookmarkEnd w:id="1"/>
      <w:r>
        <w:rPr>
          <w:noProof/>
        </w:rPr>
        <w:lastRenderedPageBreak/>
        <w:t>Vu:</w:t>
      </w:r>
    </w:p>
    <w:p>
      <w:pPr>
        <w:pStyle w:val="Tiret0"/>
        <w:tabs>
          <w:tab w:val="clear" w:pos="850"/>
          <w:tab w:val="num" w:pos="1004"/>
        </w:tabs>
        <w:rPr>
          <w:noProof/>
        </w:rPr>
      </w:pPr>
      <w:r>
        <w:rPr>
          <w:noProof/>
        </w:rPr>
        <w:t>le traité sur le fonctionnement de l'Union européenne, et notamment son article 314, lu en combinaison avec le traité instituant la Communauté européenne de l'énergie atomique, et notamment son article 106 </w:t>
      </w:r>
      <w:r>
        <w:rPr>
          <w:i/>
          <w:iCs/>
          <w:noProof/>
        </w:rPr>
        <w:t>bis</w:t>
      </w:r>
      <w:r>
        <w:rPr>
          <w:noProof/>
        </w:rPr>
        <w:t>,</w:t>
      </w:r>
    </w:p>
    <w:p>
      <w:pPr>
        <w:pStyle w:val="Tiret0"/>
        <w:tabs>
          <w:tab w:val="clear" w:pos="850"/>
          <w:tab w:val="num" w:pos="927"/>
        </w:tabs>
        <w:rPr>
          <w:rFonts w:cs="Arial"/>
          <w:noProof/>
          <w:szCs w:val="18"/>
        </w:rPr>
      </w:pPr>
      <w:r>
        <w:rPr>
          <w:noProof/>
        </w:rPr>
        <w:t>le règlement (UE, Euratom) 2018/1046 du Parlement européen et du Conseil du 18 juillet 2018 relatif aux règles financières applicables au budget général de l'Union [...]</w:t>
      </w:r>
      <w:r>
        <w:rPr>
          <w:rStyle w:val="FootnoteReference"/>
          <w:noProof/>
        </w:rPr>
        <w:footnoteReference w:id="2"/>
      </w:r>
      <w:r>
        <w:rPr>
          <w:noProof/>
        </w:rPr>
        <w:t>, et notamment son article 42,</w:t>
      </w:r>
    </w:p>
    <w:p>
      <w:pPr>
        <w:pStyle w:val="Tiret0"/>
        <w:tabs>
          <w:tab w:val="clear" w:pos="850"/>
          <w:tab w:val="num" w:pos="927"/>
        </w:tabs>
        <w:rPr>
          <w:noProof/>
        </w:rPr>
      </w:pPr>
      <w:r>
        <w:rPr>
          <w:noProof/>
        </w:rPr>
        <w:t>le projet de budget général de l'Union européenne pour l'exercice 2020, adopté par la Commission le 5 juillet 2019</w:t>
      </w:r>
      <w:r>
        <w:rPr>
          <w:rStyle w:val="FootnoteReference"/>
          <w:noProof/>
        </w:rPr>
        <w:footnoteReference w:id="3"/>
      </w:r>
      <w:r>
        <w:rPr>
          <w:noProof/>
        </w:rPr>
        <w:t>,</w:t>
      </w:r>
    </w:p>
    <w:p>
      <w:pPr>
        <w:spacing w:after="600"/>
        <w:jc w:val="both"/>
        <w:rPr>
          <w:noProof/>
        </w:rPr>
      </w:pPr>
      <w:r>
        <w:rPr>
          <w:noProof/>
        </w:rPr>
        <w:t>la Commission européenne présente ci-après au Parlement européen et au Conseil la lettre rectificative nº 1 au projet de budget général de l'Union européenne pour l'exercice 2020, pour les raisons énoncées dans l'exposé des motifs.</w:t>
      </w:r>
    </w:p>
    <w:p>
      <w:pPr>
        <w:spacing w:after="240"/>
        <w:jc w:val="both"/>
        <w:rPr>
          <w:b/>
          <w:noProof/>
          <w:u w:val="single"/>
        </w:rPr>
      </w:pPr>
      <w:r>
        <w:rPr>
          <w:b/>
          <w:noProof/>
          <w:u w:val="single"/>
        </w:rPr>
        <w:t>MODIFICATIONS À L’ÉTAT DES RECETTES ET DES DÉPENSES PAR SECTION</w:t>
      </w:r>
    </w:p>
    <w:p>
      <w:pPr>
        <w:jc w:val="both"/>
        <w:rPr>
          <w:noProof/>
        </w:rPr>
      </w:pPr>
      <w:r>
        <w:rPr>
          <w:noProof/>
        </w:rPr>
        <w:t>Les modifications apportées à l'état des recettes et des dépenses par section sont disponibles sur EUR-Lex (</w:t>
      </w:r>
      <w:hyperlink r:id="rId16" w:history="1">
        <w:r>
          <w:rPr>
            <w:rStyle w:val="Hyperlink"/>
            <w:noProof/>
            <w:color w:val="auto"/>
          </w:rPr>
          <w:t>http://eur-lex.europa.eu/budget/www/index-fr.htm</w:t>
        </w:r>
      </w:hyperlink>
      <w:r>
        <w:rPr>
          <w:noProof/>
        </w:rPr>
        <w:t>). Une version en anglais de ces modifications est jointe à titre indicatif comme annexe budgétaire.</w:t>
      </w:r>
    </w:p>
    <w:p>
      <w:pPr>
        <w:rPr>
          <w:noProof/>
        </w:rPr>
        <w:sectPr>
          <w:headerReference w:type="even" r:id="rId17"/>
          <w:headerReference w:type="default" r:id="rId18"/>
          <w:footerReference w:type="even" r:id="rId19"/>
          <w:footerReference w:type="default" r:id="rId20"/>
          <w:headerReference w:type="first" r:id="rId21"/>
          <w:footerReference w:type="first" r:id="rId22"/>
          <w:pgSz w:w="11907" w:h="16839"/>
          <w:pgMar w:top="1418" w:right="1418" w:bottom="1418" w:left="1418" w:header="709" w:footer="709" w:gutter="0"/>
          <w:cols w:space="720"/>
          <w:docGrid w:linePitch="360"/>
        </w:sectPr>
      </w:pPr>
    </w:p>
    <w:p>
      <w:pPr>
        <w:pStyle w:val="TOCHeading"/>
        <w:rPr>
          <w:noProof/>
        </w:rPr>
      </w:pPr>
      <w:r>
        <w:rPr>
          <w:noProof/>
        </w:rPr>
        <w:t>TABLE DES MATIÈRES</w:t>
      </w:r>
    </w:p>
    <w:p>
      <w:pPr>
        <w:pStyle w:val="TOC1"/>
        <w:tabs>
          <w:tab w:val="left" w:pos="709"/>
          <w:tab w:val="right" w:leader="dot" w:pos="9061"/>
        </w:tabs>
        <w:rPr>
          <w:rFonts w:asciiTheme="minorHAnsi" w:eastAsiaTheme="minorEastAsia" w:hAnsiTheme="minorHAnsi" w:cstheme="minorBidi"/>
          <w:b w:val="0"/>
          <w:bCs w:val="0"/>
          <w:caps w:val="0"/>
          <w:noProof/>
          <w:sz w:val="22"/>
          <w:szCs w:val="22"/>
          <w:lang w:eastAsia="fr-FR"/>
        </w:rPr>
      </w:pPr>
      <w:r>
        <w:rPr>
          <w:noProof/>
        </w:rPr>
        <w:fldChar w:fldCharType="begin"/>
      </w:r>
      <w:r>
        <w:rPr>
          <w:noProof/>
        </w:rPr>
        <w:instrText xml:space="preserve"> TOC \o "1-3" \h \z \u </w:instrText>
      </w:r>
      <w:r>
        <w:rPr>
          <w:noProof/>
        </w:rPr>
        <w:fldChar w:fldCharType="separate"/>
      </w:r>
      <w:hyperlink w:anchor="_Toc22821747" w:history="1">
        <w:r>
          <w:rPr>
            <w:rStyle w:val="Hyperlink"/>
            <w:noProof/>
          </w:rPr>
          <w:t>1.</w:t>
        </w:r>
        <w:r>
          <w:rPr>
            <w:rFonts w:asciiTheme="minorHAnsi" w:eastAsiaTheme="minorEastAsia" w:hAnsiTheme="minorHAnsi" w:cstheme="minorBidi"/>
            <w:b w:val="0"/>
            <w:bCs w:val="0"/>
            <w:caps w:val="0"/>
            <w:noProof/>
            <w:sz w:val="22"/>
            <w:szCs w:val="22"/>
            <w:lang w:eastAsia="fr-FR"/>
          </w:rPr>
          <w:tab/>
        </w:r>
        <w:r>
          <w:rPr>
            <w:rStyle w:val="Hyperlink"/>
            <w:noProof/>
          </w:rPr>
          <w:t>Introduction</w:t>
        </w:r>
        <w:r>
          <w:rPr>
            <w:noProof/>
            <w:webHidden/>
          </w:rPr>
          <w:tab/>
        </w:r>
        <w:r>
          <w:rPr>
            <w:noProof/>
            <w:webHidden/>
          </w:rPr>
          <w:fldChar w:fldCharType="begin"/>
        </w:r>
        <w:r>
          <w:rPr>
            <w:noProof/>
            <w:webHidden/>
          </w:rPr>
          <w:instrText xml:space="preserve"> PAGEREF _Toc22821747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lang w:eastAsia="fr-FR"/>
        </w:rPr>
      </w:pPr>
      <w:hyperlink w:anchor="_Toc22821748" w:history="1">
        <w:r>
          <w:rPr>
            <w:rStyle w:val="Hyperlink"/>
            <w:noProof/>
          </w:rPr>
          <w:t>2.</w:t>
        </w:r>
        <w:r>
          <w:rPr>
            <w:rFonts w:asciiTheme="minorHAnsi" w:eastAsiaTheme="minorEastAsia" w:hAnsiTheme="minorHAnsi" w:cstheme="minorBidi"/>
            <w:b w:val="0"/>
            <w:bCs w:val="0"/>
            <w:caps w:val="0"/>
            <w:noProof/>
            <w:sz w:val="22"/>
            <w:szCs w:val="22"/>
            <w:lang w:eastAsia="fr-FR"/>
          </w:rPr>
          <w:tab/>
        </w:r>
        <w:r>
          <w:rPr>
            <w:rStyle w:val="Hyperlink"/>
            <w:noProof/>
          </w:rPr>
          <w:t>Fonds européen agricole de garantie</w:t>
        </w:r>
        <w:r>
          <w:rPr>
            <w:noProof/>
            <w:webHidden/>
          </w:rPr>
          <w:tab/>
        </w:r>
        <w:r>
          <w:rPr>
            <w:noProof/>
            <w:webHidden/>
          </w:rPr>
          <w:fldChar w:fldCharType="begin"/>
        </w:r>
        <w:r>
          <w:rPr>
            <w:noProof/>
            <w:webHidden/>
          </w:rPr>
          <w:instrText xml:space="preserve"> PAGEREF _Toc22821748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smallCaps w:val="0"/>
          <w:noProof/>
          <w:sz w:val="22"/>
          <w:szCs w:val="22"/>
          <w:lang w:eastAsia="fr-FR"/>
        </w:rPr>
      </w:pPr>
      <w:hyperlink w:anchor="_Toc22821749" w:history="1">
        <w:r>
          <w:rPr>
            <w:rStyle w:val="Hyperlink"/>
            <w:b/>
            <w:noProof/>
          </w:rPr>
          <w:t xml:space="preserve">2.1 </w:t>
        </w:r>
        <w:r>
          <w:rPr>
            <w:rFonts w:asciiTheme="minorHAnsi" w:eastAsiaTheme="minorEastAsia" w:hAnsiTheme="minorHAnsi" w:cstheme="minorBidi"/>
            <w:smallCaps w:val="0"/>
            <w:noProof/>
            <w:sz w:val="22"/>
            <w:szCs w:val="22"/>
            <w:lang w:eastAsia="fr-FR"/>
          </w:rPr>
          <w:tab/>
        </w:r>
        <w:r>
          <w:rPr>
            <w:rStyle w:val="Hyperlink"/>
            <w:b/>
            <w:noProof/>
          </w:rPr>
          <w:t>Vue d’ensemble</w:t>
        </w:r>
        <w:r>
          <w:rPr>
            <w:noProof/>
            <w:webHidden/>
          </w:rPr>
          <w:tab/>
        </w:r>
        <w:r>
          <w:rPr>
            <w:noProof/>
            <w:webHidden/>
          </w:rPr>
          <w:fldChar w:fldCharType="begin"/>
        </w:r>
        <w:r>
          <w:rPr>
            <w:noProof/>
            <w:webHidden/>
          </w:rPr>
          <w:instrText xml:space="preserve"> PAGEREF _Toc22821749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smallCaps w:val="0"/>
          <w:noProof/>
          <w:sz w:val="22"/>
          <w:szCs w:val="22"/>
          <w:lang w:eastAsia="fr-FR"/>
        </w:rPr>
      </w:pPr>
      <w:hyperlink w:anchor="_Toc22821750" w:history="1">
        <w:r>
          <w:rPr>
            <w:rStyle w:val="Hyperlink"/>
            <w:b/>
            <w:noProof/>
          </w:rPr>
          <w:t xml:space="preserve">2.2 </w:t>
        </w:r>
        <w:r>
          <w:rPr>
            <w:rFonts w:asciiTheme="minorHAnsi" w:eastAsiaTheme="minorEastAsia" w:hAnsiTheme="minorHAnsi" w:cstheme="minorBidi"/>
            <w:smallCaps w:val="0"/>
            <w:noProof/>
            <w:sz w:val="22"/>
            <w:szCs w:val="22"/>
            <w:lang w:eastAsia="fr-FR"/>
          </w:rPr>
          <w:tab/>
        </w:r>
        <w:r>
          <w:rPr>
            <w:rStyle w:val="Hyperlink"/>
            <w:b/>
            <w:noProof/>
          </w:rPr>
          <w:t>Observations détaillées</w:t>
        </w:r>
        <w:r>
          <w:rPr>
            <w:noProof/>
            <w:webHidden/>
          </w:rPr>
          <w:tab/>
        </w:r>
        <w:r>
          <w:rPr>
            <w:noProof/>
            <w:webHidden/>
          </w:rPr>
          <w:fldChar w:fldCharType="begin"/>
        </w:r>
        <w:r>
          <w:rPr>
            <w:noProof/>
            <w:webHidden/>
          </w:rPr>
          <w:instrText xml:space="preserve"> PAGEREF _Toc22821750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smallCaps w:val="0"/>
          <w:noProof/>
          <w:sz w:val="22"/>
          <w:szCs w:val="22"/>
          <w:lang w:eastAsia="fr-FR"/>
        </w:rPr>
      </w:pPr>
      <w:hyperlink w:anchor="_Toc22821751" w:history="1">
        <w:r>
          <w:rPr>
            <w:rStyle w:val="Hyperlink"/>
            <w:b/>
            <w:noProof/>
          </w:rPr>
          <w:t xml:space="preserve">2.3 </w:t>
        </w:r>
        <w:r>
          <w:rPr>
            <w:rFonts w:asciiTheme="minorHAnsi" w:eastAsiaTheme="minorEastAsia" w:hAnsiTheme="minorHAnsi" w:cstheme="minorBidi"/>
            <w:smallCaps w:val="0"/>
            <w:noProof/>
            <w:sz w:val="22"/>
            <w:szCs w:val="22"/>
            <w:lang w:eastAsia="fr-FR"/>
          </w:rPr>
          <w:tab/>
        </w:r>
        <w:r>
          <w:rPr>
            <w:rStyle w:val="Hyperlink"/>
            <w:b/>
            <w:noProof/>
          </w:rPr>
          <w:t>Chiffres détaillés par ligne</w:t>
        </w:r>
        <w:r>
          <w:rPr>
            <w:noProof/>
            <w:webHidden/>
          </w:rPr>
          <w:tab/>
        </w:r>
        <w:r>
          <w:rPr>
            <w:noProof/>
            <w:webHidden/>
          </w:rPr>
          <w:fldChar w:fldCharType="begin"/>
        </w:r>
        <w:r>
          <w:rPr>
            <w:noProof/>
            <w:webHidden/>
          </w:rPr>
          <w:instrText xml:space="preserve"> PAGEREF _Toc22821751 \h </w:instrText>
        </w:r>
        <w:r>
          <w:rPr>
            <w:noProof/>
            <w:webHidden/>
          </w:rPr>
        </w:r>
        <w:r>
          <w:rPr>
            <w:noProof/>
            <w:webHidden/>
          </w:rPr>
          <w:fldChar w:fldCharType="separate"/>
        </w:r>
        <w:r>
          <w:rPr>
            <w:noProof/>
            <w:webHidden/>
          </w:rPr>
          <w:t>5</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lang w:eastAsia="fr-FR"/>
        </w:rPr>
      </w:pPr>
      <w:hyperlink w:anchor="_Toc22821752" w:history="1">
        <w:r>
          <w:rPr>
            <w:rStyle w:val="Hyperlink"/>
            <w:noProof/>
          </w:rPr>
          <w:t>3.</w:t>
        </w:r>
        <w:r>
          <w:rPr>
            <w:rFonts w:asciiTheme="minorHAnsi" w:eastAsiaTheme="minorEastAsia" w:hAnsiTheme="minorHAnsi" w:cstheme="minorBidi"/>
            <w:b w:val="0"/>
            <w:bCs w:val="0"/>
            <w:caps w:val="0"/>
            <w:noProof/>
            <w:sz w:val="22"/>
            <w:szCs w:val="22"/>
            <w:lang w:eastAsia="fr-FR"/>
          </w:rPr>
          <w:tab/>
        </w:r>
        <w:r>
          <w:rPr>
            <w:rStyle w:val="Hyperlink"/>
            <w:noProof/>
          </w:rPr>
          <w:t>Ajustements liés aux propositions législatives figurant dans le paquet de mesures de préparation au Brexit du 4 septembre 2019</w:t>
        </w:r>
        <w:r>
          <w:rPr>
            <w:noProof/>
            <w:webHidden/>
          </w:rPr>
          <w:tab/>
        </w:r>
        <w:r>
          <w:rPr>
            <w:noProof/>
            <w:webHidden/>
          </w:rPr>
          <w:fldChar w:fldCharType="begin"/>
        </w:r>
        <w:r>
          <w:rPr>
            <w:noProof/>
            <w:webHidden/>
          </w:rPr>
          <w:instrText xml:space="preserve"> PAGEREF _Toc22821752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smallCaps w:val="0"/>
          <w:noProof/>
          <w:sz w:val="22"/>
          <w:szCs w:val="22"/>
          <w:lang w:eastAsia="fr-FR"/>
        </w:rPr>
      </w:pPr>
      <w:hyperlink w:anchor="_Toc22821753" w:history="1">
        <w:r>
          <w:rPr>
            <w:rStyle w:val="Hyperlink"/>
            <w:b/>
            <w:noProof/>
          </w:rPr>
          <w:t xml:space="preserve">3.1 </w:t>
        </w:r>
        <w:r>
          <w:rPr>
            <w:rFonts w:asciiTheme="minorHAnsi" w:eastAsiaTheme="minorEastAsia" w:hAnsiTheme="minorHAnsi" w:cstheme="minorBidi"/>
            <w:smallCaps w:val="0"/>
            <w:noProof/>
            <w:sz w:val="22"/>
            <w:szCs w:val="22"/>
            <w:lang w:eastAsia="fr-FR"/>
          </w:rPr>
          <w:tab/>
        </w:r>
        <w:r>
          <w:rPr>
            <w:rStyle w:val="Hyperlink"/>
            <w:b/>
            <w:noProof/>
          </w:rPr>
          <w:t>Fonds de solidarité de l'Union européenne</w:t>
        </w:r>
        <w:r>
          <w:rPr>
            <w:noProof/>
            <w:webHidden/>
          </w:rPr>
          <w:tab/>
        </w:r>
        <w:r>
          <w:rPr>
            <w:noProof/>
            <w:webHidden/>
          </w:rPr>
          <w:fldChar w:fldCharType="begin"/>
        </w:r>
        <w:r>
          <w:rPr>
            <w:noProof/>
            <w:webHidden/>
          </w:rPr>
          <w:instrText xml:space="preserve"> PAGEREF _Toc22821753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smallCaps w:val="0"/>
          <w:noProof/>
          <w:sz w:val="22"/>
          <w:szCs w:val="22"/>
          <w:lang w:eastAsia="fr-FR"/>
        </w:rPr>
      </w:pPr>
      <w:hyperlink w:anchor="_Toc22821754" w:history="1">
        <w:r>
          <w:rPr>
            <w:rStyle w:val="Hyperlink"/>
            <w:b/>
            <w:noProof/>
          </w:rPr>
          <w:t xml:space="preserve">3.2 </w:t>
        </w:r>
        <w:r>
          <w:rPr>
            <w:rFonts w:asciiTheme="minorHAnsi" w:eastAsiaTheme="minorEastAsia" w:hAnsiTheme="minorHAnsi" w:cstheme="minorBidi"/>
            <w:smallCaps w:val="0"/>
            <w:noProof/>
            <w:sz w:val="22"/>
            <w:szCs w:val="22"/>
            <w:lang w:eastAsia="fr-FR"/>
          </w:rPr>
          <w:tab/>
        </w:r>
        <w:r>
          <w:rPr>
            <w:rStyle w:val="Hyperlink"/>
            <w:b/>
            <w:noProof/>
          </w:rPr>
          <w:t>Création d’une nouvelle ligne budgétaire dans l’état général des recettes</w:t>
        </w:r>
        <w:r>
          <w:rPr>
            <w:noProof/>
            <w:webHidden/>
          </w:rPr>
          <w:tab/>
        </w:r>
        <w:r>
          <w:rPr>
            <w:noProof/>
            <w:webHidden/>
          </w:rPr>
          <w:fldChar w:fldCharType="begin"/>
        </w:r>
        <w:r>
          <w:rPr>
            <w:noProof/>
            <w:webHidden/>
          </w:rPr>
          <w:instrText xml:space="preserve"> PAGEREF _Toc22821754 \h </w:instrText>
        </w:r>
        <w:r>
          <w:rPr>
            <w:noProof/>
            <w:webHidden/>
          </w:rPr>
        </w:r>
        <w:r>
          <w:rPr>
            <w:noProof/>
            <w:webHidden/>
          </w:rPr>
          <w:fldChar w:fldCharType="separate"/>
        </w:r>
        <w:r>
          <w:rPr>
            <w:noProof/>
            <w:webHidden/>
          </w:rPr>
          <w:t>6</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lang w:eastAsia="fr-FR"/>
        </w:rPr>
      </w:pPr>
      <w:hyperlink w:anchor="_Toc22821755" w:history="1">
        <w:r>
          <w:rPr>
            <w:rStyle w:val="Hyperlink"/>
            <w:noProof/>
          </w:rPr>
          <w:t>4.</w:t>
        </w:r>
        <w:r>
          <w:rPr>
            <w:rFonts w:asciiTheme="minorHAnsi" w:eastAsiaTheme="minorEastAsia" w:hAnsiTheme="minorHAnsi" w:cstheme="minorBidi"/>
            <w:b w:val="0"/>
            <w:bCs w:val="0"/>
            <w:caps w:val="0"/>
            <w:noProof/>
            <w:sz w:val="22"/>
            <w:szCs w:val="22"/>
            <w:lang w:eastAsia="fr-FR"/>
          </w:rPr>
          <w:tab/>
        </w:r>
        <w:r>
          <w:rPr>
            <w:rStyle w:val="Hyperlink"/>
            <w:noProof/>
          </w:rPr>
          <w:t>Autres ajustements</w:t>
        </w:r>
        <w:r>
          <w:rPr>
            <w:noProof/>
            <w:webHidden/>
          </w:rPr>
          <w:tab/>
        </w:r>
        <w:r>
          <w:rPr>
            <w:noProof/>
            <w:webHidden/>
          </w:rPr>
          <w:fldChar w:fldCharType="begin"/>
        </w:r>
        <w:r>
          <w:rPr>
            <w:noProof/>
            <w:webHidden/>
          </w:rPr>
          <w:instrText xml:space="preserve"> PAGEREF _Toc22821755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smallCaps w:val="0"/>
          <w:noProof/>
          <w:sz w:val="22"/>
          <w:szCs w:val="22"/>
          <w:lang w:eastAsia="fr-FR"/>
        </w:rPr>
      </w:pPr>
      <w:hyperlink w:anchor="_Toc22821756" w:history="1">
        <w:r>
          <w:rPr>
            <w:rStyle w:val="Hyperlink"/>
            <w:b/>
            <w:noProof/>
          </w:rPr>
          <w:t xml:space="preserve">4.1 </w:t>
        </w:r>
        <w:r>
          <w:rPr>
            <w:rFonts w:asciiTheme="minorHAnsi" w:eastAsiaTheme="minorEastAsia" w:hAnsiTheme="minorHAnsi" w:cstheme="minorBidi"/>
            <w:smallCaps w:val="0"/>
            <w:noProof/>
            <w:sz w:val="22"/>
            <w:szCs w:val="22"/>
            <w:lang w:eastAsia="fr-FR"/>
          </w:rPr>
          <w:tab/>
        </w:r>
        <w:r>
          <w:rPr>
            <w:rStyle w:val="Hyperlink"/>
            <w:b/>
            <w:noProof/>
          </w:rPr>
          <w:t>Section I – Parlement européen</w:t>
        </w:r>
        <w:r>
          <w:rPr>
            <w:noProof/>
            <w:webHidden/>
          </w:rPr>
          <w:tab/>
        </w:r>
        <w:r>
          <w:rPr>
            <w:noProof/>
            <w:webHidden/>
          </w:rPr>
          <w:fldChar w:fldCharType="begin"/>
        </w:r>
        <w:r>
          <w:rPr>
            <w:noProof/>
            <w:webHidden/>
          </w:rPr>
          <w:instrText xml:space="preserve"> PAGEREF _Toc22821756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smallCaps w:val="0"/>
          <w:noProof/>
          <w:sz w:val="22"/>
          <w:szCs w:val="22"/>
          <w:lang w:eastAsia="fr-FR"/>
        </w:rPr>
      </w:pPr>
      <w:hyperlink w:anchor="_Toc22821757" w:history="1">
        <w:r>
          <w:rPr>
            <w:rStyle w:val="Hyperlink"/>
            <w:b/>
            <w:noProof/>
          </w:rPr>
          <w:t xml:space="preserve">4.2 </w:t>
        </w:r>
        <w:r>
          <w:rPr>
            <w:rFonts w:asciiTheme="minorHAnsi" w:eastAsiaTheme="minorEastAsia" w:hAnsiTheme="minorHAnsi" w:cstheme="minorBidi"/>
            <w:smallCaps w:val="0"/>
            <w:noProof/>
            <w:sz w:val="22"/>
            <w:szCs w:val="22"/>
            <w:lang w:eastAsia="fr-FR"/>
          </w:rPr>
          <w:tab/>
        </w:r>
        <w:r>
          <w:rPr>
            <w:rStyle w:val="Hyperlink"/>
            <w:b/>
            <w:noProof/>
          </w:rPr>
          <w:t>Section X – Service européen pour l’action extérieure</w:t>
        </w:r>
        <w:r>
          <w:rPr>
            <w:noProof/>
            <w:webHidden/>
          </w:rPr>
          <w:tab/>
        </w:r>
        <w:r>
          <w:rPr>
            <w:noProof/>
            <w:webHidden/>
          </w:rPr>
          <w:fldChar w:fldCharType="begin"/>
        </w:r>
        <w:r>
          <w:rPr>
            <w:noProof/>
            <w:webHidden/>
          </w:rPr>
          <w:instrText xml:space="preserve"> PAGEREF _Toc22821757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smallCaps w:val="0"/>
          <w:noProof/>
          <w:sz w:val="22"/>
          <w:szCs w:val="22"/>
          <w:lang w:eastAsia="fr-FR"/>
        </w:rPr>
      </w:pPr>
      <w:hyperlink w:anchor="_Toc22821758" w:history="1">
        <w:r>
          <w:rPr>
            <w:rStyle w:val="Hyperlink"/>
            <w:b/>
            <w:noProof/>
          </w:rPr>
          <w:t xml:space="preserve">4.3 </w:t>
        </w:r>
        <w:r>
          <w:rPr>
            <w:rFonts w:asciiTheme="minorHAnsi" w:eastAsiaTheme="minorEastAsia" w:hAnsiTheme="minorHAnsi" w:cstheme="minorBidi"/>
            <w:smallCaps w:val="0"/>
            <w:noProof/>
            <w:sz w:val="22"/>
            <w:szCs w:val="22"/>
            <w:lang w:eastAsia="fr-FR"/>
          </w:rPr>
          <w:tab/>
        </w:r>
        <w:r>
          <w:rPr>
            <w:rStyle w:val="Hyperlink"/>
            <w:b/>
            <w:noProof/>
          </w:rPr>
          <w:t>Mise à jour des accords de partenariat dans le domaine de la pêche durable</w:t>
        </w:r>
        <w:r>
          <w:rPr>
            <w:noProof/>
            <w:webHidden/>
          </w:rPr>
          <w:tab/>
        </w:r>
        <w:r>
          <w:rPr>
            <w:noProof/>
            <w:webHidden/>
          </w:rPr>
          <w:fldChar w:fldCharType="begin"/>
        </w:r>
        <w:r>
          <w:rPr>
            <w:noProof/>
            <w:webHidden/>
          </w:rPr>
          <w:instrText xml:space="preserve"> PAGEREF _Toc22821758 \h </w:instrText>
        </w:r>
        <w:r>
          <w:rPr>
            <w:noProof/>
            <w:webHidden/>
          </w:rPr>
        </w:r>
        <w:r>
          <w:rPr>
            <w:noProof/>
            <w:webHidden/>
          </w:rPr>
          <w:fldChar w:fldCharType="separate"/>
        </w:r>
        <w:r>
          <w:rPr>
            <w:noProof/>
            <w:webHidden/>
          </w:rPr>
          <w:t>9</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lang w:eastAsia="fr-FR"/>
        </w:rPr>
      </w:pPr>
      <w:hyperlink w:anchor="_Toc22821759" w:history="1">
        <w:r>
          <w:rPr>
            <w:rStyle w:val="Hyperlink"/>
            <w:noProof/>
          </w:rPr>
          <w:t>5.</w:t>
        </w:r>
        <w:r>
          <w:rPr>
            <w:rFonts w:asciiTheme="minorHAnsi" w:eastAsiaTheme="minorEastAsia" w:hAnsiTheme="minorHAnsi" w:cstheme="minorBidi"/>
            <w:b w:val="0"/>
            <w:bCs w:val="0"/>
            <w:caps w:val="0"/>
            <w:noProof/>
            <w:sz w:val="22"/>
            <w:szCs w:val="22"/>
            <w:lang w:eastAsia="fr-FR"/>
          </w:rPr>
          <w:tab/>
        </w:r>
        <w:r>
          <w:rPr>
            <w:rStyle w:val="Hyperlink"/>
            <w:noProof/>
          </w:rPr>
          <w:t>Ajustement et correction techniques</w:t>
        </w:r>
        <w:r>
          <w:rPr>
            <w:noProof/>
            <w:webHidden/>
          </w:rPr>
          <w:tab/>
        </w:r>
        <w:r>
          <w:rPr>
            <w:noProof/>
            <w:webHidden/>
          </w:rPr>
          <w:fldChar w:fldCharType="begin"/>
        </w:r>
        <w:r>
          <w:rPr>
            <w:noProof/>
            <w:webHidden/>
          </w:rPr>
          <w:instrText xml:space="preserve"> PAGEREF _Toc22821759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smallCaps w:val="0"/>
          <w:noProof/>
          <w:sz w:val="22"/>
          <w:szCs w:val="22"/>
          <w:lang w:eastAsia="fr-FR"/>
        </w:rPr>
      </w:pPr>
      <w:hyperlink w:anchor="_Toc22821760" w:history="1">
        <w:r>
          <w:rPr>
            <w:rStyle w:val="Hyperlink"/>
            <w:b/>
            <w:noProof/>
          </w:rPr>
          <w:t xml:space="preserve">5.1 </w:t>
        </w:r>
        <w:r>
          <w:rPr>
            <w:rFonts w:asciiTheme="minorHAnsi" w:eastAsiaTheme="minorEastAsia" w:hAnsiTheme="minorHAnsi" w:cstheme="minorBidi"/>
            <w:smallCaps w:val="0"/>
            <w:noProof/>
            <w:sz w:val="22"/>
            <w:szCs w:val="22"/>
            <w:lang w:eastAsia="fr-FR"/>
          </w:rPr>
          <w:tab/>
        </w:r>
        <w:r>
          <w:rPr>
            <w:rStyle w:val="Hyperlink"/>
            <w:b/>
            <w:noProof/>
          </w:rPr>
          <w:t>Fonds pour l’innovation</w:t>
        </w:r>
        <w:r>
          <w:rPr>
            <w:noProof/>
            <w:webHidden/>
          </w:rPr>
          <w:tab/>
        </w:r>
        <w:r>
          <w:rPr>
            <w:noProof/>
            <w:webHidden/>
          </w:rPr>
          <w:fldChar w:fldCharType="begin"/>
        </w:r>
        <w:r>
          <w:rPr>
            <w:noProof/>
            <w:webHidden/>
          </w:rPr>
          <w:instrText xml:space="preserve"> PAGEREF _Toc22821760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smallCaps w:val="0"/>
          <w:noProof/>
          <w:sz w:val="22"/>
          <w:szCs w:val="22"/>
          <w:lang w:eastAsia="fr-FR"/>
        </w:rPr>
      </w:pPr>
      <w:hyperlink w:anchor="_Toc22821761" w:history="1">
        <w:r>
          <w:rPr>
            <w:rStyle w:val="Hyperlink"/>
            <w:b/>
            <w:noProof/>
          </w:rPr>
          <w:t xml:space="preserve">5.2 </w:t>
        </w:r>
        <w:r>
          <w:rPr>
            <w:rFonts w:asciiTheme="minorHAnsi" w:eastAsiaTheme="minorEastAsia" w:hAnsiTheme="minorHAnsi" w:cstheme="minorBidi"/>
            <w:smallCaps w:val="0"/>
            <w:noProof/>
            <w:sz w:val="22"/>
            <w:szCs w:val="22"/>
            <w:lang w:eastAsia="fr-FR"/>
          </w:rPr>
          <w:tab/>
        </w:r>
        <w:r>
          <w:rPr>
            <w:rStyle w:val="Hyperlink"/>
            <w:b/>
            <w:noProof/>
          </w:rPr>
          <w:t>Agence de l’Union européenne pour la gestion opérationnelle des systèmes d’information à grande échelle au sein de l’espace de liberté, de sécurité et de justice (eu-LISA)</w:t>
        </w:r>
        <w:r>
          <w:rPr>
            <w:noProof/>
            <w:webHidden/>
          </w:rPr>
          <w:tab/>
        </w:r>
        <w:r>
          <w:rPr>
            <w:noProof/>
            <w:webHidden/>
          </w:rPr>
          <w:fldChar w:fldCharType="begin"/>
        </w:r>
        <w:r>
          <w:rPr>
            <w:noProof/>
            <w:webHidden/>
          </w:rPr>
          <w:instrText xml:space="preserve"> PAGEREF _Toc22821761 \h </w:instrText>
        </w:r>
        <w:r>
          <w:rPr>
            <w:noProof/>
            <w:webHidden/>
          </w:rPr>
        </w:r>
        <w:r>
          <w:rPr>
            <w:noProof/>
            <w:webHidden/>
          </w:rPr>
          <w:fldChar w:fldCharType="separate"/>
        </w:r>
        <w:r>
          <w:rPr>
            <w:noProof/>
            <w:webHidden/>
          </w:rPr>
          <w:t>10</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lang w:eastAsia="fr-FR"/>
        </w:rPr>
      </w:pPr>
      <w:hyperlink w:anchor="_Toc22821762" w:history="1">
        <w:r>
          <w:rPr>
            <w:rStyle w:val="Hyperlink"/>
            <w:noProof/>
          </w:rPr>
          <w:t>6.</w:t>
        </w:r>
        <w:r>
          <w:rPr>
            <w:rFonts w:asciiTheme="minorHAnsi" w:eastAsiaTheme="minorEastAsia" w:hAnsiTheme="minorHAnsi" w:cstheme="minorBidi"/>
            <w:b w:val="0"/>
            <w:bCs w:val="0"/>
            <w:caps w:val="0"/>
            <w:noProof/>
            <w:sz w:val="22"/>
            <w:szCs w:val="22"/>
            <w:lang w:eastAsia="fr-FR"/>
          </w:rPr>
          <w:tab/>
        </w:r>
        <w:r>
          <w:rPr>
            <w:rStyle w:val="Hyperlink"/>
            <w:noProof/>
          </w:rPr>
          <w:t>Tableau récapitulatif par rubrique du CFP</w:t>
        </w:r>
        <w:r>
          <w:rPr>
            <w:noProof/>
            <w:webHidden/>
          </w:rPr>
          <w:tab/>
        </w:r>
        <w:r>
          <w:rPr>
            <w:noProof/>
            <w:webHidden/>
          </w:rPr>
          <w:fldChar w:fldCharType="begin"/>
        </w:r>
        <w:r>
          <w:rPr>
            <w:noProof/>
            <w:webHidden/>
          </w:rPr>
          <w:instrText xml:space="preserve"> PAGEREF _Toc22821762 \h </w:instrText>
        </w:r>
        <w:r>
          <w:rPr>
            <w:noProof/>
            <w:webHidden/>
          </w:rPr>
        </w:r>
        <w:r>
          <w:rPr>
            <w:noProof/>
            <w:webHidden/>
          </w:rPr>
          <w:fldChar w:fldCharType="separate"/>
        </w:r>
        <w:r>
          <w:rPr>
            <w:noProof/>
            <w:webHidden/>
          </w:rPr>
          <w:t>11</w:t>
        </w:r>
        <w:r>
          <w:rPr>
            <w:noProof/>
            <w:webHidden/>
          </w:rPr>
          <w:fldChar w:fldCharType="end"/>
        </w:r>
      </w:hyperlink>
    </w:p>
    <w:p>
      <w:pPr>
        <w:rPr>
          <w:noProof/>
        </w:rPr>
        <w:sectPr>
          <w:headerReference w:type="even" r:id="rId23"/>
          <w:headerReference w:type="default" r:id="rId24"/>
          <w:footerReference w:type="even" r:id="rId25"/>
          <w:footerReference w:type="default" r:id="rId26"/>
          <w:headerReference w:type="first" r:id="rId27"/>
          <w:footerReference w:type="first" r:id="rId28"/>
          <w:pgSz w:w="11907" w:h="16839"/>
          <w:pgMar w:top="826" w:right="1418" w:bottom="1418" w:left="1418" w:header="284" w:footer="709" w:gutter="0"/>
          <w:cols w:space="720"/>
        </w:sectPr>
      </w:pPr>
      <w:r>
        <w:rPr>
          <w:noProof/>
        </w:rPr>
        <w:fldChar w:fldCharType="end"/>
      </w:r>
    </w:p>
    <w:p>
      <w:pPr>
        <w:pStyle w:val="ManualHeading1"/>
        <w:spacing w:before="240"/>
        <w:ind w:left="0" w:firstLine="0"/>
        <w:rPr>
          <w:noProof/>
        </w:rPr>
      </w:pPr>
      <w:bookmarkStart w:id="2" w:name="_Toc22821747"/>
      <w:r>
        <w:rPr>
          <w:noProof/>
        </w:rPr>
        <w:t>1.</w:t>
      </w:r>
      <w:r>
        <w:rPr>
          <w:noProof/>
        </w:rPr>
        <w:tab/>
        <w:t>Introduction</w:t>
      </w:r>
      <w:bookmarkEnd w:id="2"/>
    </w:p>
    <w:p>
      <w:pPr>
        <w:spacing w:before="120" w:after="120"/>
        <w:jc w:val="both"/>
        <w:rPr>
          <w:noProof/>
          <w:szCs w:val="20"/>
        </w:rPr>
      </w:pPr>
      <w:r>
        <w:rPr>
          <w:noProof/>
        </w:rPr>
        <w:t>La présente lettre rectificative nº 1 au projet de budget pour l’exercice 2020 (LR nº 1/2020) porte sur les aspects exposés ci-après.</w:t>
      </w:r>
    </w:p>
    <w:p>
      <w:pPr>
        <w:numPr>
          <w:ilvl w:val="0"/>
          <w:numId w:val="10"/>
        </w:numPr>
        <w:spacing w:before="120" w:after="120"/>
        <w:jc w:val="both"/>
        <w:rPr>
          <w:noProof/>
          <w:szCs w:val="20"/>
        </w:rPr>
      </w:pPr>
      <w:r>
        <w:rPr>
          <w:noProof/>
        </w:rPr>
        <w:t>L'actualisation de l'estimation des besoins, des recettes affectées et des crédits pour les dépenses agricoles. Outre la modification des éléments de marché, la LR nº 1/2020 tient également compte de l’incidence des décisions agricoles depuis l’adoption du projet de budget 2020 (PB 2020), en juillet 2019, ainsi que d'autres propositions qui sont susceptibles d'avoir un effet important au cours de l'exercice 2020.</w:t>
      </w:r>
    </w:p>
    <w:p>
      <w:pPr>
        <w:numPr>
          <w:ilvl w:val="0"/>
          <w:numId w:val="10"/>
        </w:numPr>
        <w:spacing w:before="120" w:after="120"/>
        <w:jc w:val="both"/>
        <w:rPr>
          <w:noProof/>
        </w:rPr>
      </w:pPr>
      <w:r>
        <w:rPr>
          <w:noProof/>
        </w:rPr>
        <w:t>Les ajustements liés aux propositions législatives figurant dans le paquet de mesures de préparation au Brexit du 4 septembre 2019.</w:t>
      </w:r>
    </w:p>
    <w:p>
      <w:pPr>
        <w:numPr>
          <w:ilvl w:val="0"/>
          <w:numId w:val="10"/>
        </w:numPr>
        <w:spacing w:before="120" w:after="120"/>
        <w:jc w:val="both"/>
        <w:rPr>
          <w:noProof/>
        </w:rPr>
      </w:pPr>
      <w:r>
        <w:rPr>
          <w:noProof/>
        </w:rPr>
        <w:t>D’autres ajustements concernant les budgets administratifs du Parlement européen et du Service européen pour l’action extérieure, et les accords de partenariat dans le domaine de la pêche durable.</w:t>
      </w:r>
    </w:p>
    <w:p>
      <w:pPr>
        <w:numPr>
          <w:ilvl w:val="0"/>
          <w:numId w:val="10"/>
        </w:numPr>
        <w:spacing w:before="120" w:after="120"/>
        <w:jc w:val="both"/>
        <w:rPr>
          <w:noProof/>
        </w:rPr>
      </w:pPr>
      <w:r>
        <w:rPr>
          <w:noProof/>
        </w:rPr>
        <w:t>Un ajustement de la structure du budget destiné à accueillir le Fonds pour l’innovation.</w:t>
      </w:r>
    </w:p>
    <w:p>
      <w:pPr>
        <w:numPr>
          <w:ilvl w:val="0"/>
          <w:numId w:val="10"/>
        </w:numPr>
        <w:spacing w:before="120" w:after="120"/>
        <w:jc w:val="both"/>
        <w:rPr>
          <w:noProof/>
        </w:rPr>
      </w:pPr>
      <w:r>
        <w:rPr>
          <w:noProof/>
        </w:rPr>
        <w:t xml:space="preserve">Une correction technique (eu-LISA). </w:t>
      </w:r>
    </w:p>
    <w:p>
      <w:pPr>
        <w:spacing w:before="120" w:after="120"/>
        <w:jc w:val="both"/>
        <w:rPr>
          <w:noProof/>
          <w:szCs w:val="20"/>
        </w:rPr>
      </w:pPr>
      <w:r>
        <w:rPr>
          <w:noProof/>
        </w:rPr>
        <w:t>Dans l’ensemble, l'incidence nette de la LR nº 1/2020 sur les dépenses prévues dans le projet de budget 2020 est une hausse de 16,4 millions d’EUR en crédits d’engagement et une baisse de 5,4 millions d’EUR en crédits de paiement.</w:t>
      </w:r>
    </w:p>
    <w:p>
      <w:pPr>
        <w:pStyle w:val="ManualHeading1"/>
        <w:spacing w:before="240"/>
        <w:ind w:left="0" w:firstLine="0"/>
        <w:rPr>
          <w:noProof/>
        </w:rPr>
      </w:pPr>
      <w:bookmarkStart w:id="3" w:name="_Toc22821748"/>
      <w:r>
        <w:rPr>
          <w:noProof/>
        </w:rPr>
        <w:t>2.</w:t>
      </w:r>
      <w:r>
        <w:rPr>
          <w:noProof/>
        </w:rPr>
        <w:tab/>
        <w:t>Fonds européen agricole de garantie</w:t>
      </w:r>
      <w:bookmarkEnd w:id="3"/>
      <w:r>
        <w:rPr>
          <w:noProof/>
        </w:rPr>
        <w:t xml:space="preserve"> </w:t>
      </w:r>
    </w:p>
    <w:p>
      <w:pPr>
        <w:keepNext/>
        <w:tabs>
          <w:tab w:val="left" w:pos="850"/>
        </w:tabs>
        <w:spacing w:before="360" w:after="120"/>
        <w:ind w:left="357" w:hanging="357"/>
        <w:jc w:val="both"/>
        <w:outlineLvl w:val="1"/>
        <w:rPr>
          <w:rFonts w:eastAsia="Calibri"/>
          <w:b/>
          <w:noProof/>
        </w:rPr>
      </w:pPr>
      <w:bookmarkStart w:id="4" w:name="_Toc22821749"/>
      <w:r>
        <w:rPr>
          <w:b/>
          <w:noProof/>
        </w:rPr>
        <w:t xml:space="preserve">2.1 </w:t>
      </w:r>
      <w:r>
        <w:rPr>
          <w:b/>
          <w:noProof/>
        </w:rPr>
        <w:tab/>
        <w:t>Vue d’ensemble</w:t>
      </w:r>
      <w:bookmarkEnd w:id="4"/>
    </w:p>
    <w:p>
      <w:pPr>
        <w:autoSpaceDE w:val="0"/>
        <w:autoSpaceDN w:val="0"/>
        <w:adjustRightInd w:val="0"/>
        <w:spacing w:before="120" w:after="120"/>
        <w:jc w:val="both"/>
        <w:rPr>
          <w:noProof/>
        </w:rPr>
      </w:pPr>
      <w:r>
        <w:rPr>
          <w:noProof/>
        </w:rPr>
        <w:t xml:space="preserve">La LR nº 1/2020 actualise les estimations des dépenses agricoles sur la base des données économiques et du cadre législatif les plus récents. À la fin de septembre 2019, la Commission dispose d'une première indication du niveau de production pour 2019 et des perspectives des marchés agricoles, ainsi que des chiffres réels pour la majeure partie de l’exécution du budget 2019 en ce qui concerne la gestion partagée du FEAGA, qui servent de base aux estimations actualisées des besoins budgétaires pour 2020. </w:t>
      </w:r>
    </w:p>
    <w:p>
      <w:pPr>
        <w:autoSpaceDE w:val="0"/>
        <w:autoSpaceDN w:val="0"/>
        <w:adjustRightInd w:val="0"/>
        <w:spacing w:before="120" w:after="120"/>
        <w:jc w:val="both"/>
        <w:rPr>
          <w:noProof/>
        </w:rPr>
      </w:pPr>
      <w:r>
        <w:rPr>
          <w:noProof/>
        </w:rPr>
        <w:t xml:space="preserve">Outre les éléments de marché, la présente LR nº 1/2020 intègre aussi les conséquences des décisions législatives dans le secteur agricole depuis l’établissement du PB 2020, en juin 2019, ainsi que de certains textes toujours en préparation, mais qui seront adoptés prochainement. </w:t>
      </w:r>
    </w:p>
    <w:p>
      <w:pPr>
        <w:autoSpaceDE w:val="0"/>
        <w:autoSpaceDN w:val="0"/>
        <w:adjustRightInd w:val="0"/>
        <w:spacing w:before="120" w:after="120"/>
        <w:jc w:val="both"/>
        <w:rPr>
          <w:noProof/>
        </w:rPr>
      </w:pPr>
      <w:r>
        <w:rPr>
          <w:noProof/>
        </w:rPr>
        <w:t xml:space="preserve">Globalement, les </w:t>
      </w:r>
      <w:r>
        <w:rPr>
          <w:b/>
          <w:bCs/>
          <w:noProof/>
        </w:rPr>
        <w:t>besoins du FEAGA pour 2020</w:t>
      </w:r>
      <w:r>
        <w:rPr>
          <w:noProof/>
        </w:rPr>
        <w:t xml:space="preserve"> (après prise en compte des dispositions du FEAGA liées à la «discipline financière») sont à présent estimés à 44 481,1 millions d’EUR</w:t>
      </w:r>
      <w:r>
        <w:rPr>
          <w:noProof/>
          <w:vertAlign w:val="superscript"/>
        </w:rPr>
        <w:footnoteReference w:id="4"/>
      </w:r>
      <w:r>
        <w:rPr>
          <w:noProof/>
        </w:rPr>
        <w:t xml:space="preserve">, ce qui représente une hausse de 304,3 millions d’EUR par rapport au PB 2020. Cette augmentation est principalement due à des besoins supplémentaires concernant le chapitre 05 07 </w:t>
      </w:r>
      <w:r>
        <w:rPr>
          <w:i/>
          <w:noProof/>
        </w:rPr>
        <w:t>Audit des dépenses agricoles financées par le Fonds européen agricole de garantie (FEAGA)</w:t>
      </w:r>
      <w:r>
        <w:rPr>
          <w:noProof/>
        </w:rPr>
        <w:t xml:space="preserve"> (+174,3 millions d’EUR) et le chapitre 05 03 </w:t>
      </w:r>
      <w:r>
        <w:rPr>
          <w:i/>
          <w:noProof/>
        </w:rPr>
        <w:t>Paiements directs visant à contribuer aux revenus agricoles, à limiter la variabilité de ces revenus et à réaliser les objectifs en matière d’environnement et de climat</w:t>
      </w:r>
      <w:r>
        <w:rPr>
          <w:noProof/>
        </w:rPr>
        <w:t xml:space="preserve"> (+94 millions d’EUR).</w:t>
      </w:r>
      <w:r>
        <w:rPr>
          <w:i/>
          <w:noProof/>
        </w:rPr>
        <w:t xml:space="preserve"> </w:t>
      </w:r>
      <w:r>
        <w:rPr>
          <w:noProof/>
        </w:rPr>
        <w:t>De légères modifications sont en outre prévues pour le chapitre 05 02 </w:t>
      </w:r>
      <w:r>
        <w:rPr>
          <w:i/>
          <w:noProof/>
        </w:rPr>
        <w:t>Améliorer la compétitivité du secteur agricole grâce aux interventions sur les marchés agricoles</w:t>
      </w:r>
      <w:r>
        <w:rPr>
          <w:noProof/>
        </w:rPr>
        <w:t xml:space="preserve">, à hauteur de +36,0 millions d'EUR. </w:t>
      </w:r>
    </w:p>
    <w:p>
      <w:pPr>
        <w:spacing w:before="120" w:after="120"/>
        <w:jc w:val="both"/>
        <w:rPr>
          <w:noProof/>
        </w:rPr>
      </w:pPr>
      <w:r>
        <w:rPr>
          <w:noProof/>
        </w:rPr>
        <w:t xml:space="preserve">Le montant des </w:t>
      </w:r>
      <w:r>
        <w:rPr>
          <w:b/>
          <w:noProof/>
        </w:rPr>
        <w:t>recettes affectées</w:t>
      </w:r>
      <w:r>
        <w:rPr>
          <w:noProof/>
        </w:rPr>
        <w:t xml:space="preserve"> estimées être disponibles en 2020 est en augmentation, passant de 645,0 millions d’EUR dans le PB 2020 à 999,0 millions d’EUR (+354,0 millions d’EUR), de sorte que les besoins supplémentaires sont plus que compensés. La mise à jour des estimations concerne les montants découlant des décisions d’apurement des comptes (+181,0 millions d’EUR) et des irrégularités (-7,0 millions d’EUR). Par ailleurs, la LR nº 1/2020 intègre un report attendu de recettes affectées, de 2019 à 2020, s’établissant à 280,0 millions d’EUR («excédent» FEAGA attendu)</w:t>
      </w:r>
      <w:r>
        <w:rPr>
          <w:noProof/>
          <w:vertAlign w:val="superscript"/>
        </w:rPr>
        <w:footnoteReference w:id="5"/>
      </w:r>
      <w:r>
        <w:rPr>
          <w:noProof/>
        </w:rPr>
        <w:t>, dont un montant de 100,0 millions d’EUR était déjà prévu dans le PB 2020. L’excédent estimé n’englobe pas les crédits non utilisés (468,7 millions d’EUR) de la réserve 2019 pour les crises dans le secteur agricole, à laquelle il ne sera pas fait appel. Ces crédits non utilisés seront reportés en vue d’un remboursement en faveur des agriculteurs soumis à la discipline financière en 2020.</w:t>
      </w:r>
    </w:p>
    <w:p>
      <w:pPr>
        <w:autoSpaceDE w:val="0"/>
        <w:autoSpaceDN w:val="0"/>
        <w:adjustRightInd w:val="0"/>
        <w:spacing w:before="120" w:after="120"/>
        <w:jc w:val="both"/>
        <w:rPr>
          <w:noProof/>
        </w:rPr>
      </w:pPr>
      <w:r>
        <w:rPr>
          <w:noProof/>
        </w:rPr>
        <w:t xml:space="preserve">À la suite de ces actualisations, la Commission propose de réduire les estimations des dépenses agricoles de -49,7 millions d’EUR par rapport au PB 2020. Les crédits d’engagement, d’un montant de 43 482,1 millions d’EUR, qui incluent un montant de 478,0 millions d’EUR destiné à la </w:t>
      </w:r>
      <w:r>
        <w:rPr>
          <w:i/>
          <w:iCs/>
          <w:noProof/>
        </w:rPr>
        <w:t>Réserve pour les crises dans le secteur agricole</w:t>
      </w:r>
      <w:r>
        <w:rPr>
          <w:noProof/>
        </w:rPr>
        <w:t>, seront nécessaires pour couvrir les besoins du FEAGA pour 2020. Ce montant global reste inférieur au sous-plafond net du FEAGA, qui est de 43 887,1 millions d’EUR. Cela signifie que le mécanisme de discipline financière ne sera appliqué que pour établir la réserve pour les crises dans le secteur agricole pour l'exercice 2020</w:t>
      </w:r>
      <w:r>
        <w:rPr>
          <w:noProof/>
          <w:vertAlign w:val="superscript"/>
        </w:rPr>
        <w:footnoteReference w:id="6"/>
      </w:r>
      <w:r>
        <w:rPr>
          <w:noProof/>
        </w:rPr>
        <w:t xml:space="preserve">.  </w:t>
      </w:r>
    </w:p>
    <w:p>
      <w:pPr>
        <w:keepNext/>
        <w:tabs>
          <w:tab w:val="left" w:pos="850"/>
        </w:tabs>
        <w:spacing w:before="360" w:after="120"/>
        <w:ind w:left="357" w:hanging="357"/>
        <w:jc w:val="both"/>
        <w:outlineLvl w:val="1"/>
        <w:rPr>
          <w:rFonts w:eastAsia="Calibri"/>
          <w:b/>
          <w:noProof/>
        </w:rPr>
      </w:pPr>
      <w:bookmarkStart w:id="5" w:name="_Toc22821750"/>
      <w:r>
        <w:rPr>
          <w:b/>
          <w:noProof/>
        </w:rPr>
        <w:t xml:space="preserve">2.2 </w:t>
      </w:r>
      <w:r>
        <w:rPr>
          <w:b/>
          <w:noProof/>
        </w:rPr>
        <w:tab/>
        <w:t>Observations détaillées</w:t>
      </w:r>
      <w:bookmarkEnd w:id="5"/>
    </w:p>
    <w:p>
      <w:pPr>
        <w:keepNext/>
        <w:spacing w:before="120" w:after="120"/>
        <w:jc w:val="both"/>
        <w:rPr>
          <w:b/>
          <w:i/>
          <w:noProof/>
        </w:rPr>
      </w:pPr>
      <w:r>
        <w:rPr>
          <w:b/>
          <w:noProof/>
        </w:rPr>
        <w:t>05 02 </w:t>
      </w:r>
      <w:r>
        <w:rPr>
          <w:noProof/>
        </w:rPr>
        <w:sym w:font="Symbol" w:char="F0BE"/>
      </w:r>
      <w:r>
        <w:rPr>
          <w:b/>
          <w:noProof/>
        </w:rPr>
        <w:t xml:space="preserve"> Améliorer la compétitivité du secteur agricole grâce aux interventions sur les marchés agricoles </w:t>
      </w:r>
      <w:r>
        <w:rPr>
          <w:b/>
          <w:i/>
          <w:noProof/>
        </w:rPr>
        <w:t>(crédits +36,0 millions d'EUR)</w:t>
      </w:r>
    </w:p>
    <w:tbl>
      <w:tblPr>
        <w:tblW w:w="9950" w:type="dxa"/>
        <w:tblLayout w:type="fixed"/>
        <w:tblCellMar>
          <w:left w:w="40" w:type="dxa"/>
          <w:right w:w="40" w:type="dxa"/>
        </w:tblCellMar>
        <w:tblLook w:val="0000" w:firstRow="0" w:lastRow="0" w:firstColumn="0" w:lastColumn="0" w:noHBand="0" w:noVBand="0"/>
      </w:tblPr>
      <w:tblGrid>
        <w:gridCol w:w="4009"/>
        <w:gridCol w:w="2092"/>
        <w:gridCol w:w="1725"/>
        <w:gridCol w:w="2124"/>
      </w:tblGrid>
      <w:tr>
        <w:trPr>
          <w:trHeight w:val="164"/>
          <w:tblHeader/>
        </w:trPr>
        <w:tc>
          <w:tcPr>
            <w:tcW w:w="9950" w:type="dxa"/>
            <w:gridSpan w:val="4"/>
            <w:tcBorders>
              <w:bottom w:val="single" w:sz="4" w:space="0" w:color="auto"/>
            </w:tcBorders>
            <w:shd w:val="clear" w:color="auto" w:fill="FFFFFF"/>
            <w:vAlign w:val="center"/>
          </w:tcPr>
          <w:p>
            <w:pPr>
              <w:keepNext/>
              <w:keepLines/>
              <w:jc w:val="right"/>
              <w:rPr>
                <w:noProof/>
                <w:sz w:val="16"/>
                <w:szCs w:val="16"/>
              </w:rPr>
            </w:pPr>
            <w:r>
              <w:rPr>
                <w:i/>
                <w:iCs/>
                <w:noProof/>
                <w:sz w:val="16"/>
                <w:szCs w:val="16"/>
              </w:rPr>
              <w:t>(en Mio EUR, arrondis aux prix courants)</w:t>
            </w:r>
          </w:p>
        </w:tc>
      </w:tr>
      <w:tr>
        <w:trPr>
          <w:trHeight w:val="164"/>
          <w:tblHeader/>
        </w:trPr>
        <w:tc>
          <w:tcPr>
            <w:tcW w:w="4009" w:type="dxa"/>
            <w:tcBorders>
              <w:top w:val="single" w:sz="4" w:space="0" w:color="auto"/>
              <w:left w:val="single" w:sz="4" w:space="0" w:color="auto"/>
              <w:right w:val="single" w:sz="4" w:space="0" w:color="auto"/>
            </w:tcBorders>
            <w:shd w:val="clear" w:color="auto" w:fill="E0E0E0"/>
            <w:vAlign w:val="center"/>
          </w:tcPr>
          <w:p>
            <w:pPr>
              <w:keepNext/>
              <w:keepLines/>
              <w:spacing w:before="30" w:after="30"/>
              <w:jc w:val="center"/>
              <w:rPr>
                <w:b/>
                <w:noProof/>
                <w:sz w:val="16"/>
                <w:szCs w:val="16"/>
              </w:rPr>
            </w:pPr>
            <w:r>
              <w:rPr>
                <w:b/>
                <w:noProof/>
                <w:sz w:val="16"/>
                <w:szCs w:val="16"/>
              </w:rPr>
              <w:t>Interventions sur les marchés agricoles</w:t>
            </w:r>
          </w:p>
        </w:tc>
        <w:tc>
          <w:tcPr>
            <w:tcW w:w="2092" w:type="dxa"/>
            <w:tcBorders>
              <w:top w:val="single" w:sz="4" w:space="0" w:color="auto"/>
              <w:left w:val="single" w:sz="4" w:space="0" w:color="auto"/>
              <w:bottom w:val="single" w:sz="4" w:space="0" w:color="auto"/>
              <w:right w:val="single" w:sz="4" w:space="0" w:color="auto"/>
            </w:tcBorders>
            <w:shd w:val="clear" w:color="auto" w:fill="E0E0E0"/>
            <w:vAlign w:val="center"/>
          </w:tcPr>
          <w:p>
            <w:pPr>
              <w:keepNext/>
              <w:keepLines/>
              <w:spacing w:before="30" w:after="30"/>
              <w:jc w:val="center"/>
              <w:rPr>
                <w:b/>
                <w:noProof/>
                <w:sz w:val="16"/>
                <w:szCs w:val="16"/>
              </w:rPr>
            </w:pPr>
            <w:r>
              <w:rPr>
                <w:b/>
                <w:noProof/>
                <w:sz w:val="16"/>
                <w:szCs w:val="16"/>
              </w:rPr>
              <w:t>Projet de budget 2020</w:t>
            </w:r>
          </w:p>
        </w:tc>
        <w:tc>
          <w:tcPr>
            <w:tcW w:w="1725" w:type="dxa"/>
            <w:tcBorders>
              <w:top w:val="single" w:sz="4" w:space="0" w:color="auto"/>
              <w:left w:val="nil"/>
              <w:bottom w:val="single" w:sz="4" w:space="0" w:color="auto"/>
              <w:right w:val="single" w:sz="4" w:space="0" w:color="auto"/>
            </w:tcBorders>
            <w:shd w:val="clear" w:color="auto" w:fill="E0E0E0"/>
            <w:vAlign w:val="center"/>
          </w:tcPr>
          <w:p>
            <w:pPr>
              <w:keepNext/>
              <w:keepLines/>
              <w:spacing w:before="30" w:after="30"/>
              <w:jc w:val="center"/>
              <w:rPr>
                <w:b/>
                <w:noProof/>
                <w:sz w:val="16"/>
                <w:szCs w:val="16"/>
              </w:rPr>
            </w:pPr>
            <w:r>
              <w:rPr>
                <w:b/>
                <w:noProof/>
                <w:sz w:val="16"/>
                <w:szCs w:val="16"/>
              </w:rPr>
              <w:t>Lettre rectificative</w:t>
            </w:r>
            <w:r>
              <w:rPr>
                <w:b/>
                <w:noProof/>
                <w:sz w:val="16"/>
                <w:szCs w:val="16"/>
              </w:rPr>
              <w:br/>
              <w:t xml:space="preserve"> nº 1/2020</w:t>
            </w:r>
          </w:p>
        </w:tc>
        <w:tc>
          <w:tcPr>
            <w:tcW w:w="2124" w:type="dxa"/>
            <w:tcBorders>
              <w:top w:val="single" w:sz="4" w:space="0" w:color="auto"/>
              <w:left w:val="nil"/>
              <w:bottom w:val="single" w:sz="4" w:space="0" w:color="auto"/>
              <w:right w:val="single" w:sz="4" w:space="0" w:color="auto"/>
            </w:tcBorders>
            <w:shd w:val="clear" w:color="auto" w:fill="E0E0E0"/>
            <w:vAlign w:val="center"/>
          </w:tcPr>
          <w:p>
            <w:pPr>
              <w:keepNext/>
              <w:keepLines/>
              <w:spacing w:before="30" w:after="30"/>
              <w:jc w:val="center"/>
              <w:rPr>
                <w:b/>
                <w:noProof/>
                <w:sz w:val="16"/>
                <w:szCs w:val="16"/>
              </w:rPr>
            </w:pPr>
            <w:r>
              <w:rPr>
                <w:b/>
                <w:noProof/>
                <w:sz w:val="16"/>
                <w:szCs w:val="16"/>
              </w:rPr>
              <w:t>Projet de budget 2020</w:t>
            </w:r>
            <w:r>
              <w:rPr>
                <w:b/>
                <w:noProof/>
                <w:sz w:val="16"/>
                <w:szCs w:val="16"/>
              </w:rPr>
              <w:br/>
              <w:t>(y compris LR nº 1/2020)</w:t>
            </w:r>
          </w:p>
        </w:tc>
      </w:tr>
      <w:tr>
        <w:trPr>
          <w:trHeight w:val="220"/>
        </w:trPr>
        <w:tc>
          <w:tcPr>
            <w:tcW w:w="4009" w:type="dxa"/>
            <w:tcBorders>
              <w:top w:val="single" w:sz="4" w:space="0" w:color="auto"/>
              <w:left w:val="single" w:sz="4" w:space="0" w:color="auto"/>
              <w:bottom w:val="dotted" w:sz="4" w:space="0" w:color="auto"/>
              <w:right w:val="single" w:sz="4" w:space="0" w:color="auto"/>
            </w:tcBorders>
            <w:vAlign w:val="center"/>
          </w:tcPr>
          <w:p>
            <w:pPr>
              <w:keepNext/>
              <w:keepLines/>
              <w:spacing w:before="30" w:after="30"/>
              <w:rPr>
                <w:noProof/>
                <w:sz w:val="16"/>
                <w:szCs w:val="16"/>
              </w:rPr>
            </w:pPr>
            <w:r>
              <w:rPr>
                <w:noProof/>
                <w:sz w:val="16"/>
                <w:szCs w:val="16"/>
              </w:rPr>
              <w:t>Besoins</w:t>
            </w:r>
          </w:p>
        </w:tc>
        <w:tc>
          <w:tcPr>
            <w:tcW w:w="2092" w:type="dxa"/>
            <w:tcBorders>
              <w:top w:val="single" w:sz="4" w:space="0" w:color="auto"/>
              <w:left w:val="single" w:sz="4" w:space="0" w:color="auto"/>
              <w:bottom w:val="dotted" w:sz="4" w:space="0" w:color="auto"/>
              <w:right w:val="single" w:sz="4" w:space="0" w:color="auto"/>
            </w:tcBorders>
            <w:vAlign w:val="center"/>
          </w:tcPr>
          <w:p>
            <w:pPr>
              <w:keepNext/>
              <w:keepLines/>
              <w:spacing w:before="30" w:after="30"/>
              <w:jc w:val="right"/>
              <w:rPr>
                <w:noProof/>
                <w:sz w:val="16"/>
                <w:szCs w:val="16"/>
              </w:rPr>
            </w:pPr>
            <w:r>
              <w:rPr>
                <w:noProof/>
                <w:sz w:val="16"/>
                <w:szCs w:val="16"/>
              </w:rPr>
              <w:t>2 644,1</w:t>
            </w:r>
          </w:p>
        </w:tc>
        <w:tc>
          <w:tcPr>
            <w:tcW w:w="1725" w:type="dxa"/>
            <w:tcBorders>
              <w:top w:val="single" w:sz="4" w:space="0" w:color="auto"/>
              <w:left w:val="nil"/>
              <w:bottom w:val="dotted" w:sz="4" w:space="0" w:color="auto"/>
              <w:right w:val="single" w:sz="4" w:space="0" w:color="auto"/>
            </w:tcBorders>
            <w:vAlign w:val="center"/>
          </w:tcPr>
          <w:p>
            <w:pPr>
              <w:keepNext/>
              <w:keepLines/>
              <w:spacing w:before="30" w:after="30"/>
              <w:jc w:val="right"/>
              <w:rPr>
                <w:noProof/>
                <w:sz w:val="16"/>
                <w:szCs w:val="16"/>
              </w:rPr>
            </w:pPr>
            <w:r>
              <w:rPr>
                <w:noProof/>
                <w:sz w:val="16"/>
                <w:szCs w:val="16"/>
              </w:rPr>
              <w:t>+36,0</w:t>
            </w:r>
          </w:p>
        </w:tc>
        <w:tc>
          <w:tcPr>
            <w:tcW w:w="2124" w:type="dxa"/>
            <w:tcBorders>
              <w:top w:val="single" w:sz="4" w:space="0" w:color="auto"/>
              <w:left w:val="nil"/>
              <w:bottom w:val="dotted" w:sz="4" w:space="0" w:color="auto"/>
              <w:right w:val="single" w:sz="4" w:space="0" w:color="auto"/>
            </w:tcBorders>
            <w:vAlign w:val="center"/>
          </w:tcPr>
          <w:p>
            <w:pPr>
              <w:keepNext/>
              <w:keepLines/>
              <w:spacing w:before="30" w:after="30"/>
              <w:jc w:val="right"/>
              <w:rPr>
                <w:noProof/>
                <w:sz w:val="16"/>
                <w:szCs w:val="16"/>
              </w:rPr>
            </w:pPr>
            <w:r>
              <w:rPr>
                <w:noProof/>
                <w:sz w:val="16"/>
                <w:szCs w:val="16"/>
              </w:rPr>
              <w:t>2 680,1</w:t>
            </w:r>
          </w:p>
        </w:tc>
      </w:tr>
      <w:tr>
        <w:trPr>
          <w:trHeight w:val="220"/>
        </w:trPr>
        <w:tc>
          <w:tcPr>
            <w:tcW w:w="4009" w:type="dxa"/>
            <w:tcBorders>
              <w:top w:val="dotted" w:sz="4" w:space="0" w:color="auto"/>
              <w:left w:val="single" w:sz="4" w:space="0" w:color="auto"/>
              <w:bottom w:val="single" w:sz="4" w:space="0" w:color="auto"/>
              <w:right w:val="single" w:sz="4" w:space="0" w:color="auto"/>
            </w:tcBorders>
            <w:vAlign w:val="center"/>
          </w:tcPr>
          <w:p>
            <w:pPr>
              <w:keepNext/>
              <w:keepLines/>
              <w:spacing w:before="30" w:after="30"/>
              <w:rPr>
                <w:noProof/>
                <w:sz w:val="16"/>
                <w:szCs w:val="16"/>
              </w:rPr>
            </w:pPr>
            <w:r>
              <w:rPr>
                <w:noProof/>
                <w:sz w:val="16"/>
                <w:szCs w:val="16"/>
              </w:rPr>
              <w:t>- Prévisions de recettes affectées disponibles en 2020</w:t>
            </w:r>
          </w:p>
        </w:tc>
        <w:tc>
          <w:tcPr>
            <w:tcW w:w="2092" w:type="dxa"/>
            <w:tcBorders>
              <w:top w:val="dotted" w:sz="4" w:space="0" w:color="auto"/>
              <w:left w:val="single" w:sz="4" w:space="0" w:color="auto"/>
              <w:bottom w:val="single" w:sz="4" w:space="0" w:color="auto"/>
              <w:right w:val="single" w:sz="4" w:space="0" w:color="auto"/>
            </w:tcBorders>
            <w:vAlign w:val="center"/>
          </w:tcPr>
          <w:p>
            <w:pPr>
              <w:keepNext/>
              <w:keepLines/>
              <w:spacing w:before="30" w:after="30"/>
              <w:jc w:val="right"/>
              <w:rPr>
                <w:noProof/>
                <w:sz w:val="16"/>
                <w:szCs w:val="16"/>
              </w:rPr>
            </w:pPr>
            <w:r>
              <w:rPr>
                <w:noProof/>
                <w:sz w:val="16"/>
                <w:szCs w:val="16"/>
              </w:rPr>
              <w:t>150,0</w:t>
            </w:r>
          </w:p>
        </w:tc>
        <w:tc>
          <w:tcPr>
            <w:tcW w:w="1725" w:type="dxa"/>
            <w:tcBorders>
              <w:top w:val="dotted" w:sz="4" w:space="0" w:color="auto"/>
              <w:left w:val="nil"/>
              <w:bottom w:val="single" w:sz="4" w:space="0" w:color="auto"/>
              <w:right w:val="single" w:sz="4" w:space="0" w:color="auto"/>
            </w:tcBorders>
            <w:vAlign w:val="center"/>
          </w:tcPr>
          <w:p>
            <w:pPr>
              <w:keepNext/>
              <w:keepLines/>
              <w:spacing w:before="30" w:after="30"/>
              <w:jc w:val="right"/>
              <w:rPr>
                <w:noProof/>
                <w:sz w:val="16"/>
                <w:szCs w:val="16"/>
              </w:rPr>
            </w:pPr>
            <w:r>
              <w:rPr>
                <w:noProof/>
                <w:sz w:val="16"/>
                <w:szCs w:val="16"/>
              </w:rPr>
              <w:t>0,0</w:t>
            </w:r>
          </w:p>
        </w:tc>
        <w:tc>
          <w:tcPr>
            <w:tcW w:w="2124" w:type="dxa"/>
            <w:tcBorders>
              <w:top w:val="dotted" w:sz="4" w:space="0" w:color="auto"/>
              <w:left w:val="nil"/>
              <w:bottom w:val="single" w:sz="4" w:space="0" w:color="auto"/>
              <w:right w:val="single" w:sz="4" w:space="0" w:color="auto"/>
            </w:tcBorders>
            <w:vAlign w:val="center"/>
          </w:tcPr>
          <w:p>
            <w:pPr>
              <w:keepNext/>
              <w:keepLines/>
              <w:spacing w:before="30" w:after="30"/>
              <w:jc w:val="right"/>
              <w:rPr>
                <w:noProof/>
                <w:sz w:val="16"/>
                <w:szCs w:val="16"/>
              </w:rPr>
            </w:pPr>
            <w:r>
              <w:rPr>
                <w:noProof/>
                <w:sz w:val="16"/>
                <w:szCs w:val="16"/>
              </w:rPr>
              <w:t>150,0</w:t>
            </w:r>
          </w:p>
        </w:tc>
      </w:tr>
      <w:tr>
        <w:trPr>
          <w:trHeight w:val="220"/>
        </w:trPr>
        <w:tc>
          <w:tcPr>
            <w:tcW w:w="4009" w:type="dxa"/>
            <w:tcBorders>
              <w:top w:val="single" w:sz="4" w:space="0" w:color="auto"/>
              <w:left w:val="single" w:sz="4" w:space="0" w:color="auto"/>
              <w:bottom w:val="single" w:sz="4" w:space="0" w:color="auto"/>
              <w:right w:val="single" w:sz="4" w:space="0" w:color="auto"/>
            </w:tcBorders>
            <w:shd w:val="clear" w:color="auto" w:fill="D9D9D9"/>
            <w:vAlign w:val="center"/>
          </w:tcPr>
          <w:p>
            <w:pPr>
              <w:keepNext/>
              <w:keepLines/>
              <w:spacing w:before="30" w:after="30"/>
              <w:rPr>
                <w:b/>
                <w:noProof/>
                <w:sz w:val="16"/>
                <w:szCs w:val="16"/>
              </w:rPr>
            </w:pPr>
            <w:r>
              <w:rPr>
                <w:b/>
                <w:noProof/>
                <w:sz w:val="16"/>
                <w:szCs w:val="16"/>
              </w:rPr>
              <w:t>Crédits demandés</w:t>
            </w:r>
          </w:p>
        </w:tc>
        <w:tc>
          <w:tcPr>
            <w:tcW w:w="2092" w:type="dxa"/>
            <w:tcBorders>
              <w:top w:val="single" w:sz="4" w:space="0" w:color="auto"/>
              <w:left w:val="single" w:sz="4" w:space="0" w:color="auto"/>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szCs w:val="16"/>
              </w:rPr>
              <w:t>2 494,1</w:t>
            </w:r>
          </w:p>
        </w:tc>
        <w:tc>
          <w:tcPr>
            <w:tcW w:w="1725" w:type="dxa"/>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szCs w:val="16"/>
              </w:rPr>
              <w:t>+36,0</w:t>
            </w:r>
          </w:p>
        </w:tc>
        <w:tc>
          <w:tcPr>
            <w:tcW w:w="2124" w:type="dxa"/>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szCs w:val="16"/>
              </w:rPr>
              <w:t>2 530,1</w:t>
            </w:r>
          </w:p>
        </w:tc>
      </w:tr>
    </w:tbl>
    <w:p>
      <w:pPr>
        <w:spacing w:before="120" w:after="120"/>
        <w:jc w:val="both"/>
        <w:rPr>
          <w:noProof/>
        </w:rPr>
      </w:pPr>
      <w:r>
        <w:rPr>
          <w:noProof/>
        </w:rPr>
        <w:t>Les besoins globaux pour les mesures d'intervention sur les marchés agricoles augmentent légèrement, de 36,0 millions d'EUR, par rapport au PB 2020. Étant donné que le montant des recettes affectées demeure inchangé par rapport au PB 2020, les crédits demandés dans la LR nº 1/2020 augmentent d’autant, passant à 2 530,1 millions d’EUR.</w:t>
      </w:r>
    </w:p>
    <w:p>
      <w:pPr>
        <w:spacing w:before="120" w:after="120"/>
        <w:jc w:val="both"/>
        <w:rPr>
          <w:noProof/>
        </w:rPr>
      </w:pPr>
      <w:r>
        <w:rPr>
          <w:noProof/>
        </w:rPr>
        <w:t xml:space="preserve">Les principales modifications proposées dans la LR nº 1/2020 pour les mesures de marché concernent le </w:t>
      </w:r>
      <w:r>
        <w:rPr>
          <w:b/>
          <w:noProof/>
        </w:rPr>
        <w:t>secteur de la volaille</w:t>
      </w:r>
      <w:r>
        <w:rPr>
          <w:noProof/>
        </w:rPr>
        <w:t xml:space="preserve"> (poste 05 02 15 99), qui enregistre une hausse de 32,0 millions d’EUR, pour des mesures spécifiques exceptionnelles en faveur des agriculteurs à la suite des foyers d’influenza aviaire. Par ailleurs, une hausse de 4,0 millions d’EUR est proposée pour l’aide particulière à l’apiculture (poste 05 02 15 06).  </w:t>
      </w:r>
    </w:p>
    <w:p>
      <w:pPr>
        <w:keepNext/>
        <w:keepLines/>
        <w:spacing w:before="120" w:after="120"/>
        <w:jc w:val="both"/>
        <w:rPr>
          <w:b/>
          <w:i/>
          <w:noProof/>
        </w:rPr>
      </w:pPr>
      <w:r>
        <w:rPr>
          <w:b/>
          <w:noProof/>
        </w:rPr>
        <w:t>05 03 </w:t>
      </w:r>
      <w:r>
        <w:rPr>
          <w:noProof/>
        </w:rPr>
        <w:sym w:font="Symbol" w:char="F0BE"/>
      </w:r>
      <w:r>
        <w:rPr>
          <w:b/>
          <w:noProof/>
        </w:rPr>
        <w:t xml:space="preserve"> Paiements directs visant à contribuer aux revenus agricoles, à limiter la variabilité de ces revenus et à réaliser les objectifs en matière d’environnement et de climat </w:t>
      </w:r>
      <w:r>
        <w:rPr>
          <w:b/>
          <w:i/>
          <w:noProof/>
        </w:rPr>
        <w:t xml:space="preserve">(crédits </w:t>
      </w:r>
      <w:r>
        <w:rPr>
          <w:b/>
          <w:i/>
          <w:noProof/>
        </w:rPr>
        <w:noBreakHyphen/>
        <w:t>260,0 millions d'EUR)</w:t>
      </w:r>
    </w:p>
    <w:tbl>
      <w:tblPr>
        <w:tblW w:w="9950" w:type="dxa"/>
        <w:tblLayout w:type="fixed"/>
        <w:tblCellMar>
          <w:left w:w="40" w:type="dxa"/>
          <w:right w:w="40" w:type="dxa"/>
        </w:tblCellMar>
        <w:tblLook w:val="0000" w:firstRow="0" w:lastRow="0" w:firstColumn="0" w:lastColumn="0" w:noHBand="0" w:noVBand="0"/>
      </w:tblPr>
      <w:tblGrid>
        <w:gridCol w:w="4009"/>
        <w:gridCol w:w="2092"/>
        <w:gridCol w:w="1725"/>
        <w:gridCol w:w="2124"/>
      </w:tblGrid>
      <w:tr>
        <w:trPr>
          <w:trHeight w:val="164"/>
          <w:tblHeader/>
        </w:trPr>
        <w:tc>
          <w:tcPr>
            <w:tcW w:w="9950" w:type="dxa"/>
            <w:gridSpan w:val="4"/>
            <w:tcBorders>
              <w:bottom w:val="single" w:sz="4" w:space="0" w:color="auto"/>
            </w:tcBorders>
            <w:shd w:val="clear" w:color="auto" w:fill="FFFFFF"/>
            <w:vAlign w:val="center"/>
          </w:tcPr>
          <w:p>
            <w:pPr>
              <w:keepNext/>
              <w:keepLines/>
              <w:jc w:val="right"/>
              <w:rPr>
                <w:noProof/>
                <w:sz w:val="16"/>
                <w:szCs w:val="16"/>
              </w:rPr>
            </w:pPr>
            <w:r>
              <w:rPr>
                <w:i/>
                <w:iCs/>
                <w:noProof/>
                <w:sz w:val="16"/>
                <w:szCs w:val="16"/>
              </w:rPr>
              <w:t>(en Mio EUR, arrondis aux prix courants)</w:t>
            </w:r>
          </w:p>
        </w:tc>
      </w:tr>
      <w:tr>
        <w:trPr>
          <w:trHeight w:val="164"/>
          <w:tblHeader/>
        </w:trPr>
        <w:tc>
          <w:tcPr>
            <w:tcW w:w="4009" w:type="dxa"/>
            <w:tcBorders>
              <w:top w:val="single" w:sz="4" w:space="0" w:color="auto"/>
              <w:left w:val="single" w:sz="4" w:space="0" w:color="auto"/>
              <w:right w:val="single" w:sz="4" w:space="0" w:color="auto"/>
            </w:tcBorders>
            <w:shd w:val="clear" w:color="auto" w:fill="E0E0E0"/>
            <w:vAlign w:val="center"/>
          </w:tcPr>
          <w:p>
            <w:pPr>
              <w:keepNext/>
              <w:keepLines/>
              <w:spacing w:before="30" w:after="30"/>
              <w:jc w:val="center"/>
              <w:rPr>
                <w:b/>
                <w:noProof/>
                <w:sz w:val="16"/>
                <w:szCs w:val="16"/>
              </w:rPr>
            </w:pPr>
            <w:r>
              <w:rPr>
                <w:b/>
                <w:noProof/>
                <w:sz w:val="16"/>
                <w:szCs w:val="16"/>
              </w:rPr>
              <w:t>Paiements directs</w:t>
            </w:r>
          </w:p>
        </w:tc>
        <w:tc>
          <w:tcPr>
            <w:tcW w:w="2092" w:type="dxa"/>
            <w:tcBorders>
              <w:top w:val="single" w:sz="4" w:space="0" w:color="auto"/>
              <w:left w:val="single" w:sz="4" w:space="0" w:color="auto"/>
              <w:bottom w:val="single" w:sz="4" w:space="0" w:color="auto"/>
              <w:right w:val="single" w:sz="4" w:space="0" w:color="auto"/>
            </w:tcBorders>
            <w:shd w:val="clear" w:color="auto" w:fill="E0E0E0"/>
            <w:vAlign w:val="center"/>
          </w:tcPr>
          <w:p>
            <w:pPr>
              <w:keepNext/>
              <w:keepLines/>
              <w:spacing w:before="30" w:after="30"/>
              <w:jc w:val="center"/>
              <w:rPr>
                <w:b/>
                <w:noProof/>
                <w:sz w:val="16"/>
                <w:szCs w:val="16"/>
              </w:rPr>
            </w:pPr>
            <w:r>
              <w:rPr>
                <w:b/>
                <w:noProof/>
                <w:sz w:val="16"/>
                <w:szCs w:val="16"/>
              </w:rPr>
              <w:t>Projet de budget 2020</w:t>
            </w:r>
          </w:p>
        </w:tc>
        <w:tc>
          <w:tcPr>
            <w:tcW w:w="1725" w:type="dxa"/>
            <w:tcBorders>
              <w:top w:val="single" w:sz="4" w:space="0" w:color="auto"/>
              <w:left w:val="nil"/>
              <w:bottom w:val="single" w:sz="4" w:space="0" w:color="auto"/>
              <w:right w:val="single" w:sz="4" w:space="0" w:color="auto"/>
            </w:tcBorders>
            <w:shd w:val="clear" w:color="auto" w:fill="E0E0E0"/>
            <w:vAlign w:val="center"/>
          </w:tcPr>
          <w:p>
            <w:pPr>
              <w:keepNext/>
              <w:keepLines/>
              <w:spacing w:before="30" w:after="30"/>
              <w:jc w:val="center"/>
              <w:rPr>
                <w:b/>
                <w:noProof/>
                <w:sz w:val="16"/>
                <w:szCs w:val="16"/>
              </w:rPr>
            </w:pPr>
            <w:r>
              <w:rPr>
                <w:b/>
                <w:noProof/>
                <w:sz w:val="16"/>
                <w:szCs w:val="16"/>
              </w:rPr>
              <w:t>Lettre rectificative</w:t>
            </w:r>
            <w:r>
              <w:rPr>
                <w:b/>
                <w:noProof/>
                <w:sz w:val="16"/>
                <w:szCs w:val="16"/>
              </w:rPr>
              <w:br/>
              <w:t xml:space="preserve"> nº 1/2020</w:t>
            </w:r>
          </w:p>
        </w:tc>
        <w:tc>
          <w:tcPr>
            <w:tcW w:w="2124" w:type="dxa"/>
            <w:tcBorders>
              <w:top w:val="single" w:sz="4" w:space="0" w:color="auto"/>
              <w:left w:val="nil"/>
              <w:bottom w:val="single" w:sz="4" w:space="0" w:color="auto"/>
              <w:right w:val="single" w:sz="4" w:space="0" w:color="auto"/>
            </w:tcBorders>
            <w:shd w:val="clear" w:color="auto" w:fill="E0E0E0"/>
            <w:vAlign w:val="center"/>
          </w:tcPr>
          <w:p>
            <w:pPr>
              <w:keepNext/>
              <w:keepLines/>
              <w:spacing w:before="30" w:after="30"/>
              <w:jc w:val="center"/>
              <w:rPr>
                <w:b/>
                <w:noProof/>
                <w:sz w:val="16"/>
                <w:szCs w:val="16"/>
              </w:rPr>
            </w:pPr>
            <w:r>
              <w:rPr>
                <w:b/>
                <w:noProof/>
                <w:sz w:val="16"/>
                <w:szCs w:val="16"/>
              </w:rPr>
              <w:t xml:space="preserve">Projet de budget 2020 </w:t>
            </w:r>
            <w:r>
              <w:rPr>
                <w:b/>
                <w:noProof/>
                <w:sz w:val="16"/>
                <w:szCs w:val="16"/>
              </w:rPr>
              <w:br/>
              <w:t>(y compris LR nº 1/2020)</w:t>
            </w:r>
          </w:p>
        </w:tc>
      </w:tr>
      <w:tr>
        <w:trPr>
          <w:trHeight w:val="164"/>
        </w:trPr>
        <w:tc>
          <w:tcPr>
            <w:tcW w:w="9950"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pPr>
              <w:keepNext/>
              <w:keepLines/>
              <w:spacing w:before="30" w:after="30"/>
              <w:rPr>
                <w:b/>
                <w:noProof/>
                <w:sz w:val="16"/>
                <w:szCs w:val="16"/>
              </w:rPr>
            </w:pPr>
            <w:r>
              <w:rPr>
                <w:b/>
                <w:i/>
                <w:noProof/>
                <w:sz w:val="16"/>
                <w:szCs w:val="16"/>
              </w:rPr>
              <w:t>Après discipline financière (crédits de la «réserve pour les crises dans le secteur agricole» inclus)</w:t>
            </w:r>
          </w:p>
        </w:tc>
      </w:tr>
      <w:tr>
        <w:trPr>
          <w:trHeight w:val="220"/>
        </w:trPr>
        <w:tc>
          <w:tcPr>
            <w:tcW w:w="4009" w:type="dxa"/>
            <w:tcBorders>
              <w:top w:val="single" w:sz="4" w:space="0" w:color="auto"/>
              <w:left w:val="single" w:sz="4" w:space="0" w:color="auto"/>
              <w:bottom w:val="dotted" w:sz="4" w:space="0" w:color="auto"/>
              <w:right w:val="single" w:sz="4" w:space="0" w:color="auto"/>
            </w:tcBorders>
            <w:vAlign w:val="center"/>
          </w:tcPr>
          <w:p>
            <w:pPr>
              <w:keepNext/>
              <w:keepLines/>
              <w:spacing w:before="30" w:after="30"/>
              <w:rPr>
                <w:noProof/>
                <w:sz w:val="16"/>
                <w:szCs w:val="16"/>
              </w:rPr>
            </w:pPr>
            <w:r>
              <w:rPr>
                <w:noProof/>
                <w:sz w:val="16"/>
                <w:szCs w:val="16"/>
              </w:rPr>
              <w:t>Besoins</w:t>
            </w:r>
          </w:p>
        </w:tc>
        <w:tc>
          <w:tcPr>
            <w:tcW w:w="2092" w:type="dxa"/>
            <w:tcBorders>
              <w:top w:val="single" w:sz="4" w:space="0" w:color="auto"/>
              <w:left w:val="single" w:sz="4" w:space="0" w:color="auto"/>
              <w:bottom w:val="dotted" w:sz="4" w:space="0" w:color="auto"/>
              <w:right w:val="single" w:sz="4" w:space="0" w:color="auto"/>
            </w:tcBorders>
            <w:vAlign w:val="center"/>
          </w:tcPr>
          <w:p>
            <w:pPr>
              <w:keepNext/>
              <w:keepLines/>
              <w:spacing w:before="30" w:after="30"/>
              <w:jc w:val="right"/>
              <w:rPr>
                <w:noProof/>
                <w:sz w:val="16"/>
                <w:szCs w:val="16"/>
              </w:rPr>
            </w:pPr>
            <w:r>
              <w:rPr>
                <w:noProof/>
                <w:sz w:val="16"/>
                <w:szCs w:val="16"/>
              </w:rPr>
              <w:t>41  448,0</w:t>
            </w:r>
          </w:p>
        </w:tc>
        <w:tc>
          <w:tcPr>
            <w:tcW w:w="1725" w:type="dxa"/>
            <w:tcBorders>
              <w:top w:val="single" w:sz="4" w:space="0" w:color="auto"/>
              <w:left w:val="nil"/>
              <w:bottom w:val="dotted" w:sz="4" w:space="0" w:color="auto"/>
              <w:right w:val="single" w:sz="4" w:space="0" w:color="auto"/>
            </w:tcBorders>
            <w:vAlign w:val="center"/>
          </w:tcPr>
          <w:p>
            <w:pPr>
              <w:keepNext/>
              <w:keepLines/>
              <w:spacing w:before="30" w:after="30"/>
              <w:jc w:val="right"/>
              <w:rPr>
                <w:noProof/>
                <w:sz w:val="16"/>
                <w:szCs w:val="16"/>
              </w:rPr>
            </w:pPr>
            <w:r>
              <w:rPr>
                <w:noProof/>
                <w:sz w:val="16"/>
                <w:szCs w:val="16"/>
              </w:rPr>
              <w:t>+94,0</w:t>
            </w:r>
          </w:p>
        </w:tc>
        <w:tc>
          <w:tcPr>
            <w:tcW w:w="2124" w:type="dxa"/>
            <w:tcBorders>
              <w:top w:val="single" w:sz="4" w:space="0" w:color="auto"/>
              <w:left w:val="nil"/>
              <w:bottom w:val="dotted" w:sz="4" w:space="0" w:color="auto"/>
              <w:right w:val="single" w:sz="4" w:space="0" w:color="auto"/>
            </w:tcBorders>
            <w:vAlign w:val="center"/>
          </w:tcPr>
          <w:p>
            <w:pPr>
              <w:keepNext/>
              <w:keepLines/>
              <w:spacing w:before="30" w:after="30"/>
              <w:jc w:val="right"/>
              <w:rPr>
                <w:noProof/>
                <w:sz w:val="16"/>
                <w:szCs w:val="16"/>
              </w:rPr>
            </w:pPr>
            <w:r>
              <w:rPr>
                <w:noProof/>
                <w:sz w:val="16"/>
                <w:szCs w:val="16"/>
              </w:rPr>
              <w:t>41 542,0</w:t>
            </w:r>
          </w:p>
        </w:tc>
      </w:tr>
      <w:tr>
        <w:trPr>
          <w:trHeight w:val="220"/>
        </w:trPr>
        <w:tc>
          <w:tcPr>
            <w:tcW w:w="4009" w:type="dxa"/>
            <w:tcBorders>
              <w:top w:val="dotted" w:sz="4" w:space="0" w:color="auto"/>
              <w:left w:val="single" w:sz="4" w:space="0" w:color="auto"/>
              <w:bottom w:val="dotted" w:sz="4" w:space="0" w:color="auto"/>
              <w:right w:val="single" w:sz="4" w:space="0" w:color="auto"/>
            </w:tcBorders>
            <w:vAlign w:val="center"/>
          </w:tcPr>
          <w:p>
            <w:pPr>
              <w:keepNext/>
              <w:keepLines/>
              <w:spacing w:before="30" w:after="30"/>
              <w:rPr>
                <w:noProof/>
                <w:sz w:val="16"/>
                <w:szCs w:val="16"/>
              </w:rPr>
            </w:pPr>
            <w:r>
              <w:rPr>
                <w:noProof/>
                <w:sz w:val="16"/>
                <w:szCs w:val="16"/>
              </w:rPr>
              <w:t>- Estimation des recettes affectées disponibles en 2020</w:t>
            </w:r>
          </w:p>
        </w:tc>
        <w:tc>
          <w:tcPr>
            <w:tcW w:w="2092" w:type="dxa"/>
            <w:tcBorders>
              <w:top w:val="dotted" w:sz="4" w:space="0" w:color="auto"/>
              <w:left w:val="single" w:sz="4" w:space="0" w:color="auto"/>
              <w:bottom w:val="dotted" w:sz="4" w:space="0" w:color="auto"/>
              <w:right w:val="single" w:sz="4" w:space="0" w:color="auto"/>
            </w:tcBorders>
            <w:vAlign w:val="center"/>
          </w:tcPr>
          <w:p>
            <w:pPr>
              <w:keepNext/>
              <w:keepLines/>
              <w:spacing w:before="30" w:after="30"/>
              <w:jc w:val="right"/>
              <w:rPr>
                <w:noProof/>
                <w:sz w:val="16"/>
                <w:szCs w:val="16"/>
              </w:rPr>
            </w:pPr>
            <w:r>
              <w:rPr>
                <w:noProof/>
                <w:sz w:val="16"/>
                <w:szCs w:val="16"/>
              </w:rPr>
              <w:t>495,0</w:t>
            </w:r>
          </w:p>
        </w:tc>
        <w:tc>
          <w:tcPr>
            <w:tcW w:w="1725" w:type="dxa"/>
            <w:tcBorders>
              <w:top w:val="dotted" w:sz="4" w:space="0" w:color="auto"/>
              <w:left w:val="nil"/>
              <w:bottom w:val="dotted" w:sz="4" w:space="0" w:color="auto"/>
              <w:right w:val="single" w:sz="4" w:space="0" w:color="auto"/>
            </w:tcBorders>
            <w:vAlign w:val="center"/>
          </w:tcPr>
          <w:p>
            <w:pPr>
              <w:keepNext/>
              <w:keepLines/>
              <w:spacing w:before="30" w:after="30"/>
              <w:jc w:val="right"/>
              <w:rPr>
                <w:noProof/>
                <w:sz w:val="16"/>
                <w:szCs w:val="16"/>
              </w:rPr>
            </w:pPr>
            <w:r>
              <w:rPr>
                <w:noProof/>
                <w:sz w:val="16"/>
                <w:szCs w:val="16"/>
              </w:rPr>
              <w:t>+354,0</w:t>
            </w:r>
          </w:p>
        </w:tc>
        <w:tc>
          <w:tcPr>
            <w:tcW w:w="2124" w:type="dxa"/>
            <w:tcBorders>
              <w:top w:val="dotted" w:sz="4" w:space="0" w:color="auto"/>
              <w:left w:val="nil"/>
              <w:bottom w:val="dotted" w:sz="4" w:space="0" w:color="auto"/>
              <w:right w:val="single" w:sz="4" w:space="0" w:color="auto"/>
            </w:tcBorders>
            <w:vAlign w:val="center"/>
          </w:tcPr>
          <w:p>
            <w:pPr>
              <w:keepNext/>
              <w:keepLines/>
              <w:spacing w:before="30" w:after="30"/>
              <w:jc w:val="right"/>
              <w:rPr>
                <w:noProof/>
                <w:sz w:val="16"/>
                <w:szCs w:val="16"/>
              </w:rPr>
            </w:pPr>
            <w:r>
              <w:rPr>
                <w:noProof/>
                <w:sz w:val="16"/>
                <w:szCs w:val="16"/>
              </w:rPr>
              <w:t>849,0</w:t>
            </w:r>
          </w:p>
        </w:tc>
      </w:tr>
      <w:tr>
        <w:trPr>
          <w:trHeight w:val="220"/>
        </w:trPr>
        <w:tc>
          <w:tcPr>
            <w:tcW w:w="4009" w:type="dxa"/>
            <w:tcBorders>
              <w:top w:val="single" w:sz="4" w:space="0" w:color="auto"/>
              <w:left w:val="single" w:sz="4" w:space="0" w:color="auto"/>
              <w:bottom w:val="single" w:sz="4" w:space="0" w:color="auto"/>
              <w:right w:val="single" w:sz="4" w:space="0" w:color="auto"/>
            </w:tcBorders>
            <w:shd w:val="clear" w:color="auto" w:fill="D9D9D9"/>
            <w:vAlign w:val="center"/>
          </w:tcPr>
          <w:p>
            <w:pPr>
              <w:keepNext/>
              <w:keepLines/>
              <w:spacing w:before="30" w:after="30"/>
              <w:rPr>
                <w:b/>
                <w:noProof/>
                <w:sz w:val="16"/>
                <w:szCs w:val="16"/>
              </w:rPr>
            </w:pPr>
            <w:r>
              <w:rPr>
                <w:b/>
                <w:noProof/>
                <w:sz w:val="16"/>
                <w:szCs w:val="16"/>
              </w:rPr>
              <w:t>Crédits demandés</w:t>
            </w:r>
          </w:p>
        </w:tc>
        <w:tc>
          <w:tcPr>
            <w:tcW w:w="2092" w:type="dxa"/>
            <w:tcBorders>
              <w:top w:val="single" w:sz="4" w:space="0" w:color="auto"/>
              <w:left w:val="single" w:sz="4" w:space="0" w:color="auto"/>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szCs w:val="16"/>
              </w:rPr>
              <w:t>40 953,0</w:t>
            </w:r>
          </w:p>
        </w:tc>
        <w:tc>
          <w:tcPr>
            <w:tcW w:w="1725" w:type="dxa"/>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szCs w:val="16"/>
              </w:rPr>
              <w:t>-260,0</w:t>
            </w:r>
          </w:p>
        </w:tc>
        <w:tc>
          <w:tcPr>
            <w:tcW w:w="2124" w:type="dxa"/>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szCs w:val="16"/>
              </w:rPr>
              <w:t>40 693,0</w:t>
            </w:r>
          </w:p>
        </w:tc>
      </w:tr>
    </w:tbl>
    <w:p>
      <w:pPr>
        <w:autoSpaceDE w:val="0"/>
        <w:autoSpaceDN w:val="0"/>
        <w:adjustRightInd w:val="0"/>
        <w:spacing w:before="120" w:after="120"/>
        <w:jc w:val="both"/>
        <w:rPr>
          <w:noProof/>
        </w:rPr>
      </w:pPr>
      <w:r>
        <w:rPr>
          <w:noProof/>
        </w:rPr>
        <w:t xml:space="preserve">Par rapport au PB 2020, les crédits demandés pour le chapitre 05 03 sont révisés à la baisse, de 260,0 millions d'EUR. Cette évolution s’explique principalement par le montant plus élevé (+354,0 millions d'EUR) de recettes affectées au poste 05 03 01 10 </w:t>
      </w:r>
      <w:r>
        <w:rPr>
          <w:i/>
          <w:noProof/>
        </w:rPr>
        <w:t>Régime de paiement de base (RPB)</w:t>
      </w:r>
      <w:r>
        <w:rPr>
          <w:noProof/>
        </w:rPr>
        <w:t xml:space="preserve">. L’augmentation des besoins estimés (+94,0 millions d’EUR) par rapport au PB 2020 témoigne d’une exécution très élevée au cours de l’exercice 2019, qui devrait se poursuivre en 2020. Il existe quelques variations entre postes budgétaires pour les paiements directs, qui sont le reflet d’une évaluation actualisée des besoins (voir tableau ci-dessous). </w:t>
      </w:r>
    </w:p>
    <w:p>
      <w:pPr>
        <w:keepNext/>
        <w:keepLines/>
        <w:tabs>
          <w:tab w:val="right" w:pos="5640"/>
        </w:tabs>
        <w:spacing w:before="120" w:after="120"/>
        <w:jc w:val="both"/>
        <w:rPr>
          <w:b/>
          <w:i/>
          <w:noProof/>
        </w:rPr>
      </w:pPr>
      <w:r>
        <w:rPr>
          <w:b/>
          <w:noProof/>
        </w:rPr>
        <w:t xml:space="preserve">Autres dépenses agricoles financées par le Fonds européen agricole de garantie (FEAGA) </w:t>
      </w:r>
      <w:r>
        <w:rPr>
          <w:b/>
          <w:i/>
          <w:iCs/>
          <w:noProof/>
        </w:rPr>
        <w:t>(crédits +174,3 millions d’EUR)</w:t>
      </w:r>
    </w:p>
    <w:p>
      <w:pPr>
        <w:spacing w:before="120" w:after="120"/>
        <w:jc w:val="both"/>
        <w:rPr>
          <w:noProof/>
        </w:rPr>
      </w:pPr>
      <w:r>
        <w:rPr>
          <w:noProof/>
        </w:rPr>
        <w:t xml:space="preserve">Les crédits de l’article 05 07 01 07 </w:t>
      </w:r>
      <w:r>
        <w:rPr>
          <w:i/>
          <w:iCs/>
          <w:noProof/>
        </w:rPr>
        <w:t>Corrections financières en faveur des États membres à la suite de décisions relatives à l’apurement de conformité</w:t>
      </w:r>
      <w:r>
        <w:rPr>
          <w:noProof/>
        </w:rPr>
        <w:t xml:space="preserve"> doivent être augmentés de 176,6 millions d’EUR à la suite de deux arrêts de la Cour de justice (affaires T-459/16 et T-237/17), favorables aux États membres, sur des décisions d’apurement antérieures. À cela s’ajoute une mise à jour mineure concernant le poste 05 07 01 06 </w:t>
      </w:r>
      <w:r>
        <w:rPr>
          <w:i/>
          <w:noProof/>
        </w:rPr>
        <w:t>Corrections financières en faveur des États membres à la suite de décisions relatives à l’apurement des comptes</w:t>
      </w:r>
      <w:r>
        <w:rPr>
          <w:noProof/>
        </w:rPr>
        <w:t xml:space="preserve"> pour un montant de -2,3 millions d’EUR (voir tableau ci-dessous).</w:t>
      </w:r>
    </w:p>
    <w:p>
      <w:pPr>
        <w:keepNext/>
        <w:tabs>
          <w:tab w:val="left" w:pos="850"/>
        </w:tabs>
        <w:spacing w:before="360" w:after="120"/>
        <w:ind w:left="357" w:hanging="357"/>
        <w:jc w:val="both"/>
        <w:outlineLvl w:val="1"/>
        <w:rPr>
          <w:rFonts w:eastAsia="Calibri"/>
          <w:b/>
          <w:noProof/>
        </w:rPr>
      </w:pPr>
      <w:bookmarkStart w:id="6" w:name="_Toc22821751"/>
      <w:r>
        <w:rPr>
          <w:b/>
          <w:noProof/>
        </w:rPr>
        <w:t xml:space="preserve">2.3 </w:t>
      </w:r>
      <w:r>
        <w:rPr>
          <w:b/>
          <w:noProof/>
        </w:rPr>
        <w:tab/>
        <w:t>Chiffres détaillés par ligne</w:t>
      </w:r>
      <w:bookmarkEnd w:id="6"/>
    </w:p>
    <w:tbl>
      <w:tblPr>
        <w:tblW w:w="10000" w:type="dxa"/>
        <w:jc w:val="center"/>
        <w:tblLayout w:type="fixed"/>
        <w:tblCellMar>
          <w:left w:w="40" w:type="dxa"/>
          <w:right w:w="40" w:type="dxa"/>
        </w:tblCellMar>
        <w:tblLook w:val="0000" w:firstRow="0" w:lastRow="0" w:firstColumn="0" w:lastColumn="0" w:noHBand="0" w:noVBand="0"/>
      </w:tblPr>
      <w:tblGrid>
        <w:gridCol w:w="9"/>
        <w:gridCol w:w="1191"/>
        <w:gridCol w:w="5503"/>
        <w:gridCol w:w="1617"/>
        <w:gridCol w:w="1672"/>
        <w:gridCol w:w="8"/>
      </w:tblGrid>
      <w:tr>
        <w:trPr>
          <w:gridBefore w:val="1"/>
          <w:gridAfter w:val="1"/>
          <w:wBefore w:w="9" w:type="dxa"/>
          <w:wAfter w:w="8" w:type="dxa"/>
          <w:trHeight w:val="284"/>
          <w:tblHeader/>
          <w:jc w:val="center"/>
        </w:trPr>
        <w:tc>
          <w:tcPr>
            <w:tcW w:w="9983" w:type="dxa"/>
            <w:gridSpan w:val="4"/>
            <w:shd w:val="clear" w:color="auto" w:fill="FFFFFF"/>
            <w:vAlign w:val="center"/>
          </w:tcPr>
          <w:p>
            <w:pPr>
              <w:jc w:val="right"/>
              <w:rPr>
                <w:noProof/>
                <w:sz w:val="16"/>
                <w:szCs w:val="16"/>
              </w:rPr>
            </w:pPr>
            <w:r>
              <w:rPr>
                <w:i/>
                <w:iCs/>
                <w:noProof/>
                <w:sz w:val="16"/>
                <w:szCs w:val="16"/>
              </w:rPr>
              <w:t>en EUR</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blHeader/>
        </w:trPr>
        <w:tc>
          <w:tcPr>
            <w:tcW w:w="1200" w:type="dxa"/>
            <w:gridSpan w:val="2"/>
            <w:shd w:val="clear" w:color="auto" w:fill="D9D9D9"/>
            <w:vAlign w:val="center"/>
          </w:tcPr>
          <w:p>
            <w:pPr>
              <w:widowControl w:val="0"/>
              <w:spacing w:before="15" w:after="15" w:line="276" w:lineRule="auto"/>
              <w:jc w:val="center"/>
              <w:rPr>
                <w:b/>
                <w:noProof/>
                <w:sz w:val="20"/>
                <w:szCs w:val="20"/>
              </w:rPr>
            </w:pPr>
            <w:r>
              <w:rPr>
                <w:b/>
                <w:noProof/>
                <w:sz w:val="20"/>
                <w:szCs w:val="20"/>
              </w:rPr>
              <w:t>Ligne budgétaire</w:t>
            </w:r>
          </w:p>
        </w:tc>
        <w:tc>
          <w:tcPr>
            <w:tcW w:w="5503" w:type="dxa"/>
            <w:shd w:val="clear" w:color="auto" w:fill="D9D9D9"/>
            <w:vAlign w:val="center"/>
          </w:tcPr>
          <w:p>
            <w:pPr>
              <w:widowControl w:val="0"/>
              <w:spacing w:before="15" w:after="15" w:line="276" w:lineRule="auto"/>
              <w:jc w:val="center"/>
              <w:rPr>
                <w:b/>
                <w:noProof/>
                <w:sz w:val="20"/>
                <w:szCs w:val="20"/>
              </w:rPr>
            </w:pPr>
            <w:r>
              <w:rPr>
                <w:b/>
                <w:noProof/>
                <w:sz w:val="20"/>
                <w:szCs w:val="20"/>
              </w:rPr>
              <w:t>Intitulé</w:t>
            </w:r>
          </w:p>
        </w:tc>
        <w:tc>
          <w:tcPr>
            <w:tcW w:w="1617" w:type="dxa"/>
            <w:shd w:val="clear" w:color="auto" w:fill="D9D9D9"/>
            <w:vAlign w:val="center"/>
          </w:tcPr>
          <w:p>
            <w:pPr>
              <w:widowControl w:val="0"/>
              <w:spacing w:before="15" w:after="15" w:line="276" w:lineRule="auto"/>
              <w:jc w:val="center"/>
              <w:rPr>
                <w:b/>
                <w:noProof/>
                <w:sz w:val="20"/>
                <w:szCs w:val="20"/>
              </w:rPr>
            </w:pPr>
            <w:r>
              <w:rPr>
                <w:b/>
                <w:noProof/>
                <w:sz w:val="20"/>
                <w:szCs w:val="20"/>
              </w:rPr>
              <w:t>Crédits d’engagement</w:t>
            </w:r>
          </w:p>
        </w:tc>
        <w:tc>
          <w:tcPr>
            <w:tcW w:w="1680" w:type="dxa"/>
            <w:gridSpan w:val="2"/>
            <w:shd w:val="clear" w:color="auto" w:fill="D9D9D9"/>
            <w:vAlign w:val="center"/>
          </w:tcPr>
          <w:p>
            <w:pPr>
              <w:widowControl w:val="0"/>
              <w:spacing w:before="15" w:after="15" w:line="276" w:lineRule="auto"/>
              <w:jc w:val="center"/>
              <w:rPr>
                <w:b/>
                <w:noProof/>
                <w:sz w:val="20"/>
                <w:szCs w:val="20"/>
              </w:rPr>
            </w:pPr>
            <w:r>
              <w:rPr>
                <w:b/>
                <w:noProof/>
                <w:sz w:val="20"/>
                <w:szCs w:val="20"/>
              </w:rPr>
              <w:t>Crédits de paiement</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0000" w:type="dxa"/>
            <w:gridSpan w:val="6"/>
            <w:shd w:val="clear" w:color="auto" w:fill="F2F2F2" w:themeFill="background1" w:themeFillShade="F2"/>
            <w:vAlign w:val="center"/>
          </w:tcPr>
          <w:p>
            <w:pPr>
              <w:widowControl w:val="0"/>
              <w:spacing w:before="15" w:after="15" w:line="276" w:lineRule="auto"/>
              <w:rPr>
                <w:i/>
                <w:noProof/>
                <w:sz w:val="20"/>
                <w:szCs w:val="20"/>
              </w:rPr>
            </w:pPr>
            <w:r>
              <w:rPr>
                <w:i/>
                <w:noProof/>
                <w:sz w:val="20"/>
                <w:szCs w:val="20"/>
              </w:rPr>
              <w:t>Section III – Commission européenne</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05 02 15 06</w:t>
            </w:r>
          </w:p>
        </w:tc>
        <w:tc>
          <w:tcPr>
            <w:tcW w:w="5503" w:type="dxa"/>
            <w:vAlign w:val="center"/>
          </w:tcPr>
          <w:p>
            <w:pPr>
              <w:rPr>
                <w:noProof/>
                <w:sz w:val="20"/>
                <w:szCs w:val="20"/>
              </w:rPr>
            </w:pPr>
            <w:r>
              <w:rPr>
                <w:noProof/>
                <w:sz w:val="20"/>
                <w:szCs w:val="20"/>
              </w:rPr>
              <w:t>Aide particulière à l’apiculture</w:t>
            </w:r>
          </w:p>
        </w:tc>
        <w:tc>
          <w:tcPr>
            <w:tcW w:w="1617" w:type="dxa"/>
            <w:vAlign w:val="center"/>
          </w:tcPr>
          <w:p>
            <w:pPr>
              <w:jc w:val="right"/>
              <w:rPr>
                <w:bCs/>
                <w:noProof/>
                <w:sz w:val="20"/>
                <w:szCs w:val="20"/>
              </w:rPr>
            </w:pPr>
            <w:r>
              <w:rPr>
                <w:bCs/>
                <w:noProof/>
                <w:sz w:val="20"/>
                <w:szCs w:val="20"/>
              </w:rPr>
              <w:t>+4 000 000</w:t>
            </w:r>
          </w:p>
        </w:tc>
        <w:tc>
          <w:tcPr>
            <w:tcW w:w="1680" w:type="dxa"/>
            <w:gridSpan w:val="2"/>
            <w:vAlign w:val="center"/>
          </w:tcPr>
          <w:p>
            <w:pPr>
              <w:jc w:val="right"/>
              <w:rPr>
                <w:bCs/>
                <w:noProof/>
                <w:sz w:val="20"/>
                <w:szCs w:val="20"/>
              </w:rPr>
            </w:pPr>
            <w:r>
              <w:rPr>
                <w:bCs/>
                <w:noProof/>
                <w:sz w:val="20"/>
                <w:szCs w:val="20"/>
              </w:rPr>
              <w:t>+4 000 000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05 02 15 99</w:t>
            </w:r>
          </w:p>
        </w:tc>
        <w:tc>
          <w:tcPr>
            <w:tcW w:w="5503" w:type="dxa"/>
            <w:vAlign w:val="center"/>
          </w:tcPr>
          <w:p>
            <w:pPr>
              <w:rPr>
                <w:noProof/>
                <w:sz w:val="20"/>
                <w:szCs w:val="20"/>
              </w:rPr>
            </w:pPr>
            <w:r>
              <w:rPr>
                <w:noProof/>
                <w:sz w:val="20"/>
                <w:szCs w:val="20"/>
              </w:rPr>
              <w:t>Autres mesures pour les viandes porcines, les volailles, les œufs, l’apiculture et les autres produits animaux</w:t>
            </w:r>
          </w:p>
        </w:tc>
        <w:tc>
          <w:tcPr>
            <w:tcW w:w="1617" w:type="dxa"/>
            <w:vAlign w:val="center"/>
          </w:tcPr>
          <w:p>
            <w:pPr>
              <w:jc w:val="right"/>
              <w:rPr>
                <w:bCs/>
                <w:noProof/>
                <w:sz w:val="20"/>
                <w:szCs w:val="20"/>
              </w:rPr>
            </w:pPr>
            <w:r>
              <w:rPr>
                <w:bCs/>
                <w:noProof/>
                <w:sz w:val="20"/>
                <w:szCs w:val="20"/>
              </w:rPr>
              <w:t>+32 000 000</w:t>
            </w:r>
          </w:p>
        </w:tc>
        <w:tc>
          <w:tcPr>
            <w:tcW w:w="1680" w:type="dxa"/>
            <w:gridSpan w:val="2"/>
            <w:vAlign w:val="center"/>
          </w:tcPr>
          <w:p>
            <w:pPr>
              <w:jc w:val="right"/>
              <w:rPr>
                <w:bCs/>
                <w:noProof/>
                <w:sz w:val="20"/>
                <w:szCs w:val="20"/>
              </w:rPr>
            </w:pPr>
            <w:r>
              <w:rPr>
                <w:bCs/>
                <w:noProof/>
                <w:sz w:val="20"/>
                <w:szCs w:val="20"/>
              </w:rPr>
              <w:t>+32 000 000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6703" w:type="dxa"/>
            <w:gridSpan w:val="3"/>
            <w:shd w:val="clear" w:color="auto" w:fill="D9D9D9"/>
            <w:vAlign w:val="center"/>
          </w:tcPr>
          <w:p>
            <w:pPr>
              <w:widowControl w:val="0"/>
              <w:tabs>
                <w:tab w:val="left" w:pos="975"/>
              </w:tabs>
              <w:spacing w:before="15" w:after="15"/>
              <w:jc w:val="right"/>
              <w:rPr>
                <w:b/>
                <w:i/>
                <w:noProof/>
                <w:sz w:val="20"/>
                <w:szCs w:val="20"/>
              </w:rPr>
            </w:pPr>
            <w:r>
              <w:rPr>
                <w:b/>
                <w:i/>
                <w:noProof/>
                <w:sz w:val="20"/>
                <w:szCs w:val="20"/>
              </w:rPr>
              <w:t>Sous-total</w:t>
            </w:r>
            <w:r>
              <w:rPr>
                <w:b/>
                <w:i/>
                <w:noProof/>
                <w:sz w:val="20"/>
                <w:szCs w:val="20"/>
              </w:rPr>
              <w:tab/>
              <w:t>05 02</w:t>
            </w:r>
          </w:p>
        </w:tc>
        <w:tc>
          <w:tcPr>
            <w:tcW w:w="1617" w:type="dxa"/>
            <w:shd w:val="clear" w:color="auto" w:fill="D9D9D9"/>
            <w:vAlign w:val="center"/>
          </w:tcPr>
          <w:p>
            <w:pPr>
              <w:widowControl w:val="0"/>
              <w:spacing w:before="15" w:after="15"/>
              <w:jc w:val="right"/>
              <w:rPr>
                <w:b/>
                <w:i/>
                <w:noProof/>
                <w:sz w:val="20"/>
                <w:szCs w:val="20"/>
              </w:rPr>
            </w:pPr>
            <w:r>
              <w:rPr>
                <w:b/>
                <w:i/>
                <w:noProof/>
                <w:sz w:val="20"/>
                <w:szCs w:val="20"/>
              </w:rPr>
              <w:t>+36 000 000</w:t>
            </w:r>
          </w:p>
        </w:tc>
        <w:tc>
          <w:tcPr>
            <w:tcW w:w="1680" w:type="dxa"/>
            <w:gridSpan w:val="2"/>
            <w:shd w:val="clear" w:color="auto" w:fill="D9D9D9"/>
            <w:vAlign w:val="center"/>
          </w:tcPr>
          <w:p>
            <w:pPr>
              <w:widowControl w:val="0"/>
              <w:spacing w:before="15" w:after="15"/>
              <w:jc w:val="right"/>
              <w:rPr>
                <w:b/>
                <w:i/>
                <w:noProof/>
                <w:sz w:val="20"/>
                <w:szCs w:val="20"/>
              </w:rPr>
            </w:pPr>
            <w:r>
              <w:rPr>
                <w:b/>
                <w:i/>
                <w:noProof/>
                <w:sz w:val="20"/>
                <w:szCs w:val="20"/>
              </w:rPr>
              <w:t>+36 000 000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05 03 01 02</w:t>
            </w:r>
          </w:p>
        </w:tc>
        <w:tc>
          <w:tcPr>
            <w:tcW w:w="5503" w:type="dxa"/>
            <w:vAlign w:val="center"/>
          </w:tcPr>
          <w:p>
            <w:pPr>
              <w:rPr>
                <w:noProof/>
                <w:sz w:val="20"/>
                <w:szCs w:val="20"/>
              </w:rPr>
            </w:pPr>
            <w:r>
              <w:rPr>
                <w:noProof/>
                <w:sz w:val="20"/>
                <w:szCs w:val="20"/>
              </w:rPr>
              <w:t>Régime de paiement unique à la surface (RPUS)</w:t>
            </w:r>
          </w:p>
        </w:tc>
        <w:tc>
          <w:tcPr>
            <w:tcW w:w="1617" w:type="dxa"/>
            <w:vAlign w:val="center"/>
          </w:tcPr>
          <w:p>
            <w:pPr>
              <w:jc w:val="right"/>
              <w:rPr>
                <w:bCs/>
                <w:noProof/>
                <w:sz w:val="20"/>
                <w:szCs w:val="20"/>
              </w:rPr>
            </w:pPr>
            <w:r>
              <w:rPr>
                <w:bCs/>
                <w:noProof/>
                <w:sz w:val="20"/>
                <w:szCs w:val="20"/>
              </w:rPr>
              <w:t>+21 000 000</w:t>
            </w:r>
          </w:p>
        </w:tc>
        <w:tc>
          <w:tcPr>
            <w:tcW w:w="1680" w:type="dxa"/>
            <w:gridSpan w:val="2"/>
            <w:vAlign w:val="center"/>
          </w:tcPr>
          <w:p>
            <w:pPr>
              <w:jc w:val="right"/>
              <w:rPr>
                <w:bCs/>
                <w:noProof/>
                <w:sz w:val="20"/>
                <w:szCs w:val="20"/>
              </w:rPr>
            </w:pPr>
            <w:r>
              <w:rPr>
                <w:bCs/>
                <w:noProof/>
                <w:sz w:val="20"/>
                <w:szCs w:val="20"/>
              </w:rPr>
              <w:t>+21 000 000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05 03 01 07</w:t>
            </w:r>
          </w:p>
        </w:tc>
        <w:tc>
          <w:tcPr>
            <w:tcW w:w="5503" w:type="dxa"/>
            <w:vAlign w:val="center"/>
          </w:tcPr>
          <w:p>
            <w:pPr>
              <w:rPr>
                <w:noProof/>
                <w:sz w:val="20"/>
                <w:szCs w:val="20"/>
              </w:rPr>
            </w:pPr>
            <w:r>
              <w:rPr>
                <w:noProof/>
                <w:sz w:val="20"/>
                <w:szCs w:val="20"/>
              </w:rPr>
              <w:t>Paiement redistributif</w:t>
            </w:r>
          </w:p>
        </w:tc>
        <w:tc>
          <w:tcPr>
            <w:tcW w:w="1617" w:type="dxa"/>
            <w:vAlign w:val="center"/>
          </w:tcPr>
          <w:p>
            <w:pPr>
              <w:jc w:val="right"/>
              <w:rPr>
                <w:bCs/>
                <w:noProof/>
                <w:sz w:val="20"/>
                <w:szCs w:val="20"/>
              </w:rPr>
            </w:pPr>
            <w:r>
              <w:rPr>
                <w:bCs/>
                <w:noProof/>
                <w:sz w:val="20"/>
                <w:szCs w:val="20"/>
              </w:rPr>
              <w:t>+7 000 000</w:t>
            </w:r>
          </w:p>
        </w:tc>
        <w:tc>
          <w:tcPr>
            <w:tcW w:w="1680" w:type="dxa"/>
            <w:gridSpan w:val="2"/>
            <w:vAlign w:val="center"/>
          </w:tcPr>
          <w:p>
            <w:pPr>
              <w:jc w:val="right"/>
              <w:rPr>
                <w:bCs/>
                <w:noProof/>
                <w:sz w:val="20"/>
                <w:szCs w:val="20"/>
              </w:rPr>
            </w:pPr>
            <w:r>
              <w:rPr>
                <w:bCs/>
                <w:noProof/>
                <w:sz w:val="20"/>
                <w:szCs w:val="20"/>
              </w:rPr>
              <w:t>+7 000 000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05 03 01 10</w:t>
            </w:r>
          </w:p>
        </w:tc>
        <w:tc>
          <w:tcPr>
            <w:tcW w:w="5503" w:type="dxa"/>
            <w:vAlign w:val="center"/>
          </w:tcPr>
          <w:p>
            <w:pPr>
              <w:rPr>
                <w:noProof/>
                <w:sz w:val="20"/>
                <w:szCs w:val="20"/>
              </w:rPr>
            </w:pPr>
            <w:r>
              <w:rPr>
                <w:noProof/>
                <w:sz w:val="20"/>
                <w:szCs w:val="20"/>
              </w:rPr>
              <w:t>Régime de paiement de base (RPB)</w:t>
            </w:r>
          </w:p>
        </w:tc>
        <w:tc>
          <w:tcPr>
            <w:tcW w:w="1617" w:type="dxa"/>
            <w:vAlign w:val="center"/>
          </w:tcPr>
          <w:p>
            <w:pPr>
              <w:jc w:val="right"/>
              <w:rPr>
                <w:bCs/>
                <w:noProof/>
                <w:sz w:val="20"/>
                <w:szCs w:val="20"/>
              </w:rPr>
            </w:pPr>
            <w:r>
              <w:rPr>
                <w:bCs/>
                <w:noProof/>
                <w:sz w:val="20"/>
                <w:szCs w:val="20"/>
              </w:rPr>
              <w:t>-325 000 000</w:t>
            </w:r>
          </w:p>
        </w:tc>
        <w:tc>
          <w:tcPr>
            <w:tcW w:w="1680" w:type="dxa"/>
            <w:gridSpan w:val="2"/>
            <w:vAlign w:val="center"/>
          </w:tcPr>
          <w:p>
            <w:pPr>
              <w:jc w:val="right"/>
              <w:rPr>
                <w:bCs/>
                <w:noProof/>
                <w:sz w:val="20"/>
                <w:szCs w:val="20"/>
              </w:rPr>
            </w:pPr>
            <w:r>
              <w:rPr>
                <w:bCs/>
                <w:noProof/>
                <w:sz w:val="20"/>
                <w:szCs w:val="20"/>
              </w:rPr>
              <w:t>-325 000 000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05 03 01 11</w:t>
            </w:r>
          </w:p>
        </w:tc>
        <w:tc>
          <w:tcPr>
            <w:tcW w:w="5503" w:type="dxa"/>
            <w:vAlign w:val="center"/>
          </w:tcPr>
          <w:p>
            <w:pPr>
              <w:rPr>
                <w:noProof/>
                <w:sz w:val="20"/>
                <w:szCs w:val="20"/>
              </w:rPr>
            </w:pPr>
            <w:r>
              <w:rPr>
                <w:noProof/>
                <w:sz w:val="20"/>
                <w:szCs w:val="20"/>
              </w:rPr>
              <w:t>Paiement pour les pratiques agricoles bénéfiques pour le climat et l'environnement</w:t>
            </w:r>
          </w:p>
        </w:tc>
        <w:tc>
          <w:tcPr>
            <w:tcW w:w="1617" w:type="dxa"/>
            <w:vAlign w:val="center"/>
          </w:tcPr>
          <w:p>
            <w:pPr>
              <w:jc w:val="right"/>
              <w:rPr>
                <w:bCs/>
                <w:noProof/>
                <w:sz w:val="20"/>
                <w:szCs w:val="20"/>
              </w:rPr>
            </w:pPr>
            <w:r>
              <w:rPr>
                <w:bCs/>
                <w:noProof/>
                <w:sz w:val="20"/>
                <w:szCs w:val="20"/>
              </w:rPr>
              <w:t>+54 000 000</w:t>
            </w:r>
          </w:p>
        </w:tc>
        <w:tc>
          <w:tcPr>
            <w:tcW w:w="1680" w:type="dxa"/>
            <w:gridSpan w:val="2"/>
            <w:vAlign w:val="center"/>
          </w:tcPr>
          <w:p>
            <w:pPr>
              <w:jc w:val="right"/>
              <w:rPr>
                <w:bCs/>
                <w:noProof/>
                <w:sz w:val="20"/>
                <w:szCs w:val="20"/>
              </w:rPr>
            </w:pPr>
            <w:r>
              <w:rPr>
                <w:bCs/>
                <w:noProof/>
                <w:sz w:val="20"/>
                <w:szCs w:val="20"/>
              </w:rPr>
              <w:t>+54 000 000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05 03 01 13</w:t>
            </w:r>
          </w:p>
        </w:tc>
        <w:tc>
          <w:tcPr>
            <w:tcW w:w="5503" w:type="dxa"/>
            <w:vAlign w:val="center"/>
          </w:tcPr>
          <w:p>
            <w:pPr>
              <w:rPr>
                <w:noProof/>
                <w:sz w:val="20"/>
                <w:szCs w:val="20"/>
              </w:rPr>
            </w:pPr>
            <w:r>
              <w:rPr>
                <w:noProof/>
                <w:sz w:val="20"/>
                <w:szCs w:val="20"/>
              </w:rPr>
              <w:t>Paiement en faveur des jeunes agriculteurs</w:t>
            </w:r>
          </w:p>
        </w:tc>
        <w:tc>
          <w:tcPr>
            <w:tcW w:w="1617" w:type="dxa"/>
            <w:vAlign w:val="center"/>
          </w:tcPr>
          <w:p>
            <w:pPr>
              <w:jc w:val="right"/>
              <w:rPr>
                <w:bCs/>
                <w:noProof/>
                <w:sz w:val="20"/>
                <w:szCs w:val="20"/>
              </w:rPr>
            </w:pPr>
            <w:r>
              <w:rPr>
                <w:bCs/>
                <w:noProof/>
                <w:sz w:val="20"/>
                <w:szCs w:val="20"/>
              </w:rPr>
              <w:t>+120 000 000</w:t>
            </w:r>
          </w:p>
        </w:tc>
        <w:tc>
          <w:tcPr>
            <w:tcW w:w="1680" w:type="dxa"/>
            <w:gridSpan w:val="2"/>
            <w:vAlign w:val="center"/>
          </w:tcPr>
          <w:p>
            <w:pPr>
              <w:jc w:val="right"/>
              <w:rPr>
                <w:bCs/>
                <w:noProof/>
                <w:sz w:val="20"/>
                <w:szCs w:val="20"/>
              </w:rPr>
            </w:pPr>
            <w:r>
              <w:rPr>
                <w:bCs/>
                <w:noProof/>
                <w:sz w:val="20"/>
                <w:szCs w:val="20"/>
              </w:rPr>
              <w:t>+120 000 000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05 03 01 99</w:t>
            </w:r>
          </w:p>
        </w:tc>
        <w:tc>
          <w:tcPr>
            <w:tcW w:w="5503" w:type="dxa"/>
            <w:vAlign w:val="center"/>
          </w:tcPr>
          <w:p>
            <w:pPr>
              <w:rPr>
                <w:noProof/>
                <w:sz w:val="20"/>
                <w:szCs w:val="20"/>
              </w:rPr>
            </w:pPr>
            <w:r>
              <w:rPr>
                <w:noProof/>
                <w:sz w:val="20"/>
                <w:szCs w:val="20"/>
              </w:rPr>
              <w:t>Autres (paiements directs découplés)</w:t>
            </w:r>
          </w:p>
        </w:tc>
        <w:tc>
          <w:tcPr>
            <w:tcW w:w="1617" w:type="dxa"/>
            <w:vAlign w:val="center"/>
          </w:tcPr>
          <w:p>
            <w:pPr>
              <w:jc w:val="right"/>
              <w:rPr>
                <w:bCs/>
                <w:noProof/>
                <w:sz w:val="20"/>
                <w:szCs w:val="20"/>
              </w:rPr>
            </w:pPr>
            <w:r>
              <w:rPr>
                <w:bCs/>
                <w:noProof/>
                <w:sz w:val="20"/>
                <w:szCs w:val="20"/>
              </w:rPr>
              <w:t>-7 000 000</w:t>
            </w:r>
          </w:p>
        </w:tc>
        <w:tc>
          <w:tcPr>
            <w:tcW w:w="1680" w:type="dxa"/>
            <w:gridSpan w:val="2"/>
            <w:vAlign w:val="center"/>
          </w:tcPr>
          <w:p>
            <w:pPr>
              <w:jc w:val="right"/>
              <w:rPr>
                <w:bCs/>
                <w:noProof/>
                <w:sz w:val="20"/>
                <w:szCs w:val="20"/>
              </w:rPr>
            </w:pPr>
            <w:r>
              <w:rPr>
                <w:bCs/>
                <w:noProof/>
                <w:sz w:val="20"/>
                <w:szCs w:val="20"/>
              </w:rPr>
              <w:t>-7 000 000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05 03 02 50</w:t>
            </w:r>
          </w:p>
        </w:tc>
        <w:tc>
          <w:tcPr>
            <w:tcW w:w="5503" w:type="dxa"/>
            <w:vAlign w:val="center"/>
          </w:tcPr>
          <w:p>
            <w:pPr>
              <w:rPr>
                <w:noProof/>
                <w:sz w:val="20"/>
                <w:szCs w:val="20"/>
              </w:rPr>
            </w:pPr>
            <w:r>
              <w:rPr>
                <w:noProof/>
                <w:sz w:val="20"/>
                <w:szCs w:val="20"/>
              </w:rPr>
              <w:t>POSEI – Programmes de soutien de l’Union européenne</w:t>
            </w:r>
          </w:p>
        </w:tc>
        <w:tc>
          <w:tcPr>
            <w:tcW w:w="1617" w:type="dxa"/>
            <w:vAlign w:val="center"/>
          </w:tcPr>
          <w:p>
            <w:pPr>
              <w:jc w:val="right"/>
              <w:rPr>
                <w:bCs/>
                <w:noProof/>
                <w:sz w:val="20"/>
                <w:szCs w:val="20"/>
              </w:rPr>
            </w:pPr>
            <w:r>
              <w:rPr>
                <w:bCs/>
                <w:noProof/>
                <w:sz w:val="20"/>
                <w:szCs w:val="20"/>
              </w:rPr>
              <w:t>+1 000 000</w:t>
            </w:r>
          </w:p>
        </w:tc>
        <w:tc>
          <w:tcPr>
            <w:tcW w:w="1680" w:type="dxa"/>
            <w:gridSpan w:val="2"/>
            <w:vAlign w:val="center"/>
          </w:tcPr>
          <w:p>
            <w:pPr>
              <w:jc w:val="right"/>
              <w:rPr>
                <w:bCs/>
                <w:noProof/>
                <w:sz w:val="20"/>
                <w:szCs w:val="20"/>
              </w:rPr>
            </w:pPr>
            <w:r>
              <w:rPr>
                <w:bCs/>
                <w:noProof/>
                <w:sz w:val="20"/>
                <w:szCs w:val="20"/>
              </w:rPr>
              <w:t>+1 000 000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05 03 02 60</w:t>
            </w:r>
          </w:p>
        </w:tc>
        <w:tc>
          <w:tcPr>
            <w:tcW w:w="5503" w:type="dxa"/>
            <w:vAlign w:val="center"/>
          </w:tcPr>
          <w:p>
            <w:pPr>
              <w:rPr>
                <w:noProof/>
                <w:sz w:val="20"/>
                <w:szCs w:val="20"/>
              </w:rPr>
            </w:pPr>
            <w:r>
              <w:rPr>
                <w:noProof/>
                <w:sz w:val="20"/>
                <w:szCs w:val="20"/>
              </w:rPr>
              <w:t>Régime de soutien couplé facultatif</w:t>
            </w:r>
          </w:p>
        </w:tc>
        <w:tc>
          <w:tcPr>
            <w:tcW w:w="1617" w:type="dxa"/>
            <w:vAlign w:val="center"/>
          </w:tcPr>
          <w:p>
            <w:pPr>
              <w:jc w:val="right"/>
              <w:rPr>
                <w:bCs/>
                <w:noProof/>
                <w:sz w:val="20"/>
                <w:szCs w:val="20"/>
              </w:rPr>
            </w:pPr>
            <w:r>
              <w:rPr>
                <w:bCs/>
                <w:noProof/>
                <w:sz w:val="20"/>
                <w:szCs w:val="20"/>
              </w:rPr>
              <w:t>+7 000 000</w:t>
            </w:r>
          </w:p>
        </w:tc>
        <w:tc>
          <w:tcPr>
            <w:tcW w:w="1680" w:type="dxa"/>
            <w:gridSpan w:val="2"/>
            <w:vAlign w:val="center"/>
          </w:tcPr>
          <w:p>
            <w:pPr>
              <w:jc w:val="right"/>
              <w:rPr>
                <w:bCs/>
                <w:noProof/>
                <w:sz w:val="20"/>
                <w:szCs w:val="20"/>
              </w:rPr>
            </w:pPr>
            <w:r>
              <w:rPr>
                <w:bCs/>
                <w:noProof/>
                <w:sz w:val="20"/>
                <w:szCs w:val="20"/>
              </w:rPr>
              <w:t>+7 000 000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05 03 02 61</w:t>
            </w:r>
          </w:p>
        </w:tc>
        <w:tc>
          <w:tcPr>
            <w:tcW w:w="5503" w:type="dxa"/>
            <w:vAlign w:val="center"/>
          </w:tcPr>
          <w:p>
            <w:pPr>
              <w:rPr>
                <w:noProof/>
                <w:sz w:val="20"/>
                <w:szCs w:val="20"/>
              </w:rPr>
            </w:pPr>
            <w:r>
              <w:rPr>
                <w:noProof/>
                <w:sz w:val="20"/>
                <w:szCs w:val="20"/>
              </w:rPr>
              <w:t>Régime des petits agriculteurs</w:t>
            </w:r>
          </w:p>
        </w:tc>
        <w:tc>
          <w:tcPr>
            <w:tcW w:w="1617" w:type="dxa"/>
            <w:vAlign w:val="center"/>
          </w:tcPr>
          <w:p>
            <w:pPr>
              <w:jc w:val="right"/>
              <w:rPr>
                <w:bCs/>
                <w:noProof/>
                <w:sz w:val="20"/>
                <w:szCs w:val="20"/>
              </w:rPr>
            </w:pPr>
            <w:r>
              <w:rPr>
                <w:bCs/>
                <w:noProof/>
                <w:sz w:val="20"/>
                <w:szCs w:val="20"/>
              </w:rPr>
              <w:t>-137 000 000</w:t>
            </w:r>
          </w:p>
        </w:tc>
        <w:tc>
          <w:tcPr>
            <w:tcW w:w="1680" w:type="dxa"/>
            <w:gridSpan w:val="2"/>
            <w:vAlign w:val="center"/>
          </w:tcPr>
          <w:p>
            <w:pPr>
              <w:jc w:val="right"/>
              <w:rPr>
                <w:bCs/>
                <w:noProof/>
                <w:sz w:val="20"/>
                <w:szCs w:val="20"/>
              </w:rPr>
            </w:pPr>
            <w:r>
              <w:rPr>
                <w:bCs/>
                <w:noProof/>
                <w:sz w:val="20"/>
                <w:szCs w:val="20"/>
              </w:rPr>
              <w:t>-137 000 000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05 03 02 99</w:t>
            </w:r>
          </w:p>
        </w:tc>
        <w:tc>
          <w:tcPr>
            <w:tcW w:w="5503" w:type="dxa"/>
            <w:vAlign w:val="center"/>
          </w:tcPr>
          <w:p>
            <w:pPr>
              <w:rPr>
                <w:noProof/>
                <w:sz w:val="20"/>
                <w:szCs w:val="20"/>
              </w:rPr>
            </w:pPr>
            <w:r>
              <w:rPr>
                <w:noProof/>
                <w:sz w:val="20"/>
                <w:szCs w:val="20"/>
              </w:rPr>
              <w:t>Autres (paiements directs)</w:t>
            </w:r>
          </w:p>
        </w:tc>
        <w:tc>
          <w:tcPr>
            <w:tcW w:w="1617" w:type="dxa"/>
            <w:vAlign w:val="center"/>
          </w:tcPr>
          <w:p>
            <w:pPr>
              <w:jc w:val="right"/>
              <w:rPr>
                <w:bCs/>
                <w:noProof/>
                <w:sz w:val="20"/>
                <w:szCs w:val="20"/>
              </w:rPr>
            </w:pPr>
            <w:r>
              <w:rPr>
                <w:bCs/>
                <w:noProof/>
                <w:sz w:val="20"/>
                <w:szCs w:val="20"/>
              </w:rPr>
              <w:t>-1 000 000</w:t>
            </w:r>
          </w:p>
        </w:tc>
        <w:tc>
          <w:tcPr>
            <w:tcW w:w="1680" w:type="dxa"/>
            <w:gridSpan w:val="2"/>
            <w:vAlign w:val="center"/>
          </w:tcPr>
          <w:p>
            <w:pPr>
              <w:jc w:val="right"/>
              <w:rPr>
                <w:bCs/>
                <w:noProof/>
                <w:sz w:val="20"/>
                <w:szCs w:val="20"/>
              </w:rPr>
            </w:pPr>
            <w:r>
              <w:rPr>
                <w:bCs/>
                <w:noProof/>
                <w:sz w:val="20"/>
                <w:szCs w:val="20"/>
              </w:rPr>
              <w:t>-1 000 000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6703" w:type="dxa"/>
            <w:gridSpan w:val="3"/>
            <w:shd w:val="clear" w:color="auto" w:fill="D9D9D9"/>
            <w:vAlign w:val="center"/>
          </w:tcPr>
          <w:p>
            <w:pPr>
              <w:widowControl w:val="0"/>
              <w:tabs>
                <w:tab w:val="left" w:pos="975"/>
              </w:tabs>
              <w:spacing w:before="15" w:after="15"/>
              <w:jc w:val="right"/>
              <w:rPr>
                <w:b/>
                <w:i/>
                <w:noProof/>
                <w:sz w:val="20"/>
                <w:szCs w:val="20"/>
              </w:rPr>
            </w:pPr>
            <w:r>
              <w:rPr>
                <w:b/>
                <w:i/>
                <w:noProof/>
                <w:sz w:val="20"/>
                <w:szCs w:val="20"/>
              </w:rPr>
              <w:t>Sous-total</w:t>
            </w:r>
            <w:r>
              <w:rPr>
                <w:b/>
                <w:i/>
                <w:noProof/>
                <w:sz w:val="20"/>
                <w:szCs w:val="20"/>
              </w:rPr>
              <w:tab/>
              <w:t>05 03</w:t>
            </w:r>
          </w:p>
        </w:tc>
        <w:tc>
          <w:tcPr>
            <w:tcW w:w="1617" w:type="dxa"/>
            <w:shd w:val="clear" w:color="auto" w:fill="D9D9D9"/>
            <w:vAlign w:val="center"/>
          </w:tcPr>
          <w:p>
            <w:pPr>
              <w:widowControl w:val="0"/>
              <w:spacing w:before="15" w:after="15"/>
              <w:jc w:val="right"/>
              <w:rPr>
                <w:b/>
                <w:i/>
                <w:noProof/>
                <w:sz w:val="20"/>
                <w:szCs w:val="20"/>
              </w:rPr>
            </w:pPr>
            <w:r>
              <w:rPr>
                <w:b/>
                <w:i/>
                <w:noProof/>
                <w:sz w:val="20"/>
                <w:szCs w:val="20"/>
              </w:rPr>
              <w:t>-260 000 000</w:t>
            </w:r>
          </w:p>
        </w:tc>
        <w:tc>
          <w:tcPr>
            <w:tcW w:w="1680" w:type="dxa"/>
            <w:gridSpan w:val="2"/>
            <w:shd w:val="clear" w:color="auto" w:fill="D9D9D9"/>
            <w:vAlign w:val="center"/>
          </w:tcPr>
          <w:p>
            <w:pPr>
              <w:widowControl w:val="0"/>
              <w:spacing w:before="15" w:after="15"/>
              <w:jc w:val="right"/>
              <w:rPr>
                <w:b/>
                <w:i/>
                <w:noProof/>
                <w:sz w:val="20"/>
                <w:szCs w:val="20"/>
              </w:rPr>
            </w:pPr>
            <w:r>
              <w:rPr>
                <w:b/>
                <w:i/>
                <w:noProof/>
                <w:sz w:val="20"/>
                <w:szCs w:val="20"/>
              </w:rPr>
              <w:t>-260 000 000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05 07 01 06</w:t>
            </w:r>
          </w:p>
        </w:tc>
        <w:tc>
          <w:tcPr>
            <w:tcW w:w="5503" w:type="dxa"/>
            <w:vAlign w:val="center"/>
          </w:tcPr>
          <w:p>
            <w:pPr>
              <w:rPr>
                <w:noProof/>
                <w:sz w:val="20"/>
                <w:szCs w:val="20"/>
              </w:rPr>
            </w:pPr>
            <w:r>
              <w:rPr>
                <w:noProof/>
                <w:sz w:val="20"/>
                <w:szCs w:val="20"/>
              </w:rPr>
              <w:t>Dépenses découlant de corrections financières en faveur des États membres à la suite de décisions relatives à l’apurement des comptes pour les exercices antérieurs en ce qui concerne les dépenses en gestion partagée déclarées dans le cadre du FEOGA, section «Garantie» (mesures antérieures), et dans le cadre du FEAGA</w:t>
            </w:r>
          </w:p>
        </w:tc>
        <w:tc>
          <w:tcPr>
            <w:tcW w:w="1617" w:type="dxa"/>
            <w:vAlign w:val="center"/>
          </w:tcPr>
          <w:p>
            <w:pPr>
              <w:jc w:val="right"/>
              <w:rPr>
                <w:bCs/>
                <w:noProof/>
                <w:sz w:val="20"/>
                <w:szCs w:val="20"/>
              </w:rPr>
            </w:pPr>
            <w:r>
              <w:rPr>
                <w:bCs/>
                <w:noProof/>
                <w:sz w:val="20"/>
                <w:szCs w:val="20"/>
              </w:rPr>
              <w:t>-2 300 000</w:t>
            </w:r>
          </w:p>
        </w:tc>
        <w:tc>
          <w:tcPr>
            <w:tcW w:w="1680" w:type="dxa"/>
            <w:gridSpan w:val="2"/>
            <w:vAlign w:val="center"/>
          </w:tcPr>
          <w:p>
            <w:pPr>
              <w:jc w:val="right"/>
              <w:rPr>
                <w:bCs/>
                <w:noProof/>
                <w:sz w:val="20"/>
                <w:szCs w:val="20"/>
              </w:rPr>
            </w:pPr>
            <w:r>
              <w:rPr>
                <w:bCs/>
                <w:noProof/>
                <w:sz w:val="20"/>
                <w:szCs w:val="20"/>
              </w:rPr>
              <w:t>-2 300 000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05 07 01 07</w:t>
            </w:r>
          </w:p>
        </w:tc>
        <w:tc>
          <w:tcPr>
            <w:tcW w:w="5503" w:type="dxa"/>
            <w:vAlign w:val="center"/>
          </w:tcPr>
          <w:p>
            <w:pPr>
              <w:rPr>
                <w:noProof/>
                <w:sz w:val="20"/>
                <w:szCs w:val="20"/>
              </w:rPr>
            </w:pPr>
            <w:r>
              <w:rPr>
                <w:noProof/>
                <w:sz w:val="20"/>
                <w:szCs w:val="20"/>
              </w:rPr>
              <w:t>Dépenses découlant de corrections financières en faveur des États membres à la suite de décisions relatives à l’apurement de conformité pour les exercices antérieurs en ce qui concerne les dépenses en gestion partagée déclarées dans le cadre du FEOGA, section «Garantie» (mesures antérieures), et dans le cadre du FEAGA</w:t>
            </w:r>
          </w:p>
        </w:tc>
        <w:tc>
          <w:tcPr>
            <w:tcW w:w="1617" w:type="dxa"/>
            <w:vAlign w:val="center"/>
          </w:tcPr>
          <w:p>
            <w:pPr>
              <w:jc w:val="right"/>
              <w:rPr>
                <w:bCs/>
                <w:noProof/>
                <w:sz w:val="20"/>
                <w:szCs w:val="20"/>
              </w:rPr>
            </w:pPr>
            <w:r>
              <w:rPr>
                <w:bCs/>
                <w:noProof/>
                <w:sz w:val="20"/>
                <w:szCs w:val="20"/>
              </w:rPr>
              <w:t>+176 600 000</w:t>
            </w:r>
          </w:p>
        </w:tc>
        <w:tc>
          <w:tcPr>
            <w:tcW w:w="1680" w:type="dxa"/>
            <w:gridSpan w:val="2"/>
            <w:vAlign w:val="center"/>
          </w:tcPr>
          <w:p>
            <w:pPr>
              <w:jc w:val="right"/>
              <w:rPr>
                <w:bCs/>
                <w:noProof/>
                <w:sz w:val="20"/>
                <w:szCs w:val="20"/>
              </w:rPr>
            </w:pPr>
            <w:r>
              <w:rPr>
                <w:bCs/>
                <w:noProof/>
                <w:sz w:val="20"/>
                <w:szCs w:val="20"/>
              </w:rPr>
              <w:t>+176 600 000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6703" w:type="dxa"/>
            <w:gridSpan w:val="3"/>
            <w:shd w:val="clear" w:color="auto" w:fill="D9D9D9"/>
            <w:vAlign w:val="center"/>
          </w:tcPr>
          <w:p>
            <w:pPr>
              <w:widowControl w:val="0"/>
              <w:tabs>
                <w:tab w:val="left" w:pos="975"/>
              </w:tabs>
              <w:spacing w:before="15" w:after="15"/>
              <w:jc w:val="right"/>
              <w:rPr>
                <w:b/>
                <w:i/>
                <w:noProof/>
                <w:sz w:val="20"/>
                <w:szCs w:val="20"/>
              </w:rPr>
            </w:pPr>
            <w:r>
              <w:rPr>
                <w:b/>
                <w:i/>
                <w:noProof/>
                <w:sz w:val="20"/>
                <w:szCs w:val="20"/>
              </w:rPr>
              <w:t>Sous-total</w:t>
            </w:r>
            <w:r>
              <w:rPr>
                <w:b/>
                <w:i/>
                <w:noProof/>
                <w:sz w:val="20"/>
                <w:szCs w:val="20"/>
              </w:rPr>
              <w:tab/>
              <w:t>05 07</w:t>
            </w:r>
          </w:p>
        </w:tc>
        <w:tc>
          <w:tcPr>
            <w:tcW w:w="1617" w:type="dxa"/>
            <w:shd w:val="clear" w:color="auto" w:fill="D9D9D9"/>
            <w:vAlign w:val="center"/>
          </w:tcPr>
          <w:p>
            <w:pPr>
              <w:widowControl w:val="0"/>
              <w:spacing w:before="15" w:after="15"/>
              <w:jc w:val="right"/>
              <w:rPr>
                <w:b/>
                <w:i/>
                <w:noProof/>
                <w:sz w:val="20"/>
                <w:szCs w:val="20"/>
              </w:rPr>
            </w:pPr>
            <w:r>
              <w:rPr>
                <w:b/>
                <w:i/>
                <w:noProof/>
                <w:sz w:val="20"/>
                <w:szCs w:val="20"/>
              </w:rPr>
              <w:t>+174 300 000</w:t>
            </w:r>
          </w:p>
        </w:tc>
        <w:tc>
          <w:tcPr>
            <w:tcW w:w="1680" w:type="dxa"/>
            <w:gridSpan w:val="2"/>
            <w:shd w:val="clear" w:color="auto" w:fill="D9D9D9"/>
            <w:vAlign w:val="center"/>
          </w:tcPr>
          <w:p>
            <w:pPr>
              <w:widowControl w:val="0"/>
              <w:spacing w:before="15" w:after="15"/>
              <w:jc w:val="right"/>
              <w:rPr>
                <w:b/>
                <w:i/>
                <w:noProof/>
                <w:sz w:val="20"/>
                <w:szCs w:val="20"/>
              </w:rPr>
            </w:pPr>
            <w:r>
              <w:rPr>
                <w:b/>
                <w:i/>
                <w:noProof/>
                <w:sz w:val="20"/>
                <w:szCs w:val="20"/>
              </w:rPr>
              <w:t>+174 300 000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6703" w:type="dxa"/>
            <w:gridSpan w:val="3"/>
            <w:shd w:val="clear" w:color="auto" w:fill="D9D9D9"/>
            <w:vAlign w:val="center"/>
          </w:tcPr>
          <w:p>
            <w:pPr>
              <w:widowControl w:val="0"/>
              <w:tabs>
                <w:tab w:val="left" w:pos="975"/>
              </w:tabs>
              <w:spacing w:before="15" w:after="15"/>
              <w:rPr>
                <w:b/>
                <w:noProof/>
                <w:sz w:val="20"/>
                <w:szCs w:val="20"/>
              </w:rPr>
            </w:pPr>
            <w:r>
              <w:rPr>
                <w:b/>
                <w:noProof/>
                <w:sz w:val="20"/>
                <w:szCs w:val="20"/>
              </w:rPr>
              <w:t>Total FEAGA</w:t>
            </w:r>
            <w:r>
              <w:rPr>
                <w:b/>
                <w:noProof/>
                <w:sz w:val="20"/>
                <w:szCs w:val="20"/>
              </w:rPr>
              <w:tab/>
            </w:r>
          </w:p>
        </w:tc>
        <w:tc>
          <w:tcPr>
            <w:tcW w:w="1617" w:type="dxa"/>
            <w:shd w:val="clear" w:color="auto" w:fill="D9D9D9"/>
            <w:vAlign w:val="center"/>
          </w:tcPr>
          <w:p>
            <w:pPr>
              <w:widowControl w:val="0"/>
              <w:spacing w:before="15" w:after="15"/>
              <w:jc w:val="right"/>
              <w:rPr>
                <w:b/>
                <w:noProof/>
                <w:sz w:val="20"/>
                <w:szCs w:val="20"/>
              </w:rPr>
            </w:pPr>
            <w:r>
              <w:rPr>
                <w:b/>
                <w:noProof/>
                <w:sz w:val="20"/>
                <w:szCs w:val="20"/>
              </w:rPr>
              <w:t>-49 700 000</w:t>
            </w:r>
          </w:p>
        </w:tc>
        <w:tc>
          <w:tcPr>
            <w:tcW w:w="1680" w:type="dxa"/>
            <w:gridSpan w:val="2"/>
            <w:shd w:val="clear" w:color="auto" w:fill="D9D9D9"/>
            <w:vAlign w:val="center"/>
          </w:tcPr>
          <w:p>
            <w:pPr>
              <w:widowControl w:val="0"/>
              <w:spacing w:before="15" w:after="15"/>
              <w:jc w:val="right"/>
              <w:rPr>
                <w:b/>
                <w:noProof/>
                <w:sz w:val="20"/>
                <w:szCs w:val="20"/>
              </w:rPr>
            </w:pPr>
            <w:r>
              <w:rPr>
                <w:b/>
                <w:noProof/>
                <w:sz w:val="20"/>
                <w:szCs w:val="20"/>
              </w:rPr>
              <w:t>-49 700 000</w:t>
            </w:r>
          </w:p>
        </w:tc>
      </w:tr>
    </w:tbl>
    <w:p>
      <w:pPr>
        <w:autoSpaceDE w:val="0"/>
        <w:autoSpaceDN w:val="0"/>
        <w:adjustRightInd w:val="0"/>
        <w:spacing w:before="120" w:after="120"/>
        <w:jc w:val="both"/>
        <w:rPr>
          <w:noProof/>
        </w:rPr>
      </w:pPr>
      <w:r>
        <w:rPr>
          <w:noProof/>
        </w:rPr>
        <w:t>Les commentaires budgétaires correspondants sont adaptés dans l’annexe.</w:t>
      </w:r>
    </w:p>
    <w:p>
      <w:pPr>
        <w:pStyle w:val="ManualHeading1"/>
        <w:spacing w:before="240"/>
        <w:rPr>
          <w:noProof/>
        </w:rPr>
      </w:pPr>
      <w:bookmarkStart w:id="7" w:name="_Toc22821752"/>
      <w:r>
        <w:rPr>
          <w:noProof/>
        </w:rPr>
        <w:t>3.</w:t>
      </w:r>
      <w:r>
        <w:rPr>
          <w:noProof/>
        </w:rPr>
        <w:tab/>
        <w:t>Ajustements liés aux propositions législatives figurant dans le paquet de mesures de préparation au Brexit du 4 septembre 2019</w:t>
      </w:r>
      <w:bookmarkEnd w:id="7"/>
    </w:p>
    <w:p>
      <w:pPr>
        <w:keepNext/>
        <w:tabs>
          <w:tab w:val="left" w:pos="850"/>
        </w:tabs>
        <w:spacing w:before="360" w:after="120"/>
        <w:ind w:left="357" w:hanging="357"/>
        <w:jc w:val="both"/>
        <w:outlineLvl w:val="1"/>
        <w:rPr>
          <w:rFonts w:eastAsia="Calibri"/>
          <w:b/>
          <w:noProof/>
        </w:rPr>
      </w:pPr>
      <w:bookmarkStart w:id="8" w:name="_Toc22821753"/>
      <w:r>
        <w:rPr>
          <w:b/>
          <w:noProof/>
        </w:rPr>
        <w:t xml:space="preserve">3.1 </w:t>
      </w:r>
      <w:r>
        <w:rPr>
          <w:b/>
          <w:noProof/>
        </w:rPr>
        <w:tab/>
        <w:t>Fonds de solidarité de l'Union européenne</w:t>
      </w:r>
      <w:bookmarkEnd w:id="8"/>
      <w:r>
        <w:rPr>
          <w:b/>
          <w:noProof/>
        </w:rPr>
        <w:t xml:space="preserve"> </w:t>
      </w:r>
    </w:p>
    <w:p>
      <w:pPr>
        <w:spacing w:before="120" w:after="120"/>
        <w:jc w:val="both"/>
        <w:rPr>
          <w:noProof/>
        </w:rPr>
      </w:pPr>
      <w:r>
        <w:rPr>
          <w:noProof/>
        </w:rPr>
        <w:t>Conformément à l’article 4 </w:t>
      </w:r>
      <w:r>
        <w:rPr>
          <w:i/>
          <w:iCs/>
          <w:noProof/>
        </w:rPr>
        <w:t>bis</w:t>
      </w:r>
      <w:r>
        <w:rPr>
          <w:noProof/>
        </w:rPr>
        <w:t>, paragraphe 4, du règlement (CE) nº 2012/2002 du Conseil, le PB 2020 comprend un montant de 50 millions d’EUR inscrit à l’article 13 06 01. Ce montant permet d’assurer la disponibilité en temps utile de ressources budgétaires lorsque, à la suite de l’introduction d’une demande de contribution financière au titre du Fonds, un État membre demande le paiement d’une avance.</w:t>
      </w:r>
    </w:p>
    <w:p>
      <w:pPr>
        <w:spacing w:before="120" w:after="120"/>
        <w:jc w:val="both"/>
        <w:rPr>
          <w:noProof/>
        </w:rPr>
      </w:pPr>
      <w:r>
        <w:rPr>
          <w:noProof/>
        </w:rPr>
        <w:t>La proposition de la Commission concernant un règlement du Parlement européen et du Conseil modifiant le règlement (CE) nº 2012/2002 du Conseil afin de fournir une aide financière aux États membres en vue de faire face à la lourde charge financière occasionnée à la suite du retrait du Royaume-Uni de l’Union sans accord</w:t>
      </w:r>
      <w:r>
        <w:rPr>
          <w:rStyle w:val="FootnoteReference"/>
          <w:noProof/>
        </w:rPr>
        <w:footnoteReference w:id="7"/>
      </w:r>
      <w:r>
        <w:rPr>
          <w:noProof/>
        </w:rPr>
        <w:t xml:space="preserve"> introduit un nouvel article 4 </w:t>
      </w:r>
      <w:r>
        <w:rPr>
          <w:i/>
          <w:iCs/>
          <w:noProof/>
        </w:rPr>
        <w:t>ter</w:t>
      </w:r>
      <w:r>
        <w:rPr>
          <w:noProof/>
        </w:rPr>
        <w:t>, qui prévoit, pour les avances, un montant maximal plus élevé, à savoir 100 millions d’EUR. La Commission propose donc d’augmenter de 50 millions d’EUR le montant des avances au titre du Fonds de solidarité de l’Union européenne et de mettre en réserve ce montant supplémentaire en attendant que le Parlement européen et le Conseil aient adopté la modification de la base juridique.</w:t>
      </w:r>
    </w:p>
    <w:p>
      <w:pPr>
        <w:spacing w:before="120" w:after="120"/>
        <w:jc w:val="both"/>
        <w:rPr>
          <w:rFonts w:eastAsia="Calibri"/>
          <w:noProof/>
        </w:rPr>
      </w:pPr>
      <w:r>
        <w:rPr>
          <w:noProof/>
        </w:rPr>
        <w:t>L’article de la réserve est adapté comme indiqué dans le tableau ci-dessous et les commentaires budgétaires des articles 13 06 01 et 13 06 02 sont modifiés.</w:t>
      </w:r>
    </w:p>
    <w:tbl>
      <w:tblPr>
        <w:tblW w:w="10060" w:type="dxa"/>
        <w:jc w:val="center"/>
        <w:tblLayout w:type="fixed"/>
        <w:tblCellMar>
          <w:left w:w="40" w:type="dxa"/>
          <w:right w:w="40" w:type="dxa"/>
        </w:tblCellMar>
        <w:tblLook w:val="0000" w:firstRow="0" w:lastRow="0" w:firstColumn="0" w:lastColumn="0" w:noHBand="0" w:noVBand="0"/>
      </w:tblPr>
      <w:tblGrid>
        <w:gridCol w:w="77"/>
        <w:gridCol w:w="1341"/>
        <w:gridCol w:w="4502"/>
        <w:gridCol w:w="1842"/>
        <w:gridCol w:w="2269"/>
        <w:gridCol w:w="29"/>
      </w:tblGrid>
      <w:tr>
        <w:trPr>
          <w:gridBefore w:val="1"/>
          <w:wBefore w:w="77" w:type="dxa"/>
          <w:trHeight w:val="284"/>
          <w:tblHeader/>
          <w:jc w:val="center"/>
        </w:trPr>
        <w:tc>
          <w:tcPr>
            <w:tcW w:w="9983" w:type="dxa"/>
            <w:gridSpan w:val="5"/>
            <w:shd w:val="clear" w:color="auto" w:fill="FFFFFF"/>
            <w:vAlign w:val="center"/>
          </w:tcPr>
          <w:p>
            <w:pPr>
              <w:jc w:val="right"/>
              <w:rPr>
                <w:noProof/>
                <w:sz w:val="16"/>
                <w:szCs w:val="16"/>
              </w:rPr>
            </w:pPr>
            <w:r>
              <w:rPr>
                <w:i/>
                <w:iCs/>
                <w:noProof/>
                <w:sz w:val="16"/>
                <w:szCs w:val="16"/>
              </w:rPr>
              <w:t>en EUR</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 w:type="dxa"/>
        </w:trPr>
        <w:tc>
          <w:tcPr>
            <w:tcW w:w="1418" w:type="dxa"/>
            <w:gridSpan w:val="2"/>
            <w:shd w:val="clear" w:color="auto" w:fill="D9D9D9"/>
            <w:vAlign w:val="center"/>
          </w:tcPr>
          <w:p>
            <w:pPr>
              <w:widowControl w:val="0"/>
              <w:spacing w:before="15" w:after="15"/>
              <w:jc w:val="center"/>
              <w:rPr>
                <w:b/>
                <w:noProof/>
                <w:sz w:val="20"/>
                <w:szCs w:val="20"/>
              </w:rPr>
            </w:pPr>
            <w:r>
              <w:rPr>
                <w:b/>
                <w:noProof/>
                <w:sz w:val="20"/>
                <w:szCs w:val="20"/>
              </w:rPr>
              <w:t>Ligne budgétaire</w:t>
            </w:r>
          </w:p>
        </w:tc>
        <w:tc>
          <w:tcPr>
            <w:tcW w:w="4502" w:type="dxa"/>
            <w:shd w:val="clear" w:color="auto" w:fill="D9D9D9"/>
            <w:vAlign w:val="center"/>
          </w:tcPr>
          <w:p>
            <w:pPr>
              <w:widowControl w:val="0"/>
              <w:spacing w:before="15" w:after="15"/>
              <w:jc w:val="center"/>
              <w:rPr>
                <w:b/>
                <w:noProof/>
                <w:sz w:val="20"/>
                <w:szCs w:val="20"/>
              </w:rPr>
            </w:pPr>
            <w:r>
              <w:rPr>
                <w:b/>
                <w:noProof/>
                <w:sz w:val="20"/>
                <w:szCs w:val="20"/>
              </w:rPr>
              <w:t>Intitulé</w:t>
            </w:r>
          </w:p>
        </w:tc>
        <w:tc>
          <w:tcPr>
            <w:tcW w:w="1842" w:type="dxa"/>
            <w:shd w:val="clear" w:color="auto" w:fill="D9D9D9"/>
            <w:vAlign w:val="center"/>
          </w:tcPr>
          <w:p>
            <w:pPr>
              <w:widowControl w:val="0"/>
              <w:spacing w:before="15" w:after="15"/>
              <w:jc w:val="center"/>
              <w:rPr>
                <w:b/>
                <w:noProof/>
                <w:sz w:val="20"/>
                <w:szCs w:val="20"/>
              </w:rPr>
            </w:pPr>
            <w:r>
              <w:rPr>
                <w:b/>
                <w:noProof/>
                <w:sz w:val="20"/>
                <w:szCs w:val="20"/>
              </w:rPr>
              <w:t>Crédits d’engagement</w:t>
            </w:r>
          </w:p>
        </w:tc>
        <w:tc>
          <w:tcPr>
            <w:tcW w:w="2269" w:type="dxa"/>
            <w:shd w:val="clear" w:color="auto" w:fill="D9D9D9"/>
            <w:vAlign w:val="center"/>
          </w:tcPr>
          <w:p>
            <w:pPr>
              <w:widowControl w:val="0"/>
              <w:spacing w:before="15" w:after="15"/>
              <w:jc w:val="center"/>
              <w:rPr>
                <w:b/>
                <w:noProof/>
                <w:sz w:val="20"/>
                <w:szCs w:val="20"/>
              </w:rPr>
            </w:pPr>
            <w:r>
              <w:rPr>
                <w:b/>
                <w:noProof/>
                <w:sz w:val="20"/>
                <w:szCs w:val="20"/>
              </w:rPr>
              <w:t>Crédits de paiement</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 w:type="dxa"/>
        </w:trPr>
        <w:tc>
          <w:tcPr>
            <w:tcW w:w="1418" w:type="dxa"/>
            <w:gridSpan w:val="2"/>
            <w:vAlign w:val="center"/>
          </w:tcPr>
          <w:p>
            <w:pPr>
              <w:jc w:val="center"/>
              <w:rPr>
                <w:noProof/>
                <w:sz w:val="20"/>
                <w:szCs w:val="20"/>
              </w:rPr>
            </w:pPr>
            <w:r>
              <w:rPr>
                <w:noProof/>
                <w:sz w:val="20"/>
                <w:szCs w:val="20"/>
              </w:rPr>
              <w:t>40 02 41</w:t>
            </w:r>
          </w:p>
        </w:tc>
        <w:tc>
          <w:tcPr>
            <w:tcW w:w="4502" w:type="dxa"/>
          </w:tcPr>
          <w:p>
            <w:pPr>
              <w:widowControl w:val="0"/>
              <w:tabs>
                <w:tab w:val="left" w:pos="1350"/>
              </w:tabs>
              <w:spacing w:before="15" w:after="15"/>
              <w:jc w:val="both"/>
              <w:rPr>
                <w:noProof/>
                <w:sz w:val="20"/>
                <w:szCs w:val="20"/>
              </w:rPr>
            </w:pPr>
            <w:r>
              <w:rPr>
                <w:noProof/>
                <w:sz w:val="20"/>
                <w:szCs w:val="20"/>
              </w:rPr>
              <w:t>Crédits dissociés (</w:t>
            </w:r>
            <w:r>
              <w:rPr>
                <w:i/>
                <w:noProof/>
                <w:sz w:val="20"/>
                <w:szCs w:val="20"/>
              </w:rPr>
              <w:t>Réserve pour l’article 13 06 01 – Assistance aux États membres en cas de catastrophe naturelle majeure ayant de graves répercussions sur les conditions de vie, l’environnement naturel et l’économie</w:t>
            </w:r>
            <w:r>
              <w:rPr>
                <w:noProof/>
                <w:sz w:val="20"/>
                <w:szCs w:val="20"/>
              </w:rPr>
              <w:t>)</w:t>
            </w:r>
          </w:p>
        </w:tc>
        <w:tc>
          <w:tcPr>
            <w:tcW w:w="1842" w:type="dxa"/>
            <w:vAlign w:val="center"/>
          </w:tcPr>
          <w:p>
            <w:pPr>
              <w:widowControl w:val="0"/>
              <w:spacing w:before="15" w:after="15"/>
              <w:jc w:val="right"/>
              <w:rPr>
                <w:noProof/>
                <w:sz w:val="20"/>
                <w:szCs w:val="20"/>
              </w:rPr>
            </w:pPr>
            <w:r>
              <w:rPr>
                <w:noProof/>
                <w:sz w:val="20"/>
                <w:szCs w:val="20"/>
              </w:rPr>
              <w:t>50 000 000</w:t>
            </w:r>
          </w:p>
        </w:tc>
        <w:tc>
          <w:tcPr>
            <w:tcW w:w="2269" w:type="dxa"/>
            <w:vAlign w:val="center"/>
          </w:tcPr>
          <w:p>
            <w:pPr>
              <w:widowControl w:val="0"/>
              <w:spacing w:before="15" w:after="15"/>
              <w:jc w:val="right"/>
              <w:rPr>
                <w:noProof/>
                <w:sz w:val="20"/>
                <w:szCs w:val="20"/>
              </w:rPr>
            </w:pPr>
            <w:r>
              <w:rPr>
                <w:noProof/>
                <w:sz w:val="20"/>
                <w:szCs w:val="20"/>
              </w:rPr>
              <w:t>50 000 000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 w:type="dxa"/>
        </w:trPr>
        <w:tc>
          <w:tcPr>
            <w:tcW w:w="5920" w:type="dxa"/>
            <w:gridSpan w:val="3"/>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842" w:type="dxa"/>
            <w:shd w:val="clear" w:color="auto" w:fill="D9D9D9"/>
          </w:tcPr>
          <w:p>
            <w:pPr>
              <w:widowControl w:val="0"/>
              <w:spacing w:before="15" w:after="15"/>
              <w:jc w:val="right"/>
              <w:rPr>
                <w:b/>
                <w:noProof/>
                <w:sz w:val="20"/>
                <w:szCs w:val="20"/>
              </w:rPr>
            </w:pPr>
            <w:r>
              <w:rPr>
                <w:b/>
                <w:noProof/>
                <w:sz w:val="20"/>
                <w:szCs w:val="20"/>
              </w:rPr>
              <w:t>50 000 000</w:t>
            </w:r>
          </w:p>
        </w:tc>
        <w:tc>
          <w:tcPr>
            <w:tcW w:w="2269" w:type="dxa"/>
            <w:shd w:val="clear" w:color="auto" w:fill="D9D9D9"/>
          </w:tcPr>
          <w:p>
            <w:pPr>
              <w:widowControl w:val="0"/>
              <w:spacing w:before="15" w:after="15"/>
              <w:jc w:val="right"/>
              <w:rPr>
                <w:b/>
                <w:noProof/>
                <w:sz w:val="20"/>
                <w:szCs w:val="20"/>
              </w:rPr>
            </w:pPr>
            <w:r>
              <w:rPr>
                <w:b/>
                <w:noProof/>
                <w:sz w:val="20"/>
                <w:szCs w:val="20"/>
              </w:rPr>
              <w:t>50 000 000</w:t>
            </w:r>
          </w:p>
        </w:tc>
      </w:tr>
    </w:tbl>
    <w:p>
      <w:pPr>
        <w:keepNext/>
        <w:tabs>
          <w:tab w:val="left" w:pos="850"/>
        </w:tabs>
        <w:spacing w:before="360" w:after="120"/>
        <w:ind w:left="357" w:hanging="357"/>
        <w:jc w:val="both"/>
        <w:outlineLvl w:val="1"/>
        <w:rPr>
          <w:rFonts w:eastAsia="Calibri"/>
          <w:b/>
          <w:noProof/>
        </w:rPr>
      </w:pPr>
      <w:bookmarkStart w:id="9" w:name="_Toc22821754"/>
      <w:r>
        <w:rPr>
          <w:b/>
          <w:noProof/>
        </w:rPr>
        <w:t xml:space="preserve">3.2 </w:t>
      </w:r>
      <w:r>
        <w:rPr>
          <w:b/>
          <w:noProof/>
        </w:rPr>
        <w:tab/>
        <w:t>Création d’une nouvelle ligne budgétaire dans l’état général des recettes</w:t>
      </w:r>
      <w:bookmarkEnd w:id="9"/>
    </w:p>
    <w:p>
      <w:pPr>
        <w:spacing w:before="120" w:after="120"/>
        <w:jc w:val="both"/>
        <w:rPr>
          <w:noProof/>
        </w:rPr>
      </w:pPr>
      <w:r>
        <w:rPr>
          <w:noProof/>
        </w:rPr>
        <w:t>La proposition de la Commission en vue d’un règlement du Conseil relatif à des mesures portant sur l'exécution et le financement du budget général de l'Union en 2020 eu égard au retrait du Royaume-Uni de l'Union</w:t>
      </w:r>
      <w:r>
        <w:rPr>
          <w:rStyle w:val="FootnoteReference"/>
          <w:noProof/>
        </w:rPr>
        <w:footnoteReference w:id="8"/>
      </w:r>
      <w:r>
        <w:rPr>
          <w:noProof/>
        </w:rPr>
        <w:t xml:space="preserve"> énonce des règles sur les relations entre l’Union, d’une part, et le Royaume-Uni et ses bénéficiaires, d’autre part, en ce qui concerne le financement et l’exécution du budget en 2020 en cas de retrait du Royaume-Uni sans accord.</w:t>
      </w:r>
    </w:p>
    <w:p>
      <w:pPr>
        <w:spacing w:before="120" w:after="120"/>
        <w:jc w:val="both"/>
        <w:rPr>
          <w:noProof/>
        </w:rPr>
      </w:pPr>
      <w:r>
        <w:rPr>
          <w:noProof/>
        </w:rPr>
        <w:t xml:space="preserve">Le cadre d’urgence proposé prévoit la possibilité que le Royaume-Uni et les entités du Royaume-Uni restent éligibles, tout au long de 2020, au bénéfice de financements de l’Union au titre des engagements juridiques pris avant la date du retrait ou entre la date du retrait et la fin de 2019, en application du règlement (UE, Euratom) 2019/1197. Ces modalités sont soumises aux conditions énoncées dans la proposition. </w:t>
      </w:r>
    </w:p>
    <w:p>
      <w:pPr>
        <w:spacing w:before="120" w:after="120"/>
        <w:jc w:val="both"/>
        <w:rPr>
          <w:noProof/>
        </w:rPr>
      </w:pPr>
      <w:r>
        <w:rPr>
          <w:noProof/>
        </w:rPr>
        <w:t>Afin de permettre à la Commission de mettre en œuvre cette proposition, notamment pour qu’elle puisse inscrire la contribution du Royaume-Uni dans le budget général, la structure budgétaire nécessaire doit être créée pour le budget 2020. La Commission propose donc de créer une nouvelle ligne budgétaire dans la partie B de l’état général des recettes, à savoir un nouvel article 3 8 0 destiné à recevoir la contribution du Royaume-Uni en ce qui concerne l’application du cadre d’urgence.</w:t>
      </w:r>
    </w:p>
    <w:p>
      <w:pPr>
        <w:spacing w:before="120" w:after="120"/>
        <w:jc w:val="both"/>
        <w:rPr>
          <w:noProof/>
        </w:rPr>
      </w:pPr>
      <w:r>
        <w:rPr>
          <w:noProof/>
        </w:rPr>
        <w:t>Les commentaires budgétaires relatifs à la nouvelle ligne proposée figurent en annexe.</w:t>
      </w:r>
    </w:p>
    <w:p>
      <w:pPr>
        <w:pStyle w:val="ManualHeading1"/>
        <w:spacing w:before="240"/>
        <w:rPr>
          <w:noProof/>
        </w:rPr>
      </w:pPr>
      <w:bookmarkStart w:id="10" w:name="_Toc22821755"/>
      <w:r>
        <w:rPr>
          <w:noProof/>
        </w:rPr>
        <w:t>4.</w:t>
      </w:r>
      <w:r>
        <w:rPr>
          <w:noProof/>
        </w:rPr>
        <w:tab/>
        <w:t>Autres ajustements</w:t>
      </w:r>
      <w:bookmarkEnd w:id="10"/>
    </w:p>
    <w:p>
      <w:pPr>
        <w:keepNext/>
        <w:tabs>
          <w:tab w:val="left" w:pos="850"/>
        </w:tabs>
        <w:spacing w:before="360" w:after="120"/>
        <w:ind w:left="357" w:hanging="357"/>
        <w:jc w:val="both"/>
        <w:outlineLvl w:val="1"/>
        <w:rPr>
          <w:rFonts w:eastAsia="Calibri"/>
          <w:b/>
          <w:noProof/>
        </w:rPr>
      </w:pPr>
      <w:bookmarkStart w:id="11" w:name="_Toc22821756"/>
      <w:r>
        <w:rPr>
          <w:b/>
          <w:noProof/>
        </w:rPr>
        <w:t xml:space="preserve">4.1 </w:t>
      </w:r>
      <w:r>
        <w:rPr>
          <w:b/>
          <w:noProof/>
        </w:rPr>
        <w:tab/>
        <w:t>Section I – Parlement européen</w:t>
      </w:r>
      <w:bookmarkEnd w:id="11"/>
      <w:r>
        <w:rPr>
          <w:b/>
          <w:noProof/>
        </w:rPr>
        <w:t xml:space="preserve"> </w:t>
      </w:r>
    </w:p>
    <w:p>
      <w:pPr>
        <w:pStyle w:val="Default"/>
        <w:spacing w:before="120" w:after="120"/>
        <w:jc w:val="both"/>
        <w:rPr>
          <w:bCs/>
          <w:noProof/>
          <w:color w:val="auto"/>
        </w:rPr>
      </w:pPr>
      <w:r>
        <w:rPr>
          <w:noProof/>
        </w:rPr>
        <w:t xml:space="preserve">La demande visant à renforcer le tableau des effectifs du Parlement européen (PE) à hauteur de 89 emplois et à augmenter le niveau des crédits administratifs pour permettre la création d’emplois supplémentaires d’agents contractuels n’a pas été incluse dans la section «Parlement» du PB 2020, dans l’attente d’explications complémentaires sur les raisons de ce renforcement.  </w:t>
      </w:r>
    </w:p>
    <w:p>
      <w:pPr>
        <w:pStyle w:val="Default"/>
        <w:spacing w:before="120" w:after="120"/>
        <w:jc w:val="both"/>
        <w:rPr>
          <w:noProof/>
          <w:color w:val="auto"/>
        </w:rPr>
      </w:pPr>
      <w:r>
        <w:rPr>
          <w:noProof/>
        </w:rPr>
        <w:t>À la suite de nouveaux échanges avec le Parlement européen, et compte tenu des propositions strictes concernant la rubrique relative aux dépenses administratives du prochain cadre financier pluriannuel, il est proposé de faire figurer dans le PB 2020 les éléments suivants pour le Parlement européen:</w:t>
      </w:r>
    </w:p>
    <w:p>
      <w:pPr>
        <w:numPr>
          <w:ilvl w:val="0"/>
          <w:numId w:val="10"/>
        </w:numPr>
        <w:spacing w:before="120" w:after="120"/>
        <w:jc w:val="both"/>
        <w:rPr>
          <w:noProof/>
        </w:rPr>
      </w:pPr>
      <w:r>
        <w:rPr>
          <w:noProof/>
        </w:rPr>
        <w:t>89 emplois supplémentaires pour le tableau des effectifs de 2020. Ces emplois, qui sont prévus pour un seul exercice budgétaire, seront retirés du tableau des effectifs dans le projet de budget pour 2021. Ils sont destinés à faciliter la continuité dans l’emploi d’agents temporaires eu égard à l’application de l’article 29, paragraphe 4, du statut. Aucun crédit budgétaire supplémentaire n’est nécessaire. Le tableau des effectifs actualisé figure dans l’annexe budgétaire;</w:t>
      </w:r>
    </w:p>
    <w:p>
      <w:pPr>
        <w:numPr>
          <w:ilvl w:val="0"/>
          <w:numId w:val="10"/>
        </w:numPr>
        <w:spacing w:before="120" w:after="120"/>
        <w:jc w:val="both"/>
        <w:rPr>
          <w:noProof/>
        </w:rPr>
      </w:pPr>
      <w:r>
        <w:rPr>
          <w:noProof/>
        </w:rPr>
        <w:t>13,3 millions d’EUR de crédits pour le personnel externe, correspondant à 155 emplois d’agents contractuels, ainsi que l’augmentation des crédits nécessaires pour couvrir les actualisations des rémunérations et la progression des carrières. En ce qui concerne les agents contractuels, 20 emplois nouveaux devant être créés dans le cadre du budget 2020 pour renforcer la sécurité sont financés sur la ligne 1 4 0 1 «Autres agents – Sécurité». 135 autres agents contractuels sont financés sur la ligne 1 4 0 0 «Autres agents – Secrétariat général et groupes politiques». Ces contrats sont déjà en cours, étant donné que le recrutement du personnel a eu lieu en 2019, le financement étant assuré grâce à des virements approuvés par la commission des budgets du Parlement européen (virements C1/2019 et C7/2019).</w:t>
      </w:r>
    </w:p>
    <w:p>
      <w:pPr>
        <w:spacing w:before="240" w:line="276" w:lineRule="auto"/>
        <w:rPr>
          <w:bCs/>
          <w:i/>
          <w:noProof/>
        </w:rPr>
      </w:pPr>
      <w:r>
        <w:rPr>
          <w:bCs/>
          <w:i/>
          <w:noProof/>
        </w:rPr>
        <w:t>Effet combiné sur la section PE du projet de budget 2020</w:t>
      </w:r>
    </w:p>
    <w:tbl>
      <w:tblPr>
        <w:tblW w:w="10000" w:type="dxa"/>
        <w:jc w:val="center"/>
        <w:tblLayout w:type="fixed"/>
        <w:tblCellMar>
          <w:left w:w="40" w:type="dxa"/>
          <w:right w:w="40" w:type="dxa"/>
        </w:tblCellMar>
        <w:tblLook w:val="0000" w:firstRow="0" w:lastRow="0" w:firstColumn="0" w:lastColumn="0" w:noHBand="0" w:noVBand="0"/>
      </w:tblPr>
      <w:tblGrid>
        <w:gridCol w:w="1200"/>
        <w:gridCol w:w="5503"/>
        <w:gridCol w:w="1617"/>
        <w:gridCol w:w="1499"/>
        <w:gridCol w:w="181"/>
      </w:tblGrid>
      <w:tr>
        <w:trPr>
          <w:gridAfter w:val="1"/>
          <w:wAfter w:w="181" w:type="dxa"/>
          <w:trHeight w:val="164"/>
          <w:tblHeader/>
          <w:jc w:val="center"/>
        </w:trPr>
        <w:tc>
          <w:tcPr>
            <w:tcW w:w="9819" w:type="dxa"/>
            <w:gridSpan w:val="4"/>
            <w:tcBorders>
              <w:bottom w:val="single" w:sz="4" w:space="0" w:color="auto"/>
            </w:tcBorders>
            <w:shd w:val="clear" w:color="auto" w:fill="FFFFFF"/>
            <w:vAlign w:val="center"/>
          </w:tcPr>
          <w:p>
            <w:pPr>
              <w:jc w:val="right"/>
              <w:rPr>
                <w:i/>
                <w:iCs/>
                <w:noProof/>
                <w:sz w:val="16"/>
                <w:szCs w:val="16"/>
              </w:rPr>
            </w:pPr>
            <w:r>
              <w:rPr>
                <w:i/>
                <w:iCs/>
                <w:noProof/>
                <w:sz w:val="16"/>
                <w:szCs w:val="16"/>
              </w:rPr>
              <w:t>(en EUR)</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blHeader/>
        </w:trPr>
        <w:tc>
          <w:tcPr>
            <w:tcW w:w="1200" w:type="dxa"/>
            <w:shd w:val="clear" w:color="auto" w:fill="D9D9D9"/>
            <w:vAlign w:val="center"/>
          </w:tcPr>
          <w:p>
            <w:pPr>
              <w:widowControl w:val="0"/>
              <w:spacing w:before="15" w:after="15" w:line="276" w:lineRule="auto"/>
              <w:jc w:val="center"/>
              <w:rPr>
                <w:b/>
                <w:noProof/>
                <w:sz w:val="20"/>
                <w:szCs w:val="20"/>
              </w:rPr>
            </w:pPr>
            <w:r>
              <w:rPr>
                <w:b/>
                <w:noProof/>
                <w:sz w:val="20"/>
                <w:szCs w:val="20"/>
              </w:rPr>
              <w:t>Ligne budgétaire</w:t>
            </w:r>
          </w:p>
        </w:tc>
        <w:tc>
          <w:tcPr>
            <w:tcW w:w="5503" w:type="dxa"/>
            <w:shd w:val="clear" w:color="auto" w:fill="D9D9D9"/>
            <w:vAlign w:val="center"/>
          </w:tcPr>
          <w:p>
            <w:pPr>
              <w:widowControl w:val="0"/>
              <w:spacing w:before="15" w:after="15" w:line="276" w:lineRule="auto"/>
              <w:jc w:val="center"/>
              <w:rPr>
                <w:b/>
                <w:noProof/>
                <w:sz w:val="20"/>
                <w:szCs w:val="20"/>
              </w:rPr>
            </w:pPr>
            <w:r>
              <w:rPr>
                <w:b/>
                <w:noProof/>
                <w:sz w:val="20"/>
                <w:szCs w:val="20"/>
              </w:rPr>
              <w:t>Intitulé</w:t>
            </w:r>
          </w:p>
        </w:tc>
        <w:tc>
          <w:tcPr>
            <w:tcW w:w="1617" w:type="dxa"/>
            <w:shd w:val="clear" w:color="auto" w:fill="D9D9D9"/>
            <w:vAlign w:val="center"/>
          </w:tcPr>
          <w:p>
            <w:pPr>
              <w:widowControl w:val="0"/>
              <w:spacing w:before="15" w:after="15" w:line="276" w:lineRule="auto"/>
              <w:jc w:val="center"/>
              <w:rPr>
                <w:b/>
                <w:noProof/>
                <w:sz w:val="20"/>
                <w:szCs w:val="20"/>
              </w:rPr>
            </w:pPr>
            <w:r>
              <w:rPr>
                <w:b/>
                <w:noProof/>
                <w:sz w:val="20"/>
                <w:szCs w:val="20"/>
              </w:rPr>
              <w:t>Crédits d'engagement</w:t>
            </w:r>
          </w:p>
        </w:tc>
        <w:tc>
          <w:tcPr>
            <w:tcW w:w="1680" w:type="dxa"/>
            <w:gridSpan w:val="2"/>
            <w:shd w:val="clear" w:color="auto" w:fill="D9D9D9"/>
            <w:vAlign w:val="center"/>
          </w:tcPr>
          <w:p>
            <w:pPr>
              <w:widowControl w:val="0"/>
              <w:spacing w:before="15" w:after="15" w:line="276" w:lineRule="auto"/>
              <w:jc w:val="center"/>
              <w:rPr>
                <w:b/>
                <w:noProof/>
                <w:sz w:val="20"/>
                <w:szCs w:val="20"/>
              </w:rPr>
            </w:pPr>
            <w:r>
              <w:rPr>
                <w:b/>
                <w:noProof/>
                <w:sz w:val="20"/>
                <w:szCs w:val="20"/>
              </w:rPr>
              <w:t>Crédits de paiement</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000" w:type="dxa"/>
            <w:gridSpan w:val="5"/>
            <w:shd w:val="clear" w:color="auto" w:fill="F2F2F2" w:themeFill="background1" w:themeFillShade="F2"/>
          </w:tcPr>
          <w:p>
            <w:pPr>
              <w:widowControl w:val="0"/>
              <w:spacing w:before="15" w:after="15" w:line="276" w:lineRule="auto"/>
              <w:rPr>
                <w:i/>
                <w:noProof/>
                <w:sz w:val="20"/>
                <w:szCs w:val="20"/>
              </w:rPr>
            </w:pPr>
            <w:r>
              <w:rPr>
                <w:i/>
                <w:noProof/>
                <w:sz w:val="20"/>
                <w:szCs w:val="20"/>
              </w:rPr>
              <w:t>Section I – Parlement européen</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tcBorders>
              <w:top w:val="nil"/>
              <w:left w:val="single" w:sz="4" w:space="0" w:color="auto"/>
              <w:bottom w:val="single" w:sz="4" w:space="0" w:color="auto"/>
              <w:right w:val="single" w:sz="4" w:space="0" w:color="auto"/>
            </w:tcBorders>
            <w:shd w:val="clear" w:color="auto" w:fill="auto"/>
            <w:vAlign w:val="bottom"/>
          </w:tcPr>
          <w:p>
            <w:pPr>
              <w:widowControl w:val="0"/>
              <w:spacing w:before="15" w:after="15" w:line="276" w:lineRule="auto"/>
              <w:ind w:right="-113"/>
              <w:jc w:val="both"/>
              <w:rPr>
                <w:noProof/>
                <w:sz w:val="20"/>
                <w:szCs w:val="20"/>
              </w:rPr>
            </w:pPr>
            <w:r>
              <w:rPr>
                <w:noProof/>
                <w:sz w:val="20"/>
                <w:szCs w:val="20"/>
              </w:rPr>
              <w:t>1400</w:t>
            </w:r>
          </w:p>
        </w:tc>
        <w:tc>
          <w:tcPr>
            <w:tcW w:w="5503" w:type="dxa"/>
            <w:tcBorders>
              <w:top w:val="nil"/>
              <w:left w:val="nil"/>
              <w:bottom w:val="single" w:sz="4" w:space="0" w:color="auto"/>
              <w:right w:val="single" w:sz="4" w:space="0" w:color="auto"/>
            </w:tcBorders>
            <w:shd w:val="clear" w:color="auto" w:fill="auto"/>
            <w:vAlign w:val="bottom"/>
          </w:tcPr>
          <w:p>
            <w:pPr>
              <w:widowControl w:val="0"/>
              <w:spacing w:before="15" w:after="15" w:line="276" w:lineRule="auto"/>
              <w:ind w:right="-113"/>
              <w:jc w:val="both"/>
              <w:rPr>
                <w:noProof/>
                <w:sz w:val="20"/>
                <w:szCs w:val="20"/>
              </w:rPr>
            </w:pPr>
            <w:r>
              <w:rPr>
                <w:noProof/>
                <w:sz w:val="20"/>
                <w:szCs w:val="20"/>
              </w:rPr>
              <w:t>Autres agents - Secrétariat général et groupes politiques</w:t>
            </w:r>
          </w:p>
        </w:tc>
        <w:tc>
          <w:tcPr>
            <w:tcW w:w="1617" w:type="dxa"/>
            <w:vAlign w:val="bottom"/>
          </w:tcPr>
          <w:p>
            <w:pPr>
              <w:widowControl w:val="0"/>
              <w:spacing w:before="15" w:after="15"/>
              <w:jc w:val="right"/>
              <w:rPr>
                <w:noProof/>
                <w:sz w:val="20"/>
                <w:szCs w:val="20"/>
              </w:rPr>
            </w:pPr>
            <w:r>
              <w:rPr>
                <w:noProof/>
                <w:sz w:val="20"/>
                <w:szCs w:val="20"/>
              </w:rPr>
              <w:t>8 880 451</w:t>
            </w:r>
          </w:p>
        </w:tc>
        <w:tc>
          <w:tcPr>
            <w:tcW w:w="1680" w:type="dxa"/>
            <w:gridSpan w:val="2"/>
            <w:vAlign w:val="bottom"/>
          </w:tcPr>
          <w:p>
            <w:pPr>
              <w:widowControl w:val="0"/>
              <w:spacing w:before="15" w:after="15"/>
              <w:jc w:val="right"/>
              <w:rPr>
                <w:noProof/>
                <w:sz w:val="20"/>
                <w:szCs w:val="20"/>
              </w:rPr>
            </w:pPr>
            <w:r>
              <w:rPr>
                <w:noProof/>
                <w:sz w:val="20"/>
                <w:szCs w:val="20"/>
              </w:rPr>
              <w:t>8 880 451</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tcBorders>
              <w:top w:val="nil"/>
              <w:left w:val="single" w:sz="4" w:space="0" w:color="auto"/>
              <w:bottom w:val="single" w:sz="4" w:space="0" w:color="auto"/>
              <w:right w:val="single" w:sz="4" w:space="0" w:color="auto"/>
            </w:tcBorders>
            <w:shd w:val="clear" w:color="auto" w:fill="auto"/>
            <w:vAlign w:val="bottom"/>
          </w:tcPr>
          <w:p>
            <w:pPr>
              <w:widowControl w:val="0"/>
              <w:spacing w:before="15" w:after="15" w:line="276" w:lineRule="auto"/>
              <w:ind w:right="-113"/>
              <w:jc w:val="both"/>
              <w:rPr>
                <w:noProof/>
                <w:sz w:val="20"/>
                <w:szCs w:val="20"/>
              </w:rPr>
            </w:pPr>
            <w:r>
              <w:rPr>
                <w:noProof/>
                <w:sz w:val="20"/>
                <w:szCs w:val="20"/>
              </w:rPr>
              <w:t>1401</w:t>
            </w:r>
          </w:p>
        </w:tc>
        <w:tc>
          <w:tcPr>
            <w:tcW w:w="5503" w:type="dxa"/>
            <w:tcBorders>
              <w:top w:val="nil"/>
              <w:left w:val="nil"/>
              <w:bottom w:val="single" w:sz="4" w:space="0" w:color="auto"/>
              <w:right w:val="single" w:sz="4" w:space="0" w:color="auto"/>
            </w:tcBorders>
            <w:shd w:val="clear" w:color="auto" w:fill="auto"/>
            <w:vAlign w:val="bottom"/>
          </w:tcPr>
          <w:p>
            <w:pPr>
              <w:widowControl w:val="0"/>
              <w:spacing w:before="15" w:after="15" w:line="276" w:lineRule="auto"/>
              <w:ind w:right="-113"/>
              <w:jc w:val="both"/>
              <w:rPr>
                <w:noProof/>
                <w:sz w:val="20"/>
                <w:szCs w:val="20"/>
              </w:rPr>
            </w:pPr>
            <w:r>
              <w:rPr>
                <w:noProof/>
                <w:sz w:val="20"/>
                <w:szCs w:val="20"/>
              </w:rPr>
              <w:t>Autres agents - Sécurité</w:t>
            </w:r>
          </w:p>
        </w:tc>
        <w:tc>
          <w:tcPr>
            <w:tcW w:w="1617" w:type="dxa"/>
            <w:vAlign w:val="bottom"/>
          </w:tcPr>
          <w:p>
            <w:pPr>
              <w:widowControl w:val="0"/>
              <w:spacing w:before="15" w:after="15"/>
              <w:jc w:val="right"/>
              <w:rPr>
                <w:noProof/>
                <w:sz w:val="20"/>
                <w:szCs w:val="20"/>
              </w:rPr>
            </w:pPr>
            <w:r>
              <w:rPr>
                <w:noProof/>
                <w:sz w:val="20"/>
                <w:szCs w:val="20"/>
              </w:rPr>
              <w:t>4 452 138</w:t>
            </w:r>
          </w:p>
        </w:tc>
        <w:tc>
          <w:tcPr>
            <w:tcW w:w="1680" w:type="dxa"/>
            <w:gridSpan w:val="2"/>
            <w:vAlign w:val="bottom"/>
          </w:tcPr>
          <w:p>
            <w:pPr>
              <w:widowControl w:val="0"/>
              <w:spacing w:before="15" w:after="15"/>
              <w:jc w:val="right"/>
              <w:rPr>
                <w:noProof/>
                <w:sz w:val="20"/>
                <w:szCs w:val="20"/>
              </w:rPr>
            </w:pPr>
            <w:r>
              <w:rPr>
                <w:noProof/>
                <w:sz w:val="20"/>
                <w:szCs w:val="20"/>
              </w:rPr>
              <w:t>4 452 138</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703" w:type="dxa"/>
            <w:gridSpan w:val="2"/>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617" w:type="dxa"/>
            <w:shd w:val="clear" w:color="auto" w:fill="D9D9D9"/>
          </w:tcPr>
          <w:p>
            <w:pPr>
              <w:widowControl w:val="0"/>
              <w:spacing w:before="15" w:after="15"/>
              <w:jc w:val="right"/>
              <w:rPr>
                <w:b/>
                <w:noProof/>
                <w:sz w:val="20"/>
                <w:szCs w:val="20"/>
              </w:rPr>
            </w:pPr>
            <w:r>
              <w:rPr>
                <w:b/>
                <w:noProof/>
                <w:sz w:val="20"/>
                <w:szCs w:val="20"/>
              </w:rPr>
              <w:t>13 332 589</w:t>
            </w:r>
          </w:p>
        </w:tc>
        <w:tc>
          <w:tcPr>
            <w:tcW w:w="1680" w:type="dxa"/>
            <w:gridSpan w:val="2"/>
            <w:shd w:val="clear" w:color="auto" w:fill="D9D9D9"/>
          </w:tcPr>
          <w:p>
            <w:pPr>
              <w:widowControl w:val="0"/>
              <w:spacing w:before="15" w:after="15"/>
              <w:jc w:val="right"/>
              <w:rPr>
                <w:b/>
                <w:noProof/>
                <w:sz w:val="20"/>
                <w:szCs w:val="20"/>
              </w:rPr>
            </w:pPr>
            <w:r>
              <w:rPr>
                <w:b/>
                <w:noProof/>
                <w:sz w:val="20"/>
                <w:szCs w:val="20"/>
              </w:rPr>
              <w:t>13 332 589</w:t>
            </w:r>
          </w:p>
        </w:tc>
      </w:tr>
    </w:tbl>
    <w:p>
      <w:pPr>
        <w:rPr>
          <w:rFonts w:eastAsia="Calibri"/>
          <w:b/>
          <w:noProof/>
        </w:rPr>
      </w:pPr>
    </w:p>
    <w:p>
      <w:pPr>
        <w:keepNext/>
        <w:tabs>
          <w:tab w:val="left" w:pos="850"/>
        </w:tabs>
        <w:spacing w:before="360" w:after="120"/>
        <w:ind w:left="357" w:hanging="357"/>
        <w:jc w:val="both"/>
        <w:outlineLvl w:val="1"/>
        <w:rPr>
          <w:rFonts w:eastAsia="Calibri"/>
          <w:b/>
          <w:noProof/>
        </w:rPr>
      </w:pPr>
      <w:bookmarkStart w:id="12" w:name="_Toc22821757"/>
      <w:r>
        <w:rPr>
          <w:b/>
          <w:noProof/>
        </w:rPr>
        <w:t xml:space="preserve">4.2 </w:t>
      </w:r>
      <w:r>
        <w:rPr>
          <w:b/>
          <w:noProof/>
        </w:rPr>
        <w:tab/>
        <w:t>Section X – Service européen pour l’action extérieure</w:t>
      </w:r>
      <w:bookmarkEnd w:id="12"/>
    </w:p>
    <w:p>
      <w:pPr>
        <w:autoSpaceDE w:val="0"/>
        <w:autoSpaceDN w:val="0"/>
        <w:adjustRightInd w:val="0"/>
        <w:spacing w:before="120" w:after="120"/>
        <w:jc w:val="both"/>
        <w:rPr>
          <w:bCs/>
          <w:noProof/>
          <w:color w:val="000000"/>
        </w:rPr>
      </w:pPr>
      <w:r>
        <w:rPr>
          <w:noProof/>
        </w:rPr>
        <w:t>Depuis la présentation du PB 2020, deux éléments figurant dans la section «Service européen pour l’action extérieure (SEAE)» ont évolué et nécessitent une mise à jour, à savoir:</w:t>
      </w:r>
    </w:p>
    <w:p>
      <w:pPr>
        <w:numPr>
          <w:ilvl w:val="0"/>
          <w:numId w:val="10"/>
        </w:numPr>
        <w:spacing w:before="120" w:after="120"/>
        <w:jc w:val="both"/>
        <w:rPr>
          <w:noProof/>
        </w:rPr>
      </w:pPr>
      <w:r>
        <w:rPr>
          <w:noProof/>
        </w:rPr>
        <w:t>le bâtiment NEO;</w:t>
      </w:r>
    </w:p>
    <w:p>
      <w:pPr>
        <w:numPr>
          <w:ilvl w:val="0"/>
          <w:numId w:val="10"/>
        </w:numPr>
        <w:spacing w:before="120" w:after="120"/>
        <w:jc w:val="both"/>
        <w:rPr>
          <w:noProof/>
        </w:rPr>
      </w:pPr>
      <w:r>
        <w:rPr>
          <w:noProof/>
        </w:rPr>
        <w:t>l’adaptation des effectifs du bureau de l’UE au Kosovo.</w:t>
      </w:r>
    </w:p>
    <w:p>
      <w:pPr>
        <w:tabs>
          <w:tab w:val="left" w:pos="851"/>
        </w:tabs>
        <w:spacing w:before="240" w:after="120"/>
        <w:ind w:left="851" w:hanging="851"/>
        <w:rPr>
          <w:bCs/>
          <w:i/>
          <w:noProof/>
        </w:rPr>
      </w:pPr>
      <w:r>
        <w:rPr>
          <w:bCs/>
          <w:i/>
          <w:noProof/>
        </w:rPr>
        <w:t xml:space="preserve">Bâtiment NEO </w:t>
      </w:r>
    </w:p>
    <w:p>
      <w:pPr>
        <w:autoSpaceDE w:val="0"/>
        <w:autoSpaceDN w:val="0"/>
        <w:adjustRightInd w:val="0"/>
        <w:spacing w:after="120"/>
        <w:jc w:val="both"/>
        <w:rPr>
          <w:bCs/>
          <w:noProof/>
          <w:color w:val="000000"/>
        </w:rPr>
      </w:pPr>
      <w:r>
        <w:rPr>
          <w:noProof/>
        </w:rPr>
        <w:t>Le projet de bâtiment NEO se compose de deux bâtiments destinés à remplacer le bâtiment Kortenberg pour les services chargés de la politique de sécurité et de défense commune (PSDC). Ce projet est en cours et devrait être achevé d’ici à la fin de 2020 ou au début de 2021.</w:t>
      </w:r>
    </w:p>
    <w:p>
      <w:pPr>
        <w:autoSpaceDE w:val="0"/>
        <w:autoSpaceDN w:val="0"/>
        <w:adjustRightInd w:val="0"/>
        <w:spacing w:after="120"/>
        <w:jc w:val="both"/>
        <w:rPr>
          <w:bCs/>
          <w:noProof/>
          <w:color w:val="000000"/>
        </w:rPr>
      </w:pPr>
      <w:r>
        <w:rPr>
          <w:noProof/>
        </w:rPr>
        <w:t xml:space="preserve">Lors de la réalisation des travaux de rénovation et d’aménagement, le SEAE s’est toutefois rendu compte que le budget prévisionnel tel qu’il avait été établi ne permettait pas d’atteindre le niveau de performance technique nécessaire dans les domaines de la sécurité physique et des communications sécurisées. </w:t>
      </w:r>
    </w:p>
    <w:p>
      <w:pPr>
        <w:autoSpaceDE w:val="0"/>
        <w:autoSpaceDN w:val="0"/>
        <w:adjustRightInd w:val="0"/>
        <w:spacing w:after="120"/>
        <w:jc w:val="both"/>
        <w:rPr>
          <w:bCs/>
          <w:noProof/>
          <w:color w:val="000000"/>
        </w:rPr>
      </w:pPr>
      <w:r>
        <w:rPr>
          <w:noProof/>
        </w:rPr>
        <w:t xml:space="preserve">Les renforcements sont liés à la nécessité de protéger l’environnement de travail contre les intrusions et les écoutes, conformément aux règles de sécurité fixées par le Conseil et par les États membres. Le niveau des mesures de protection nécessaires évolue en fonction des progrès technologiques et du degré estimé des menaces. Cela signifie que bon nombre des solutions précédemment mises en œuvre, sur lesquelles reposait l’estimation initiale des coûts, n’offrent plus de garanties suffisantes. </w:t>
      </w:r>
    </w:p>
    <w:p>
      <w:pPr>
        <w:autoSpaceDE w:val="0"/>
        <w:autoSpaceDN w:val="0"/>
        <w:adjustRightInd w:val="0"/>
        <w:spacing w:after="120"/>
        <w:jc w:val="both"/>
        <w:rPr>
          <w:bCs/>
          <w:noProof/>
          <w:color w:val="000000"/>
        </w:rPr>
      </w:pPr>
      <w:r>
        <w:rPr>
          <w:noProof/>
        </w:rPr>
        <w:t>Une mise à jour du projet présentant les modifications à apporter et les coûts supplémentaires qui en découlent a par conséquent été présentée au Parlement européen et au Conseil et approuvée, les 3 et 13 septembre 2019, par la commission des budgets et le comité budgétaire.</w:t>
      </w:r>
    </w:p>
    <w:p>
      <w:pPr>
        <w:autoSpaceDE w:val="0"/>
        <w:autoSpaceDN w:val="0"/>
        <w:adjustRightInd w:val="0"/>
        <w:spacing w:after="120"/>
        <w:jc w:val="both"/>
        <w:rPr>
          <w:bCs/>
          <w:noProof/>
          <w:color w:val="000000"/>
        </w:rPr>
      </w:pPr>
      <w:r>
        <w:rPr>
          <w:noProof/>
        </w:rPr>
        <w:t>Les coûts supplémentaires occasionnés par ces mesures liées à la sécurité s’élèveraient à 5,0 millions d’EUR pour le poste 2 0 0 2 du budget du SEAE. Toutefois, la redéfinition des priorités et le redéploiement prévu permettent de ramener le montant supplémentaire demandé pour 2020 à 2,8 millions d’EUR.</w:t>
      </w:r>
    </w:p>
    <w:p>
      <w:pPr>
        <w:spacing w:before="240" w:after="120"/>
        <w:ind w:left="851" w:hanging="851"/>
        <w:rPr>
          <w:bCs/>
          <w:i/>
          <w:noProof/>
        </w:rPr>
      </w:pPr>
      <w:r>
        <w:rPr>
          <w:bCs/>
          <w:i/>
          <w:noProof/>
        </w:rPr>
        <w:t>Adaptation des effectifs du bureau de l’UE au Kosovo</w:t>
      </w:r>
    </w:p>
    <w:p>
      <w:pPr>
        <w:autoSpaceDE w:val="0"/>
        <w:autoSpaceDN w:val="0"/>
        <w:adjustRightInd w:val="0"/>
        <w:spacing w:after="120"/>
        <w:jc w:val="both"/>
        <w:rPr>
          <w:noProof/>
          <w:color w:val="000000"/>
        </w:rPr>
      </w:pPr>
      <w:r>
        <w:rPr>
          <w:noProof/>
        </w:rPr>
        <w:t xml:space="preserve">À la suite du réexamen stratégique 2015/2016 de la mission EULEX, un certain nombre de tâches de suivi, d’encadrement et de conseil relevant d’EULEX ont été transférées au bureau de l’UE au Kosovo en juin 2018. Le Parlement européen et le Conseil ont dès lors octroyé au SEAE un budget destiné au financement de 12 membres du personnel au sein du bureau, qui est compensé par des réductions plus importantes au sein de l’organisation EULEX. </w:t>
      </w:r>
    </w:p>
    <w:p>
      <w:pPr>
        <w:autoSpaceDE w:val="0"/>
        <w:autoSpaceDN w:val="0"/>
        <w:adjustRightInd w:val="0"/>
        <w:spacing w:after="120"/>
        <w:jc w:val="both"/>
        <w:rPr>
          <w:noProof/>
          <w:color w:val="000000"/>
        </w:rPr>
      </w:pPr>
      <w:r>
        <w:rPr>
          <w:noProof/>
        </w:rPr>
        <w:t>Un budget supplémentaire pour financer trois emplois supplémentaires a été mis à la disposition du SEAE à partir de janvier 2019, portant à 15 le nombre total d’emplois pour les tâches de transition. Le budget 2019 du SEAE a en outre été modifié pour permettre de transformer en emplois cofinancés trois emplois d’experts nationaux détachés (END) sans frais, afin qu’ils suscitent un plus grand intérêt et attirent davantage de candidats potentiels des États membres.</w:t>
      </w:r>
    </w:p>
    <w:p>
      <w:pPr>
        <w:autoSpaceDE w:val="0"/>
        <w:autoSpaceDN w:val="0"/>
        <w:adjustRightInd w:val="0"/>
        <w:spacing w:after="120"/>
        <w:jc w:val="both"/>
        <w:rPr>
          <w:noProof/>
          <w:color w:val="000000"/>
        </w:rPr>
      </w:pPr>
      <w:r>
        <w:rPr>
          <w:noProof/>
        </w:rPr>
        <w:t xml:space="preserve">Ce changement n’a toutefois pas permis de susciter un intérêt suffisant et, à ce jour, seuls deux emplois d’END sur un total de six ont été pourvus. </w:t>
      </w:r>
    </w:p>
    <w:p>
      <w:pPr>
        <w:autoSpaceDE w:val="0"/>
        <w:autoSpaceDN w:val="0"/>
        <w:adjustRightInd w:val="0"/>
        <w:spacing w:after="120"/>
        <w:jc w:val="both"/>
        <w:rPr>
          <w:noProof/>
          <w:color w:val="000000"/>
        </w:rPr>
      </w:pPr>
      <w:r>
        <w:rPr>
          <w:noProof/>
        </w:rPr>
        <w:t>Compte tenu de cette situation et sur la base d’une évaluation des besoins au sein du bureau, le SEAE entend transformer l’un de ces emplois inutilisés d’END en deux emplois d’agents locaux. Cette transformation, qui ne devrait pas entraîner de coûts supplémentaires pour le SEAE, est toutefois susceptible de donner lieu, en fonction de l’expérience des agents recrutés, à de modestes économies au fil du temps.</w:t>
      </w:r>
    </w:p>
    <w:p>
      <w:pPr>
        <w:tabs>
          <w:tab w:val="left" w:pos="851"/>
        </w:tabs>
        <w:spacing w:before="360" w:after="120"/>
        <w:ind w:left="851" w:hanging="851"/>
        <w:rPr>
          <w:bCs/>
          <w:i/>
          <w:noProof/>
        </w:rPr>
      </w:pPr>
      <w:r>
        <w:rPr>
          <w:bCs/>
          <w:i/>
          <w:noProof/>
        </w:rPr>
        <w:t>Effet combiné sur la section «SEAE» du projet de budget 2019</w:t>
      </w:r>
      <w:r>
        <w:rPr>
          <w:bCs/>
          <w:i/>
          <w:noProof/>
        </w:rPr>
        <w:tab/>
      </w:r>
    </w:p>
    <w:tbl>
      <w:tblPr>
        <w:tblW w:w="10068" w:type="dxa"/>
        <w:jc w:val="center"/>
        <w:tblLayout w:type="fixed"/>
        <w:tblCellMar>
          <w:left w:w="40" w:type="dxa"/>
          <w:right w:w="40" w:type="dxa"/>
        </w:tblCellMar>
        <w:tblLook w:val="0000" w:firstRow="0" w:lastRow="0" w:firstColumn="0" w:lastColumn="0" w:noHBand="0" w:noVBand="0"/>
      </w:tblPr>
      <w:tblGrid>
        <w:gridCol w:w="68"/>
        <w:gridCol w:w="1200"/>
        <w:gridCol w:w="5503"/>
        <w:gridCol w:w="1617"/>
        <w:gridCol w:w="1643"/>
        <w:gridCol w:w="37"/>
      </w:tblGrid>
      <w:tr>
        <w:trPr>
          <w:gridAfter w:val="1"/>
          <w:wAfter w:w="37" w:type="dxa"/>
          <w:trHeight w:val="164"/>
          <w:tblHeader/>
          <w:jc w:val="center"/>
        </w:trPr>
        <w:tc>
          <w:tcPr>
            <w:tcW w:w="10031" w:type="dxa"/>
            <w:gridSpan w:val="5"/>
            <w:tcBorders>
              <w:bottom w:val="single" w:sz="4" w:space="0" w:color="auto"/>
            </w:tcBorders>
            <w:shd w:val="clear" w:color="auto" w:fill="FFFFFF"/>
            <w:vAlign w:val="center"/>
          </w:tcPr>
          <w:p>
            <w:pPr>
              <w:jc w:val="right"/>
              <w:rPr>
                <w:i/>
                <w:iCs/>
                <w:noProof/>
                <w:sz w:val="16"/>
                <w:szCs w:val="16"/>
              </w:rPr>
            </w:pPr>
            <w:r>
              <w:rPr>
                <w:i/>
                <w:iCs/>
                <w:noProof/>
                <w:sz w:val="16"/>
                <w:szCs w:val="16"/>
              </w:rPr>
              <w:t>(en EUR)</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68" w:type="dxa"/>
          <w:tblHeader/>
        </w:trPr>
        <w:tc>
          <w:tcPr>
            <w:tcW w:w="1200" w:type="dxa"/>
            <w:shd w:val="clear" w:color="auto" w:fill="D9D9D9"/>
            <w:vAlign w:val="center"/>
          </w:tcPr>
          <w:p>
            <w:pPr>
              <w:widowControl w:val="0"/>
              <w:spacing w:before="15" w:after="15" w:line="276" w:lineRule="auto"/>
              <w:jc w:val="center"/>
              <w:rPr>
                <w:b/>
                <w:noProof/>
                <w:sz w:val="20"/>
                <w:szCs w:val="20"/>
              </w:rPr>
            </w:pPr>
            <w:r>
              <w:rPr>
                <w:b/>
                <w:noProof/>
                <w:sz w:val="20"/>
                <w:szCs w:val="20"/>
              </w:rPr>
              <w:t>Ligne budgétaire</w:t>
            </w:r>
          </w:p>
        </w:tc>
        <w:tc>
          <w:tcPr>
            <w:tcW w:w="5503" w:type="dxa"/>
            <w:shd w:val="clear" w:color="auto" w:fill="D9D9D9"/>
            <w:vAlign w:val="center"/>
          </w:tcPr>
          <w:p>
            <w:pPr>
              <w:widowControl w:val="0"/>
              <w:spacing w:before="15" w:after="15" w:line="276" w:lineRule="auto"/>
              <w:jc w:val="center"/>
              <w:rPr>
                <w:b/>
                <w:noProof/>
                <w:sz w:val="20"/>
                <w:szCs w:val="20"/>
              </w:rPr>
            </w:pPr>
            <w:r>
              <w:rPr>
                <w:b/>
                <w:noProof/>
                <w:sz w:val="20"/>
                <w:szCs w:val="20"/>
              </w:rPr>
              <w:t>Intitulé</w:t>
            </w:r>
          </w:p>
        </w:tc>
        <w:tc>
          <w:tcPr>
            <w:tcW w:w="1617" w:type="dxa"/>
            <w:shd w:val="clear" w:color="auto" w:fill="D9D9D9"/>
            <w:vAlign w:val="center"/>
          </w:tcPr>
          <w:p>
            <w:pPr>
              <w:widowControl w:val="0"/>
              <w:spacing w:before="15" w:after="15" w:line="276" w:lineRule="auto"/>
              <w:jc w:val="center"/>
              <w:rPr>
                <w:b/>
                <w:noProof/>
                <w:sz w:val="20"/>
                <w:szCs w:val="20"/>
              </w:rPr>
            </w:pPr>
            <w:r>
              <w:rPr>
                <w:b/>
                <w:noProof/>
                <w:sz w:val="20"/>
                <w:szCs w:val="20"/>
              </w:rPr>
              <w:t>Crédits d'engagement</w:t>
            </w:r>
          </w:p>
        </w:tc>
        <w:tc>
          <w:tcPr>
            <w:tcW w:w="1680" w:type="dxa"/>
            <w:gridSpan w:val="2"/>
            <w:shd w:val="clear" w:color="auto" w:fill="D9D9D9"/>
            <w:vAlign w:val="center"/>
          </w:tcPr>
          <w:p>
            <w:pPr>
              <w:widowControl w:val="0"/>
              <w:spacing w:before="15" w:after="15" w:line="276" w:lineRule="auto"/>
              <w:jc w:val="center"/>
              <w:rPr>
                <w:b/>
                <w:noProof/>
                <w:sz w:val="20"/>
                <w:szCs w:val="20"/>
              </w:rPr>
            </w:pPr>
            <w:r>
              <w:rPr>
                <w:b/>
                <w:noProof/>
                <w:sz w:val="20"/>
                <w:szCs w:val="20"/>
              </w:rPr>
              <w:t>Crédits de paiement</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68" w:type="dxa"/>
        </w:trPr>
        <w:tc>
          <w:tcPr>
            <w:tcW w:w="10000" w:type="dxa"/>
            <w:gridSpan w:val="5"/>
            <w:shd w:val="clear" w:color="auto" w:fill="F2F2F2" w:themeFill="background1" w:themeFillShade="F2"/>
          </w:tcPr>
          <w:p>
            <w:pPr>
              <w:widowControl w:val="0"/>
              <w:spacing w:before="15" w:after="15" w:line="276" w:lineRule="auto"/>
              <w:rPr>
                <w:i/>
                <w:noProof/>
                <w:sz w:val="20"/>
                <w:szCs w:val="20"/>
              </w:rPr>
            </w:pPr>
            <w:r>
              <w:rPr>
                <w:i/>
                <w:noProof/>
                <w:sz w:val="20"/>
                <w:szCs w:val="20"/>
              </w:rPr>
              <w:t>Section X – Service européen pour l’action extérieure</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68" w:type="dxa"/>
        </w:trPr>
        <w:tc>
          <w:tcPr>
            <w:tcW w:w="1200" w:type="dxa"/>
          </w:tcPr>
          <w:p>
            <w:pPr>
              <w:widowControl w:val="0"/>
              <w:spacing w:before="15" w:after="15" w:line="276" w:lineRule="auto"/>
              <w:ind w:right="-113"/>
              <w:jc w:val="both"/>
              <w:rPr>
                <w:noProof/>
                <w:sz w:val="20"/>
                <w:szCs w:val="20"/>
              </w:rPr>
            </w:pPr>
            <w:r>
              <w:rPr>
                <w:noProof/>
                <w:sz w:val="20"/>
                <w:szCs w:val="20"/>
              </w:rPr>
              <w:t>2 0 0 2</w:t>
            </w:r>
          </w:p>
        </w:tc>
        <w:tc>
          <w:tcPr>
            <w:tcW w:w="5503" w:type="dxa"/>
          </w:tcPr>
          <w:p>
            <w:pPr>
              <w:rPr>
                <w:noProof/>
                <w:sz w:val="20"/>
                <w:szCs w:val="20"/>
              </w:rPr>
            </w:pPr>
            <w:r>
              <w:rPr>
                <w:noProof/>
                <w:sz w:val="20"/>
                <w:szCs w:val="20"/>
              </w:rPr>
              <w:t>Travaux d’aménagement et de sécurité</w:t>
            </w:r>
          </w:p>
        </w:tc>
        <w:tc>
          <w:tcPr>
            <w:tcW w:w="1617" w:type="dxa"/>
          </w:tcPr>
          <w:p>
            <w:pPr>
              <w:widowControl w:val="0"/>
              <w:spacing w:before="15" w:after="15" w:line="276" w:lineRule="auto"/>
              <w:jc w:val="right"/>
              <w:rPr>
                <w:noProof/>
                <w:sz w:val="20"/>
                <w:szCs w:val="20"/>
              </w:rPr>
            </w:pPr>
            <w:r>
              <w:rPr>
                <w:noProof/>
                <w:sz w:val="20"/>
                <w:szCs w:val="20"/>
              </w:rPr>
              <w:t>2 786 000</w:t>
            </w:r>
          </w:p>
        </w:tc>
        <w:tc>
          <w:tcPr>
            <w:tcW w:w="1680" w:type="dxa"/>
            <w:gridSpan w:val="2"/>
          </w:tcPr>
          <w:p>
            <w:pPr>
              <w:widowControl w:val="0"/>
              <w:spacing w:before="15" w:after="15" w:line="276" w:lineRule="auto"/>
              <w:jc w:val="right"/>
              <w:rPr>
                <w:noProof/>
                <w:sz w:val="20"/>
                <w:szCs w:val="20"/>
              </w:rPr>
            </w:pPr>
            <w:r>
              <w:rPr>
                <w:noProof/>
                <w:sz w:val="20"/>
                <w:szCs w:val="20"/>
              </w:rPr>
              <w:t>2 786 000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68" w:type="dxa"/>
        </w:trPr>
        <w:tc>
          <w:tcPr>
            <w:tcW w:w="6703" w:type="dxa"/>
            <w:gridSpan w:val="2"/>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617" w:type="dxa"/>
            <w:shd w:val="clear" w:color="auto" w:fill="D9D9D9"/>
          </w:tcPr>
          <w:p>
            <w:pPr>
              <w:widowControl w:val="0"/>
              <w:spacing w:before="15" w:after="15"/>
              <w:jc w:val="right"/>
              <w:rPr>
                <w:b/>
                <w:noProof/>
                <w:sz w:val="20"/>
                <w:szCs w:val="20"/>
              </w:rPr>
            </w:pPr>
            <w:r>
              <w:rPr>
                <w:b/>
                <w:noProof/>
                <w:sz w:val="20"/>
                <w:szCs w:val="20"/>
              </w:rPr>
              <w:t>2 786 000</w:t>
            </w:r>
          </w:p>
        </w:tc>
        <w:tc>
          <w:tcPr>
            <w:tcW w:w="1680" w:type="dxa"/>
            <w:gridSpan w:val="2"/>
            <w:shd w:val="clear" w:color="auto" w:fill="D9D9D9"/>
          </w:tcPr>
          <w:p>
            <w:pPr>
              <w:widowControl w:val="0"/>
              <w:spacing w:before="15" w:after="15"/>
              <w:jc w:val="right"/>
              <w:rPr>
                <w:b/>
                <w:noProof/>
                <w:sz w:val="20"/>
                <w:szCs w:val="20"/>
              </w:rPr>
            </w:pPr>
            <w:r>
              <w:rPr>
                <w:b/>
                <w:noProof/>
                <w:sz w:val="20"/>
                <w:szCs w:val="20"/>
              </w:rPr>
              <w:t>2 786 000</w:t>
            </w:r>
          </w:p>
        </w:tc>
      </w:tr>
    </w:tbl>
    <w:p>
      <w:pPr>
        <w:keepNext/>
        <w:tabs>
          <w:tab w:val="left" w:pos="850"/>
        </w:tabs>
        <w:spacing w:before="360" w:after="120"/>
        <w:ind w:left="357" w:hanging="357"/>
        <w:jc w:val="both"/>
        <w:outlineLvl w:val="1"/>
        <w:rPr>
          <w:rFonts w:eastAsia="Calibri"/>
          <w:b/>
          <w:noProof/>
        </w:rPr>
      </w:pPr>
      <w:bookmarkStart w:id="13" w:name="_Toc22821758"/>
      <w:r>
        <w:rPr>
          <w:b/>
          <w:noProof/>
        </w:rPr>
        <w:t xml:space="preserve">4.3 </w:t>
      </w:r>
      <w:r>
        <w:rPr>
          <w:b/>
          <w:noProof/>
        </w:rPr>
        <w:tab/>
        <w:t>Mise à jour des accords de partenariat dans le domaine de la pêche durable</w:t>
      </w:r>
      <w:bookmarkEnd w:id="13"/>
    </w:p>
    <w:p>
      <w:pPr>
        <w:spacing w:before="120" w:after="120"/>
        <w:jc w:val="both"/>
        <w:rPr>
          <w:rFonts w:eastAsia="Calibri"/>
          <w:noProof/>
        </w:rPr>
      </w:pPr>
      <w:r>
        <w:rPr>
          <w:noProof/>
        </w:rPr>
        <w:t>Comme le prévoit la partie II, point C, de l’accord interinstitutionnel (AII)</w:t>
      </w:r>
      <w:r>
        <w:rPr>
          <w:rStyle w:val="FootnoteReference"/>
          <w:noProof/>
        </w:rPr>
        <w:footnoteReference w:id="9"/>
      </w:r>
      <w:r>
        <w:rPr>
          <w:noProof/>
        </w:rPr>
        <w:t xml:space="preserve">, la Commission a examiné les informations les plus récentes disponibles concernant les accords de partenariat dans le domaine de la pêche durable (APPD) et étudié les besoins attendus pour 2020 sur la base de l’évolution du processus de négociation avec les pays tiers concernés. Sur la base de cet examen, la Commission propose de transférer des montants de 16,9 millions d’EUR en crédits d’engagement et de 14,9 millions d’EUR en crédits de paiement de la réserve (40 02 41) à la ligne opérationnelle (11 03 01 </w:t>
      </w:r>
      <w:r>
        <w:rPr>
          <w:i/>
          <w:noProof/>
        </w:rPr>
        <w:t>Établir un cadre de gouvernance pour les activités de pêche menées par les navires de pêche de l’Union dans les eaux des pays tiers</w:t>
      </w:r>
      <w:r>
        <w:rPr>
          <w:noProof/>
        </w:rPr>
        <w:t xml:space="preserve">). Ce transfert, neutre sur le plan budgétaire, se rapporte aux accords de pêche avec la République du Cap-Vert, la République de Gambie et la République de Guinée-Bissau, pour lesquels les accords et protocoles connexes ont entre-temps été signés et sont entrés en application à titre provisoire. </w:t>
      </w:r>
    </w:p>
    <w:p>
      <w:pPr>
        <w:spacing w:before="480" w:after="120"/>
        <w:jc w:val="both"/>
        <w:rPr>
          <w:rFonts w:eastAsia="Calibri"/>
          <w:noProof/>
        </w:rPr>
      </w:pPr>
      <w:r>
        <w:rPr>
          <w:noProof/>
        </w:rPr>
        <w:t>Le détail par ligne budgétaire est présenté dans le tableau ci-dessous et les commentaires budgétaires correspondants sont adaptés en annexe.</w:t>
      </w:r>
    </w:p>
    <w:tbl>
      <w:tblPr>
        <w:tblW w:w="10031" w:type="dxa"/>
        <w:jc w:val="center"/>
        <w:tblLayout w:type="fixed"/>
        <w:tblCellMar>
          <w:left w:w="40" w:type="dxa"/>
          <w:right w:w="40" w:type="dxa"/>
        </w:tblCellMar>
        <w:tblLook w:val="0000" w:firstRow="0" w:lastRow="0" w:firstColumn="0" w:lastColumn="0" w:noHBand="0" w:noVBand="0"/>
      </w:tblPr>
      <w:tblGrid>
        <w:gridCol w:w="68"/>
        <w:gridCol w:w="1350"/>
        <w:gridCol w:w="4502"/>
        <w:gridCol w:w="1842"/>
        <w:gridCol w:w="2125"/>
        <w:gridCol w:w="144"/>
      </w:tblGrid>
      <w:tr>
        <w:trPr>
          <w:gridBefore w:val="1"/>
          <w:gridAfter w:val="1"/>
          <w:wBefore w:w="68" w:type="dxa"/>
          <w:wAfter w:w="144" w:type="dxa"/>
          <w:trHeight w:val="164"/>
          <w:tblHeader/>
          <w:jc w:val="center"/>
        </w:trPr>
        <w:tc>
          <w:tcPr>
            <w:tcW w:w="9819" w:type="dxa"/>
            <w:gridSpan w:val="4"/>
            <w:tcBorders>
              <w:bottom w:val="single" w:sz="4" w:space="0" w:color="auto"/>
            </w:tcBorders>
            <w:shd w:val="clear" w:color="auto" w:fill="FFFFFF"/>
            <w:vAlign w:val="center"/>
          </w:tcPr>
          <w:p>
            <w:pPr>
              <w:jc w:val="right"/>
              <w:rPr>
                <w:i/>
                <w:iCs/>
                <w:noProof/>
                <w:sz w:val="16"/>
                <w:szCs w:val="16"/>
              </w:rPr>
            </w:pPr>
            <w:r>
              <w:rPr>
                <w:i/>
                <w:iCs/>
                <w:noProof/>
                <w:sz w:val="16"/>
                <w:szCs w:val="16"/>
              </w:rPr>
              <w:t>(en EUR)</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418" w:type="dxa"/>
            <w:gridSpan w:val="2"/>
            <w:shd w:val="clear" w:color="auto" w:fill="D9D9D9"/>
            <w:vAlign w:val="center"/>
          </w:tcPr>
          <w:p>
            <w:pPr>
              <w:widowControl w:val="0"/>
              <w:spacing w:before="15" w:after="15"/>
              <w:jc w:val="center"/>
              <w:rPr>
                <w:b/>
                <w:noProof/>
                <w:sz w:val="20"/>
                <w:szCs w:val="20"/>
              </w:rPr>
            </w:pPr>
            <w:r>
              <w:rPr>
                <w:b/>
                <w:noProof/>
                <w:sz w:val="20"/>
                <w:szCs w:val="20"/>
              </w:rPr>
              <w:t>Ligne budgétaire</w:t>
            </w:r>
          </w:p>
        </w:tc>
        <w:tc>
          <w:tcPr>
            <w:tcW w:w="4502" w:type="dxa"/>
            <w:shd w:val="clear" w:color="auto" w:fill="D9D9D9"/>
            <w:vAlign w:val="center"/>
          </w:tcPr>
          <w:p>
            <w:pPr>
              <w:widowControl w:val="0"/>
              <w:spacing w:before="15" w:after="15"/>
              <w:jc w:val="center"/>
              <w:rPr>
                <w:b/>
                <w:noProof/>
                <w:sz w:val="20"/>
                <w:szCs w:val="20"/>
              </w:rPr>
            </w:pPr>
            <w:r>
              <w:rPr>
                <w:b/>
                <w:noProof/>
                <w:sz w:val="20"/>
                <w:szCs w:val="20"/>
              </w:rPr>
              <w:t>Intitulé</w:t>
            </w:r>
          </w:p>
        </w:tc>
        <w:tc>
          <w:tcPr>
            <w:tcW w:w="1842" w:type="dxa"/>
            <w:shd w:val="clear" w:color="auto" w:fill="D9D9D9"/>
            <w:vAlign w:val="center"/>
          </w:tcPr>
          <w:p>
            <w:pPr>
              <w:widowControl w:val="0"/>
              <w:spacing w:before="15" w:after="15"/>
              <w:jc w:val="center"/>
              <w:rPr>
                <w:b/>
                <w:noProof/>
                <w:sz w:val="20"/>
                <w:szCs w:val="20"/>
              </w:rPr>
            </w:pPr>
            <w:r>
              <w:rPr>
                <w:b/>
                <w:noProof/>
                <w:sz w:val="20"/>
                <w:szCs w:val="20"/>
              </w:rPr>
              <w:t>Crédits d'engagement</w:t>
            </w:r>
          </w:p>
        </w:tc>
        <w:tc>
          <w:tcPr>
            <w:tcW w:w="2269" w:type="dxa"/>
            <w:gridSpan w:val="2"/>
            <w:shd w:val="clear" w:color="auto" w:fill="D9D9D9"/>
            <w:vAlign w:val="center"/>
          </w:tcPr>
          <w:p>
            <w:pPr>
              <w:widowControl w:val="0"/>
              <w:spacing w:before="15" w:after="15"/>
              <w:jc w:val="center"/>
              <w:rPr>
                <w:b/>
                <w:noProof/>
                <w:sz w:val="20"/>
                <w:szCs w:val="20"/>
              </w:rPr>
            </w:pPr>
            <w:r>
              <w:rPr>
                <w:b/>
                <w:noProof/>
                <w:sz w:val="20"/>
                <w:szCs w:val="20"/>
              </w:rPr>
              <w:t>Crédits de paiement</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418" w:type="dxa"/>
            <w:gridSpan w:val="2"/>
            <w:vAlign w:val="center"/>
          </w:tcPr>
          <w:p>
            <w:pPr>
              <w:jc w:val="center"/>
              <w:rPr>
                <w:noProof/>
                <w:sz w:val="20"/>
                <w:szCs w:val="20"/>
              </w:rPr>
            </w:pPr>
            <w:r>
              <w:rPr>
                <w:noProof/>
                <w:sz w:val="20"/>
                <w:szCs w:val="20"/>
              </w:rPr>
              <w:t>11 03 01</w:t>
            </w:r>
          </w:p>
        </w:tc>
        <w:tc>
          <w:tcPr>
            <w:tcW w:w="4502" w:type="dxa"/>
          </w:tcPr>
          <w:p>
            <w:pPr>
              <w:widowControl w:val="0"/>
              <w:tabs>
                <w:tab w:val="left" w:pos="1350"/>
              </w:tabs>
              <w:spacing w:before="15" w:after="15"/>
              <w:jc w:val="both"/>
              <w:rPr>
                <w:noProof/>
                <w:sz w:val="20"/>
                <w:szCs w:val="20"/>
              </w:rPr>
            </w:pPr>
            <w:r>
              <w:rPr>
                <w:noProof/>
                <w:sz w:val="20"/>
                <w:szCs w:val="20"/>
              </w:rPr>
              <w:t>Établir un cadre de gouvernance pour les activités de pêche menées par les navires de pêche de l’Union dans les eaux des pays tiers</w:t>
            </w:r>
          </w:p>
        </w:tc>
        <w:tc>
          <w:tcPr>
            <w:tcW w:w="1842" w:type="dxa"/>
            <w:vAlign w:val="center"/>
          </w:tcPr>
          <w:p>
            <w:pPr>
              <w:widowControl w:val="0"/>
              <w:spacing w:before="15" w:after="15"/>
              <w:jc w:val="right"/>
              <w:rPr>
                <w:noProof/>
                <w:sz w:val="20"/>
                <w:szCs w:val="20"/>
              </w:rPr>
            </w:pPr>
            <w:r>
              <w:rPr>
                <w:noProof/>
                <w:sz w:val="20"/>
                <w:szCs w:val="20"/>
              </w:rPr>
              <w:t>+16 900 000</w:t>
            </w:r>
          </w:p>
        </w:tc>
        <w:tc>
          <w:tcPr>
            <w:tcW w:w="2269" w:type="dxa"/>
            <w:gridSpan w:val="2"/>
            <w:vAlign w:val="center"/>
          </w:tcPr>
          <w:p>
            <w:pPr>
              <w:widowControl w:val="0"/>
              <w:spacing w:before="15" w:after="15"/>
              <w:jc w:val="right"/>
              <w:rPr>
                <w:noProof/>
                <w:sz w:val="20"/>
                <w:szCs w:val="20"/>
              </w:rPr>
            </w:pPr>
            <w:r>
              <w:rPr>
                <w:noProof/>
                <w:sz w:val="20"/>
                <w:szCs w:val="20"/>
              </w:rPr>
              <w:t>+14 900 000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418" w:type="dxa"/>
            <w:gridSpan w:val="2"/>
            <w:vAlign w:val="center"/>
          </w:tcPr>
          <w:p>
            <w:pPr>
              <w:jc w:val="center"/>
              <w:rPr>
                <w:noProof/>
                <w:sz w:val="20"/>
                <w:szCs w:val="20"/>
              </w:rPr>
            </w:pPr>
            <w:r>
              <w:rPr>
                <w:noProof/>
                <w:sz w:val="20"/>
                <w:szCs w:val="20"/>
              </w:rPr>
              <w:t>40 02 41</w:t>
            </w:r>
          </w:p>
        </w:tc>
        <w:tc>
          <w:tcPr>
            <w:tcW w:w="4502" w:type="dxa"/>
          </w:tcPr>
          <w:p>
            <w:pPr>
              <w:widowControl w:val="0"/>
              <w:tabs>
                <w:tab w:val="left" w:pos="1350"/>
              </w:tabs>
              <w:spacing w:before="15" w:after="15"/>
              <w:jc w:val="both"/>
              <w:rPr>
                <w:noProof/>
                <w:sz w:val="20"/>
                <w:szCs w:val="20"/>
              </w:rPr>
            </w:pPr>
            <w:r>
              <w:rPr>
                <w:noProof/>
                <w:sz w:val="20"/>
                <w:szCs w:val="20"/>
              </w:rPr>
              <w:t>Crédits dissociés</w:t>
            </w:r>
            <w:r>
              <w:rPr>
                <w:i/>
                <w:noProof/>
                <w:sz w:val="20"/>
                <w:szCs w:val="20"/>
              </w:rPr>
              <w:t xml:space="preserve"> (Réserve pour l’article 11 03 01)</w:t>
            </w:r>
          </w:p>
        </w:tc>
        <w:tc>
          <w:tcPr>
            <w:tcW w:w="1842" w:type="dxa"/>
            <w:vAlign w:val="center"/>
          </w:tcPr>
          <w:p>
            <w:pPr>
              <w:widowControl w:val="0"/>
              <w:spacing w:before="15" w:after="15"/>
              <w:jc w:val="right"/>
              <w:rPr>
                <w:noProof/>
                <w:sz w:val="20"/>
                <w:szCs w:val="20"/>
              </w:rPr>
            </w:pPr>
            <w:r>
              <w:rPr>
                <w:noProof/>
                <w:sz w:val="20"/>
                <w:szCs w:val="20"/>
              </w:rPr>
              <w:t>-16 900 000</w:t>
            </w:r>
          </w:p>
        </w:tc>
        <w:tc>
          <w:tcPr>
            <w:tcW w:w="2269" w:type="dxa"/>
            <w:gridSpan w:val="2"/>
            <w:vAlign w:val="center"/>
          </w:tcPr>
          <w:p>
            <w:pPr>
              <w:widowControl w:val="0"/>
              <w:spacing w:before="15" w:after="15"/>
              <w:jc w:val="right"/>
              <w:rPr>
                <w:noProof/>
                <w:sz w:val="20"/>
                <w:szCs w:val="20"/>
              </w:rPr>
            </w:pPr>
            <w:r>
              <w:rPr>
                <w:noProof/>
                <w:sz w:val="20"/>
                <w:szCs w:val="20"/>
              </w:rPr>
              <w:t>-14 900 000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920" w:type="dxa"/>
            <w:gridSpan w:val="3"/>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842" w:type="dxa"/>
            <w:shd w:val="clear" w:color="auto" w:fill="D9D9D9"/>
          </w:tcPr>
          <w:p>
            <w:pPr>
              <w:widowControl w:val="0"/>
              <w:spacing w:before="15" w:after="15"/>
              <w:jc w:val="right"/>
              <w:rPr>
                <w:b/>
                <w:noProof/>
                <w:sz w:val="20"/>
                <w:szCs w:val="20"/>
              </w:rPr>
            </w:pPr>
            <w:r>
              <w:rPr>
                <w:b/>
                <w:noProof/>
                <w:sz w:val="20"/>
                <w:szCs w:val="20"/>
              </w:rPr>
              <w:t>0</w:t>
            </w:r>
          </w:p>
        </w:tc>
        <w:tc>
          <w:tcPr>
            <w:tcW w:w="2269" w:type="dxa"/>
            <w:gridSpan w:val="2"/>
            <w:shd w:val="clear" w:color="auto" w:fill="D9D9D9"/>
          </w:tcPr>
          <w:p>
            <w:pPr>
              <w:widowControl w:val="0"/>
              <w:spacing w:before="15" w:after="15"/>
              <w:jc w:val="right"/>
              <w:rPr>
                <w:b/>
                <w:noProof/>
                <w:sz w:val="20"/>
                <w:szCs w:val="20"/>
              </w:rPr>
            </w:pPr>
            <w:r>
              <w:rPr>
                <w:b/>
                <w:noProof/>
                <w:sz w:val="20"/>
                <w:szCs w:val="20"/>
              </w:rPr>
              <w:t>0</w:t>
            </w:r>
          </w:p>
        </w:tc>
      </w:tr>
    </w:tbl>
    <w:p>
      <w:pPr>
        <w:pStyle w:val="ManualHeading1"/>
        <w:spacing w:before="240"/>
        <w:rPr>
          <w:noProof/>
        </w:rPr>
      </w:pPr>
      <w:bookmarkStart w:id="14" w:name="_Toc22821759"/>
      <w:r>
        <w:rPr>
          <w:noProof/>
        </w:rPr>
        <w:t>5.</w:t>
      </w:r>
      <w:r>
        <w:rPr>
          <w:noProof/>
        </w:rPr>
        <w:tab/>
        <w:t>Ajustement et correction techniques</w:t>
      </w:r>
      <w:bookmarkEnd w:id="14"/>
    </w:p>
    <w:p>
      <w:pPr>
        <w:keepNext/>
        <w:tabs>
          <w:tab w:val="left" w:pos="850"/>
        </w:tabs>
        <w:spacing w:before="360" w:after="120"/>
        <w:ind w:left="357" w:hanging="357"/>
        <w:jc w:val="both"/>
        <w:outlineLvl w:val="1"/>
        <w:rPr>
          <w:rFonts w:eastAsia="Calibri"/>
          <w:b/>
          <w:noProof/>
        </w:rPr>
      </w:pPr>
      <w:bookmarkStart w:id="15" w:name="_Toc22821760"/>
      <w:r>
        <w:rPr>
          <w:b/>
          <w:noProof/>
        </w:rPr>
        <w:t xml:space="preserve">5.1 </w:t>
      </w:r>
      <w:r>
        <w:rPr>
          <w:b/>
          <w:noProof/>
        </w:rPr>
        <w:tab/>
        <w:t>Fonds pour l’innovation</w:t>
      </w:r>
      <w:bookmarkEnd w:id="15"/>
    </w:p>
    <w:p>
      <w:pPr>
        <w:spacing w:after="120"/>
        <w:jc w:val="both"/>
        <w:rPr>
          <w:noProof/>
        </w:rPr>
      </w:pPr>
      <w:r>
        <w:rPr>
          <w:noProof/>
        </w:rPr>
        <w:t>Le Fonds pour l’innovation a été créé par la directive (UE) 2018/410 du Parlement européen et du Conseil modifiant la directive 2003/87/CE établissant un système d’échange de quotas d’émission de gaz à effet de serre dans l’Union. Ce Fonds soutient l’innovation dans le domaine des technologies et des procédés à faibles émissions de carbone dans certains secteurs économiques. Conformément aux dispositions de l’article 10 </w:t>
      </w:r>
      <w:r>
        <w:rPr>
          <w:i/>
          <w:iCs/>
          <w:noProof/>
        </w:rPr>
        <w:t>bis</w:t>
      </w:r>
      <w:r>
        <w:rPr>
          <w:noProof/>
        </w:rPr>
        <w:t>, paragraphe 8, de la directive 2003/87/CE relative au système d’échange de quotas d’émission (SEQE), le Fonds pour l’innovation est entièrement financé par les recettes provenant de la mise aux enchères d’une certaine quantité de quotas autorisant à émettre une tonne d’équivalent-dioxyde de carbone (au cours d’une période spécifique) au titre du SEQE.</w:t>
      </w:r>
    </w:p>
    <w:p>
      <w:pPr>
        <w:spacing w:after="120"/>
        <w:jc w:val="both"/>
        <w:rPr>
          <w:noProof/>
        </w:rPr>
      </w:pPr>
      <w:r>
        <w:rPr>
          <w:noProof/>
        </w:rPr>
        <w:t>En vertu de l’article 16, paragraphe 1, du règlement délégué (UE) 2019/856 de la Commission du 26 février 2019 complétant la directive 2003/87/CE en ce qui concerne les modalités de fonctionnement du Fonds pour l’innovation, ce dernier est mis en œuvre dans le cadre d’une gestion directe ou indirecte par la Commission, conformément aux dispositions applicables du règlement financier. En vertu de l’article 19, paragraphe 3, du règlement (UE) 2019/856, pour toutes les tâches de mise en œuvre menées par la Commission, y compris par l’intermédiaire d’une agence exécutive de l’UE, les recettes du Fonds pour l’innovation constituent des recettes affectées externes pour le budget de l’Union au sens de l’article 21, paragraphes 1 et 5, du règlement financier. Les dépenses du Fonds pour l’innovation, y compris les coûts administratifs, seraient intégralement financées par les recettes affectées externes générées par la mise aux enchères des quotas d’émission et les montants non dépensés du précédent programme NER 300.</w:t>
      </w:r>
    </w:p>
    <w:p>
      <w:pPr>
        <w:spacing w:after="120"/>
        <w:jc w:val="both"/>
        <w:rPr>
          <w:noProof/>
        </w:rPr>
      </w:pPr>
      <w:r>
        <w:rPr>
          <w:noProof/>
        </w:rPr>
        <w:t>Pour permettre à la Commission de commencer à mettre en œuvre le Fonds, notamment dans la perspective du lancement, d’ici au milieu de l'année 2020, d’un premier appel à propositions de projets, il convient de mettre en place la structure budgétaire nécessaire dans le budget 2020. La Commission propose par conséquent de créer trois nouvelles lignes budgétaires: une dans l’état des recettes de la section «Commission», à savoir l’article 6 3 7, destiné à accueillir le montant des recettes affectées externes; deux dans l’état des dépenses de la section «Commission», à savoir l’article 34 03 01 et le poste 34 01 06 01, destinés à couvrir les dépenses opérationnelles et les dépenses de fonctionnement (entièrement financées par les recettes affectées externes) qui sont nécessaires à la mise en œuvre du Fonds pour l’innovation par la Commission conformément à l’article 4 du règlement délégué (UE) 2019/856 de la Commission.</w:t>
      </w:r>
    </w:p>
    <w:p>
      <w:pPr>
        <w:spacing w:before="120" w:after="120"/>
        <w:jc w:val="both"/>
        <w:rPr>
          <w:rFonts w:eastAsia="Calibri"/>
          <w:noProof/>
        </w:rPr>
      </w:pPr>
      <w:r>
        <w:rPr>
          <w:noProof/>
        </w:rPr>
        <w:t xml:space="preserve">En conformité avec l’article 22, paragraphe 1, du règlement financier, toutes les lignes budgétaires créées aux fins du Fonds pour l’innovation comportent une mention </w:t>
      </w:r>
      <w:r>
        <w:rPr>
          <w:i/>
          <w:noProof/>
        </w:rPr>
        <w:t>«pour mémoire»</w:t>
      </w:r>
      <w:r>
        <w:rPr>
          <w:noProof/>
        </w:rPr>
        <w:t xml:space="preserve"> (p.m.). Les commentaires budgétaires proposés pour ces nouvelles lignes figurent dans l’annexe budgétaire. La structure budgétaire proposée permettra de rendre compte de la mise en œuvre du Fonds pour l’innovation dans le cadre des comptes annuels.</w:t>
      </w:r>
    </w:p>
    <w:p>
      <w:pPr>
        <w:keepNext/>
        <w:tabs>
          <w:tab w:val="left" w:pos="850"/>
        </w:tabs>
        <w:spacing w:before="360" w:after="120"/>
        <w:ind w:left="720" w:hanging="720"/>
        <w:jc w:val="both"/>
        <w:outlineLvl w:val="1"/>
        <w:rPr>
          <w:rFonts w:eastAsia="Calibri"/>
          <w:b/>
          <w:noProof/>
        </w:rPr>
      </w:pPr>
      <w:bookmarkStart w:id="16" w:name="_Toc22821761"/>
      <w:r>
        <w:rPr>
          <w:b/>
          <w:noProof/>
        </w:rPr>
        <w:t xml:space="preserve">5.2 </w:t>
      </w:r>
      <w:r>
        <w:rPr>
          <w:b/>
          <w:noProof/>
        </w:rPr>
        <w:tab/>
        <w:t>Agence de l’Union européenne pour la gestion opérationnelle des systèmes d’information à grande échelle au sein de l’espace de liberté, de sécurité et de justice (eu-LISA)</w:t>
      </w:r>
      <w:bookmarkEnd w:id="16"/>
    </w:p>
    <w:p>
      <w:pPr>
        <w:jc w:val="both"/>
        <w:rPr>
          <w:noProof/>
        </w:rPr>
      </w:pPr>
      <w:r>
        <w:rPr>
          <w:noProof/>
        </w:rPr>
        <w:t xml:space="preserve">À la suite d’une erreur matérielle, les crédits de paiement publiés pour ce poste dans le PB 2020 n’étaient pas conformes aux besoins de l’agence tels qu’ils ont été présentés dans le document de travail III annexé à l’état prévisionnel pour 2020. Il est par conséquent proposé de réduire les crédits de paiement pour eu-LISA de 21,8 millions d’EUR, ce qui donne un total de 196 millions d’EUR, qui correspond aux besoins réels de l’agence pour 2020. </w:t>
      </w:r>
    </w:p>
    <w:tbl>
      <w:tblPr>
        <w:tblW w:w="10031" w:type="dxa"/>
        <w:jc w:val="center"/>
        <w:tblLayout w:type="fixed"/>
        <w:tblCellMar>
          <w:left w:w="40" w:type="dxa"/>
          <w:right w:w="40" w:type="dxa"/>
        </w:tblCellMar>
        <w:tblLook w:val="0000" w:firstRow="0" w:lastRow="0" w:firstColumn="0" w:lastColumn="0" w:noHBand="0" w:noVBand="0"/>
      </w:tblPr>
      <w:tblGrid>
        <w:gridCol w:w="68"/>
        <w:gridCol w:w="1350"/>
        <w:gridCol w:w="4502"/>
        <w:gridCol w:w="1842"/>
        <w:gridCol w:w="2125"/>
        <w:gridCol w:w="144"/>
      </w:tblGrid>
      <w:tr>
        <w:trPr>
          <w:gridBefore w:val="1"/>
          <w:gridAfter w:val="1"/>
          <w:wBefore w:w="68" w:type="dxa"/>
          <w:wAfter w:w="144" w:type="dxa"/>
          <w:trHeight w:val="164"/>
          <w:tblHeader/>
          <w:jc w:val="center"/>
        </w:trPr>
        <w:tc>
          <w:tcPr>
            <w:tcW w:w="9819" w:type="dxa"/>
            <w:gridSpan w:val="4"/>
            <w:tcBorders>
              <w:bottom w:val="single" w:sz="4" w:space="0" w:color="auto"/>
            </w:tcBorders>
            <w:shd w:val="clear" w:color="auto" w:fill="FFFFFF"/>
            <w:vAlign w:val="center"/>
          </w:tcPr>
          <w:p>
            <w:pPr>
              <w:jc w:val="right"/>
              <w:rPr>
                <w:i/>
                <w:iCs/>
                <w:noProof/>
                <w:sz w:val="16"/>
                <w:szCs w:val="16"/>
              </w:rPr>
            </w:pPr>
            <w:r>
              <w:rPr>
                <w:i/>
                <w:iCs/>
                <w:noProof/>
                <w:sz w:val="16"/>
                <w:szCs w:val="16"/>
              </w:rPr>
              <w:t>(en EUR)</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418" w:type="dxa"/>
            <w:gridSpan w:val="2"/>
            <w:shd w:val="clear" w:color="auto" w:fill="D9D9D9"/>
            <w:vAlign w:val="center"/>
          </w:tcPr>
          <w:p>
            <w:pPr>
              <w:widowControl w:val="0"/>
              <w:spacing w:before="15" w:after="15"/>
              <w:jc w:val="center"/>
              <w:rPr>
                <w:b/>
                <w:noProof/>
                <w:sz w:val="20"/>
                <w:szCs w:val="20"/>
              </w:rPr>
            </w:pPr>
            <w:r>
              <w:rPr>
                <w:b/>
                <w:noProof/>
                <w:sz w:val="20"/>
                <w:szCs w:val="20"/>
              </w:rPr>
              <w:t>Ligne budgétaire</w:t>
            </w:r>
          </w:p>
        </w:tc>
        <w:tc>
          <w:tcPr>
            <w:tcW w:w="4502" w:type="dxa"/>
            <w:shd w:val="clear" w:color="auto" w:fill="D9D9D9"/>
            <w:vAlign w:val="center"/>
          </w:tcPr>
          <w:p>
            <w:pPr>
              <w:widowControl w:val="0"/>
              <w:spacing w:before="15" w:after="15"/>
              <w:jc w:val="center"/>
              <w:rPr>
                <w:b/>
                <w:noProof/>
                <w:sz w:val="20"/>
                <w:szCs w:val="20"/>
              </w:rPr>
            </w:pPr>
            <w:r>
              <w:rPr>
                <w:b/>
                <w:noProof/>
                <w:sz w:val="20"/>
                <w:szCs w:val="20"/>
              </w:rPr>
              <w:t>Intitulé</w:t>
            </w:r>
          </w:p>
        </w:tc>
        <w:tc>
          <w:tcPr>
            <w:tcW w:w="1842" w:type="dxa"/>
            <w:shd w:val="clear" w:color="auto" w:fill="D9D9D9"/>
            <w:vAlign w:val="center"/>
          </w:tcPr>
          <w:p>
            <w:pPr>
              <w:widowControl w:val="0"/>
              <w:spacing w:before="15" w:after="15"/>
              <w:jc w:val="center"/>
              <w:rPr>
                <w:b/>
                <w:noProof/>
                <w:sz w:val="20"/>
                <w:szCs w:val="20"/>
              </w:rPr>
            </w:pPr>
            <w:r>
              <w:rPr>
                <w:b/>
                <w:noProof/>
                <w:sz w:val="20"/>
                <w:szCs w:val="20"/>
              </w:rPr>
              <w:t>Crédits d'engagement</w:t>
            </w:r>
          </w:p>
        </w:tc>
        <w:tc>
          <w:tcPr>
            <w:tcW w:w="2269" w:type="dxa"/>
            <w:gridSpan w:val="2"/>
            <w:shd w:val="clear" w:color="auto" w:fill="D9D9D9"/>
            <w:vAlign w:val="center"/>
          </w:tcPr>
          <w:p>
            <w:pPr>
              <w:widowControl w:val="0"/>
              <w:spacing w:before="15" w:after="15"/>
              <w:jc w:val="center"/>
              <w:rPr>
                <w:b/>
                <w:noProof/>
                <w:sz w:val="20"/>
                <w:szCs w:val="20"/>
              </w:rPr>
            </w:pPr>
            <w:r>
              <w:rPr>
                <w:b/>
                <w:noProof/>
                <w:sz w:val="20"/>
                <w:szCs w:val="20"/>
              </w:rPr>
              <w:t>Crédits de paiement</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418" w:type="dxa"/>
            <w:gridSpan w:val="2"/>
            <w:vAlign w:val="center"/>
          </w:tcPr>
          <w:p>
            <w:pPr>
              <w:jc w:val="center"/>
              <w:rPr>
                <w:noProof/>
                <w:sz w:val="20"/>
                <w:szCs w:val="20"/>
              </w:rPr>
            </w:pPr>
            <w:r>
              <w:rPr>
                <w:noProof/>
                <w:sz w:val="20"/>
                <w:szCs w:val="20"/>
              </w:rPr>
              <w:t>18 02 07</w:t>
            </w:r>
          </w:p>
        </w:tc>
        <w:tc>
          <w:tcPr>
            <w:tcW w:w="4502" w:type="dxa"/>
          </w:tcPr>
          <w:p>
            <w:pPr>
              <w:widowControl w:val="0"/>
              <w:tabs>
                <w:tab w:val="left" w:pos="1350"/>
              </w:tabs>
              <w:spacing w:before="15" w:after="15"/>
              <w:jc w:val="both"/>
              <w:rPr>
                <w:noProof/>
                <w:sz w:val="20"/>
                <w:szCs w:val="20"/>
              </w:rPr>
            </w:pPr>
            <w:r>
              <w:rPr>
                <w:noProof/>
                <w:sz w:val="20"/>
                <w:szCs w:val="20"/>
              </w:rPr>
              <w:t>Agence de l’Union européenne pour la gestion opérationnelle des systèmes d’information à grande échelle au sein de l’espace de liberté, de sécurité et de justice (eu-LISA)</w:t>
            </w:r>
          </w:p>
        </w:tc>
        <w:tc>
          <w:tcPr>
            <w:tcW w:w="1842" w:type="dxa"/>
            <w:vAlign w:val="center"/>
          </w:tcPr>
          <w:p>
            <w:pPr>
              <w:widowControl w:val="0"/>
              <w:spacing w:before="15" w:after="15"/>
              <w:jc w:val="right"/>
              <w:rPr>
                <w:noProof/>
                <w:sz w:val="20"/>
                <w:szCs w:val="20"/>
              </w:rPr>
            </w:pPr>
            <w:r>
              <w:rPr>
                <w:noProof/>
                <w:sz w:val="20"/>
                <w:szCs w:val="20"/>
              </w:rPr>
              <w:t>-</w:t>
            </w:r>
          </w:p>
        </w:tc>
        <w:tc>
          <w:tcPr>
            <w:tcW w:w="2269" w:type="dxa"/>
            <w:gridSpan w:val="2"/>
            <w:vAlign w:val="center"/>
          </w:tcPr>
          <w:p>
            <w:pPr>
              <w:widowControl w:val="0"/>
              <w:spacing w:before="15" w:after="15"/>
              <w:jc w:val="right"/>
              <w:rPr>
                <w:noProof/>
                <w:sz w:val="20"/>
                <w:szCs w:val="20"/>
              </w:rPr>
            </w:pPr>
            <w:r>
              <w:rPr>
                <w:noProof/>
                <w:sz w:val="20"/>
                <w:szCs w:val="20"/>
              </w:rPr>
              <w:t>-21 794 627</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0"/>
        </w:trPr>
        <w:tc>
          <w:tcPr>
            <w:tcW w:w="5920" w:type="dxa"/>
            <w:gridSpan w:val="3"/>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842" w:type="dxa"/>
            <w:shd w:val="clear" w:color="auto" w:fill="D9D9D9"/>
          </w:tcPr>
          <w:p>
            <w:pPr>
              <w:widowControl w:val="0"/>
              <w:spacing w:before="15" w:after="15"/>
              <w:jc w:val="right"/>
              <w:rPr>
                <w:b/>
                <w:noProof/>
                <w:sz w:val="20"/>
                <w:szCs w:val="20"/>
              </w:rPr>
            </w:pPr>
            <w:r>
              <w:rPr>
                <w:b/>
                <w:noProof/>
                <w:sz w:val="20"/>
                <w:szCs w:val="20"/>
              </w:rPr>
              <w:t>-</w:t>
            </w:r>
          </w:p>
        </w:tc>
        <w:tc>
          <w:tcPr>
            <w:tcW w:w="2269" w:type="dxa"/>
            <w:gridSpan w:val="2"/>
            <w:shd w:val="clear" w:color="auto" w:fill="D9D9D9"/>
          </w:tcPr>
          <w:p>
            <w:pPr>
              <w:widowControl w:val="0"/>
              <w:spacing w:before="15" w:after="15"/>
              <w:jc w:val="right"/>
              <w:rPr>
                <w:b/>
                <w:noProof/>
                <w:sz w:val="20"/>
                <w:szCs w:val="20"/>
              </w:rPr>
            </w:pPr>
            <w:r>
              <w:rPr>
                <w:b/>
                <w:noProof/>
                <w:sz w:val="20"/>
                <w:szCs w:val="20"/>
              </w:rPr>
              <w:t>-21 794 627</w:t>
            </w:r>
          </w:p>
        </w:tc>
      </w:tr>
    </w:tbl>
    <w:p>
      <w:pPr>
        <w:spacing w:after="200" w:line="276" w:lineRule="auto"/>
        <w:rPr>
          <w:rFonts w:eastAsia="Calibri"/>
          <w:b/>
          <w:noProof/>
        </w:rPr>
      </w:pPr>
      <w:r>
        <w:rPr>
          <w:noProof/>
        </w:rPr>
        <w:br w:type="page"/>
      </w:r>
    </w:p>
    <w:p>
      <w:pPr>
        <w:pStyle w:val="ManualHeading1"/>
        <w:spacing w:before="240"/>
        <w:rPr>
          <w:noProof/>
        </w:rPr>
      </w:pPr>
      <w:bookmarkStart w:id="17" w:name="_Toc22821762"/>
      <w:r>
        <w:rPr>
          <w:noProof/>
        </w:rPr>
        <w:t>6.</w:t>
      </w:r>
      <w:r>
        <w:rPr>
          <w:noProof/>
        </w:rPr>
        <w:tab/>
        <w:t>Tableau récapitulatif par rubrique du CFP</w:t>
      </w:r>
      <w:bookmarkEnd w:id="17"/>
    </w:p>
    <w:tbl>
      <w:tblPr>
        <w:tblW w:w="10900" w:type="dxa"/>
        <w:jc w:val="center"/>
        <w:tblLook w:val="04A0" w:firstRow="1" w:lastRow="0" w:firstColumn="1" w:lastColumn="0" w:noHBand="0" w:noVBand="1"/>
      </w:tblPr>
      <w:tblGrid>
        <w:gridCol w:w="357"/>
        <w:gridCol w:w="2776"/>
        <w:gridCol w:w="1347"/>
        <w:gridCol w:w="1347"/>
        <w:gridCol w:w="1190"/>
        <w:gridCol w:w="1189"/>
        <w:gridCol w:w="1347"/>
        <w:gridCol w:w="1347"/>
      </w:tblGrid>
      <w:tr>
        <w:trPr>
          <w:trHeight w:val="210"/>
          <w:jc w:val="center"/>
        </w:trPr>
        <w:tc>
          <w:tcPr>
            <w:tcW w:w="3060"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p>
            <w:pPr>
              <w:jc w:val="center"/>
              <w:rPr>
                <w:b/>
                <w:bCs/>
                <w:noProof/>
                <w:color w:val="000000"/>
                <w:sz w:val="14"/>
                <w:szCs w:val="14"/>
              </w:rPr>
            </w:pPr>
            <w:r>
              <w:rPr>
                <w:b/>
                <w:bCs/>
                <w:noProof/>
                <w:sz w:val="14"/>
                <w:szCs w:val="14"/>
              </w:rPr>
              <w:t>Rubrique</w:t>
            </w:r>
          </w:p>
        </w:tc>
        <w:tc>
          <w:tcPr>
            <w:tcW w:w="2720"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bCs/>
                <w:noProof/>
                <w:sz w:val="14"/>
                <w:szCs w:val="14"/>
              </w:rPr>
              <w:t>Projet de budget 2020</w:t>
            </w:r>
          </w:p>
        </w:tc>
        <w:tc>
          <w:tcPr>
            <w:tcW w:w="240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jc w:val="center"/>
              <w:rPr>
                <w:b/>
                <w:bCs/>
                <w:noProof/>
                <w:color w:val="000000"/>
                <w:sz w:val="14"/>
                <w:szCs w:val="14"/>
              </w:rPr>
            </w:pPr>
            <w:r>
              <w:rPr>
                <w:b/>
                <w:bCs/>
                <w:noProof/>
                <w:sz w:val="14"/>
                <w:szCs w:val="14"/>
              </w:rPr>
              <w:t>Lettre rectificative nº 1/2020</w:t>
            </w:r>
          </w:p>
        </w:tc>
        <w:tc>
          <w:tcPr>
            <w:tcW w:w="2720"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bCs/>
                <w:noProof/>
                <w:sz w:val="14"/>
                <w:szCs w:val="14"/>
              </w:rPr>
              <w:t>Projet de budget 2020</w:t>
            </w:r>
          </w:p>
        </w:tc>
      </w:tr>
      <w:tr>
        <w:trPr>
          <w:trHeight w:val="210"/>
          <w:jc w:val="center"/>
        </w:trPr>
        <w:tc>
          <w:tcPr>
            <w:tcW w:w="3060"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4"/>
                <w:szCs w:val="14"/>
              </w:rPr>
            </w:pPr>
          </w:p>
        </w:tc>
        <w:tc>
          <w:tcPr>
            <w:tcW w:w="2720"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bCs/>
                <w:noProof/>
                <w:sz w:val="14"/>
                <w:szCs w:val="14"/>
              </w:rPr>
              <w:t> </w:t>
            </w:r>
          </w:p>
        </w:tc>
        <w:tc>
          <w:tcPr>
            <w:tcW w:w="2400" w:type="dxa"/>
            <w:gridSpan w:val="2"/>
            <w:vMerge/>
            <w:tcBorders>
              <w:top w:val="single" w:sz="4" w:space="0" w:color="auto"/>
              <w:left w:val="single" w:sz="4" w:space="0" w:color="auto"/>
              <w:bottom w:val="single" w:sz="4" w:space="0" w:color="000000"/>
              <w:right w:val="single" w:sz="4" w:space="0" w:color="000000"/>
            </w:tcBorders>
            <w:vAlign w:val="center"/>
            <w:hideMark/>
          </w:tcPr>
          <w:p>
            <w:pPr>
              <w:rPr>
                <w:b/>
                <w:bCs/>
                <w:noProof/>
                <w:color w:val="000000"/>
                <w:sz w:val="14"/>
                <w:szCs w:val="14"/>
              </w:rPr>
            </w:pPr>
          </w:p>
        </w:tc>
        <w:tc>
          <w:tcPr>
            <w:tcW w:w="2720"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bCs/>
                <w:noProof/>
                <w:sz w:val="14"/>
                <w:szCs w:val="14"/>
              </w:rPr>
              <w:t>(y compris LR nº 1/2020)</w:t>
            </w:r>
          </w:p>
        </w:tc>
      </w:tr>
      <w:tr>
        <w:trPr>
          <w:trHeight w:val="210"/>
          <w:jc w:val="center"/>
        </w:trPr>
        <w:tc>
          <w:tcPr>
            <w:tcW w:w="3060"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4"/>
                <w:szCs w:val="14"/>
              </w:rPr>
            </w:pPr>
          </w:p>
        </w:tc>
        <w:tc>
          <w:tcPr>
            <w:tcW w:w="1360" w:type="dxa"/>
            <w:tcBorders>
              <w:top w:val="nil"/>
              <w:left w:val="nil"/>
              <w:bottom w:val="nil"/>
              <w:right w:val="single" w:sz="4" w:space="0" w:color="auto"/>
            </w:tcBorders>
            <w:shd w:val="clear" w:color="000000" w:fill="D9D9D9"/>
            <w:vAlign w:val="center"/>
            <w:hideMark/>
          </w:tcPr>
          <w:p>
            <w:pPr>
              <w:jc w:val="center"/>
              <w:rPr>
                <w:b/>
                <w:bCs/>
                <w:noProof/>
                <w:color w:val="000000"/>
                <w:sz w:val="14"/>
                <w:szCs w:val="14"/>
              </w:rPr>
            </w:pPr>
            <w:r>
              <w:rPr>
                <w:b/>
                <w:bCs/>
                <w:noProof/>
                <w:sz w:val="14"/>
                <w:szCs w:val="14"/>
              </w:rPr>
              <w:t>CE</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sz w:val="14"/>
                <w:szCs w:val="14"/>
              </w:rPr>
              <w:t>CP</w:t>
            </w:r>
          </w:p>
        </w:tc>
        <w:tc>
          <w:tcPr>
            <w:tcW w:w="120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sz w:val="14"/>
                <w:szCs w:val="14"/>
              </w:rPr>
              <w:t>CE</w:t>
            </w:r>
          </w:p>
        </w:tc>
        <w:tc>
          <w:tcPr>
            <w:tcW w:w="120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sz w:val="14"/>
                <w:szCs w:val="14"/>
              </w:rPr>
              <w:t>CP</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sz w:val="14"/>
                <w:szCs w:val="14"/>
              </w:rPr>
              <w:t>CE</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sz w:val="14"/>
                <w:szCs w:val="14"/>
              </w:rPr>
              <w:t>CP</w:t>
            </w:r>
          </w:p>
        </w:tc>
      </w:tr>
      <w:tr>
        <w:trPr>
          <w:trHeight w:val="225"/>
          <w:jc w:val="center"/>
        </w:trPr>
        <w:tc>
          <w:tcPr>
            <w:tcW w:w="260" w:type="dxa"/>
            <w:tcBorders>
              <w:top w:val="single" w:sz="4" w:space="0" w:color="auto"/>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sz w:val="14"/>
                <w:szCs w:val="14"/>
              </w:rPr>
              <w:t>1.</w:t>
            </w:r>
          </w:p>
        </w:tc>
        <w:tc>
          <w:tcPr>
            <w:tcW w:w="2800" w:type="dxa"/>
            <w:tcBorders>
              <w:top w:val="single" w:sz="4" w:space="0" w:color="auto"/>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sz w:val="14"/>
                <w:szCs w:val="14"/>
              </w:rPr>
              <w:t>Croissance intelligente et inclusive</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83 328 329 504</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72 150 922 336</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 xml:space="preserve">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 xml:space="preserve">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83 328 329 504</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72 150 922 336</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sz w:val="14"/>
                <w:szCs w:val="14"/>
              </w:rPr>
              <w:t>dont part relevant de la marge globale pour les engagements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xml:space="preserve"> 141 890 522</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xml:space="preserve">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xml:space="preserve"> 141 890 522</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sz w:val="14"/>
                <w:szCs w:val="14"/>
              </w:rPr>
              <w:t xml:space="preserve">Plafond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83 661 000 000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xml:space="preserve">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83 661 000 000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sz w:val="14"/>
                <w:szCs w:val="14"/>
              </w:rPr>
              <w:t>Marge</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xml:space="preserve"> 474 561 018</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xml:space="preserve"> 474 561 018</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sz w:val="14"/>
                <w:szCs w:val="14"/>
              </w:rPr>
              <w:t>1a</w:t>
            </w:r>
          </w:p>
        </w:tc>
        <w:tc>
          <w:tcPr>
            <w:tcW w:w="2800"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sz w:val="14"/>
                <w:szCs w:val="14"/>
              </w:rPr>
              <w:t>Compétitivité pour la croissance et l'emploi</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sz w:val="14"/>
                <w:szCs w:val="14"/>
              </w:rPr>
              <w:t>24 716 438 982</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sz w:val="14"/>
                <w:szCs w:val="14"/>
              </w:rPr>
              <w:t>22 108 515 486</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sz w:val="14"/>
                <w:szCs w:val="14"/>
              </w:rPr>
              <w:t>24 716 438 982</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sz w:val="14"/>
                <w:szCs w:val="14"/>
              </w:rPr>
              <w:t>22 108 515 486</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sz w:val="14"/>
                <w:szCs w:val="14"/>
              </w:rPr>
              <w:t>Plafond</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25 191 000 000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25 191 000 000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sz w:val="14"/>
                <w:szCs w:val="14"/>
              </w:rPr>
              <w:t>Marge</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xml:space="preserve"> 474 561 018</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xml:space="preserve"> 474 561 018</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sz w:val="14"/>
                <w:szCs w:val="14"/>
              </w:rPr>
              <w:t xml:space="preserve">1b </w:t>
            </w:r>
          </w:p>
        </w:tc>
        <w:tc>
          <w:tcPr>
            <w:tcW w:w="2800"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sz w:val="14"/>
                <w:szCs w:val="14"/>
              </w:rPr>
              <w:t>Cohésion économique, sociale et territoriale</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sz w:val="14"/>
                <w:szCs w:val="14"/>
              </w:rPr>
              <w:t>58 611 890 522</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sz w:val="14"/>
                <w:szCs w:val="14"/>
              </w:rPr>
              <w:t>50 042 406 850</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sz w:val="14"/>
                <w:szCs w:val="14"/>
              </w:rPr>
              <w:t>58 611 890 522</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sz w:val="14"/>
                <w:szCs w:val="14"/>
              </w:rPr>
              <w:t>50 042 406 850</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sz w:val="14"/>
                <w:szCs w:val="14"/>
              </w:rPr>
              <w:t>dont part relevant de la marge globale pour les engagements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xml:space="preserve"> 141 890 522</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xml:space="preserve"> 141 890 522</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sz w:val="14"/>
                <w:szCs w:val="14"/>
              </w:rPr>
              <w:t>Plafond</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58 470 000 000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58 470 000 000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sz w:val="14"/>
                <w:szCs w:val="14"/>
              </w:rPr>
              <w:t>Marge</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sz w:val="14"/>
                <w:szCs w:val="14"/>
              </w:rPr>
              <w:t>2.</w:t>
            </w:r>
          </w:p>
        </w:tc>
        <w:tc>
          <w:tcPr>
            <w:tcW w:w="280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sz w:val="14"/>
                <w:szCs w:val="14"/>
              </w:rPr>
              <w:t>Croissance durable: ressources naturelles</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59 994 906 170</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58 014 263 718</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- 49 700 000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- 49 700 000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59 945 206 170</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57 964 563 718</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sz w:val="14"/>
                <w:szCs w:val="14"/>
              </w:rPr>
              <w:t>Plafond</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60 421 000 000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60 421 000 000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sz w:val="14"/>
                <w:szCs w:val="14"/>
              </w:rPr>
              <w:t>Marge</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xml:space="preserve"> 426 093 830</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xml:space="preserve"> 475 793 830</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r>
      <w:tr>
        <w:trPr>
          <w:trHeight w:val="34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sz w:val="14"/>
                <w:szCs w:val="14"/>
              </w:rPr>
              <w:t>dont: Fonds européen agricole de garantie (FEAGA) — Dépenses relatives au marché et paiements directs</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sz w:val="14"/>
                <w:szCs w:val="14"/>
              </w:rPr>
              <w:t>43 531 805 687</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sz w:val="14"/>
                <w:szCs w:val="14"/>
              </w:rPr>
              <w:t>43 501 731 798</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sz w:val="14"/>
                <w:szCs w:val="14"/>
              </w:rPr>
              <w:t>- 49 700 000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sz w:val="14"/>
                <w:szCs w:val="14"/>
              </w:rPr>
              <w:t>- 49 700 000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sz w:val="14"/>
                <w:szCs w:val="14"/>
              </w:rPr>
              <w:t>43 482 105 687</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sz w:val="14"/>
                <w:szCs w:val="14"/>
              </w:rPr>
              <w:t>43 452 031 798</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sz w:val="14"/>
                <w:szCs w:val="14"/>
              </w:rPr>
              <w:t>Sous-plafond</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43 888 000 000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43 888 000 000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sz w:val="14"/>
                <w:szCs w:val="14"/>
              </w:rPr>
              <w:t>Écart d’arrondis exclu du calcul de la marge</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xml:space="preserve">  888 000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xml:space="preserve">  888 000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sz w:val="14"/>
                <w:szCs w:val="14"/>
              </w:rPr>
              <w:t>3.</w:t>
            </w:r>
          </w:p>
        </w:tc>
        <w:tc>
          <w:tcPr>
            <w:tcW w:w="280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sz w:val="14"/>
                <w:szCs w:val="14"/>
              </w:rPr>
              <w:t>Sécurité et citoyenneté</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3 729 074 489</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3 723 911 857</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- 21 794 627</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3 729 074 489</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3 702 117 230</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sz w:val="14"/>
                <w:szCs w:val="14"/>
              </w:rPr>
              <w:t>dont part relevant de l’instrument de flexibilité</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xml:space="preserve"> 778 074 489</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xml:space="preserve"> 778 074 489</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sz w:val="14"/>
                <w:szCs w:val="14"/>
              </w:rPr>
              <w:t>Plafond</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2 951 000 000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2 951 000 000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sz w:val="14"/>
                <w:szCs w:val="14"/>
              </w:rPr>
              <w:t>Marge</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sz w:val="14"/>
                <w:szCs w:val="14"/>
              </w:rPr>
              <w:t>4.</w:t>
            </w:r>
          </w:p>
        </w:tc>
        <w:tc>
          <w:tcPr>
            <w:tcW w:w="280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sz w:val="14"/>
                <w:szCs w:val="14"/>
              </w:rPr>
              <w:t>L’Europe dans le monde</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10 307 572 239</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8 986 061 191</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10 307 572 239</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8 986 061 191</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sz w:val="14"/>
                <w:szCs w:val="14"/>
              </w:rPr>
              <w:t>Plafond</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10 510 000 000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10 510 000 000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sz w:val="14"/>
                <w:szCs w:val="14"/>
              </w:rPr>
              <w:t>Marge</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xml:space="preserve"> 202 427 761</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xml:space="preserve"> 202 427 761</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sz w:val="14"/>
                <w:szCs w:val="14"/>
              </w:rPr>
              <w:t>5.</w:t>
            </w:r>
          </w:p>
        </w:tc>
        <w:tc>
          <w:tcPr>
            <w:tcW w:w="280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sz w:val="14"/>
                <w:szCs w:val="14"/>
              </w:rPr>
              <w:t>Administration</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10 324 060 577</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10 327 063 787</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 xml:space="preserve"> 16 118 589</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 xml:space="preserve"> 16 118 589</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10 340 179 166</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10 343 182 376</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sz w:val="14"/>
                <w:szCs w:val="14"/>
              </w:rPr>
              <w:t>Plafond</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11 254 000 000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11 254 000 000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sz w:val="14"/>
                <w:szCs w:val="14"/>
              </w:rPr>
              <w:t>dont part compensée sur la marge pour imprévus</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- 252 000 000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- 252 000 000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sz w:val="14"/>
                <w:szCs w:val="14"/>
              </w:rPr>
              <w:t>Marge</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xml:space="preserve"> 677 939 423</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xml:space="preserve"> 661 820 834</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r>
      <w:tr>
        <w:trPr>
          <w:trHeight w:val="360"/>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sz w:val="14"/>
                <w:szCs w:val="14"/>
              </w:rPr>
              <w:t>dont: dépenses administratives des institutions</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sz w:val="14"/>
                <w:szCs w:val="14"/>
              </w:rPr>
              <w:t>7 985 277 215</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sz w:val="14"/>
                <w:szCs w:val="14"/>
              </w:rPr>
              <w:t>7 988 280 425</w:t>
            </w:r>
          </w:p>
        </w:tc>
        <w:tc>
          <w:tcPr>
            <w:tcW w:w="120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sz w:val="14"/>
                <w:szCs w:val="14"/>
              </w:rPr>
              <w:t xml:space="preserve"> 16 118 589</w:t>
            </w:r>
          </w:p>
        </w:tc>
        <w:tc>
          <w:tcPr>
            <w:tcW w:w="120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sz w:val="14"/>
                <w:szCs w:val="14"/>
              </w:rPr>
              <w:t xml:space="preserve"> 16 118 589</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sz w:val="14"/>
                <w:szCs w:val="14"/>
              </w:rPr>
              <w:t>8 001 395 804</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sz w:val="14"/>
                <w:szCs w:val="14"/>
              </w:rPr>
              <w:t>8 004 399 014</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sz w:val="14"/>
                <w:szCs w:val="14"/>
              </w:rPr>
              <w:t>Sous-plafond</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9 071 000 000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9 071 000 000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sz w:val="14"/>
                <w:szCs w:val="14"/>
              </w:rPr>
              <w:t>dont part compensée sur la marge pour imprévus</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- 252 000 000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- 252 000 000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sz w:val="14"/>
                <w:szCs w:val="14"/>
              </w:rPr>
              <w:t>Marge</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xml:space="preserve"> 833 722 785</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xml:space="preserve"> 817 604 196</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r>
      <w:tr>
        <w:trPr>
          <w:trHeight w:val="225"/>
          <w:jc w:val="center"/>
        </w:trPr>
        <w:tc>
          <w:tcPr>
            <w:tcW w:w="3060"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pPr>
              <w:jc w:val="right"/>
              <w:rPr>
                <w:b/>
                <w:bCs/>
                <w:noProof/>
                <w:color w:val="000000"/>
                <w:sz w:val="14"/>
                <w:szCs w:val="14"/>
              </w:rPr>
            </w:pPr>
            <w:r>
              <w:rPr>
                <w:b/>
                <w:bCs/>
                <w:noProof/>
                <w:sz w:val="14"/>
                <w:szCs w:val="14"/>
              </w:rPr>
              <w:t>Total</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sz w:val="14"/>
                <w:szCs w:val="14"/>
              </w:rPr>
              <w:t>167 683 942 979</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sz w:val="14"/>
                <w:szCs w:val="14"/>
              </w:rPr>
              <w:t>153 202 222 889</w:t>
            </w:r>
          </w:p>
        </w:tc>
        <w:tc>
          <w:tcPr>
            <w:tcW w:w="120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sz w:val="14"/>
                <w:szCs w:val="14"/>
              </w:rPr>
              <w:t>- 33 581 411</w:t>
            </w:r>
          </w:p>
        </w:tc>
        <w:tc>
          <w:tcPr>
            <w:tcW w:w="120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sz w:val="14"/>
                <w:szCs w:val="14"/>
              </w:rPr>
              <w:t>- 55 376 038</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sz w:val="14"/>
                <w:szCs w:val="14"/>
              </w:rPr>
              <w:t>167 650 361 568</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sz w:val="14"/>
                <w:szCs w:val="14"/>
              </w:rPr>
              <w:t>153 146 846 851</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sz w:val="14"/>
                <w:szCs w:val="14"/>
              </w:rPr>
              <w:t>dont part relevant de l’instrument de flexibilité</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 xml:space="preserve"> 778 074 489</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 xml:space="preserve"> 849 779 197</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- 14 914 951</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 xml:space="preserve"> 778 074 489</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 xml:space="preserve"> 834 864 246</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sz w:val="14"/>
                <w:szCs w:val="14"/>
              </w:rPr>
              <w:t>dont part relevant de la marge globale pour les engagements</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 xml:space="preserve"> 141 890 522</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 xml:space="preserve"> 141 890 522</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sz w:val="14"/>
                <w:szCs w:val="14"/>
              </w:rPr>
              <w:t>Plafond</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168 797 000 000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172 420 000 000</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168 797 000 000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172 420 000 000</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sz w:val="14"/>
                <w:szCs w:val="14"/>
              </w:rPr>
              <w:t>dont part compensée sur la marge pour imprévus</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- 252 000 000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- 252 000 000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 </w:t>
            </w:r>
          </w:p>
        </w:tc>
      </w:tr>
      <w:tr>
        <w:trPr>
          <w:trHeight w:val="225"/>
          <w:jc w:val="center"/>
        </w:trPr>
        <w:tc>
          <w:tcPr>
            <w:tcW w:w="3060" w:type="dxa"/>
            <w:gridSpan w:val="2"/>
            <w:tcBorders>
              <w:top w:val="dotted" w:sz="4" w:space="0" w:color="auto"/>
              <w:left w:val="single" w:sz="4" w:space="0" w:color="auto"/>
              <w:bottom w:val="nil"/>
              <w:right w:val="single" w:sz="4" w:space="0" w:color="000000"/>
            </w:tcBorders>
            <w:shd w:val="clear" w:color="000000" w:fill="D9D9D9"/>
            <w:vAlign w:val="center"/>
            <w:hideMark/>
          </w:tcPr>
          <w:p>
            <w:pPr>
              <w:jc w:val="right"/>
              <w:rPr>
                <w:b/>
                <w:bCs/>
                <w:i/>
                <w:iCs/>
                <w:noProof/>
                <w:color w:val="000000"/>
                <w:sz w:val="14"/>
                <w:szCs w:val="14"/>
              </w:rPr>
            </w:pPr>
            <w:r>
              <w:rPr>
                <w:b/>
                <w:bCs/>
                <w:i/>
                <w:iCs/>
                <w:noProof/>
                <w:sz w:val="14"/>
                <w:szCs w:val="14"/>
              </w:rPr>
              <w:t>Marge</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1 781 022 032</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20 067 556 308</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 </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 </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1 814 603 443</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20 108 017 395</w:t>
            </w:r>
          </w:p>
        </w:tc>
      </w:tr>
      <w:tr>
        <w:trPr>
          <w:trHeight w:val="225"/>
          <w:jc w:val="center"/>
        </w:trPr>
        <w:tc>
          <w:tcPr>
            <w:tcW w:w="260" w:type="dxa"/>
            <w:tcBorders>
              <w:top w:val="single" w:sz="4" w:space="0" w:color="auto"/>
              <w:left w:val="single" w:sz="4" w:space="0" w:color="auto"/>
              <w:bottom w:val="single" w:sz="4" w:space="0" w:color="auto"/>
              <w:right w:val="nil"/>
            </w:tcBorders>
            <w:shd w:val="clear" w:color="auto" w:fill="auto"/>
            <w:vAlign w:val="center"/>
            <w:hideMark/>
          </w:tcPr>
          <w:p>
            <w:pPr>
              <w:rPr>
                <w:b/>
                <w:bCs/>
                <w:noProof/>
                <w:color w:val="000000"/>
                <w:sz w:val="14"/>
                <w:szCs w:val="14"/>
              </w:rPr>
            </w:pPr>
            <w:r>
              <w:rPr>
                <w:b/>
                <w:bCs/>
                <w:noProof/>
                <w:sz w:val="14"/>
                <w:szCs w:val="14"/>
              </w:rPr>
              <w:t> </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pPr>
              <w:rPr>
                <w:b/>
                <w:bCs/>
                <w:noProof/>
                <w:color w:val="000000"/>
                <w:sz w:val="14"/>
                <w:szCs w:val="14"/>
              </w:rPr>
            </w:pPr>
            <w:r>
              <w:rPr>
                <w:b/>
                <w:bCs/>
                <w:noProof/>
                <w:sz w:val="14"/>
                <w:szCs w:val="14"/>
              </w:rPr>
              <w:t>Autres instruments spéciaux</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 xml:space="preserve"> 587 763 000</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 xml:space="preserve"> 418 500 000</w:t>
            </w:r>
          </w:p>
        </w:tc>
        <w:tc>
          <w:tcPr>
            <w:tcW w:w="120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 xml:space="preserve"> 50 000 000</w:t>
            </w:r>
          </w:p>
        </w:tc>
        <w:tc>
          <w:tcPr>
            <w:tcW w:w="120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 xml:space="preserve"> 50 000 000</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 xml:space="preserve"> 637 763 000</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 xml:space="preserve"> 468 500 000</w:t>
            </w:r>
          </w:p>
        </w:tc>
      </w:tr>
      <w:tr>
        <w:trPr>
          <w:trHeight w:val="225"/>
          <w:jc w:val="center"/>
        </w:trPr>
        <w:tc>
          <w:tcPr>
            <w:tcW w:w="3060" w:type="dxa"/>
            <w:gridSpan w:val="2"/>
            <w:tcBorders>
              <w:top w:val="nil"/>
              <w:left w:val="single" w:sz="4" w:space="0" w:color="auto"/>
              <w:bottom w:val="single" w:sz="4" w:space="0" w:color="auto"/>
              <w:right w:val="single" w:sz="4" w:space="0" w:color="000000"/>
            </w:tcBorders>
            <w:shd w:val="clear" w:color="000000" w:fill="D9D9D9"/>
            <w:vAlign w:val="center"/>
            <w:hideMark/>
          </w:tcPr>
          <w:p>
            <w:pPr>
              <w:jc w:val="right"/>
              <w:rPr>
                <w:b/>
                <w:bCs/>
                <w:noProof/>
                <w:color w:val="000000"/>
                <w:sz w:val="14"/>
                <w:szCs w:val="14"/>
              </w:rPr>
            </w:pPr>
            <w:r>
              <w:rPr>
                <w:b/>
                <w:bCs/>
                <w:noProof/>
                <w:sz w:val="14"/>
                <w:szCs w:val="14"/>
              </w:rPr>
              <w:t>Total général</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sz w:val="14"/>
                <w:szCs w:val="14"/>
              </w:rPr>
              <w:t>168 271 705 979</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sz w:val="14"/>
                <w:szCs w:val="14"/>
              </w:rPr>
              <w:t>153 620 722 889</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sz w:val="14"/>
                <w:szCs w:val="14"/>
              </w:rPr>
              <w:t xml:space="preserve"> 16 418 589</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sz w:val="14"/>
                <w:szCs w:val="14"/>
              </w:rPr>
              <w:t>- 5 376 038</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sz w:val="14"/>
                <w:szCs w:val="14"/>
              </w:rPr>
              <w:t>168 288 124 568</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sz w:val="14"/>
                <w:szCs w:val="14"/>
              </w:rPr>
              <w:t>153 615 346 851</w:t>
            </w:r>
          </w:p>
        </w:tc>
      </w:tr>
    </w:tbl>
    <w:p>
      <w:pPr>
        <w:rPr>
          <w:noProof/>
        </w:rPr>
      </w:pPr>
    </w:p>
    <w:sectPr>
      <w:headerReference w:type="even" r:id="rId29"/>
      <w:headerReference w:type="default" r:id="rId30"/>
      <w:footerReference w:type="even" r:id="rId31"/>
      <w:footerReference w:type="default" r:id="rId32"/>
      <w:headerReference w:type="first" r:id="rId33"/>
      <w:footerReference w:type="first" r:id="rId34"/>
      <w:pgSz w:w="11907" w:h="16839"/>
      <w:pgMar w:top="851" w:right="1021" w:bottom="851" w:left="1021" w:header="280" w:footer="8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KOJOD P+ Adv T T 5843c 571">
    <w:altName w:val="Adv TT 584 3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rPr>
    </w:pPr>
  </w:p>
  <w:p>
    <w:pPr>
      <w:pStyle w:val="Footer"/>
      <w:spacing w:before="0"/>
      <w:ind w:left="-851" w:right="-851"/>
      <w:rPr>
        <w:rFonts w:ascii="Arial" w:hAnsi="Arial" w:cs="Arial"/>
        <w:b/>
        <w:sz w:val="48"/>
      </w:rPr>
    </w:pPr>
    <w:r>
      <w:rPr>
        <w:rFonts w:ascii="Arial" w:hAnsi="Arial"/>
        <w:b/>
        <w:sz w:val="48"/>
      </w:rPr>
      <w:tab/>
    </w:r>
    <w:r>
      <w:fldChar w:fldCharType="begin"/>
    </w:r>
    <w:r>
      <w:instrText xml:space="preserve"> PAGE  \* MERGEFORMAT </w:instrText>
    </w:r>
    <w:r>
      <w:fldChar w:fldCharType="separate"/>
    </w:r>
    <w:r>
      <w:rPr>
        <w:noProof/>
      </w:rPr>
      <w:t>11</w:t>
    </w:r>
    <w:r>
      <w:fldChar w:fldCharType="end"/>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rPr>
        <w:rFonts w:ascii="Arial" w:hAnsi="Arial"/>
        <w:b/>
        <w:sz w:val="48"/>
      </w:rPr>
      <w:tab/>
    </w:r>
    <w:r>
      <w:fldChar w:fldCharType="begin"/>
    </w:r>
    <w:r>
      <w:instrText xml:space="preserve"> PAGE  \* MERGEFORMAT </w:instrText>
    </w:r>
    <w:r>
      <w:fldChar w:fldCharType="separate"/>
    </w:r>
    <w:r>
      <w:rPr>
        <w:noProof/>
      </w:rPr>
      <w:t>1</w:t>
    </w:r>
    <w:r>
      <w:fldChar w:fldCharType="end"/>
    </w:r>
    <w:r>
      <w:tab/>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rPr>
        <w:rFonts w:ascii="Arial" w:hAnsi="Arial"/>
        <w:b/>
        <w:sz w:val="48"/>
      </w:rPr>
      <w:tab/>
    </w:r>
    <w:r>
      <w:fldChar w:fldCharType="begin"/>
    </w:r>
    <w:r>
      <w:instrText xml:space="preserve"> PAGE  \* MERGEFORMAT </w:instrText>
    </w:r>
    <w:r>
      <w:fldChar w:fldCharType="separate"/>
    </w:r>
    <w:r>
      <w:rPr>
        <w:noProof/>
      </w:rPr>
      <w:t>2</w:t>
    </w:r>
    <w: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pPr>
      <w:r>
        <w:rPr>
          <w:rStyle w:val="FootnoteReference"/>
        </w:rPr>
        <w:footnoteRef/>
      </w:r>
      <w:r>
        <w:t xml:space="preserve"> </w:t>
      </w:r>
      <w:r>
        <w:tab/>
      </w:r>
      <w:r>
        <w:rPr>
          <w:sz w:val="18"/>
          <w:szCs w:val="18"/>
        </w:rPr>
        <w:t>JO L 193 du 30.7.2018, p. 1.</w:t>
      </w:r>
    </w:p>
  </w:footnote>
  <w:footnote w:id="3">
    <w:p>
      <w:pPr>
        <w:pStyle w:val="FootnoteText"/>
      </w:pPr>
      <w:r>
        <w:rPr>
          <w:rStyle w:val="FootnoteReference"/>
        </w:rPr>
        <w:footnoteRef/>
      </w:r>
      <w:r>
        <w:tab/>
      </w:r>
      <w:r>
        <w:rPr>
          <w:sz w:val="18"/>
          <w:szCs w:val="18"/>
        </w:rPr>
        <w:t>COM(2019) 400 du 5.7.2019.</w:t>
      </w:r>
    </w:p>
  </w:footnote>
  <w:footnote w:id="4">
    <w:p>
      <w:pPr>
        <w:pStyle w:val="FootnoteText"/>
      </w:pPr>
      <w:r>
        <w:rPr>
          <w:rStyle w:val="FootnoteReference"/>
        </w:rPr>
        <w:footnoteRef/>
      </w:r>
      <w:r>
        <w:tab/>
        <w:t>Ces besoins s’élèvent à 43 482,1 millions d’EUR de crédits nouveaux, auxquels s’ajoutent 999,0 millions d’EUR de recettes affectées.</w:t>
      </w:r>
    </w:p>
  </w:footnote>
  <w:footnote w:id="5">
    <w:p>
      <w:pPr>
        <w:pStyle w:val="FootnoteText"/>
      </w:pPr>
      <w:r>
        <w:rPr>
          <w:rStyle w:val="FootnoteReference"/>
        </w:rPr>
        <w:footnoteRef/>
      </w:r>
      <w:r>
        <w:tab/>
        <w:t>Cette estimation repose sur les déclarations des dépenses réelles reçues des États membres jusqu’au mois d’août 2019, complétées par des prévisions pour la période comprise entre le 1</w:t>
      </w:r>
      <w:r>
        <w:rPr>
          <w:vertAlign w:val="superscript"/>
        </w:rPr>
        <w:t>er</w:t>
      </w:r>
      <w:r>
        <w:t xml:space="preserve"> septembre et le 15 octobre 2019. Des informations complètes sur les dépenses réelles pour cette période résiduelle seront disponibles fin octobre ou début novembre 2019. </w:t>
      </w:r>
    </w:p>
  </w:footnote>
  <w:footnote w:id="6">
    <w:p>
      <w:pPr>
        <w:pStyle w:val="FootnoteText"/>
      </w:pPr>
      <w:r>
        <w:rPr>
          <w:rStyle w:val="FootnoteReference"/>
        </w:rPr>
        <w:footnoteRef/>
      </w:r>
      <w:r>
        <w:tab/>
        <w:t>Le taux d’ajustement pour les paiements directs relatifs au mécanisme de discipline financière pour l’année civile 2019 est fixé dans le règlement d’exécution (UE) 2019/916 de la Commission. Cette dernière actualisera ce taux en conséquence en tenant compte des modifications proposées dans la présente LR.</w:t>
      </w:r>
    </w:p>
  </w:footnote>
  <w:footnote w:id="7">
    <w:p>
      <w:pPr>
        <w:pStyle w:val="FootnoteText"/>
      </w:pPr>
      <w:r>
        <w:rPr>
          <w:rStyle w:val="FootnoteReference"/>
        </w:rPr>
        <w:footnoteRef/>
      </w:r>
      <w:r>
        <w:t xml:space="preserve"> </w:t>
      </w:r>
      <w:r>
        <w:tab/>
        <w:t>COM(2019) 399 final du 4.9.2019.</w:t>
      </w:r>
    </w:p>
  </w:footnote>
  <w:footnote w:id="8">
    <w:p>
      <w:pPr>
        <w:pStyle w:val="FootnoteText"/>
      </w:pPr>
      <w:r>
        <w:rPr>
          <w:rStyle w:val="FootnoteReference"/>
        </w:rPr>
        <w:footnoteRef/>
      </w:r>
      <w:r>
        <w:t xml:space="preserve"> </w:t>
      </w:r>
      <w:r>
        <w:tab/>
        <w:t>COM(2019) 461 final du 4.9.2019.</w:t>
      </w:r>
    </w:p>
  </w:footnote>
  <w:footnote w:id="9">
    <w:p>
      <w:pPr>
        <w:pStyle w:val="FootnoteText"/>
        <w:rPr>
          <w:lang w:val="fr-BE"/>
        </w:rPr>
      </w:pPr>
      <w:r>
        <w:rPr>
          <w:rStyle w:val="FootnoteReference"/>
        </w:rPr>
        <w:footnoteRef/>
      </w:r>
      <w:r>
        <w:rPr>
          <w:lang w:val="fr-BE"/>
        </w:rPr>
        <w:t xml:space="preserve"> </w:t>
      </w:r>
      <w:r>
        <w:rPr>
          <w:lang w:val="fr-BE"/>
        </w:rPr>
        <w:tab/>
        <w:t>JO C 373 du 20.12.2013,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0F2A9A2"/>
    <w:lvl w:ilvl="0">
      <w:start w:val="1"/>
      <w:numFmt w:val="bullet"/>
      <w:pStyle w:val="ListBullet3"/>
      <w:lvlText w:val=""/>
      <w:lvlJc w:val="left"/>
      <w:pPr>
        <w:tabs>
          <w:tab w:val="num" w:pos="643"/>
        </w:tabs>
        <w:ind w:left="643" w:hanging="360"/>
      </w:pPr>
      <w:rPr>
        <w:rFonts w:ascii="Symbol" w:hAnsi="Symbol" w:hint="default"/>
      </w:rPr>
    </w:lvl>
  </w:abstractNum>
  <w:abstractNum w:abstractNumId="1">
    <w:nsid w:val="FFFFFF89"/>
    <w:multiLevelType w:val="singleLevel"/>
    <w:tmpl w:val="1D769E46"/>
    <w:lvl w:ilvl="0">
      <w:start w:val="1"/>
      <w:numFmt w:val="bullet"/>
      <w:pStyle w:val="ListNumber5"/>
      <w:lvlText w:val=""/>
      <w:lvlJc w:val="left"/>
      <w:pPr>
        <w:tabs>
          <w:tab w:val="num" w:pos="360"/>
        </w:tabs>
        <w:ind w:left="360" w:hanging="360"/>
      </w:pPr>
      <w:rPr>
        <w:rFonts w:ascii="Symbol" w:hAnsi="Symbol" w:hint="default"/>
      </w:rPr>
    </w:lvl>
  </w:abstractNum>
  <w:abstractNum w:abstractNumId="2">
    <w:nsid w:val="01CA57DC"/>
    <w:multiLevelType w:val="hybridMultilevel"/>
    <w:tmpl w:val="B042469C"/>
    <w:lvl w:ilvl="0" w:tplc="4872AB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FA63AA"/>
    <w:multiLevelType w:val="multilevel"/>
    <w:tmpl w:val="D1402846"/>
    <w:lvl w:ilvl="0">
      <w:start w:val="2"/>
      <w:numFmt w:val="decimal"/>
      <w:lvlText w:val="%1"/>
      <w:lvlJc w:val="left"/>
      <w:pPr>
        <w:ind w:left="432" w:hanging="432"/>
      </w:pPr>
      <w:rPr>
        <w:rFonts w:cs="Times New Roman" w:hint="default"/>
      </w:rPr>
    </w:lvl>
    <w:lvl w:ilvl="1">
      <w:start w:val="3"/>
      <w:numFmt w:val="decimal"/>
      <w:pStyle w:val="Style2"/>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
    <w:nsid w:val="1B3C78B8"/>
    <w:multiLevelType w:val="multilevel"/>
    <w:tmpl w:val="2ED4F4D0"/>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5">
    <w:nsid w:val="1BC50770"/>
    <w:multiLevelType w:val="hybridMultilevel"/>
    <w:tmpl w:val="1A92C2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4965A5"/>
    <w:multiLevelType w:val="hybridMultilevel"/>
    <w:tmpl w:val="2B909A32"/>
    <w:lvl w:ilvl="0" w:tplc="02EC6D92">
      <w:start w:val="1"/>
      <w:numFmt w:val="decimal"/>
      <w:pStyle w:val="Style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nsid w:val="2F911729"/>
    <w:multiLevelType w:val="multilevel"/>
    <w:tmpl w:val="EA30B106"/>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FC13EA4"/>
    <w:multiLevelType w:val="hybridMultilevel"/>
    <w:tmpl w:val="9E047EF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1">
    <w:nsid w:val="3A7730C4"/>
    <w:multiLevelType w:val="singleLevel"/>
    <w:tmpl w:val="0809000F"/>
    <w:lvl w:ilvl="0">
      <w:start w:val="1"/>
      <w:numFmt w:val="decimal"/>
      <w:pStyle w:val="ManualHeading2"/>
      <w:lvlText w:val="%1."/>
      <w:lvlJc w:val="left"/>
      <w:pPr>
        <w:ind w:left="720" w:hanging="360"/>
      </w:pPr>
    </w:lvl>
  </w:abstractNum>
  <w:abstractNum w:abstractNumId="12">
    <w:nsid w:val="4B843E64"/>
    <w:multiLevelType w:val="hybridMultilevel"/>
    <w:tmpl w:val="B2063506"/>
    <w:lvl w:ilvl="0" w:tplc="0809000F">
      <w:start w:val="1"/>
      <w:numFmt w:val="decimal"/>
      <w:lvlText w:val="%1."/>
      <w:lvlJc w:val="left"/>
      <w:pPr>
        <w:ind w:left="360" w:hanging="360"/>
      </w:pPr>
      <w:rPr>
        <w:rFonts w:cs="Times New Roman"/>
      </w:rPr>
    </w:lvl>
    <w:lvl w:ilvl="1" w:tplc="08090001">
      <w:start w:val="1"/>
      <w:numFmt w:val="bullet"/>
      <w:lvlText w:val=""/>
      <w:lvlJc w:val="left"/>
      <w:pPr>
        <w:ind w:left="1080" w:hanging="360"/>
      </w:pPr>
      <w:rPr>
        <w:rFonts w:ascii="Symbol" w:hAnsi="Symbol" w:hint="default"/>
      </w:rPr>
    </w:lvl>
    <w:lvl w:ilvl="2" w:tplc="EC16C19A">
      <w:numFmt w:val="bullet"/>
      <w:lvlText w:val="•"/>
      <w:lvlJc w:val="left"/>
      <w:pPr>
        <w:ind w:left="2340" w:hanging="720"/>
      </w:pPr>
      <w:rPr>
        <w:rFonts w:ascii="Times New Roman" w:eastAsia="Times New Roman" w:hAnsi="Times New Roman" w:cs="Times New Roman" w:hint="default"/>
      </w:rPr>
    </w:lvl>
    <w:lvl w:ilvl="3" w:tplc="AC466752">
      <w:start w:val="19"/>
      <w:numFmt w:val="bullet"/>
      <w:lvlText w:val="-"/>
      <w:lvlJc w:val="left"/>
      <w:pPr>
        <w:ind w:left="2520" w:hanging="360"/>
      </w:pPr>
      <w:rPr>
        <w:rFonts w:ascii="Times New Roman" w:eastAsia="Times New Roman" w:hAnsi="Times New Roman" w:cs="Times New Roman" w:hint="default"/>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3">
    <w:nsid w:val="514B7CB1"/>
    <w:multiLevelType w:val="hybridMultilevel"/>
    <w:tmpl w:val="0712B7FA"/>
    <w:lvl w:ilvl="0" w:tplc="001ED2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41C7C56"/>
    <w:multiLevelType w:val="hybridMultilevel"/>
    <w:tmpl w:val="64B869A6"/>
    <w:lvl w:ilvl="0" w:tplc="8A36BA8C">
      <w:numFmt w:val="bullet"/>
      <w:lvlText w:val=""/>
      <w:lvlJc w:val="left"/>
      <w:pPr>
        <w:ind w:left="360" w:hanging="360"/>
      </w:pPr>
      <w:rPr>
        <w:rFonts w:ascii="Symbol" w:eastAsia="Times New Roman" w:hAnsi="Symbol" w:hint="default"/>
      </w:rPr>
    </w:lvl>
    <w:lvl w:ilvl="1" w:tplc="08090005">
      <w:start w:val="1"/>
      <w:numFmt w:val="bullet"/>
      <w:lvlText w:val=""/>
      <w:lvlJc w:val="left"/>
      <w:pPr>
        <w:ind w:left="1080" w:hanging="360"/>
      </w:pPr>
      <w:rPr>
        <w:rFonts w:ascii="Wingdings" w:hAnsi="Wingdings"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nsid w:val="59282356"/>
    <w:multiLevelType w:val="hybridMultilevel"/>
    <w:tmpl w:val="9F4EF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95A2513"/>
    <w:multiLevelType w:val="hybridMultilevel"/>
    <w:tmpl w:val="3C1C7B8A"/>
    <w:lvl w:ilvl="0" w:tplc="48D688C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65A07CBB"/>
    <w:multiLevelType w:val="hybridMultilevel"/>
    <w:tmpl w:val="D0281760"/>
    <w:lvl w:ilvl="0" w:tplc="4872AB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4872AB78">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1">
    <w:nsid w:val="6DD8544D"/>
    <w:multiLevelType w:val="hybridMultilevel"/>
    <w:tmpl w:val="8952B6A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2">
    <w:nsid w:val="7A694F3E"/>
    <w:multiLevelType w:val="hybridMultilevel"/>
    <w:tmpl w:val="66C627DA"/>
    <w:lvl w:ilvl="0" w:tplc="4872AB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D5D20EB"/>
    <w:multiLevelType w:val="hybridMultilevel"/>
    <w:tmpl w:val="1F8EF210"/>
    <w:lvl w:ilvl="0" w:tplc="001ED2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20"/>
  </w:num>
  <w:num w:numId="5">
    <w:abstractNumId w:val="11"/>
  </w:num>
  <w:num w:numId="6">
    <w:abstractNumId w:val="7"/>
  </w:num>
  <w:num w:numId="7">
    <w:abstractNumId w:val="17"/>
  </w:num>
  <w:num w:numId="8">
    <w:abstractNumId w:val="4"/>
  </w:num>
  <w:num w:numId="9">
    <w:abstractNumId w:val="19"/>
  </w:num>
  <w:num w:numId="10">
    <w:abstractNumId w:val="14"/>
  </w:num>
  <w:num w:numId="11">
    <w:abstractNumId w:val="12"/>
  </w:num>
  <w:num w:numId="12">
    <w:abstractNumId w:val="6"/>
  </w:num>
  <w:num w:numId="13">
    <w:abstractNumId w:val="3"/>
  </w:num>
  <w:num w:numId="14">
    <w:abstractNumId w:val="2"/>
  </w:num>
  <w:num w:numId="15">
    <w:abstractNumId w:val="18"/>
  </w:num>
  <w:num w:numId="16">
    <w:abstractNumId w:val="22"/>
  </w:num>
  <w:num w:numId="17">
    <w:abstractNumId w:val="8"/>
  </w:num>
  <w:num w:numId="18">
    <w:abstractNumId w:val="9"/>
  </w:num>
  <w:num w:numId="19">
    <w:abstractNumId w:val="15"/>
  </w:num>
  <w:num w:numId="20">
    <w:abstractNumId w:val="5"/>
  </w:num>
  <w:num w:numId="21">
    <w:abstractNumId w:val="21"/>
  </w:num>
  <w:num w:numId="22">
    <w:abstractNumId w:val="13"/>
  </w:num>
  <w:num w:numId="23">
    <w:abstractNumId w:val="2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hideSpellingErrors/>
  <w:hideGrammaticalErrors/>
  <w:revisionView w:markup="0"/>
  <w:defaultTabStop w:val="720"/>
  <w:hyphenationZone w:val="425"/>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2204E97-AABC-4EDF-A3CD-C37EA502FF44"/>
    <w:docVar w:name="LW_COVERPAGE_TYPE" w:val="1"/>
    <w:docVar w:name="LW_CROSSREFERENCE" w:val="&lt;UNUSED&gt;"/>
    <w:docVar w:name="LW_DocType" w:val="NORMAL"/>
    <w:docVar w:name="LW_EMISSION" w:val="15.10.2019"/>
    <w:docVar w:name="LW_EMISSION_ISODATE" w:val="2019-10-15"/>
    <w:docVar w:name="LW_EMISSION_LOCATION" w:val="BRX"/>
    <w:docVar w:name="LW_EMISSION_PREFIX" w:val="Bruxelles, le "/>
    <w:docVar w:name="LW_EMISSION_SUFFIX" w:val=" "/>
    <w:docVar w:name="LW_ID_DOCTYPE_NONLW" w:val="CP-035"/>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4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ctualisation de l'estimation des besoins pour les dépenses agricoles_x000d__x000b_Ajustements liés aux propositions législatives figurant dans le paquet de mesures de préparation au Brexit du 4 septembre 2019_x000d__x000b_Renforcement de budgets administratifs et autres actualisations fondées sur l'évolution récente_x000d__x000b_Ajustement de la structure du budget et correction technique"/>
    <w:docVar w:name="LW_TYPE.DOC.CP" w:val="LETTRE RECTIFICATIVE Nº 1 AU PROJET DE BUDGET GÉNÉRAL 202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autoRedefine/>
    <w:uiPriority w:val="99"/>
    <w:qFormat/>
    <w:pPr>
      <w:keepNext/>
      <w:spacing w:before="240" w:after="120"/>
      <w:outlineLvl w:val="0"/>
    </w:pPr>
    <w:rPr>
      <w:rFonts w:ascii="Arial" w:hAnsi="Arial" w:cs="Arial"/>
      <w:b/>
      <w:bCs/>
      <w:kern w:val="32"/>
      <w:sz w:val="32"/>
      <w:szCs w:val="32"/>
    </w:rPr>
  </w:style>
  <w:style w:type="paragraph" w:styleId="Heading2">
    <w:name w:val="heading 2"/>
    <w:basedOn w:val="Normal"/>
    <w:next w:val="Normal"/>
    <w:link w:val="Heading2Char"/>
    <w:autoRedefine/>
    <w:uiPriority w:val="99"/>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link w:val="Heading3Char"/>
    <w:autoRedefine/>
    <w:uiPriority w:val="99"/>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link w:val="Heading4Char"/>
    <w:uiPriority w:val="99"/>
    <w:qFormat/>
    <w:pPr>
      <w:keepNext/>
      <w:numPr>
        <w:ilvl w:val="3"/>
      </w:numPr>
      <w:tabs>
        <w:tab w:val="num" w:pos="1030"/>
      </w:tabs>
      <w:spacing w:before="120" w:after="120"/>
      <w:ind w:left="1030" w:hanging="850"/>
      <w:jc w:val="both"/>
      <w:outlineLvl w:val="3"/>
    </w:pPr>
    <w:rPr>
      <w:b/>
      <w:bCs/>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9"/>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uiPriority w:val="99"/>
    <w:rPr>
      <w:rFonts w:ascii="Arial" w:eastAsia="Times New Roman" w:hAnsi="Arial" w:cs="Arial"/>
      <w:b/>
      <w:bCs/>
      <w:i/>
      <w:sz w:val="26"/>
      <w:szCs w:val="26"/>
      <w:lang w:eastAsia="en-GB"/>
    </w:rPr>
  </w:style>
  <w:style w:type="character" w:customStyle="1" w:styleId="Heading4Char">
    <w:name w:val="Heading 4 Char"/>
    <w:basedOn w:val="DefaultParagraphFont"/>
    <w:link w:val="Heading4"/>
    <w:uiPriority w:val="99"/>
    <w:rPr>
      <w:rFonts w:ascii="Times New Roman" w:eastAsia="Times New Roman" w:hAnsi="Times New Roman" w:cs="Times New Roman"/>
      <w:b/>
      <w:bCs/>
      <w:sz w:val="24"/>
      <w:szCs w:val="28"/>
      <w:lang w:eastAsia="de-DE"/>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pPr>
      <w:ind w:left="720" w:hanging="720"/>
      <w:jc w:val="both"/>
    </w:pPr>
    <w:rPr>
      <w:sz w:val="20"/>
      <w:szCs w:val="20"/>
      <w:lang w:eastAsia="de-DE"/>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fr-FR" w:eastAsia="de-DE"/>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basedOn w:val="DefaultParagraphFont"/>
    <w:rPr>
      <w:rFonts w:cs="Times New Roman"/>
      <w:vertAlign w:val="superscript"/>
    </w:rPr>
  </w:style>
  <w:style w:type="paragraph" w:customStyle="1" w:styleId="Text1">
    <w:name w:val="Text 1"/>
    <w:basedOn w:val="Normal"/>
    <w:uiPriority w:val="99"/>
    <w:pPr>
      <w:spacing w:before="120" w:after="120"/>
      <w:ind w:left="850"/>
      <w:jc w:val="both"/>
    </w:pPr>
    <w:rPr>
      <w:lang w:eastAsia="de-DE"/>
    </w:rPr>
  </w:style>
  <w:style w:type="paragraph" w:customStyle="1" w:styleId="Tiret0">
    <w:name w:val="Tiret 0"/>
    <w:basedOn w:val="Normal"/>
    <w:uiPriority w:val="99"/>
    <w:pPr>
      <w:numPr>
        <w:numId w:val="3"/>
      </w:numPr>
      <w:spacing w:before="120" w:after="120"/>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Normal"/>
    <w:pPr>
      <w:keepNext/>
      <w:numPr>
        <w:numId w:val="5"/>
      </w:numPr>
      <w:spacing w:before="360" w:after="120"/>
      <w:jc w:val="both"/>
      <w:outlineLvl w:val="1"/>
    </w:pPr>
    <w:rPr>
      <w:b/>
      <w:noProof/>
      <w:lang w:eastAsia="en-US"/>
    </w:rPr>
  </w:style>
  <w:style w:type="paragraph" w:customStyle="1" w:styleId="ListDash">
    <w:name w:val="List Dash"/>
    <w:basedOn w:val="Normal"/>
    <w:link w:val="ListDashChar"/>
    <w:uiPriority w:val="99"/>
    <w:pPr>
      <w:spacing w:before="120" w:after="120"/>
      <w:jc w:val="both"/>
    </w:pPr>
    <w:rPr>
      <w:szCs w:val="20"/>
      <w:lang w:eastAsia="de-DE"/>
    </w:rPr>
  </w:style>
  <w:style w:type="paragraph" w:styleId="TOCHeading">
    <w:name w:val="TOC Heading"/>
    <w:basedOn w:val="Normal"/>
    <w:next w:val="Normal"/>
    <w:uiPriority w:val="99"/>
    <w:qFormat/>
    <w:pPr>
      <w:spacing w:before="120" w:after="240"/>
      <w:jc w:val="center"/>
    </w:pPr>
    <w:rPr>
      <w:b/>
      <w:sz w:val="28"/>
      <w:lang w:eastAsia="de-DE"/>
    </w:rPr>
  </w:style>
  <w:style w:type="paragraph" w:customStyle="1" w:styleId="Prliminairetitre">
    <w:name w:val="Préliminaire titre"/>
    <w:basedOn w:val="Normal"/>
    <w:next w:val="Normal"/>
    <w:uiPriority w:val="99"/>
    <w:pPr>
      <w:spacing w:before="360" w:after="360"/>
      <w:jc w:val="center"/>
    </w:pPr>
    <w:rPr>
      <w:b/>
      <w:lang w:eastAsia="de-DE"/>
    </w:rPr>
  </w:style>
  <w:style w:type="paragraph" w:customStyle="1" w:styleId="Prliminairetype">
    <w:name w:val="Préliminaire type"/>
    <w:basedOn w:val="Normal"/>
    <w:next w:val="Normal"/>
    <w:uiPriority w:val="99"/>
    <w:pPr>
      <w:spacing w:before="360"/>
      <w:jc w:val="center"/>
    </w:pPr>
    <w:rPr>
      <w:b/>
      <w:lang w:eastAsia="de-DE"/>
    </w:rPr>
  </w:style>
  <w:style w:type="character" w:styleId="Hyperlink">
    <w:name w:val="Hyperlink"/>
    <w:basedOn w:val="DefaultParagraphFont"/>
    <w:uiPriority w:val="99"/>
    <w:rPr>
      <w:rFonts w:cs="Times New Roman"/>
      <w:color w:val="0000FF"/>
      <w:u w:val="single"/>
    </w:rPr>
  </w:style>
  <w:style w:type="character" w:customStyle="1" w:styleId="Marker">
    <w:name w:val="Marker"/>
    <w:uiPriority w:val="99"/>
    <w:rPr>
      <w:color w:val="0000FF"/>
      <w:shd w:val="clear" w:color="auto" w:fill="auto"/>
    </w:rPr>
  </w:style>
  <w:style w:type="paragraph" w:customStyle="1" w:styleId="Pagedecouverture">
    <w:name w:val="Page de couverture"/>
    <w:basedOn w:val="Normal"/>
    <w:next w:val="Normal"/>
    <w:uiPriority w:val="99"/>
    <w:pPr>
      <w:spacing w:before="120" w:after="120"/>
      <w:jc w:val="both"/>
    </w:pPr>
    <w:rPr>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FooterCoverPage">
    <w:name w:val="Footer Cover Page"/>
    <w:basedOn w:val="Normal"/>
    <w:uiPriority w:val="99"/>
    <w:pPr>
      <w:tabs>
        <w:tab w:val="center" w:pos="4535"/>
        <w:tab w:val="right" w:pos="9071"/>
        <w:tab w:val="right" w:pos="9921"/>
      </w:tabs>
      <w:spacing w:before="360"/>
      <w:ind w:left="-850" w:right="-850"/>
    </w:pPr>
  </w:style>
  <w:style w:type="paragraph" w:customStyle="1" w:styleId="HeaderCoverPage">
    <w:name w:val="Header Cover Page"/>
    <w:basedOn w:val="Normal"/>
    <w:uiPriority w:val="99"/>
    <w:pPr>
      <w:tabs>
        <w:tab w:val="center" w:pos="4535"/>
        <w:tab w:val="right" w:pos="9071"/>
      </w:tabs>
      <w:spacing w:after="120"/>
      <w:jc w:val="both"/>
    </w:pPr>
  </w:style>
  <w:style w:type="paragraph" w:styleId="TOC2">
    <w:name w:val="toc 2"/>
    <w:basedOn w:val="Normal"/>
    <w:next w:val="Normal"/>
    <w:autoRedefine/>
    <w:uiPriority w:val="39"/>
    <w:pPr>
      <w:tabs>
        <w:tab w:val="left" w:pos="720"/>
        <w:tab w:val="right" w:leader="dot" w:pos="9061"/>
      </w:tabs>
      <w:ind w:left="709" w:hanging="469"/>
    </w:pPr>
    <w:rPr>
      <w:smallCaps/>
      <w:sz w:val="20"/>
      <w:szCs w:val="20"/>
    </w:rPr>
  </w:style>
  <w:style w:type="paragraph" w:styleId="TOC3">
    <w:name w:val="toc 3"/>
    <w:basedOn w:val="Normal"/>
    <w:next w:val="Normal"/>
    <w:autoRedefine/>
    <w:uiPriority w:val="39"/>
    <w:pPr>
      <w:tabs>
        <w:tab w:val="left" w:pos="1200"/>
        <w:tab w:val="right" w:leader="dot" w:pos="9061"/>
      </w:tabs>
      <w:ind w:left="1276" w:hanging="796"/>
    </w:pPr>
    <w:rPr>
      <w:i/>
      <w:iCs/>
      <w:sz w:val="20"/>
      <w:szCs w:val="20"/>
    </w:rPr>
  </w:style>
  <w:style w:type="paragraph" w:styleId="TOC4">
    <w:name w:val="toc 4"/>
    <w:basedOn w:val="Normal"/>
    <w:next w:val="Normal"/>
    <w:autoRedefine/>
    <w:uiPriority w:val="99"/>
    <w:semiHidden/>
    <w:pPr>
      <w:ind w:left="720"/>
    </w:pPr>
    <w:rPr>
      <w:sz w:val="18"/>
      <w:szCs w:val="18"/>
    </w:rPr>
  </w:style>
  <w:style w:type="paragraph" w:styleId="TOC5">
    <w:name w:val="toc 5"/>
    <w:basedOn w:val="Normal"/>
    <w:next w:val="Normal"/>
    <w:autoRedefine/>
    <w:uiPriority w:val="99"/>
    <w:semiHidden/>
    <w:pPr>
      <w:ind w:left="960"/>
    </w:pPr>
    <w:rPr>
      <w:sz w:val="18"/>
      <w:szCs w:val="18"/>
    </w:rPr>
  </w:style>
  <w:style w:type="paragraph" w:styleId="TOC6">
    <w:name w:val="toc 6"/>
    <w:basedOn w:val="Normal"/>
    <w:next w:val="Normal"/>
    <w:autoRedefine/>
    <w:uiPriority w:val="99"/>
    <w:semiHidden/>
    <w:pPr>
      <w:ind w:left="1200"/>
    </w:pPr>
    <w:rPr>
      <w:sz w:val="18"/>
      <w:szCs w:val="18"/>
    </w:rPr>
  </w:style>
  <w:style w:type="paragraph" w:styleId="TOC7">
    <w:name w:val="toc 7"/>
    <w:basedOn w:val="Normal"/>
    <w:next w:val="Normal"/>
    <w:autoRedefine/>
    <w:uiPriority w:val="99"/>
    <w:semiHidden/>
    <w:pPr>
      <w:ind w:left="1440"/>
    </w:pPr>
    <w:rPr>
      <w:sz w:val="18"/>
      <w:szCs w:val="18"/>
    </w:rPr>
  </w:style>
  <w:style w:type="paragraph" w:styleId="TOC8">
    <w:name w:val="toc 8"/>
    <w:basedOn w:val="Normal"/>
    <w:next w:val="Normal"/>
    <w:autoRedefine/>
    <w:uiPriority w:val="99"/>
    <w:semiHidden/>
    <w:pPr>
      <w:ind w:left="1680"/>
    </w:pPr>
    <w:rPr>
      <w:sz w:val="18"/>
      <w:szCs w:val="18"/>
    </w:rPr>
  </w:style>
  <w:style w:type="paragraph" w:styleId="TOC9">
    <w:name w:val="toc 9"/>
    <w:basedOn w:val="Normal"/>
    <w:next w:val="Normal"/>
    <w:autoRedefine/>
    <w:uiPriority w:val="99"/>
    <w:semiHidden/>
    <w:pPr>
      <w:ind w:left="1920"/>
    </w:pPr>
    <w:rPr>
      <w:sz w:val="18"/>
      <w:szCs w:val="18"/>
    </w:rPr>
  </w:style>
  <w:style w:type="paragraph" w:styleId="ListBullet">
    <w:name w:val="List Bullet"/>
    <w:basedOn w:val="Normal"/>
    <w:uiPriority w:val="99"/>
    <w:pPr>
      <w:numPr>
        <w:numId w:val="4"/>
      </w:numPr>
      <w:spacing w:before="120" w:after="120"/>
      <w:jc w:val="both"/>
    </w:pPr>
    <w:rPr>
      <w:lang w:eastAsia="de-DE"/>
    </w:rPr>
  </w:style>
  <w:style w:type="paragraph" w:customStyle="1" w:styleId="ListDash2">
    <w:name w:val="List Dash 2"/>
    <w:basedOn w:val="Normal"/>
    <w:uiPriority w:val="99"/>
    <w:pPr>
      <w:tabs>
        <w:tab w:val="num" w:pos="1134"/>
      </w:tabs>
      <w:spacing w:before="120" w:after="120"/>
      <w:ind w:left="1134" w:hanging="283"/>
      <w:jc w:val="both"/>
    </w:pPr>
    <w:rPr>
      <w:lang w:eastAsia="de-DE"/>
    </w:rPr>
  </w:style>
  <w:style w:type="paragraph" w:customStyle="1" w:styleId="ListBullet1">
    <w:name w:val="List Bullet 1"/>
    <w:basedOn w:val="Text1"/>
    <w:uiPriority w:val="99"/>
    <w:pPr>
      <w:tabs>
        <w:tab w:val="num" w:pos="765"/>
      </w:tabs>
      <w:spacing w:before="0" w:after="240"/>
      <w:ind w:left="765" w:hanging="283"/>
    </w:pPr>
    <w:rPr>
      <w:szCs w:val="20"/>
      <w:lang w:eastAsia="en-US"/>
    </w:rPr>
  </w:style>
  <w:style w:type="paragraph" w:styleId="ListBullet2">
    <w:name w:val="List Bullet 2"/>
    <w:basedOn w:val="Normal"/>
    <w:uiPriority w:val="99"/>
    <w:pPr>
      <w:numPr>
        <w:numId w:val="6"/>
      </w:numPr>
      <w:spacing w:after="240"/>
      <w:jc w:val="both"/>
    </w:pPr>
    <w:rPr>
      <w:szCs w:val="20"/>
      <w:lang w:eastAsia="en-US"/>
    </w:rPr>
  </w:style>
  <w:style w:type="table" w:styleId="TableGrid">
    <w:name w:val="Table Grid"/>
    <w:basedOn w:val="TableNormal"/>
    <w:uiPriority w:val="9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Pr>
      <w:rFonts w:cs="Times New Roman"/>
      <w:color w:val="800080"/>
      <w:u w:val="single"/>
    </w:rPr>
  </w:style>
  <w:style w:type="paragraph" w:customStyle="1" w:styleId="Typedudocument">
    <w:name w:val="Type du document"/>
    <w:basedOn w:val="Normal"/>
    <w:next w:val="Titreobjet"/>
    <w:uiPriority w:val="99"/>
    <w:pPr>
      <w:spacing w:before="360"/>
      <w:jc w:val="center"/>
    </w:pPr>
    <w:rPr>
      <w:b/>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 w:type="character" w:styleId="Emphasis">
    <w:name w:val="Emphasis"/>
    <w:basedOn w:val="DefaultParagraphFont"/>
    <w:uiPriority w:val="20"/>
    <w:qFormat/>
    <w:rPr>
      <w:rFonts w:cs="Times New Roman"/>
      <w:i/>
    </w:rPr>
  </w:style>
  <w:style w:type="paragraph" w:styleId="NormalWeb">
    <w:name w:val="Normal (Web)"/>
    <w:basedOn w:val="Normal"/>
    <w:uiPriority w:val="99"/>
    <w:pPr>
      <w:spacing w:before="100" w:beforeAutospacing="1" w:after="100" w:afterAutospacing="1"/>
    </w:pPr>
  </w:style>
  <w:style w:type="paragraph" w:customStyle="1" w:styleId="Text2">
    <w:name w:val="Text 2"/>
    <w:basedOn w:val="Normal"/>
    <w:uiPriority w:val="99"/>
    <w:pPr>
      <w:spacing w:before="120" w:after="120"/>
      <w:ind w:left="850"/>
      <w:jc w:val="both"/>
    </w:pPr>
    <w:rPr>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ListNumber">
    <w:name w:val="List Number"/>
    <w:basedOn w:val="Normal"/>
    <w:uiPriority w:val="99"/>
    <w:pPr>
      <w:numPr>
        <w:numId w:val="7"/>
      </w:numPr>
      <w:spacing w:before="120" w:after="120"/>
      <w:jc w:val="both"/>
    </w:pPr>
    <w:rPr>
      <w:lang w:eastAsia="de-DE"/>
    </w:rPr>
  </w:style>
  <w:style w:type="paragraph" w:customStyle="1" w:styleId="ListNumberLevel2">
    <w:name w:val="List Number (Level 2)"/>
    <w:basedOn w:val="Normal"/>
    <w:uiPriority w:val="99"/>
    <w:pPr>
      <w:numPr>
        <w:ilvl w:val="1"/>
        <w:numId w:val="7"/>
      </w:numPr>
      <w:spacing w:before="120" w:after="120"/>
      <w:jc w:val="both"/>
    </w:pPr>
    <w:rPr>
      <w:lang w:eastAsia="de-DE"/>
    </w:rPr>
  </w:style>
  <w:style w:type="paragraph" w:customStyle="1" w:styleId="ListNumberLevel3">
    <w:name w:val="List Number (Level 3)"/>
    <w:basedOn w:val="Normal"/>
    <w:uiPriority w:val="99"/>
    <w:pPr>
      <w:numPr>
        <w:ilvl w:val="2"/>
        <w:numId w:val="7"/>
      </w:numPr>
      <w:spacing w:before="120" w:after="120"/>
      <w:jc w:val="both"/>
    </w:pPr>
    <w:rPr>
      <w:lang w:eastAsia="de-DE"/>
    </w:rPr>
  </w:style>
  <w:style w:type="paragraph" w:customStyle="1" w:styleId="ListNumberLevel4">
    <w:name w:val="List Number (Level 4)"/>
    <w:basedOn w:val="Normal"/>
    <w:uiPriority w:val="99"/>
    <w:pPr>
      <w:numPr>
        <w:ilvl w:val="3"/>
        <w:numId w:val="7"/>
      </w:numPr>
      <w:spacing w:before="120" w:after="120"/>
      <w:jc w:val="both"/>
    </w:pPr>
    <w:rPr>
      <w:lang w:eastAsia="de-DE"/>
    </w:rPr>
  </w:style>
  <w:style w:type="character" w:customStyle="1" w:styleId="ListDashChar">
    <w:name w:val="List Dash Char"/>
    <w:link w:val="ListDash"/>
    <w:uiPriority w:val="99"/>
    <w:locked/>
    <w:rPr>
      <w:rFonts w:ascii="Times New Roman" w:eastAsia="Times New Roman" w:hAnsi="Times New Roman" w:cs="Times New Roman"/>
      <w:sz w:val="24"/>
      <w:szCs w:val="20"/>
      <w:lang w:val="fr-FR" w:eastAsia="de-DE"/>
    </w:rPr>
  </w:style>
  <w:style w:type="paragraph" w:customStyle="1" w:styleId="StyleManualHeading2Italic">
    <w:name w:val="Style Manual Heading 2 + Italic"/>
    <w:basedOn w:val="ManualHeading2"/>
    <w:autoRedefine/>
    <w:uiPriority w:val="99"/>
    <w:pPr>
      <w:numPr>
        <w:numId w:val="0"/>
      </w:numPr>
      <w:spacing w:before="160" w:after="160"/>
    </w:pPr>
    <w:rPr>
      <w:bCs/>
      <w:i/>
      <w:iCs/>
    </w:rPr>
  </w:style>
  <w:style w:type="paragraph" w:customStyle="1" w:styleId="NormalCentered">
    <w:name w:val="Normal Centered"/>
    <w:basedOn w:val="Normal"/>
    <w:uiPriority w:val="99"/>
    <w:pPr>
      <w:spacing w:before="120" w:after="120"/>
      <w:jc w:val="center"/>
    </w:pPr>
    <w:rPr>
      <w:lang w:eastAsia="de-DE"/>
    </w:rPr>
  </w:style>
  <w:style w:type="paragraph" w:customStyle="1" w:styleId="NormalRight">
    <w:name w:val="Normal Right"/>
    <w:basedOn w:val="Normal"/>
    <w:uiPriority w:val="99"/>
    <w:pPr>
      <w:spacing w:before="120" w:after="120"/>
      <w:jc w:val="right"/>
    </w:pPr>
    <w:rPr>
      <w:lang w:eastAsia="de-DE"/>
    </w:rPr>
  </w:style>
  <w:style w:type="paragraph" w:customStyle="1" w:styleId="NormalLeft">
    <w:name w:val="Normal Left"/>
    <w:basedOn w:val="Normal"/>
    <w:uiPriority w:val="99"/>
    <w:pPr>
      <w:spacing w:before="120" w:after="120"/>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Statut">
    <w:name w:val="Statut"/>
    <w:basedOn w:val="Normal"/>
    <w:next w:val="Typedudocument"/>
    <w:uiPriority w:val="99"/>
    <w:pPr>
      <w:spacing w:before="360"/>
      <w:jc w:val="center"/>
    </w:pPr>
    <w:rPr>
      <w:szCs w:val="22"/>
      <w:lang w:eastAsia="en-US"/>
    </w:rPr>
  </w:style>
  <w:style w:type="paragraph" w:customStyle="1" w:styleId="Footnoter">
    <w:name w:val="Footnote r"/>
    <w:basedOn w:val="Normal"/>
    <w:uiPriority w:val="99"/>
    <w:pPr>
      <w:shd w:val="clear" w:color="auto" w:fill="F2F8FB"/>
      <w:spacing w:before="100" w:beforeAutospacing="1" w:after="100" w:afterAutospacing="1"/>
    </w:pPr>
    <w:rPr>
      <w:szCs w:val="22"/>
    </w:rPr>
  </w:style>
  <w:style w:type="character" w:customStyle="1" w:styleId="hps">
    <w:name w:val="hps"/>
    <w:uiPriority w:val="99"/>
  </w:style>
  <w:style w:type="paragraph" w:customStyle="1" w:styleId="Point0number">
    <w:name w:val="Point 0 (number)"/>
    <w:basedOn w:val="Normal"/>
    <w:uiPriority w:val="99"/>
    <w:pPr>
      <w:numPr>
        <w:numId w:val="8"/>
      </w:numPr>
      <w:spacing w:before="120" w:after="120"/>
      <w:jc w:val="both"/>
    </w:pPr>
    <w:rPr>
      <w:szCs w:val="22"/>
    </w:rPr>
  </w:style>
  <w:style w:type="paragraph" w:customStyle="1" w:styleId="Point1number">
    <w:name w:val="Point 1 (number)"/>
    <w:basedOn w:val="Normal"/>
    <w:uiPriority w:val="99"/>
    <w:pPr>
      <w:numPr>
        <w:ilvl w:val="2"/>
        <w:numId w:val="8"/>
      </w:numPr>
      <w:spacing w:before="120" w:after="120"/>
      <w:jc w:val="both"/>
    </w:pPr>
    <w:rPr>
      <w:szCs w:val="22"/>
    </w:rPr>
  </w:style>
  <w:style w:type="paragraph" w:customStyle="1" w:styleId="Point2number">
    <w:name w:val="Point 2 (number)"/>
    <w:basedOn w:val="Normal"/>
    <w:uiPriority w:val="99"/>
    <w:pPr>
      <w:numPr>
        <w:ilvl w:val="4"/>
        <w:numId w:val="8"/>
      </w:numPr>
      <w:spacing w:before="120" w:after="120"/>
      <w:jc w:val="both"/>
    </w:pPr>
    <w:rPr>
      <w:szCs w:val="22"/>
    </w:rPr>
  </w:style>
  <w:style w:type="paragraph" w:customStyle="1" w:styleId="Point3number">
    <w:name w:val="Point 3 (number)"/>
    <w:basedOn w:val="Normal"/>
    <w:uiPriority w:val="99"/>
    <w:pPr>
      <w:numPr>
        <w:ilvl w:val="6"/>
        <w:numId w:val="8"/>
      </w:numPr>
      <w:spacing w:before="120" w:after="120"/>
      <w:jc w:val="both"/>
    </w:pPr>
    <w:rPr>
      <w:szCs w:val="22"/>
    </w:rPr>
  </w:style>
  <w:style w:type="paragraph" w:customStyle="1" w:styleId="Point0letter">
    <w:name w:val="Point 0 (letter)"/>
    <w:basedOn w:val="Normal"/>
    <w:uiPriority w:val="99"/>
    <w:pPr>
      <w:numPr>
        <w:ilvl w:val="1"/>
        <w:numId w:val="8"/>
      </w:numPr>
      <w:spacing w:before="120" w:after="120"/>
      <w:jc w:val="both"/>
    </w:pPr>
    <w:rPr>
      <w:szCs w:val="22"/>
    </w:rPr>
  </w:style>
  <w:style w:type="paragraph" w:customStyle="1" w:styleId="Point1letter">
    <w:name w:val="Point 1 (letter)"/>
    <w:basedOn w:val="Normal"/>
    <w:uiPriority w:val="99"/>
    <w:pPr>
      <w:numPr>
        <w:ilvl w:val="3"/>
        <w:numId w:val="8"/>
      </w:numPr>
      <w:spacing w:before="120" w:after="120"/>
      <w:jc w:val="both"/>
    </w:pPr>
    <w:rPr>
      <w:szCs w:val="22"/>
    </w:rPr>
  </w:style>
  <w:style w:type="paragraph" w:customStyle="1" w:styleId="Point2letter">
    <w:name w:val="Point 2 (letter)"/>
    <w:basedOn w:val="Normal"/>
    <w:uiPriority w:val="99"/>
    <w:pPr>
      <w:numPr>
        <w:ilvl w:val="5"/>
        <w:numId w:val="8"/>
      </w:numPr>
      <w:spacing w:before="120" w:after="120"/>
      <w:jc w:val="both"/>
    </w:pPr>
    <w:rPr>
      <w:szCs w:val="22"/>
    </w:rPr>
  </w:style>
  <w:style w:type="paragraph" w:customStyle="1" w:styleId="Point3letter">
    <w:name w:val="Point 3 (letter)"/>
    <w:basedOn w:val="Normal"/>
    <w:uiPriority w:val="99"/>
    <w:pPr>
      <w:numPr>
        <w:ilvl w:val="7"/>
        <w:numId w:val="8"/>
      </w:numPr>
      <w:spacing w:before="120" w:after="120"/>
      <w:jc w:val="both"/>
    </w:pPr>
    <w:rPr>
      <w:szCs w:val="22"/>
    </w:rPr>
  </w:style>
  <w:style w:type="paragraph" w:customStyle="1" w:styleId="Point4letter">
    <w:name w:val="Point 4 (letter)"/>
    <w:basedOn w:val="Normal"/>
    <w:uiPriority w:val="99"/>
    <w:pPr>
      <w:numPr>
        <w:ilvl w:val="8"/>
        <w:numId w:val="8"/>
      </w:numPr>
      <w:spacing w:before="120" w:after="120"/>
      <w:jc w:val="both"/>
    </w:pPr>
    <w:rPr>
      <w:szCs w:val="22"/>
    </w:rPr>
  </w:style>
  <w:style w:type="paragraph" w:customStyle="1" w:styleId="Tiret2">
    <w:name w:val="Tiret 2"/>
    <w:basedOn w:val="Normal"/>
    <w:uiPriority w:val="99"/>
    <w:pPr>
      <w:numPr>
        <w:numId w:val="9"/>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
    <w:basedOn w:val="Normal"/>
    <w:link w:val="ListParagraphChar"/>
    <w:uiPriority w:val="34"/>
    <w:qFormat/>
    <w:pPr>
      <w:spacing w:after="200" w:line="276" w:lineRule="auto"/>
      <w:ind w:left="720"/>
      <w:contextualSpacing/>
    </w:pPr>
    <w:rPr>
      <w:rFonts w:ascii="Calibri" w:eastAsia="MS Mincho" w:hAnsi="Calibri"/>
      <w:sz w:val="22"/>
      <w:szCs w:val="20"/>
      <w:lang w:eastAsia="de-D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99"/>
    <w:locked/>
    <w:rPr>
      <w:rFonts w:ascii="Calibri" w:eastAsia="MS Mincho" w:hAnsi="Calibri" w:cs="Times New Roman"/>
      <w:szCs w:val="20"/>
      <w:lang w:val="fr-FR" w:eastAsia="de-DE"/>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lang w:eastAsia="de-DE"/>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fr-FR" w:eastAsia="de-DE"/>
    </w:rPr>
  </w:style>
  <w:style w:type="paragraph" w:styleId="ListNumber5">
    <w:name w:val="List Number 5"/>
    <w:basedOn w:val="Normal"/>
    <w:uiPriority w:val="99"/>
    <w:pPr>
      <w:numPr>
        <w:numId w:val="1"/>
      </w:numPr>
      <w:tabs>
        <w:tab w:val="clear" w:pos="360"/>
        <w:tab w:val="num" w:pos="1492"/>
      </w:tabs>
      <w:ind w:left="1492"/>
      <w:contextualSpacing/>
    </w:pPr>
  </w:style>
  <w:style w:type="character" w:styleId="Strong">
    <w:name w:val="Strong"/>
    <w:basedOn w:val="DefaultParagraphFont"/>
    <w:uiPriority w:val="99"/>
    <w:qFormat/>
    <w:rPr>
      <w:rFonts w:cs="Times New Roman"/>
      <w:b/>
      <w:bCs/>
    </w:rPr>
  </w:style>
  <w:style w:type="paragraph" w:styleId="ListBullet3">
    <w:name w:val="List Bullet 3"/>
    <w:basedOn w:val="Normal"/>
    <w:uiPriority w:val="99"/>
    <w:pPr>
      <w:numPr>
        <w:numId w:val="2"/>
      </w:numPr>
      <w:tabs>
        <w:tab w:val="clear" w:pos="643"/>
        <w:tab w:val="num" w:pos="926"/>
      </w:tabs>
      <w:spacing w:before="120" w:after="120"/>
      <w:ind w:left="926"/>
      <w:contextualSpacing/>
      <w:jc w:val="both"/>
    </w:pPr>
    <w:rPr>
      <w:szCs w:val="22"/>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ManualHeading3">
    <w:name w:val="Manual Heading 3"/>
    <w:basedOn w:val="Normal"/>
    <w:next w:val="Normal"/>
    <w:uiPriority w:val="99"/>
    <w:pPr>
      <w:keepNext/>
      <w:tabs>
        <w:tab w:val="left" w:pos="850"/>
      </w:tabs>
      <w:spacing w:before="120" w:after="120"/>
      <w:ind w:left="850" w:hanging="850"/>
      <w:jc w:val="both"/>
      <w:outlineLvl w:val="2"/>
    </w:pPr>
    <w:rPr>
      <w:i/>
      <w:lang w:eastAsia="en-US"/>
    </w:rPr>
  </w:style>
  <w:style w:type="paragraph" w:customStyle="1" w:styleId="Style1">
    <w:name w:val="Style1"/>
    <w:basedOn w:val="ManualHeading1"/>
    <w:autoRedefine/>
    <w:qFormat/>
    <w:pPr>
      <w:ind w:left="720" w:hanging="360"/>
    </w:pPr>
    <w:rPr>
      <w:noProof/>
    </w:rPr>
  </w:style>
  <w:style w:type="paragraph" w:customStyle="1" w:styleId="Style2">
    <w:name w:val="Style2"/>
    <w:basedOn w:val="ManualHeading2"/>
    <w:autoRedefine/>
    <w:qFormat/>
    <w:pPr>
      <w:numPr>
        <w:ilvl w:val="1"/>
        <w:numId w:val="13"/>
      </w:numPr>
    </w:pPr>
  </w:style>
  <w:style w:type="paragraph" w:customStyle="1" w:styleId="Style3">
    <w:name w:val="Style3"/>
    <w:basedOn w:val="ManualHeading1"/>
    <w:autoRedefine/>
    <w:qFormat/>
    <w:pPr>
      <w:numPr>
        <w:numId w:val="12"/>
      </w:numPr>
    </w:pPr>
    <w:rPr>
      <w:noProof/>
    </w:rPr>
  </w:style>
  <w:style w:type="paragraph" w:customStyle="1" w:styleId="CM1">
    <w:name w:val="CM1"/>
    <w:basedOn w:val="Default"/>
    <w:next w:val="Default"/>
    <w:uiPriority w:val="99"/>
    <w:rPr>
      <w:rFonts w:ascii="KOJOD P+ Adv T T 5843c 571" w:hAnsi="KOJOD P+ Adv T T 5843c 571"/>
      <w:color w:val="auto"/>
      <w:lang w:eastAsia="de-DE"/>
    </w:rPr>
  </w:style>
  <w:style w:type="paragraph" w:customStyle="1" w:styleId="CM3">
    <w:name w:val="CM3"/>
    <w:basedOn w:val="Default"/>
    <w:next w:val="Default"/>
    <w:uiPriority w:val="99"/>
    <w:rPr>
      <w:rFonts w:ascii="KOJOD P+ Adv T T 5843c 571" w:hAnsi="KOJOD P+ Adv T T 5843c 571"/>
      <w:color w:val="auto"/>
      <w:lang w:eastAsia="de-DE"/>
    </w:rPr>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st">
    <w:name w:val="st"/>
    <w:basedOn w:val="DefaultParagraphFont"/>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autoRedefine/>
    <w:uiPriority w:val="99"/>
    <w:qFormat/>
    <w:pPr>
      <w:keepNext/>
      <w:spacing w:before="240" w:after="120"/>
      <w:outlineLvl w:val="0"/>
    </w:pPr>
    <w:rPr>
      <w:rFonts w:ascii="Arial" w:hAnsi="Arial" w:cs="Arial"/>
      <w:b/>
      <w:bCs/>
      <w:kern w:val="32"/>
      <w:sz w:val="32"/>
      <w:szCs w:val="32"/>
    </w:rPr>
  </w:style>
  <w:style w:type="paragraph" w:styleId="Heading2">
    <w:name w:val="heading 2"/>
    <w:basedOn w:val="Normal"/>
    <w:next w:val="Normal"/>
    <w:link w:val="Heading2Char"/>
    <w:autoRedefine/>
    <w:uiPriority w:val="99"/>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link w:val="Heading3Char"/>
    <w:autoRedefine/>
    <w:uiPriority w:val="99"/>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link w:val="Heading4Char"/>
    <w:uiPriority w:val="99"/>
    <w:qFormat/>
    <w:pPr>
      <w:keepNext/>
      <w:numPr>
        <w:ilvl w:val="3"/>
      </w:numPr>
      <w:tabs>
        <w:tab w:val="num" w:pos="1030"/>
      </w:tabs>
      <w:spacing w:before="120" w:after="120"/>
      <w:ind w:left="1030" w:hanging="850"/>
      <w:jc w:val="both"/>
      <w:outlineLvl w:val="3"/>
    </w:pPr>
    <w:rPr>
      <w:b/>
      <w:bCs/>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9"/>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uiPriority w:val="99"/>
    <w:rPr>
      <w:rFonts w:ascii="Arial" w:eastAsia="Times New Roman" w:hAnsi="Arial" w:cs="Arial"/>
      <w:b/>
      <w:bCs/>
      <w:i/>
      <w:sz w:val="26"/>
      <w:szCs w:val="26"/>
      <w:lang w:eastAsia="en-GB"/>
    </w:rPr>
  </w:style>
  <w:style w:type="character" w:customStyle="1" w:styleId="Heading4Char">
    <w:name w:val="Heading 4 Char"/>
    <w:basedOn w:val="DefaultParagraphFont"/>
    <w:link w:val="Heading4"/>
    <w:uiPriority w:val="99"/>
    <w:rPr>
      <w:rFonts w:ascii="Times New Roman" w:eastAsia="Times New Roman" w:hAnsi="Times New Roman" w:cs="Times New Roman"/>
      <w:b/>
      <w:bCs/>
      <w:sz w:val="24"/>
      <w:szCs w:val="28"/>
      <w:lang w:eastAsia="de-DE"/>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pPr>
      <w:ind w:left="720" w:hanging="720"/>
      <w:jc w:val="both"/>
    </w:pPr>
    <w:rPr>
      <w:sz w:val="20"/>
      <w:szCs w:val="20"/>
      <w:lang w:eastAsia="de-DE"/>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fr-FR" w:eastAsia="de-DE"/>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basedOn w:val="DefaultParagraphFont"/>
    <w:rPr>
      <w:rFonts w:cs="Times New Roman"/>
      <w:vertAlign w:val="superscript"/>
    </w:rPr>
  </w:style>
  <w:style w:type="paragraph" w:customStyle="1" w:styleId="Text1">
    <w:name w:val="Text 1"/>
    <w:basedOn w:val="Normal"/>
    <w:uiPriority w:val="99"/>
    <w:pPr>
      <w:spacing w:before="120" w:after="120"/>
      <w:ind w:left="850"/>
      <w:jc w:val="both"/>
    </w:pPr>
    <w:rPr>
      <w:lang w:eastAsia="de-DE"/>
    </w:rPr>
  </w:style>
  <w:style w:type="paragraph" w:customStyle="1" w:styleId="Tiret0">
    <w:name w:val="Tiret 0"/>
    <w:basedOn w:val="Normal"/>
    <w:uiPriority w:val="99"/>
    <w:pPr>
      <w:numPr>
        <w:numId w:val="3"/>
      </w:numPr>
      <w:spacing w:before="120" w:after="120"/>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Normal"/>
    <w:pPr>
      <w:keepNext/>
      <w:numPr>
        <w:numId w:val="5"/>
      </w:numPr>
      <w:spacing w:before="360" w:after="120"/>
      <w:jc w:val="both"/>
      <w:outlineLvl w:val="1"/>
    </w:pPr>
    <w:rPr>
      <w:b/>
      <w:noProof/>
      <w:lang w:eastAsia="en-US"/>
    </w:rPr>
  </w:style>
  <w:style w:type="paragraph" w:customStyle="1" w:styleId="ListDash">
    <w:name w:val="List Dash"/>
    <w:basedOn w:val="Normal"/>
    <w:link w:val="ListDashChar"/>
    <w:uiPriority w:val="99"/>
    <w:pPr>
      <w:spacing w:before="120" w:after="120"/>
      <w:jc w:val="both"/>
    </w:pPr>
    <w:rPr>
      <w:szCs w:val="20"/>
      <w:lang w:eastAsia="de-DE"/>
    </w:rPr>
  </w:style>
  <w:style w:type="paragraph" w:styleId="TOCHeading">
    <w:name w:val="TOC Heading"/>
    <w:basedOn w:val="Normal"/>
    <w:next w:val="Normal"/>
    <w:uiPriority w:val="99"/>
    <w:qFormat/>
    <w:pPr>
      <w:spacing w:before="120" w:after="240"/>
      <w:jc w:val="center"/>
    </w:pPr>
    <w:rPr>
      <w:b/>
      <w:sz w:val="28"/>
      <w:lang w:eastAsia="de-DE"/>
    </w:rPr>
  </w:style>
  <w:style w:type="paragraph" w:customStyle="1" w:styleId="Prliminairetitre">
    <w:name w:val="Préliminaire titre"/>
    <w:basedOn w:val="Normal"/>
    <w:next w:val="Normal"/>
    <w:uiPriority w:val="99"/>
    <w:pPr>
      <w:spacing w:before="360" w:after="360"/>
      <w:jc w:val="center"/>
    </w:pPr>
    <w:rPr>
      <w:b/>
      <w:lang w:eastAsia="de-DE"/>
    </w:rPr>
  </w:style>
  <w:style w:type="paragraph" w:customStyle="1" w:styleId="Prliminairetype">
    <w:name w:val="Préliminaire type"/>
    <w:basedOn w:val="Normal"/>
    <w:next w:val="Normal"/>
    <w:uiPriority w:val="99"/>
    <w:pPr>
      <w:spacing w:before="360"/>
      <w:jc w:val="center"/>
    </w:pPr>
    <w:rPr>
      <w:b/>
      <w:lang w:eastAsia="de-DE"/>
    </w:rPr>
  </w:style>
  <w:style w:type="character" w:styleId="Hyperlink">
    <w:name w:val="Hyperlink"/>
    <w:basedOn w:val="DefaultParagraphFont"/>
    <w:uiPriority w:val="99"/>
    <w:rPr>
      <w:rFonts w:cs="Times New Roman"/>
      <w:color w:val="0000FF"/>
      <w:u w:val="single"/>
    </w:rPr>
  </w:style>
  <w:style w:type="character" w:customStyle="1" w:styleId="Marker">
    <w:name w:val="Marker"/>
    <w:uiPriority w:val="99"/>
    <w:rPr>
      <w:color w:val="0000FF"/>
      <w:shd w:val="clear" w:color="auto" w:fill="auto"/>
    </w:rPr>
  </w:style>
  <w:style w:type="paragraph" w:customStyle="1" w:styleId="Pagedecouverture">
    <w:name w:val="Page de couverture"/>
    <w:basedOn w:val="Normal"/>
    <w:next w:val="Normal"/>
    <w:uiPriority w:val="99"/>
    <w:pPr>
      <w:spacing w:before="120" w:after="120"/>
      <w:jc w:val="both"/>
    </w:pPr>
    <w:rPr>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FooterCoverPage">
    <w:name w:val="Footer Cover Page"/>
    <w:basedOn w:val="Normal"/>
    <w:uiPriority w:val="99"/>
    <w:pPr>
      <w:tabs>
        <w:tab w:val="center" w:pos="4535"/>
        <w:tab w:val="right" w:pos="9071"/>
        <w:tab w:val="right" w:pos="9921"/>
      </w:tabs>
      <w:spacing w:before="360"/>
      <w:ind w:left="-850" w:right="-850"/>
    </w:pPr>
  </w:style>
  <w:style w:type="paragraph" w:customStyle="1" w:styleId="HeaderCoverPage">
    <w:name w:val="Header Cover Page"/>
    <w:basedOn w:val="Normal"/>
    <w:uiPriority w:val="99"/>
    <w:pPr>
      <w:tabs>
        <w:tab w:val="center" w:pos="4535"/>
        <w:tab w:val="right" w:pos="9071"/>
      </w:tabs>
      <w:spacing w:after="120"/>
      <w:jc w:val="both"/>
    </w:pPr>
  </w:style>
  <w:style w:type="paragraph" w:styleId="TOC2">
    <w:name w:val="toc 2"/>
    <w:basedOn w:val="Normal"/>
    <w:next w:val="Normal"/>
    <w:autoRedefine/>
    <w:uiPriority w:val="39"/>
    <w:pPr>
      <w:tabs>
        <w:tab w:val="left" w:pos="720"/>
        <w:tab w:val="right" w:leader="dot" w:pos="9061"/>
      </w:tabs>
      <w:ind w:left="709" w:hanging="469"/>
    </w:pPr>
    <w:rPr>
      <w:smallCaps/>
      <w:sz w:val="20"/>
      <w:szCs w:val="20"/>
    </w:rPr>
  </w:style>
  <w:style w:type="paragraph" w:styleId="TOC3">
    <w:name w:val="toc 3"/>
    <w:basedOn w:val="Normal"/>
    <w:next w:val="Normal"/>
    <w:autoRedefine/>
    <w:uiPriority w:val="39"/>
    <w:pPr>
      <w:tabs>
        <w:tab w:val="left" w:pos="1200"/>
        <w:tab w:val="right" w:leader="dot" w:pos="9061"/>
      </w:tabs>
      <w:ind w:left="1276" w:hanging="796"/>
    </w:pPr>
    <w:rPr>
      <w:i/>
      <w:iCs/>
      <w:sz w:val="20"/>
      <w:szCs w:val="20"/>
    </w:rPr>
  </w:style>
  <w:style w:type="paragraph" w:styleId="TOC4">
    <w:name w:val="toc 4"/>
    <w:basedOn w:val="Normal"/>
    <w:next w:val="Normal"/>
    <w:autoRedefine/>
    <w:uiPriority w:val="99"/>
    <w:semiHidden/>
    <w:pPr>
      <w:ind w:left="720"/>
    </w:pPr>
    <w:rPr>
      <w:sz w:val="18"/>
      <w:szCs w:val="18"/>
    </w:rPr>
  </w:style>
  <w:style w:type="paragraph" w:styleId="TOC5">
    <w:name w:val="toc 5"/>
    <w:basedOn w:val="Normal"/>
    <w:next w:val="Normal"/>
    <w:autoRedefine/>
    <w:uiPriority w:val="99"/>
    <w:semiHidden/>
    <w:pPr>
      <w:ind w:left="960"/>
    </w:pPr>
    <w:rPr>
      <w:sz w:val="18"/>
      <w:szCs w:val="18"/>
    </w:rPr>
  </w:style>
  <w:style w:type="paragraph" w:styleId="TOC6">
    <w:name w:val="toc 6"/>
    <w:basedOn w:val="Normal"/>
    <w:next w:val="Normal"/>
    <w:autoRedefine/>
    <w:uiPriority w:val="99"/>
    <w:semiHidden/>
    <w:pPr>
      <w:ind w:left="1200"/>
    </w:pPr>
    <w:rPr>
      <w:sz w:val="18"/>
      <w:szCs w:val="18"/>
    </w:rPr>
  </w:style>
  <w:style w:type="paragraph" w:styleId="TOC7">
    <w:name w:val="toc 7"/>
    <w:basedOn w:val="Normal"/>
    <w:next w:val="Normal"/>
    <w:autoRedefine/>
    <w:uiPriority w:val="99"/>
    <w:semiHidden/>
    <w:pPr>
      <w:ind w:left="1440"/>
    </w:pPr>
    <w:rPr>
      <w:sz w:val="18"/>
      <w:szCs w:val="18"/>
    </w:rPr>
  </w:style>
  <w:style w:type="paragraph" w:styleId="TOC8">
    <w:name w:val="toc 8"/>
    <w:basedOn w:val="Normal"/>
    <w:next w:val="Normal"/>
    <w:autoRedefine/>
    <w:uiPriority w:val="99"/>
    <w:semiHidden/>
    <w:pPr>
      <w:ind w:left="1680"/>
    </w:pPr>
    <w:rPr>
      <w:sz w:val="18"/>
      <w:szCs w:val="18"/>
    </w:rPr>
  </w:style>
  <w:style w:type="paragraph" w:styleId="TOC9">
    <w:name w:val="toc 9"/>
    <w:basedOn w:val="Normal"/>
    <w:next w:val="Normal"/>
    <w:autoRedefine/>
    <w:uiPriority w:val="99"/>
    <w:semiHidden/>
    <w:pPr>
      <w:ind w:left="1920"/>
    </w:pPr>
    <w:rPr>
      <w:sz w:val="18"/>
      <w:szCs w:val="18"/>
    </w:rPr>
  </w:style>
  <w:style w:type="paragraph" w:styleId="ListBullet">
    <w:name w:val="List Bullet"/>
    <w:basedOn w:val="Normal"/>
    <w:uiPriority w:val="99"/>
    <w:pPr>
      <w:numPr>
        <w:numId w:val="4"/>
      </w:numPr>
      <w:spacing w:before="120" w:after="120"/>
      <w:jc w:val="both"/>
    </w:pPr>
    <w:rPr>
      <w:lang w:eastAsia="de-DE"/>
    </w:rPr>
  </w:style>
  <w:style w:type="paragraph" w:customStyle="1" w:styleId="ListDash2">
    <w:name w:val="List Dash 2"/>
    <w:basedOn w:val="Normal"/>
    <w:uiPriority w:val="99"/>
    <w:pPr>
      <w:tabs>
        <w:tab w:val="num" w:pos="1134"/>
      </w:tabs>
      <w:spacing w:before="120" w:after="120"/>
      <w:ind w:left="1134" w:hanging="283"/>
      <w:jc w:val="both"/>
    </w:pPr>
    <w:rPr>
      <w:lang w:eastAsia="de-DE"/>
    </w:rPr>
  </w:style>
  <w:style w:type="paragraph" w:customStyle="1" w:styleId="ListBullet1">
    <w:name w:val="List Bullet 1"/>
    <w:basedOn w:val="Text1"/>
    <w:uiPriority w:val="99"/>
    <w:pPr>
      <w:tabs>
        <w:tab w:val="num" w:pos="765"/>
      </w:tabs>
      <w:spacing w:before="0" w:after="240"/>
      <w:ind w:left="765" w:hanging="283"/>
    </w:pPr>
    <w:rPr>
      <w:szCs w:val="20"/>
      <w:lang w:eastAsia="en-US"/>
    </w:rPr>
  </w:style>
  <w:style w:type="paragraph" w:styleId="ListBullet2">
    <w:name w:val="List Bullet 2"/>
    <w:basedOn w:val="Normal"/>
    <w:uiPriority w:val="99"/>
    <w:pPr>
      <w:numPr>
        <w:numId w:val="6"/>
      </w:numPr>
      <w:spacing w:after="240"/>
      <w:jc w:val="both"/>
    </w:pPr>
    <w:rPr>
      <w:szCs w:val="20"/>
      <w:lang w:eastAsia="en-US"/>
    </w:rPr>
  </w:style>
  <w:style w:type="table" w:styleId="TableGrid">
    <w:name w:val="Table Grid"/>
    <w:basedOn w:val="TableNormal"/>
    <w:uiPriority w:val="9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Pr>
      <w:rFonts w:cs="Times New Roman"/>
      <w:color w:val="800080"/>
      <w:u w:val="single"/>
    </w:rPr>
  </w:style>
  <w:style w:type="paragraph" w:customStyle="1" w:styleId="Typedudocument">
    <w:name w:val="Type du document"/>
    <w:basedOn w:val="Normal"/>
    <w:next w:val="Titreobjet"/>
    <w:uiPriority w:val="99"/>
    <w:pPr>
      <w:spacing w:before="360"/>
      <w:jc w:val="center"/>
    </w:pPr>
    <w:rPr>
      <w:b/>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 w:type="character" w:styleId="Emphasis">
    <w:name w:val="Emphasis"/>
    <w:basedOn w:val="DefaultParagraphFont"/>
    <w:uiPriority w:val="20"/>
    <w:qFormat/>
    <w:rPr>
      <w:rFonts w:cs="Times New Roman"/>
      <w:i/>
    </w:rPr>
  </w:style>
  <w:style w:type="paragraph" w:styleId="NormalWeb">
    <w:name w:val="Normal (Web)"/>
    <w:basedOn w:val="Normal"/>
    <w:uiPriority w:val="99"/>
    <w:pPr>
      <w:spacing w:before="100" w:beforeAutospacing="1" w:after="100" w:afterAutospacing="1"/>
    </w:pPr>
  </w:style>
  <w:style w:type="paragraph" w:customStyle="1" w:styleId="Text2">
    <w:name w:val="Text 2"/>
    <w:basedOn w:val="Normal"/>
    <w:uiPriority w:val="99"/>
    <w:pPr>
      <w:spacing w:before="120" w:after="120"/>
      <w:ind w:left="850"/>
      <w:jc w:val="both"/>
    </w:pPr>
    <w:rPr>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ListNumber">
    <w:name w:val="List Number"/>
    <w:basedOn w:val="Normal"/>
    <w:uiPriority w:val="99"/>
    <w:pPr>
      <w:numPr>
        <w:numId w:val="7"/>
      </w:numPr>
      <w:spacing w:before="120" w:after="120"/>
      <w:jc w:val="both"/>
    </w:pPr>
    <w:rPr>
      <w:lang w:eastAsia="de-DE"/>
    </w:rPr>
  </w:style>
  <w:style w:type="paragraph" w:customStyle="1" w:styleId="ListNumberLevel2">
    <w:name w:val="List Number (Level 2)"/>
    <w:basedOn w:val="Normal"/>
    <w:uiPriority w:val="99"/>
    <w:pPr>
      <w:numPr>
        <w:ilvl w:val="1"/>
        <w:numId w:val="7"/>
      </w:numPr>
      <w:spacing w:before="120" w:after="120"/>
      <w:jc w:val="both"/>
    </w:pPr>
    <w:rPr>
      <w:lang w:eastAsia="de-DE"/>
    </w:rPr>
  </w:style>
  <w:style w:type="paragraph" w:customStyle="1" w:styleId="ListNumberLevel3">
    <w:name w:val="List Number (Level 3)"/>
    <w:basedOn w:val="Normal"/>
    <w:uiPriority w:val="99"/>
    <w:pPr>
      <w:numPr>
        <w:ilvl w:val="2"/>
        <w:numId w:val="7"/>
      </w:numPr>
      <w:spacing w:before="120" w:after="120"/>
      <w:jc w:val="both"/>
    </w:pPr>
    <w:rPr>
      <w:lang w:eastAsia="de-DE"/>
    </w:rPr>
  </w:style>
  <w:style w:type="paragraph" w:customStyle="1" w:styleId="ListNumberLevel4">
    <w:name w:val="List Number (Level 4)"/>
    <w:basedOn w:val="Normal"/>
    <w:uiPriority w:val="99"/>
    <w:pPr>
      <w:numPr>
        <w:ilvl w:val="3"/>
        <w:numId w:val="7"/>
      </w:numPr>
      <w:spacing w:before="120" w:after="120"/>
      <w:jc w:val="both"/>
    </w:pPr>
    <w:rPr>
      <w:lang w:eastAsia="de-DE"/>
    </w:rPr>
  </w:style>
  <w:style w:type="character" w:customStyle="1" w:styleId="ListDashChar">
    <w:name w:val="List Dash Char"/>
    <w:link w:val="ListDash"/>
    <w:uiPriority w:val="99"/>
    <w:locked/>
    <w:rPr>
      <w:rFonts w:ascii="Times New Roman" w:eastAsia="Times New Roman" w:hAnsi="Times New Roman" w:cs="Times New Roman"/>
      <w:sz w:val="24"/>
      <w:szCs w:val="20"/>
      <w:lang w:val="fr-FR" w:eastAsia="de-DE"/>
    </w:rPr>
  </w:style>
  <w:style w:type="paragraph" w:customStyle="1" w:styleId="StyleManualHeading2Italic">
    <w:name w:val="Style Manual Heading 2 + Italic"/>
    <w:basedOn w:val="ManualHeading2"/>
    <w:autoRedefine/>
    <w:uiPriority w:val="99"/>
    <w:pPr>
      <w:numPr>
        <w:numId w:val="0"/>
      </w:numPr>
      <w:spacing w:before="160" w:after="160"/>
    </w:pPr>
    <w:rPr>
      <w:bCs/>
      <w:i/>
      <w:iCs/>
    </w:rPr>
  </w:style>
  <w:style w:type="paragraph" w:customStyle="1" w:styleId="NormalCentered">
    <w:name w:val="Normal Centered"/>
    <w:basedOn w:val="Normal"/>
    <w:uiPriority w:val="99"/>
    <w:pPr>
      <w:spacing w:before="120" w:after="120"/>
      <w:jc w:val="center"/>
    </w:pPr>
    <w:rPr>
      <w:lang w:eastAsia="de-DE"/>
    </w:rPr>
  </w:style>
  <w:style w:type="paragraph" w:customStyle="1" w:styleId="NormalRight">
    <w:name w:val="Normal Right"/>
    <w:basedOn w:val="Normal"/>
    <w:uiPriority w:val="99"/>
    <w:pPr>
      <w:spacing w:before="120" w:after="120"/>
      <w:jc w:val="right"/>
    </w:pPr>
    <w:rPr>
      <w:lang w:eastAsia="de-DE"/>
    </w:rPr>
  </w:style>
  <w:style w:type="paragraph" w:customStyle="1" w:styleId="NormalLeft">
    <w:name w:val="Normal Left"/>
    <w:basedOn w:val="Normal"/>
    <w:uiPriority w:val="99"/>
    <w:pPr>
      <w:spacing w:before="120" w:after="120"/>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Statut">
    <w:name w:val="Statut"/>
    <w:basedOn w:val="Normal"/>
    <w:next w:val="Typedudocument"/>
    <w:uiPriority w:val="99"/>
    <w:pPr>
      <w:spacing w:before="360"/>
      <w:jc w:val="center"/>
    </w:pPr>
    <w:rPr>
      <w:szCs w:val="22"/>
      <w:lang w:eastAsia="en-US"/>
    </w:rPr>
  </w:style>
  <w:style w:type="paragraph" w:customStyle="1" w:styleId="Footnoter">
    <w:name w:val="Footnote r"/>
    <w:basedOn w:val="Normal"/>
    <w:uiPriority w:val="99"/>
    <w:pPr>
      <w:shd w:val="clear" w:color="auto" w:fill="F2F8FB"/>
      <w:spacing w:before="100" w:beforeAutospacing="1" w:after="100" w:afterAutospacing="1"/>
    </w:pPr>
    <w:rPr>
      <w:szCs w:val="22"/>
    </w:rPr>
  </w:style>
  <w:style w:type="character" w:customStyle="1" w:styleId="hps">
    <w:name w:val="hps"/>
    <w:uiPriority w:val="99"/>
  </w:style>
  <w:style w:type="paragraph" w:customStyle="1" w:styleId="Point0number">
    <w:name w:val="Point 0 (number)"/>
    <w:basedOn w:val="Normal"/>
    <w:uiPriority w:val="99"/>
    <w:pPr>
      <w:numPr>
        <w:numId w:val="8"/>
      </w:numPr>
      <w:spacing w:before="120" w:after="120"/>
      <w:jc w:val="both"/>
    </w:pPr>
    <w:rPr>
      <w:szCs w:val="22"/>
    </w:rPr>
  </w:style>
  <w:style w:type="paragraph" w:customStyle="1" w:styleId="Point1number">
    <w:name w:val="Point 1 (number)"/>
    <w:basedOn w:val="Normal"/>
    <w:uiPriority w:val="99"/>
    <w:pPr>
      <w:numPr>
        <w:ilvl w:val="2"/>
        <w:numId w:val="8"/>
      </w:numPr>
      <w:spacing w:before="120" w:after="120"/>
      <w:jc w:val="both"/>
    </w:pPr>
    <w:rPr>
      <w:szCs w:val="22"/>
    </w:rPr>
  </w:style>
  <w:style w:type="paragraph" w:customStyle="1" w:styleId="Point2number">
    <w:name w:val="Point 2 (number)"/>
    <w:basedOn w:val="Normal"/>
    <w:uiPriority w:val="99"/>
    <w:pPr>
      <w:numPr>
        <w:ilvl w:val="4"/>
        <w:numId w:val="8"/>
      </w:numPr>
      <w:spacing w:before="120" w:after="120"/>
      <w:jc w:val="both"/>
    </w:pPr>
    <w:rPr>
      <w:szCs w:val="22"/>
    </w:rPr>
  </w:style>
  <w:style w:type="paragraph" w:customStyle="1" w:styleId="Point3number">
    <w:name w:val="Point 3 (number)"/>
    <w:basedOn w:val="Normal"/>
    <w:uiPriority w:val="99"/>
    <w:pPr>
      <w:numPr>
        <w:ilvl w:val="6"/>
        <w:numId w:val="8"/>
      </w:numPr>
      <w:spacing w:before="120" w:after="120"/>
      <w:jc w:val="both"/>
    </w:pPr>
    <w:rPr>
      <w:szCs w:val="22"/>
    </w:rPr>
  </w:style>
  <w:style w:type="paragraph" w:customStyle="1" w:styleId="Point0letter">
    <w:name w:val="Point 0 (letter)"/>
    <w:basedOn w:val="Normal"/>
    <w:uiPriority w:val="99"/>
    <w:pPr>
      <w:numPr>
        <w:ilvl w:val="1"/>
        <w:numId w:val="8"/>
      </w:numPr>
      <w:spacing w:before="120" w:after="120"/>
      <w:jc w:val="both"/>
    </w:pPr>
    <w:rPr>
      <w:szCs w:val="22"/>
    </w:rPr>
  </w:style>
  <w:style w:type="paragraph" w:customStyle="1" w:styleId="Point1letter">
    <w:name w:val="Point 1 (letter)"/>
    <w:basedOn w:val="Normal"/>
    <w:uiPriority w:val="99"/>
    <w:pPr>
      <w:numPr>
        <w:ilvl w:val="3"/>
        <w:numId w:val="8"/>
      </w:numPr>
      <w:spacing w:before="120" w:after="120"/>
      <w:jc w:val="both"/>
    </w:pPr>
    <w:rPr>
      <w:szCs w:val="22"/>
    </w:rPr>
  </w:style>
  <w:style w:type="paragraph" w:customStyle="1" w:styleId="Point2letter">
    <w:name w:val="Point 2 (letter)"/>
    <w:basedOn w:val="Normal"/>
    <w:uiPriority w:val="99"/>
    <w:pPr>
      <w:numPr>
        <w:ilvl w:val="5"/>
        <w:numId w:val="8"/>
      </w:numPr>
      <w:spacing w:before="120" w:after="120"/>
      <w:jc w:val="both"/>
    </w:pPr>
    <w:rPr>
      <w:szCs w:val="22"/>
    </w:rPr>
  </w:style>
  <w:style w:type="paragraph" w:customStyle="1" w:styleId="Point3letter">
    <w:name w:val="Point 3 (letter)"/>
    <w:basedOn w:val="Normal"/>
    <w:uiPriority w:val="99"/>
    <w:pPr>
      <w:numPr>
        <w:ilvl w:val="7"/>
        <w:numId w:val="8"/>
      </w:numPr>
      <w:spacing w:before="120" w:after="120"/>
      <w:jc w:val="both"/>
    </w:pPr>
    <w:rPr>
      <w:szCs w:val="22"/>
    </w:rPr>
  </w:style>
  <w:style w:type="paragraph" w:customStyle="1" w:styleId="Point4letter">
    <w:name w:val="Point 4 (letter)"/>
    <w:basedOn w:val="Normal"/>
    <w:uiPriority w:val="99"/>
    <w:pPr>
      <w:numPr>
        <w:ilvl w:val="8"/>
        <w:numId w:val="8"/>
      </w:numPr>
      <w:spacing w:before="120" w:after="120"/>
      <w:jc w:val="both"/>
    </w:pPr>
    <w:rPr>
      <w:szCs w:val="22"/>
    </w:rPr>
  </w:style>
  <w:style w:type="paragraph" w:customStyle="1" w:styleId="Tiret2">
    <w:name w:val="Tiret 2"/>
    <w:basedOn w:val="Normal"/>
    <w:uiPriority w:val="99"/>
    <w:pPr>
      <w:numPr>
        <w:numId w:val="9"/>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
    <w:basedOn w:val="Normal"/>
    <w:link w:val="ListParagraphChar"/>
    <w:uiPriority w:val="34"/>
    <w:qFormat/>
    <w:pPr>
      <w:spacing w:after="200" w:line="276" w:lineRule="auto"/>
      <w:ind w:left="720"/>
      <w:contextualSpacing/>
    </w:pPr>
    <w:rPr>
      <w:rFonts w:ascii="Calibri" w:eastAsia="MS Mincho" w:hAnsi="Calibri"/>
      <w:sz w:val="22"/>
      <w:szCs w:val="20"/>
      <w:lang w:eastAsia="de-D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99"/>
    <w:locked/>
    <w:rPr>
      <w:rFonts w:ascii="Calibri" w:eastAsia="MS Mincho" w:hAnsi="Calibri" w:cs="Times New Roman"/>
      <w:szCs w:val="20"/>
      <w:lang w:val="fr-FR" w:eastAsia="de-DE"/>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lang w:eastAsia="de-DE"/>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fr-FR" w:eastAsia="de-DE"/>
    </w:rPr>
  </w:style>
  <w:style w:type="paragraph" w:styleId="ListNumber5">
    <w:name w:val="List Number 5"/>
    <w:basedOn w:val="Normal"/>
    <w:uiPriority w:val="99"/>
    <w:pPr>
      <w:numPr>
        <w:numId w:val="1"/>
      </w:numPr>
      <w:tabs>
        <w:tab w:val="clear" w:pos="360"/>
        <w:tab w:val="num" w:pos="1492"/>
      </w:tabs>
      <w:ind w:left="1492"/>
      <w:contextualSpacing/>
    </w:pPr>
  </w:style>
  <w:style w:type="character" w:styleId="Strong">
    <w:name w:val="Strong"/>
    <w:basedOn w:val="DefaultParagraphFont"/>
    <w:uiPriority w:val="99"/>
    <w:qFormat/>
    <w:rPr>
      <w:rFonts w:cs="Times New Roman"/>
      <w:b/>
      <w:bCs/>
    </w:rPr>
  </w:style>
  <w:style w:type="paragraph" w:styleId="ListBullet3">
    <w:name w:val="List Bullet 3"/>
    <w:basedOn w:val="Normal"/>
    <w:uiPriority w:val="99"/>
    <w:pPr>
      <w:numPr>
        <w:numId w:val="2"/>
      </w:numPr>
      <w:tabs>
        <w:tab w:val="clear" w:pos="643"/>
        <w:tab w:val="num" w:pos="926"/>
      </w:tabs>
      <w:spacing w:before="120" w:after="120"/>
      <w:ind w:left="926"/>
      <w:contextualSpacing/>
      <w:jc w:val="both"/>
    </w:pPr>
    <w:rPr>
      <w:szCs w:val="22"/>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ManualHeading3">
    <w:name w:val="Manual Heading 3"/>
    <w:basedOn w:val="Normal"/>
    <w:next w:val="Normal"/>
    <w:uiPriority w:val="99"/>
    <w:pPr>
      <w:keepNext/>
      <w:tabs>
        <w:tab w:val="left" w:pos="850"/>
      </w:tabs>
      <w:spacing w:before="120" w:after="120"/>
      <w:ind w:left="850" w:hanging="850"/>
      <w:jc w:val="both"/>
      <w:outlineLvl w:val="2"/>
    </w:pPr>
    <w:rPr>
      <w:i/>
      <w:lang w:eastAsia="en-US"/>
    </w:rPr>
  </w:style>
  <w:style w:type="paragraph" w:customStyle="1" w:styleId="Style1">
    <w:name w:val="Style1"/>
    <w:basedOn w:val="ManualHeading1"/>
    <w:autoRedefine/>
    <w:qFormat/>
    <w:pPr>
      <w:ind w:left="720" w:hanging="360"/>
    </w:pPr>
    <w:rPr>
      <w:noProof/>
    </w:rPr>
  </w:style>
  <w:style w:type="paragraph" w:customStyle="1" w:styleId="Style2">
    <w:name w:val="Style2"/>
    <w:basedOn w:val="ManualHeading2"/>
    <w:autoRedefine/>
    <w:qFormat/>
    <w:pPr>
      <w:numPr>
        <w:ilvl w:val="1"/>
        <w:numId w:val="13"/>
      </w:numPr>
    </w:pPr>
  </w:style>
  <w:style w:type="paragraph" w:customStyle="1" w:styleId="Style3">
    <w:name w:val="Style3"/>
    <w:basedOn w:val="ManualHeading1"/>
    <w:autoRedefine/>
    <w:qFormat/>
    <w:pPr>
      <w:numPr>
        <w:numId w:val="12"/>
      </w:numPr>
    </w:pPr>
    <w:rPr>
      <w:noProof/>
    </w:rPr>
  </w:style>
  <w:style w:type="paragraph" w:customStyle="1" w:styleId="CM1">
    <w:name w:val="CM1"/>
    <w:basedOn w:val="Default"/>
    <w:next w:val="Default"/>
    <w:uiPriority w:val="99"/>
    <w:rPr>
      <w:rFonts w:ascii="KOJOD P+ Adv T T 5843c 571" w:hAnsi="KOJOD P+ Adv T T 5843c 571"/>
      <w:color w:val="auto"/>
      <w:lang w:eastAsia="de-DE"/>
    </w:rPr>
  </w:style>
  <w:style w:type="paragraph" w:customStyle="1" w:styleId="CM3">
    <w:name w:val="CM3"/>
    <w:basedOn w:val="Default"/>
    <w:next w:val="Default"/>
    <w:uiPriority w:val="99"/>
    <w:rPr>
      <w:rFonts w:ascii="KOJOD P+ Adv T T 5843c 571" w:hAnsi="KOJOD P+ Adv T T 5843c 571"/>
      <w:color w:val="auto"/>
      <w:lang w:eastAsia="de-DE"/>
    </w:rPr>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st">
    <w:name w:val="st"/>
    <w:basedOn w:val="DefaultParagraphFont"/>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23401">
      <w:bodyDiv w:val="1"/>
      <w:marLeft w:val="0"/>
      <w:marRight w:val="0"/>
      <w:marTop w:val="0"/>
      <w:marBottom w:val="0"/>
      <w:divBdr>
        <w:top w:val="none" w:sz="0" w:space="0" w:color="auto"/>
        <w:left w:val="none" w:sz="0" w:space="0" w:color="auto"/>
        <w:bottom w:val="none" w:sz="0" w:space="0" w:color="auto"/>
        <w:right w:val="none" w:sz="0" w:space="0" w:color="auto"/>
      </w:divBdr>
    </w:div>
    <w:div w:id="170419442">
      <w:bodyDiv w:val="1"/>
      <w:marLeft w:val="0"/>
      <w:marRight w:val="0"/>
      <w:marTop w:val="0"/>
      <w:marBottom w:val="0"/>
      <w:divBdr>
        <w:top w:val="none" w:sz="0" w:space="0" w:color="auto"/>
        <w:left w:val="none" w:sz="0" w:space="0" w:color="auto"/>
        <w:bottom w:val="none" w:sz="0" w:space="0" w:color="auto"/>
        <w:right w:val="none" w:sz="0" w:space="0" w:color="auto"/>
      </w:divBdr>
    </w:div>
    <w:div w:id="172570039">
      <w:bodyDiv w:val="1"/>
      <w:marLeft w:val="0"/>
      <w:marRight w:val="0"/>
      <w:marTop w:val="0"/>
      <w:marBottom w:val="0"/>
      <w:divBdr>
        <w:top w:val="none" w:sz="0" w:space="0" w:color="auto"/>
        <w:left w:val="none" w:sz="0" w:space="0" w:color="auto"/>
        <w:bottom w:val="none" w:sz="0" w:space="0" w:color="auto"/>
        <w:right w:val="none" w:sz="0" w:space="0" w:color="auto"/>
      </w:divBdr>
    </w:div>
    <w:div w:id="883835045">
      <w:bodyDiv w:val="1"/>
      <w:marLeft w:val="0"/>
      <w:marRight w:val="0"/>
      <w:marTop w:val="0"/>
      <w:marBottom w:val="0"/>
      <w:divBdr>
        <w:top w:val="none" w:sz="0" w:space="0" w:color="auto"/>
        <w:left w:val="none" w:sz="0" w:space="0" w:color="auto"/>
        <w:bottom w:val="none" w:sz="0" w:space="0" w:color="auto"/>
        <w:right w:val="none" w:sz="0" w:space="0" w:color="auto"/>
      </w:divBdr>
    </w:div>
    <w:div w:id="1191987678">
      <w:bodyDiv w:val="1"/>
      <w:marLeft w:val="0"/>
      <w:marRight w:val="0"/>
      <w:marTop w:val="0"/>
      <w:marBottom w:val="0"/>
      <w:divBdr>
        <w:top w:val="none" w:sz="0" w:space="0" w:color="auto"/>
        <w:left w:val="none" w:sz="0" w:space="0" w:color="auto"/>
        <w:bottom w:val="none" w:sz="0" w:space="0" w:color="auto"/>
        <w:right w:val="none" w:sz="0" w:space="0" w:color="auto"/>
      </w:divBdr>
    </w:div>
    <w:div w:id="1229656472">
      <w:bodyDiv w:val="1"/>
      <w:marLeft w:val="0"/>
      <w:marRight w:val="0"/>
      <w:marTop w:val="0"/>
      <w:marBottom w:val="0"/>
      <w:divBdr>
        <w:top w:val="none" w:sz="0" w:space="0" w:color="auto"/>
        <w:left w:val="none" w:sz="0" w:space="0" w:color="auto"/>
        <w:bottom w:val="none" w:sz="0" w:space="0" w:color="auto"/>
        <w:right w:val="none" w:sz="0" w:space="0" w:color="auto"/>
      </w:divBdr>
    </w:div>
    <w:div w:id="1485122562">
      <w:bodyDiv w:val="1"/>
      <w:marLeft w:val="0"/>
      <w:marRight w:val="0"/>
      <w:marTop w:val="0"/>
      <w:marBottom w:val="0"/>
      <w:divBdr>
        <w:top w:val="none" w:sz="0" w:space="0" w:color="auto"/>
        <w:left w:val="none" w:sz="0" w:space="0" w:color="auto"/>
        <w:bottom w:val="none" w:sz="0" w:space="0" w:color="auto"/>
        <w:right w:val="none" w:sz="0" w:space="0" w:color="auto"/>
      </w:divBdr>
    </w:div>
    <w:div w:id="1498888538">
      <w:bodyDiv w:val="1"/>
      <w:marLeft w:val="0"/>
      <w:marRight w:val="0"/>
      <w:marTop w:val="0"/>
      <w:marBottom w:val="0"/>
      <w:divBdr>
        <w:top w:val="none" w:sz="0" w:space="0" w:color="auto"/>
        <w:left w:val="none" w:sz="0" w:space="0" w:color="auto"/>
        <w:bottom w:val="none" w:sz="0" w:space="0" w:color="auto"/>
        <w:right w:val="none" w:sz="0" w:space="0" w:color="auto"/>
      </w:divBdr>
    </w:div>
    <w:div w:id="1687826205">
      <w:bodyDiv w:val="1"/>
      <w:marLeft w:val="0"/>
      <w:marRight w:val="0"/>
      <w:marTop w:val="0"/>
      <w:marBottom w:val="0"/>
      <w:divBdr>
        <w:top w:val="none" w:sz="0" w:space="0" w:color="auto"/>
        <w:left w:val="none" w:sz="0" w:space="0" w:color="auto"/>
        <w:bottom w:val="none" w:sz="0" w:space="0" w:color="auto"/>
        <w:right w:val="none" w:sz="0" w:space="0" w:color="auto"/>
      </w:divBdr>
    </w:div>
    <w:div w:id="181641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s://eur-lex.europa.eu/budget/www/index-fr.htm" TargetMode="Externa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71060-5C65-4FC3-AA5F-F1815D8AD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5254</Words>
  <Characters>26328</Characters>
  <Application>Microsoft Office Word</Application>
  <DocSecurity>0</DocSecurity>
  <Lines>877</Lines>
  <Paragraphs>563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2019-10-09T16:22:00Z</dcterms:created>
  <dcterms:modified xsi:type="dcterms:W3CDTF">2019-10-28T12:21:00Z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CP-035</vt:lpwstr>
  </property>
</Properties>
</file>