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8FA621C2-87F7-44F8-A3CB-DE30FA17738B" style="width:450.5pt;height:293.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jc w:val="center"/>
        <w:rPr>
          <w:rFonts w:ascii="Times New Roman Bold" w:hAnsi="Times New Roman Bold"/>
          <w:b/>
          <w:smallCaps/>
          <w:noProof/>
        </w:rPr>
      </w:pPr>
      <w:bookmarkStart w:id="1" w:name="_GoBack"/>
      <w:bookmarkEnd w:id="1"/>
      <w:r>
        <w:rPr>
          <w:rFonts w:ascii="Times New Roman Bold" w:hAnsi="Times New Roman Bold"/>
          <w:b/>
          <w:smallCaps/>
          <w:noProof/>
        </w:rPr>
        <w:lastRenderedPageBreak/>
        <w:t>Rapport 2019 sur la situation économique et sociale de Gozo (Malte)</w:t>
      </w:r>
    </w:p>
    <w:p>
      <w:pPr>
        <w:rPr>
          <w:noProof/>
        </w:rPr>
      </w:pPr>
      <w:r>
        <w:rPr>
          <w:noProof/>
        </w:rPr>
        <w:t>Sans préjudice des négociations en cours sur le cadre financier pluriannuel pour la période 2021-2027, et conformément à la déclaration nº 36 sur la région insulaire de Gozo annexée au traité d’adhésion de Malte, le gouvernement de Malte a demandé en février 2019 à la Commission de présenter au Conseil un rapport sur la situation économique et sociale de Gozo et, en particulier, sur les disparités dans les niveaux de développement social et économique existant entre Gozo et Malte et de proposer des mesures appropriées pour permettre que l’intégration de Gozo dans le marché intérieur se poursuive.</w:t>
      </w:r>
    </w:p>
    <w:p>
      <w:pPr>
        <w:rPr>
          <w:noProof/>
        </w:rPr>
      </w:pPr>
      <w:r>
        <w:rPr>
          <w:noProof/>
        </w:rPr>
        <w:t>Le présent rapport évalue l’état de développement de Gozo et l’évolution des disparités à Malte. Il fournit une évaluation en examinant les tendances récentes sur une série de dimensions et d’indicateurs pertinents pour le développement de Gozo, à savoir la démographie et le marché du travail, la structure de l’économie et la croissance économique, la géographie et l’accessibilité. Ce document propose également une comparaison de Gozo avec le reste de Malte, ainsi qu’avec d’autres régions européennes. Enfin, il analyse comment la politique de cohésion répond aux besoins de développement de Gozo.</w:t>
      </w:r>
    </w:p>
    <w:p>
      <w:pPr>
        <w:rPr>
          <w:noProof/>
        </w:rPr>
      </w:pPr>
      <w:r>
        <w:rPr>
          <w:noProof/>
        </w:rPr>
        <w:t xml:space="preserve">Le présent rapport utilise les statistiques régionales produites par Eurostat et par l’office maltais des statistiques. </w:t>
      </w:r>
    </w:p>
    <w:p>
      <w:pPr>
        <w:pStyle w:val="Heading1"/>
        <w:rPr>
          <w:noProof/>
        </w:rPr>
      </w:pPr>
      <w:r>
        <w:rPr>
          <w:noProof/>
        </w:rPr>
        <w:t>Analyse de la situation économique et sociale de Gozo</w:t>
      </w:r>
    </w:p>
    <w:p>
      <w:pPr>
        <w:pStyle w:val="Heading2"/>
        <w:rPr>
          <w:noProof/>
        </w:rPr>
      </w:pPr>
      <w:r>
        <w:rPr>
          <w:noProof/>
        </w:rPr>
        <w:t>Géographie et utilisation des terres</w:t>
      </w:r>
    </w:p>
    <w:p>
      <w:pPr>
        <w:pStyle w:val="Text2"/>
        <w:ind w:left="476"/>
        <w:rPr>
          <w:noProof/>
        </w:rPr>
      </w:pPr>
      <w:r>
        <w:rPr>
          <w:noProof/>
        </w:rPr>
        <w:t>Gozo est la deuxième île la plus importante de l’archipel maltais en termes de surface et de population. Elle est située à 5 km au nord-ouest de l’île de Malte. L’île de Comino est située entre Malte et Gozo, à moins d’un kilomètre de Gozo et elle est presque inhabitée</w:t>
      </w:r>
      <w:r>
        <w:rPr>
          <w:rStyle w:val="FootnoteReference"/>
          <w:noProof/>
        </w:rPr>
        <w:footnoteReference w:id="2"/>
      </w:r>
      <w:r>
        <w:rPr>
          <w:noProof/>
        </w:rPr>
        <w:t>. En termes d’utilisation et d’occupation des terres</w:t>
      </w:r>
      <w:r>
        <w:rPr>
          <w:rStyle w:val="FootnoteReference"/>
          <w:noProof/>
        </w:rPr>
        <w:footnoteReference w:id="3"/>
      </w:r>
      <w:r>
        <w:rPr>
          <w:noProof/>
        </w:rPr>
        <w:t>, le tissu urbain représente 21 % de la superficie de Gozo et de Comino, tandis que l’agriculture, les espaces naturels et les forêts représentent 77,5 % de la superficie. En comparaison, l’île principale de Malte présente un taux d’utilisation des terres légèrement supérieur pour l’utilisation urbaine (23 %) et les unités industrielles, commerciales et de transport (5,7 %) par rapport à l’agriculture, aux espaces naturels et aux forêts (66,7 %). L’utilisation des terres reflète la densité de population et le degré d’industrialisation plus élevés à Malte qu’à Gozo, ainsi que le rôle majeur de l’agriculture dans l’économie de Gozo.</w:t>
      </w:r>
    </w:p>
    <w:p>
      <w:pPr>
        <w:pStyle w:val="Text2"/>
        <w:ind w:left="476"/>
        <w:rPr>
          <w:noProof/>
        </w:rPr>
      </w:pPr>
      <w:r>
        <w:rPr>
          <w:noProof/>
        </w:rPr>
        <w:t xml:space="preserve">En ce qui concerne sa classification statistique en tant que région, Malte est un pays, une région NUTS 1 et une région NUTS 2. Au niveau NUTS 3, Malte est divisée en deux régions: l’île de Malte et les îles de Gozo et de Comino. </w:t>
      </w:r>
    </w:p>
    <w:p>
      <w:pPr>
        <w:pStyle w:val="Text2"/>
        <w:keepNext/>
        <w:ind w:left="0"/>
        <w:rPr>
          <w:b/>
          <w:noProof/>
        </w:rPr>
      </w:pPr>
      <w:r>
        <w:rPr>
          <w:b/>
          <w:noProof/>
        </w:rPr>
        <w:t>Carte 1. Utilisation et occupation des terres à Malte, à Gozo et à Comino</w:t>
      </w:r>
    </w:p>
    <w:p>
      <w:pPr>
        <w:pStyle w:val="Text2"/>
        <w:ind w:left="0"/>
        <w:rPr>
          <w:noProof/>
        </w:rPr>
      </w:pPr>
      <w:r>
        <w:rPr>
          <w:noProof/>
          <w:lang w:val="en-GB"/>
        </w:rPr>
        <w:drawing>
          <wp:inline distT="0" distB="0" distL="0" distR="0">
            <wp:extent cx="5472430" cy="37619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72430" cy="3761908"/>
                    </a:xfrm>
                    <a:prstGeom prst="rect">
                      <a:avLst/>
                    </a:prstGeom>
                    <a:noFill/>
                    <a:ln>
                      <a:noFill/>
                    </a:ln>
                  </pic:spPr>
                </pic:pic>
              </a:graphicData>
            </a:graphic>
          </wp:inline>
        </w:drawing>
      </w:r>
    </w:p>
    <w:p>
      <w:pPr>
        <w:pStyle w:val="Text2"/>
        <w:ind w:left="0"/>
        <w:rPr>
          <w:i/>
          <w:noProof/>
          <w:sz w:val="20"/>
          <w:lang w:val="en-US"/>
        </w:rPr>
      </w:pPr>
      <w:r>
        <w:rPr>
          <w:i/>
          <w:noProof/>
          <w:sz w:val="20"/>
          <w:lang w:val="en-US"/>
        </w:rPr>
        <w:t>Source: inventaire CORINE Land Cover 2018.</w:t>
      </w:r>
    </w:p>
    <w:p>
      <w:pPr>
        <w:pStyle w:val="Heading2"/>
        <w:rPr>
          <w:noProof/>
        </w:rPr>
      </w:pPr>
      <w:r>
        <w:rPr>
          <w:noProof/>
        </w:rPr>
        <w:t>Population</w:t>
      </w:r>
    </w:p>
    <w:p>
      <w:pPr>
        <w:pStyle w:val="Text2"/>
        <w:ind w:left="476"/>
        <w:rPr>
          <w:noProof/>
        </w:rPr>
      </w:pPr>
      <w:r>
        <w:rPr>
          <w:noProof/>
        </w:rPr>
        <w:t>En janvier 2018, Gozo comptait 32 723 habitants, soit environ 6,9 % de la population maltaise. La densité de population de Gozo en 2018 était de 474,5 habitants par km</w:t>
      </w:r>
      <w:r>
        <w:rPr>
          <w:noProof/>
          <w:vertAlign w:val="superscript"/>
        </w:rPr>
        <w:t>2</w:t>
      </w:r>
      <w:r>
        <w:rPr>
          <w:noProof/>
        </w:rPr>
        <w:t>, soit environ un quart de celle de l’île de Malte (1 793,8 habitants par km</w:t>
      </w:r>
      <w:r>
        <w:rPr>
          <w:noProof/>
          <w:vertAlign w:val="superscript"/>
        </w:rPr>
        <w:t>2</w:t>
      </w:r>
      <w:r>
        <w:rPr>
          <w:noProof/>
        </w:rPr>
        <w:t xml:space="preserve"> la même année). Environ 21 % de la population vit à Victoria (également connue sous le nom de Rabat), la plus grande ville de l’île de Gozo. </w:t>
      </w:r>
    </w:p>
    <w:p>
      <w:pPr>
        <w:pStyle w:val="Text2"/>
        <w:ind w:left="476"/>
        <w:rPr>
          <w:noProof/>
        </w:rPr>
      </w:pPr>
      <w:r>
        <w:rPr>
          <w:noProof/>
        </w:rPr>
        <w:t>En termes absolus, la population de Gozo a augmenté d’environ 1 700 habitants entre 2006 et 2018. En termes relatifs, la population de Gozo a augmenté en moyenne de 0,4 % par an sur la période 2006-2018, par rapport à un taux de croissance de 1,4 % (soit une augmentation de 69 000 habitants) pour la population résidant sur l’île de Malte sur la même période, également alimentée par une augmentation significative des migrations à compter de 2012. Cette différence de croissance a entraîné une diminution de la part de la population maltaise vivant à Gozo de 7,7 % en 2006 à 6,9 % en 2018.</w:t>
      </w:r>
    </w:p>
    <w:p>
      <w:pPr>
        <w:pStyle w:val="Text2"/>
        <w:ind w:left="476"/>
        <w:rPr>
          <w:noProof/>
        </w:rPr>
      </w:pPr>
      <w:r>
        <w:rPr>
          <w:noProof/>
        </w:rPr>
        <w:t xml:space="preserve">L’un des facteurs à l’origine de cette évolution est le vieillissement de la population. La part de la population âgée de 65 ans et plus vivant à Gozo a augmenté de 8 points de pourcentage entre 2006 et 2018, par rapport à une augmentation de 2 points de pourcentage pour l’île de Malte. Bien que les deux régions présentent des tendances significatives au vieillissement, la part de la population en âge de travailler (15-64 ans) de l’île de Malte est généralement supérieure de 2 points de pourcentage à celle de l’île de Gozo. </w:t>
      </w:r>
    </w:p>
    <w:p>
      <w:pPr>
        <w:pStyle w:val="Text2"/>
        <w:keepNext/>
        <w:ind w:left="0"/>
        <w:rPr>
          <w:b/>
          <w:noProof/>
        </w:rPr>
      </w:pPr>
      <w:r>
        <w:rPr>
          <w:b/>
          <w:noProof/>
        </w:rPr>
        <w:t>Graphique 1. Évolution de la part de la population en âge de travailler (15-64 ans) par rapport à la population résidente totale dans les régions de Malte, de Gozo et de Comino, 2006-2018</w:t>
      </w:r>
    </w:p>
    <w:p>
      <w:pPr>
        <w:pStyle w:val="Text2"/>
        <w:ind w:left="0"/>
        <w:rPr>
          <w:noProof/>
        </w:rPr>
      </w:pPr>
      <w:r>
        <w:rPr>
          <w:noProof/>
          <w:lang w:val="en-GB"/>
        </w:rPr>
        <w:drawing>
          <wp:inline distT="0" distB="0" distL="0" distR="0">
            <wp:extent cx="5472430" cy="2585669"/>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2430" cy="2585669"/>
                    </a:xfrm>
                    <a:prstGeom prst="rect">
                      <a:avLst/>
                    </a:prstGeom>
                    <a:noFill/>
                    <a:ln>
                      <a:noFill/>
                    </a:ln>
                  </pic:spPr>
                </pic:pic>
              </a:graphicData>
            </a:graphic>
          </wp:inline>
        </w:drawing>
      </w:r>
    </w:p>
    <w:p>
      <w:pPr>
        <w:pStyle w:val="Text2"/>
        <w:ind w:left="0"/>
        <w:rPr>
          <w:i/>
          <w:noProof/>
          <w:sz w:val="20"/>
        </w:rPr>
      </w:pPr>
      <w:r>
        <w:rPr>
          <w:i/>
          <w:noProof/>
          <w:sz w:val="20"/>
        </w:rPr>
        <w:t>Source: Eurostat</w:t>
      </w:r>
    </w:p>
    <w:p>
      <w:pPr>
        <w:pStyle w:val="Heading2"/>
        <w:rPr>
          <w:noProof/>
        </w:rPr>
      </w:pPr>
      <w:r>
        <w:rPr>
          <w:noProof/>
        </w:rPr>
        <w:t>Développement économique</w:t>
      </w:r>
    </w:p>
    <w:p>
      <w:pPr>
        <w:pStyle w:val="Text2"/>
        <w:ind w:left="476"/>
        <w:rPr>
          <w:noProof/>
        </w:rPr>
      </w:pPr>
      <w:r>
        <w:rPr>
          <w:noProof/>
        </w:rPr>
        <w:t xml:space="preserve">En 2017, le PIB par habitant de Gozo, en standards de pouvoir d’achat, correspondait à 60 % de la moyenne de l’EU-28, soit un niveau nettement inférieur à celui de Malte, qui correspond approximativement à la moyenne de l’EU-28. De 2000 à 2011, le PIB par habitant de l’île de Malte est resté inférieur à la moyenne de l’UE. L’écart a commencé à se réduire à partir de 2012. En comparaison, le PIB par habitant à Gozo a diminué par rapport à la moyenne de l’UE entre 2000 et 2007. À partir de 2008, cette tendance à la baisse s’est interrompue. La région a commencé à converger vers la moyenne de l’UE à partir de 2013, mais à un rythme plus lent que l’île principale. </w:t>
      </w:r>
    </w:p>
    <w:p>
      <w:pPr>
        <w:pStyle w:val="Text2"/>
        <w:ind w:left="476"/>
        <w:rPr>
          <w:noProof/>
        </w:rPr>
      </w:pPr>
      <w:r>
        <w:rPr>
          <w:noProof/>
        </w:rPr>
        <w:t xml:space="preserve">L’écart de développement économique relatif entre les deux îles s’est creusé de 2000 à 2017, passant de 26 à 41 points de pourcentage. Il convient toutefois de noter que la relative proximité des deux îles permet aux travailleurs de faire la navette vers l’île de Malte tout en vivant à Gozo. En effet, plus de 20 % de la main-d’œuvre résidente de Gozo travaille sur l’île de Malte. Le PIB par habitant mesure les activités économiques du point de vue de la production et ne tient pas compte du revenu des ménages. Par conséquent, le bien-être économique réel des citoyens de Gozo est sous-estimé par le PIB par habitant. </w:t>
      </w:r>
    </w:p>
    <w:p>
      <w:pPr>
        <w:pStyle w:val="Text2"/>
        <w:ind w:left="476"/>
        <w:rPr>
          <w:noProof/>
        </w:rPr>
      </w:pPr>
      <w:r>
        <w:rPr>
          <w:noProof/>
        </w:rPr>
        <w:t xml:space="preserve">En ce qui concerne la composition sectorielle de la valeur ajoutée brute entre les deux régions, l’économie de Gozo repose généralement davantage sur les secteurs de l’agriculture et de la pêche (+ 3 points de pourcentage) et de la construction (+ 5 points de pourcentage) que l’île de Malte et moins sur les services financiers, d’assurance, immobiliers et autres (- 4 points de pourcentage).  </w:t>
      </w:r>
    </w:p>
    <w:p>
      <w:pPr>
        <w:spacing w:after="0"/>
        <w:jc w:val="left"/>
        <w:rPr>
          <w:noProof/>
        </w:rPr>
      </w:pPr>
      <w:r>
        <w:rPr>
          <w:noProof/>
        </w:rPr>
        <w:br w:type="page"/>
      </w:r>
    </w:p>
    <w:p>
      <w:pPr>
        <w:spacing w:after="0"/>
        <w:rPr>
          <w:noProof/>
        </w:rPr>
      </w:pPr>
    </w:p>
    <w:p>
      <w:pPr>
        <w:pStyle w:val="Text2"/>
        <w:ind w:left="0"/>
        <w:rPr>
          <w:b/>
          <w:noProof/>
        </w:rPr>
      </w:pPr>
      <w:r>
        <w:rPr>
          <w:b/>
          <w:noProof/>
        </w:rPr>
        <w:t>Graphique 2. Évolution du PIB par habitant en standards de pouvoir d’achat dans les régions de Malte, de Gozo et de Comino, 2000-2017 (EU-28 = 100)</w:t>
      </w:r>
    </w:p>
    <w:p>
      <w:pPr>
        <w:pStyle w:val="Text2"/>
        <w:ind w:left="476"/>
        <w:rPr>
          <w:noProof/>
        </w:rPr>
      </w:pPr>
      <w:r>
        <w:rPr>
          <w:noProof/>
          <w:lang w:val="en-GB"/>
        </w:rPr>
        <w:drawing>
          <wp:inline distT="0" distB="0" distL="0" distR="0">
            <wp:extent cx="5472430" cy="3197113"/>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72430" cy="3197113"/>
                    </a:xfrm>
                    <a:prstGeom prst="rect">
                      <a:avLst/>
                    </a:prstGeom>
                    <a:noFill/>
                    <a:ln>
                      <a:noFill/>
                    </a:ln>
                  </pic:spPr>
                </pic:pic>
              </a:graphicData>
            </a:graphic>
          </wp:inline>
        </w:drawing>
      </w:r>
    </w:p>
    <w:p>
      <w:pPr>
        <w:pStyle w:val="Text2"/>
        <w:ind w:left="0"/>
        <w:rPr>
          <w:i/>
          <w:noProof/>
          <w:sz w:val="20"/>
        </w:rPr>
      </w:pPr>
      <w:r>
        <w:rPr>
          <w:i/>
          <w:noProof/>
          <w:sz w:val="20"/>
        </w:rPr>
        <w:t>Source: Eurostat</w:t>
      </w:r>
    </w:p>
    <w:p>
      <w:pPr>
        <w:pStyle w:val="Text2"/>
        <w:ind w:left="0"/>
        <w:rPr>
          <w:b/>
          <w:noProof/>
        </w:rPr>
      </w:pPr>
      <w:r>
        <w:rPr>
          <w:b/>
          <w:noProof/>
        </w:rPr>
        <w:t>Graphique 3. Composition de la valeur ajoutée brute en 2016 dans les régions de Malte, de Gozo et de Comino</w:t>
      </w:r>
    </w:p>
    <w:p>
      <w:pPr>
        <w:pStyle w:val="Text2"/>
        <w:ind w:left="-851" w:firstLine="851"/>
        <w:rPr>
          <w:noProof/>
        </w:rPr>
      </w:pPr>
      <w:r>
        <w:rPr>
          <w:noProof/>
          <w:lang w:val="en-GB"/>
        </w:rPr>
        <w:drawing>
          <wp:inline distT="0" distB="0" distL="0" distR="0">
            <wp:extent cx="5472430" cy="215961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72430" cy="2159618"/>
                    </a:xfrm>
                    <a:prstGeom prst="rect">
                      <a:avLst/>
                    </a:prstGeom>
                    <a:noFill/>
                    <a:ln>
                      <a:noFill/>
                    </a:ln>
                  </pic:spPr>
                </pic:pic>
              </a:graphicData>
            </a:graphic>
          </wp:inline>
        </w:drawing>
      </w:r>
    </w:p>
    <w:p>
      <w:pPr>
        <w:pStyle w:val="Text2"/>
        <w:ind w:left="0"/>
        <w:rPr>
          <w:i/>
          <w:noProof/>
          <w:sz w:val="20"/>
        </w:rPr>
      </w:pPr>
      <w:r>
        <w:rPr>
          <w:i/>
          <w:noProof/>
          <w:sz w:val="20"/>
        </w:rPr>
        <w:t>Source: Eurostat</w:t>
      </w:r>
    </w:p>
    <w:p>
      <w:pPr>
        <w:pStyle w:val="Heading2"/>
        <w:rPr>
          <w:noProof/>
        </w:rPr>
      </w:pPr>
      <w:r>
        <w:rPr>
          <w:noProof/>
        </w:rPr>
        <w:t>Marché du travail</w:t>
      </w:r>
    </w:p>
    <w:p>
      <w:pPr>
        <w:pStyle w:val="Text2"/>
        <w:ind w:left="476"/>
        <w:rPr>
          <w:noProof/>
        </w:rPr>
      </w:pPr>
      <w:r>
        <w:rPr>
          <w:noProof/>
        </w:rPr>
        <w:t>L’évolution de l’emploi a été similaire à Malte et à Gozo sur la période 2015-2017, avec des taux de croissance annuels compris entre 5 % et 6 %, Gozo enregistrant une augmentation légèrement supérieure de l’emploi entre 2016 et 2017 par rapport à Malte. Sur les deux îles, le taux d’emploi a augmenté au cours de la même période, Gozo affichant une croissance plus rapide (environ + 4 points de pourcentage par an) entre 2015 et 2017 que Malte. En 2017, le taux d’emploi de Gozo (74 %) dépasse celui de Malte (72 %).</w:t>
      </w:r>
    </w:p>
    <w:p>
      <w:pPr>
        <w:pStyle w:val="Text2"/>
        <w:ind w:left="476"/>
        <w:rPr>
          <w:noProof/>
        </w:rPr>
      </w:pPr>
      <w:r>
        <w:rPr>
          <w:noProof/>
        </w:rPr>
        <w:t xml:space="preserve">La proximité entre les deux îles et la fréquence des liaisons par ferry permettent de faire la navette entre Gozo et Malte: si l’on compare l’emploi par lieu de résidence et l’emploi par lieu de travail, plus de 3 500 résidents de Gozo travaillent effectivement sur l’île de Malte, ce qui correspond à environ 22 % de la population active résidente.  </w:t>
      </w:r>
    </w:p>
    <w:p>
      <w:pPr>
        <w:pStyle w:val="Text2"/>
        <w:ind w:left="0"/>
        <w:rPr>
          <w:b/>
          <w:noProof/>
        </w:rPr>
      </w:pPr>
      <w:r>
        <w:rPr>
          <w:b/>
          <w:noProof/>
        </w:rPr>
        <w:t xml:space="preserve">Tableau 1. Emploi par lieu de résidence et par lieu de travail à Malte, à Gozo et à Comino et taux d’emploi </w:t>
      </w:r>
    </w:p>
    <w:tbl>
      <w:tblPr>
        <w:tblW w:w="7360" w:type="dxa"/>
        <w:jc w:val="center"/>
        <w:tblLook w:val="04A0" w:firstRow="1" w:lastRow="0" w:firstColumn="1" w:lastColumn="0" w:noHBand="0" w:noVBand="1"/>
      </w:tblPr>
      <w:tblGrid>
        <w:gridCol w:w="2510"/>
        <w:gridCol w:w="944"/>
        <w:gridCol w:w="944"/>
        <w:gridCol w:w="944"/>
        <w:gridCol w:w="1746"/>
        <w:gridCol w:w="1746"/>
      </w:tblGrid>
      <w:tr>
        <w:trPr>
          <w:trHeight w:val="567"/>
          <w:jc w:val="center"/>
        </w:trPr>
        <w:tc>
          <w:tcPr>
            <w:tcW w:w="2560"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pPr>
              <w:spacing w:after="0"/>
              <w:jc w:val="left"/>
              <w:rPr>
                <w:rFonts w:ascii="Calibri" w:hAnsi="Calibri" w:cs="Calibri"/>
                <w:i/>
                <w:iCs/>
                <w:noProof/>
                <w:color w:val="000000"/>
                <w:sz w:val="22"/>
                <w:szCs w:val="22"/>
              </w:rPr>
            </w:pPr>
            <w:r>
              <w:rPr>
                <w:rFonts w:ascii="Calibri" w:hAnsi="Calibri"/>
                <w:i/>
                <w:iCs/>
                <w:noProof/>
                <w:sz w:val="22"/>
                <w:szCs w:val="22"/>
              </w:rPr>
              <w:t>Emploi par lieu de résidence</w:t>
            </w:r>
          </w:p>
        </w:tc>
        <w:tc>
          <w:tcPr>
            <w:tcW w:w="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pPr>
              <w:spacing w:after="0"/>
              <w:jc w:val="center"/>
              <w:rPr>
                <w:rFonts w:ascii="Calibri" w:hAnsi="Calibri" w:cs="Calibri"/>
                <w:b/>
                <w:bCs/>
                <w:noProof/>
                <w:color w:val="000000"/>
                <w:sz w:val="22"/>
                <w:szCs w:val="22"/>
              </w:rPr>
            </w:pPr>
            <w:r>
              <w:rPr>
                <w:rFonts w:ascii="Calibri" w:hAnsi="Calibri"/>
                <w:b/>
                <w:bCs/>
                <w:noProof/>
                <w:sz w:val="22"/>
                <w:szCs w:val="22"/>
              </w:rPr>
              <w:t>2015</w:t>
            </w:r>
          </w:p>
        </w:tc>
        <w:tc>
          <w:tcPr>
            <w:tcW w:w="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pPr>
              <w:spacing w:after="0"/>
              <w:jc w:val="center"/>
              <w:rPr>
                <w:rFonts w:ascii="Calibri" w:hAnsi="Calibri" w:cs="Calibri"/>
                <w:b/>
                <w:bCs/>
                <w:noProof/>
                <w:color w:val="000000"/>
                <w:sz w:val="22"/>
                <w:szCs w:val="22"/>
              </w:rPr>
            </w:pPr>
            <w:r>
              <w:rPr>
                <w:rFonts w:ascii="Calibri" w:hAnsi="Calibri"/>
                <w:b/>
                <w:bCs/>
                <w:noProof/>
                <w:sz w:val="22"/>
                <w:szCs w:val="22"/>
              </w:rPr>
              <w:t>2016</w:t>
            </w:r>
          </w:p>
        </w:tc>
        <w:tc>
          <w:tcPr>
            <w:tcW w:w="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pPr>
              <w:spacing w:after="0"/>
              <w:jc w:val="center"/>
              <w:rPr>
                <w:rFonts w:ascii="Calibri" w:hAnsi="Calibri" w:cs="Calibri"/>
                <w:b/>
                <w:bCs/>
                <w:noProof/>
                <w:color w:val="000000"/>
                <w:sz w:val="22"/>
                <w:szCs w:val="22"/>
              </w:rPr>
            </w:pPr>
            <w:r>
              <w:rPr>
                <w:rFonts w:ascii="Calibri" w:hAnsi="Calibri"/>
                <w:b/>
                <w:bCs/>
                <w:noProof/>
                <w:sz w:val="22"/>
                <w:szCs w:val="22"/>
              </w:rPr>
              <w:t>2017</w:t>
            </w:r>
          </w:p>
        </w:tc>
        <w:tc>
          <w:tcPr>
            <w:tcW w:w="960" w:type="dxa"/>
            <w:tcBorders>
              <w:top w:val="single" w:sz="4" w:space="0" w:color="auto"/>
              <w:left w:val="nil"/>
              <w:bottom w:val="single" w:sz="4" w:space="0" w:color="auto"/>
              <w:right w:val="single" w:sz="4" w:space="0" w:color="auto"/>
            </w:tcBorders>
            <w:shd w:val="clear" w:color="auto" w:fill="E7E6E6" w:themeFill="background2"/>
            <w:vAlign w:val="bottom"/>
            <w:hideMark/>
          </w:tcPr>
          <w:p>
            <w:pPr>
              <w:spacing w:after="0"/>
              <w:jc w:val="center"/>
              <w:rPr>
                <w:rFonts w:ascii="Calibri" w:hAnsi="Calibri" w:cs="Calibri"/>
                <w:b/>
                <w:bCs/>
                <w:noProof/>
                <w:color w:val="000000"/>
                <w:sz w:val="22"/>
                <w:szCs w:val="22"/>
              </w:rPr>
            </w:pPr>
            <w:r>
              <w:rPr>
                <w:rFonts w:ascii="Calibri" w:hAnsi="Calibri"/>
                <w:b/>
                <w:bCs/>
                <w:noProof/>
                <w:sz w:val="22"/>
                <w:szCs w:val="22"/>
              </w:rPr>
              <w:t>Croissance 15/16</w:t>
            </w:r>
          </w:p>
        </w:tc>
        <w:tc>
          <w:tcPr>
            <w:tcW w:w="960" w:type="dxa"/>
            <w:tcBorders>
              <w:top w:val="single" w:sz="4" w:space="0" w:color="auto"/>
              <w:left w:val="nil"/>
              <w:bottom w:val="single" w:sz="4" w:space="0" w:color="auto"/>
              <w:right w:val="single" w:sz="4" w:space="0" w:color="auto"/>
            </w:tcBorders>
            <w:shd w:val="clear" w:color="auto" w:fill="E7E6E6" w:themeFill="background2"/>
            <w:vAlign w:val="bottom"/>
            <w:hideMark/>
          </w:tcPr>
          <w:p>
            <w:pPr>
              <w:spacing w:after="0"/>
              <w:jc w:val="center"/>
              <w:rPr>
                <w:rFonts w:ascii="Calibri" w:hAnsi="Calibri" w:cs="Calibri"/>
                <w:b/>
                <w:bCs/>
                <w:noProof/>
                <w:color w:val="000000"/>
                <w:sz w:val="22"/>
                <w:szCs w:val="22"/>
              </w:rPr>
            </w:pPr>
            <w:r>
              <w:rPr>
                <w:rFonts w:ascii="Calibri" w:hAnsi="Calibri"/>
                <w:b/>
                <w:bCs/>
                <w:noProof/>
                <w:sz w:val="22"/>
                <w:szCs w:val="22"/>
              </w:rPr>
              <w:t>Croissance 16/17</w:t>
            </w:r>
          </w:p>
        </w:tc>
      </w:tr>
      <w:tr>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sz w:val="22"/>
                <w:szCs w:val="22"/>
              </w:rPr>
              <w:t xml:space="preserve">Malte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194 329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205 002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216 492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cs="Calibri"/>
                <w:noProof/>
                <w:color w:val="000000"/>
                <w:sz w:val="22"/>
                <w:szCs w:val="22"/>
              </w:rPr>
            </w:pPr>
            <w:r>
              <w:rPr>
                <w:rFonts w:ascii="Calibri" w:hAnsi="Calibri"/>
                <w:noProof/>
                <w:sz w:val="22"/>
                <w:szCs w:val="22"/>
              </w:rPr>
              <w:t>5,5 %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cs="Calibri"/>
                <w:noProof/>
                <w:color w:val="000000"/>
                <w:sz w:val="22"/>
                <w:szCs w:val="22"/>
              </w:rPr>
            </w:pPr>
            <w:r>
              <w:rPr>
                <w:rFonts w:ascii="Calibri" w:hAnsi="Calibri"/>
                <w:noProof/>
                <w:sz w:val="22"/>
                <w:szCs w:val="22"/>
              </w:rPr>
              <w:t>5,6 %</w:t>
            </w:r>
          </w:p>
        </w:tc>
      </w:tr>
      <w:tr>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sz w:val="22"/>
                <w:szCs w:val="22"/>
              </w:rPr>
              <w:t>Gozo et Comino</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13 901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14 678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15 677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cs="Calibri"/>
                <w:noProof/>
                <w:color w:val="000000"/>
                <w:sz w:val="22"/>
                <w:szCs w:val="22"/>
              </w:rPr>
            </w:pPr>
            <w:r>
              <w:rPr>
                <w:rFonts w:ascii="Calibri" w:hAnsi="Calibri"/>
                <w:noProof/>
                <w:sz w:val="22"/>
                <w:szCs w:val="22"/>
              </w:rPr>
              <w:t>5,6 %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cs="Calibri"/>
                <w:noProof/>
                <w:color w:val="000000"/>
                <w:sz w:val="22"/>
                <w:szCs w:val="22"/>
              </w:rPr>
            </w:pPr>
            <w:r>
              <w:rPr>
                <w:rFonts w:ascii="Calibri" w:hAnsi="Calibri"/>
                <w:noProof/>
                <w:sz w:val="22"/>
                <w:szCs w:val="22"/>
              </w:rPr>
              <w:t>6,8 %</w:t>
            </w:r>
          </w:p>
        </w:tc>
      </w:tr>
      <w:tr>
        <w:trPr>
          <w:trHeight w:val="600"/>
          <w:jc w:val="center"/>
        </w:trPr>
        <w:tc>
          <w:tcPr>
            <w:tcW w:w="2560" w:type="dxa"/>
            <w:tcBorders>
              <w:top w:val="nil"/>
              <w:left w:val="single" w:sz="4" w:space="0" w:color="auto"/>
              <w:bottom w:val="single" w:sz="4" w:space="0" w:color="auto"/>
              <w:right w:val="single" w:sz="4" w:space="0" w:color="auto"/>
            </w:tcBorders>
            <w:shd w:val="clear" w:color="auto" w:fill="E7E6E6" w:themeFill="background2"/>
            <w:vAlign w:val="bottom"/>
            <w:hideMark/>
          </w:tcPr>
          <w:p>
            <w:pPr>
              <w:spacing w:after="0"/>
              <w:jc w:val="left"/>
              <w:rPr>
                <w:rFonts w:ascii="Calibri" w:hAnsi="Calibri" w:cs="Calibri"/>
                <w:i/>
                <w:iCs/>
                <w:noProof/>
                <w:color w:val="000000"/>
                <w:sz w:val="22"/>
                <w:szCs w:val="22"/>
              </w:rPr>
            </w:pPr>
            <w:r>
              <w:rPr>
                <w:rFonts w:ascii="Calibri" w:hAnsi="Calibri"/>
                <w:i/>
                <w:iCs/>
                <w:noProof/>
                <w:sz w:val="22"/>
                <w:szCs w:val="22"/>
              </w:rPr>
              <w:t>Emploi par lieu de travail</w:t>
            </w:r>
          </w:p>
        </w:tc>
        <w:tc>
          <w:tcPr>
            <w:tcW w:w="960" w:type="dxa"/>
            <w:tcBorders>
              <w:top w:val="nil"/>
              <w:left w:val="nil"/>
              <w:bottom w:val="single" w:sz="4" w:space="0" w:color="auto"/>
              <w:right w:val="single" w:sz="4" w:space="0" w:color="auto"/>
            </w:tcBorders>
            <w:shd w:val="clear" w:color="auto" w:fill="E7E6E6" w:themeFill="background2"/>
            <w:noWrap/>
            <w:vAlign w:val="center"/>
            <w:hideMark/>
          </w:tcPr>
          <w:p>
            <w:pPr>
              <w:spacing w:after="0"/>
              <w:jc w:val="center"/>
              <w:rPr>
                <w:rFonts w:ascii="Calibri" w:hAnsi="Calibri" w:cs="Calibri"/>
                <w:b/>
                <w:bCs/>
                <w:noProof/>
                <w:color w:val="000000"/>
                <w:sz w:val="22"/>
                <w:szCs w:val="22"/>
              </w:rPr>
            </w:pPr>
            <w:r>
              <w:rPr>
                <w:rFonts w:ascii="Calibri" w:hAnsi="Calibri"/>
                <w:b/>
                <w:bCs/>
                <w:noProof/>
                <w:sz w:val="22"/>
                <w:szCs w:val="22"/>
              </w:rPr>
              <w:t>2015</w:t>
            </w:r>
          </w:p>
        </w:tc>
        <w:tc>
          <w:tcPr>
            <w:tcW w:w="960" w:type="dxa"/>
            <w:tcBorders>
              <w:top w:val="nil"/>
              <w:left w:val="nil"/>
              <w:bottom w:val="single" w:sz="4" w:space="0" w:color="auto"/>
              <w:right w:val="single" w:sz="4" w:space="0" w:color="auto"/>
            </w:tcBorders>
            <w:shd w:val="clear" w:color="auto" w:fill="E7E6E6" w:themeFill="background2"/>
            <w:noWrap/>
            <w:vAlign w:val="center"/>
            <w:hideMark/>
          </w:tcPr>
          <w:p>
            <w:pPr>
              <w:spacing w:after="0"/>
              <w:jc w:val="center"/>
              <w:rPr>
                <w:rFonts w:ascii="Calibri" w:hAnsi="Calibri" w:cs="Calibri"/>
                <w:b/>
                <w:bCs/>
                <w:noProof/>
                <w:color w:val="000000"/>
                <w:sz w:val="22"/>
                <w:szCs w:val="22"/>
              </w:rPr>
            </w:pPr>
            <w:r>
              <w:rPr>
                <w:rFonts w:ascii="Calibri" w:hAnsi="Calibri"/>
                <w:b/>
                <w:bCs/>
                <w:noProof/>
                <w:sz w:val="22"/>
                <w:szCs w:val="22"/>
              </w:rPr>
              <w:t>2016</w:t>
            </w:r>
          </w:p>
        </w:tc>
        <w:tc>
          <w:tcPr>
            <w:tcW w:w="960" w:type="dxa"/>
            <w:tcBorders>
              <w:top w:val="nil"/>
              <w:left w:val="nil"/>
              <w:bottom w:val="single" w:sz="4" w:space="0" w:color="auto"/>
              <w:right w:val="single" w:sz="4" w:space="0" w:color="auto"/>
            </w:tcBorders>
            <w:shd w:val="clear" w:color="auto" w:fill="E7E6E6" w:themeFill="background2"/>
            <w:noWrap/>
            <w:vAlign w:val="center"/>
            <w:hideMark/>
          </w:tcPr>
          <w:p>
            <w:pPr>
              <w:spacing w:after="0"/>
              <w:jc w:val="center"/>
              <w:rPr>
                <w:rFonts w:ascii="Calibri" w:hAnsi="Calibri" w:cs="Calibri"/>
                <w:b/>
                <w:bCs/>
                <w:noProof/>
                <w:color w:val="000000"/>
                <w:sz w:val="22"/>
                <w:szCs w:val="22"/>
              </w:rPr>
            </w:pPr>
            <w:r>
              <w:rPr>
                <w:rFonts w:ascii="Calibri" w:hAnsi="Calibri"/>
                <w:b/>
                <w:bCs/>
                <w:noProof/>
                <w:sz w:val="22"/>
                <w:szCs w:val="22"/>
              </w:rPr>
              <w:t>2017</w:t>
            </w:r>
          </w:p>
        </w:tc>
        <w:tc>
          <w:tcPr>
            <w:tcW w:w="960" w:type="dxa"/>
            <w:tcBorders>
              <w:top w:val="nil"/>
              <w:left w:val="nil"/>
              <w:bottom w:val="single" w:sz="4" w:space="0" w:color="auto"/>
              <w:right w:val="single" w:sz="4" w:space="0" w:color="auto"/>
            </w:tcBorders>
            <w:shd w:val="clear" w:color="auto" w:fill="E7E6E6" w:themeFill="background2"/>
            <w:vAlign w:val="bottom"/>
            <w:hideMark/>
          </w:tcPr>
          <w:p>
            <w:pPr>
              <w:spacing w:after="0"/>
              <w:jc w:val="center"/>
              <w:rPr>
                <w:rFonts w:ascii="Calibri" w:hAnsi="Calibri" w:cs="Calibri"/>
                <w:b/>
                <w:bCs/>
                <w:noProof/>
                <w:color w:val="000000"/>
                <w:sz w:val="22"/>
                <w:szCs w:val="22"/>
              </w:rPr>
            </w:pPr>
            <w:r>
              <w:rPr>
                <w:rFonts w:ascii="Calibri" w:hAnsi="Calibri"/>
                <w:b/>
                <w:bCs/>
                <w:noProof/>
                <w:sz w:val="22"/>
                <w:szCs w:val="22"/>
              </w:rPr>
              <w:t>Croissance 15/16</w:t>
            </w:r>
          </w:p>
        </w:tc>
        <w:tc>
          <w:tcPr>
            <w:tcW w:w="960" w:type="dxa"/>
            <w:tcBorders>
              <w:top w:val="nil"/>
              <w:left w:val="nil"/>
              <w:bottom w:val="single" w:sz="4" w:space="0" w:color="auto"/>
              <w:right w:val="single" w:sz="4" w:space="0" w:color="auto"/>
            </w:tcBorders>
            <w:shd w:val="clear" w:color="auto" w:fill="E7E6E6" w:themeFill="background2"/>
            <w:vAlign w:val="bottom"/>
            <w:hideMark/>
          </w:tcPr>
          <w:p>
            <w:pPr>
              <w:spacing w:after="0"/>
              <w:jc w:val="center"/>
              <w:rPr>
                <w:rFonts w:ascii="Calibri" w:hAnsi="Calibri" w:cs="Calibri"/>
                <w:b/>
                <w:bCs/>
                <w:noProof/>
                <w:color w:val="000000"/>
                <w:sz w:val="22"/>
                <w:szCs w:val="22"/>
              </w:rPr>
            </w:pPr>
            <w:r>
              <w:rPr>
                <w:rFonts w:ascii="Calibri" w:hAnsi="Calibri"/>
                <w:b/>
                <w:bCs/>
                <w:noProof/>
                <w:sz w:val="22"/>
                <w:szCs w:val="22"/>
              </w:rPr>
              <w:t>Croissance 16/17</w:t>
            </w:r>
          </w:p>
        </w:tc>
      </w:tr>
      <w:tr>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sz w:val="22"/>
                <w:szCs w:val="22"/>
              </w:rPr>
              <w:t xml:space="preserve">Malte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197 403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208 423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219 998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cs="Calibri"/>
                <w:noProof/>
                <w:color w:val="000000"/>
                <w:sz w:val="22"/>
                <w:szCs w:val="22"/>
              </w:rPr>
            </w:pPr>
            <w:r>
              <w:rPr>
                <w:rFonts w:ascii="Calibri" w:hAnsi="Calibri"/>
                <w:noProof/>
                <w:sz w:val="22"/>
                <w:szCs w:val="22"/>
              </w:rPr>
              <w:t>5,6 %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cs="Calibri"/>
                <w:noProof/>
                <w:color w:val="000000"/>
                <w:sz w:val="22"/>
                <w:szCs w:val="22"/>
              </w:rPr>
            </w:pPr>
            <w:r>
              <w:rPr>
                <w:rFonts w:ascii="Calibri" w:hAnsi="Calibri"/>
                <w:noProof/>
                <w:sz w:val="22"/>
                <w:szCs w:val="22"/>
              </w:rPr>
              <w:t>5,6 %</w:t>
            </w:r>
          </w:p>
        </w:tc>
      </w:tr>
      <w:tr>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sz w:val="22"/>
                <w:szCs w:val="22"/>
              </w:rPr>
              <w:t>Gozo et Comino</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10 827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11 257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12 171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cs="Calibri"/>
                <w:noProof/>
                <w:color w:val="000000"/>
                <w:sz w:val="22"/>
                <w:szCs w:val="22"/>
              </w:rPr>
            </w:pPr>
            <w:r>
              <w:rPr>
                <w:rFonts w:ascii="Calibri" w:hAnsi="Calibri"/>
                <w:noProof/>
                <w:sz w:val="22"/>
                <w:szCs w:val="22"/>
              </w:rPr>
              <w:t>4,0 %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cs="Calibri"/>
                <w:noProof/>
                <w:color w:val="000000"/>
                <w:sz w:val="22"/>
                <w:szCs w:val="22"/>
              </w:rPr>
            </w:pPr>
            <w:r>
              <w:rPr>
                <w:rFonts w:ascii="Calibri" w:hAnsi="Calibri"/>
                <w:noProof/>
                <w:sz w:val="22"/>
                <w:szCs w:val="22"/>
              </w:rPr>
              <w:t>8,1 %</w:t>
            </w:r>
          </w:p>
        </w:tc>
      </w:tr>
      <w:tr>
        <w:trPr>
          <w:trHeight w:val="300"/>
          <w:jc w:val="center"/>
        </w:trPr>
        <w:tc>
          <w:tcPr>
            <w:tcW w:w="2560" w:type="dxa"/>
            <w:tcBorders>
              <w:top w:val="nil"/>
              <w:left w:val="nil"/>
              <w:bottom w:val="nil"/>
              <w:right w:val="nil"/>
            </w:tcBorders>
            <w:shd w:val="clear" w:color="auto" w:fill="auto"/>
            <w:noWrap/>
            <w:vAlign w:val="bottom"/>
            <w:hideMark/>
          </w:tcPr>
          <w:p>
            <w:pPr>
              <w:spacing w:after="0"/>
              <w:jc w:val="center"/>
              <w:rPr>
                <w:rFonts w:ascii="Calibri" w:hAnsi="Calibri" w:cs="Calibri"/>
                <w:noProof/>
                <w:color w:val="000000"/>
                <w:sz w:val="22"/>
                <w:szCs w:val="22"/>
              </w:rPr>
            </w:pPr>
          </w:p>
        </w:tc>
        <w:tc>
          <w:tcPr>
            <w:tcW w:w="960" w:type="dxa"/>
            <w:tcBorders>
              <w:top w:val="nil"/>
              <w:left w:val="nil"/>
              <w:bottom w:val="nil"/>
              <w:right w:val="nil"/>
            </w:tcBorders>
            <w:shd w:val="clear" w:color="auto" w:fill="auto"/>
            <w:noWrap/>
            <w:vAlign w:val="bottom"/>
            <w:hideMark/>
          </w:tcPr>
          <w:p>
            <w:pPr>
              <w:spacing w:after="0"/>
              <w:jc w:val="left"/>
              <w:rPr>
                <w:noProof/>
                <w:sz w:val="20"/>
              </w:rPr>
            </w:pPr>
          </w:p>
        </w:tc>
        <w:tc>
          <w:tcPr>
            <w:tcW w:w="960" w:type="dxa"/>
            <w:tcBorders>
              <w:top w:val="nil"/>
              <w:left w:val="nil"/>
              <w:bottom w:val="nil"/>
              <w:right w:val="nil"/>
            </w:tcBorders>
            <w:shd w:val="clear" w:color="auto" w:fill="auto"/>
            <w:noWrap/>
            <w:vAlign w:val="bottom"/>
            <w:hideMark/>
          </w:tcPr>
          <w:p>
            <w:pPr>
              <w:spacing w:after="0"/>
              <w:jc w:val="left"/>
              <w:rPr>
                <w:noProof/>
                <w:sz w:val="20"/>
              </w:rPr>
            </w:pPr>
          </w:p>
        </w:tc>
        <w:tc>
          <w:tcPr>
            <w:tcW w:w="960" w:type="dxa"/>
            <w:tcBorders>
              <w:top w:val="nil"/>
              <w:left w:val="nil"/>
              <w:bottom w:val="nil"/>
              <w:right w:val="nil"/>
            </w:tcBorders>
            <w:shd w:val="clear" w:color="auto" w:fill="auto"/>
            <w:noWrap/>
            <w:vAlign w:val="bottom"/>
            <w:hideMark/>
          </w:tcPr>
          <w:p>
            <w:pPr>
              <w:spacing w:after="0"/>
              <w:jc w:val="left"/>
              <w:rPr>
                <w:noProof/>
                <w:sz w:val="20"/>
              </w:rPr>
            </w:pPr>
          </w:p>
        </w:tc>
        <w:tc>
          <w:tcPr>
            <w:tcW w:w="960" w:type="dxa"/>
            <w:tcBorders>
              <w:top w:val="nil"/>
              <w:left w:val="nil"/>
              <w:bottom w:val="nil"/>
              <w:right w:val="nil"/>
            </w:tcBorders>
            <w:shd w:val="clear" w:color="auto" w:fill="auto"/>
            <w:noWrap/>
            <w:vAlign w:val="bottom"/>
            <w:hideMark/>
          </w:tcPr>
          <w:p>
            <w:pPr>
              <w:spacing w:after="0"/>
              <w:jc w:val="left"/>
              <w:rPr>
                <w:noProof/>
                <w:sz w:val="20"/>
              </w:rPr>
            </w:pPr>
          </w:p>
        </w:tc>
        <w:tc>
          <w:tcPr>
            <w:tcW w:w="960" w:type="dxa"/>
            <w:tcBorders>
              <w:top w:val="nil"/>
              <w:left w:val="nil"/>
              <w:bottom w:val="nil"/>
              <w:right w:val="nil"/>
            </w:tcBorders>
            <w:shd w:val="clear" w:color="auto" w:fill="auto"/>
            <w:noWrap/>
            <w:vAlign w:val="bottom"/>
            <w:hideMark/>
          </w:tcPr>
          <w:p>
            <w:pPr>
              <w:spacing w:after="0"/>
              <w:jc w:val="left"/>
              <w:rPr>
                <w:noProof/>
                <w:sz w:val="20"/>
              </w:rPr>
            </w:pPr>
          </w:p>
        </w:tc>
      </w:tr>
      <w:tr>
        <w:trPr>
          <w:trHeight w:val="300"/>
          <w:jc w:val="center"/>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i/>
                <w:iCs/>
                <w:noProof/>
                <w:color w:val="000000"/>
                <w:sz w:val="22"/>
                <w:szCs w:val="22"/>
              </w:rPr>
            </w:pPr>
            <w:r>
              <w:rPr>
                <w:rFonts w:ascii="Calibri" w:hAnsi="Calibri"/>
                <w:i/>
                <w:iCs/>
                <w:noProof/>
                <w:sz w:val="22"/>
                <w:szCs w:val="22"/>
              </w:rPr>
              <w:t>Différence (navetteurs)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3 074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3 421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3 506</w:t>
            </w:r>
          </w:p>
        </w:tc>
        <w:tc>
          <w:tcPr>
            <w:tcW w:w="960" w:type="dxa"/>
            <w:tcBorders>
              <w:top w:val="nil"/>
              <w:left w:val="nil"/>
              <w:bottom w:val="nil"/>
              <w:right w:val="nil"/>
            </w:tcBorders>
            <w:shd w:val="clear" w:color="auto" w:fill="auto"/>
            <w:noWrap/>
            <w:vAlign w:val="bottom"/>
            <w:hideMark/>
          </w:tcPr>
          <w:p>
            <w:pPr>
              <w:spacing w:after="0"/>
              <w:jc w:val="right"/>
              <w:rPr>
                <w:rFonts w:ascii="Calibri" w:hAnsi="Calibri" w:cs="Calibri"/>
                <w:noProof/>
                <w:color w:val="000000"/>
                <w:sz w:val="22"/>
                <w:szCs w:val="22"/>
              </w:rPr>
            </w:pPr>
          </w:p>
        </w:tc>
        <w:tc>
          <w:tcPr>
            <w:tcW w:w="960" w:type="dxa"/>
            <w:tcBorders>
              <w:top w:val="nil"/>
              <w:left w:val="nil"/>
              <w:bottom w:val="nil"/>
              <w:right w:val="nil"/>
            </w:tcBorders>
            <w:shd w:val="clear" w:color="auto" w:fill="auto"/>
            <w:noWrap/>
            <w:vAlign w:val="bottom"/>
            <w:hideMark/>
          </w:tcPr>
          <w:p>
            <w:pPr>
              <w:spacing w:after="0"/>
              <w:jc w:val="left"/>
              <w:rPr>
                <w:noProof/>
                <w:sz w:val="20"/>
              </w:rPr>
            </w:pPr>
          </w:p>
        </w:tc>
      </w:tr>
      <w:tr>
        <w:trPr>
          <w:trHeight w:val="300"/>
          <w:jc w:val="center"/>
        </w:trPr>
        <w:tc>
          <w:tcPr>
            <w:tcW w:w="2560" w:type="dxa"/>
            <w:tcBorders>
              <w:top w:val="nil"/>
              <w:left w:val="nil"/>
              <w:bottom w:val="nil"/>
              <w:right w:val="nil"/>
            </w:tcBorders>
            <w:shd w:val="clear" w:color="auto" w:fill="auto"/>
            <w:noWrap/>
            <w:vAlign w:val="bottom"/>
            <w:hideMark/>
          </w:tcPr>
          <w:p>
            <w:pPr>
              <w:spacing w:after="0"/>
              <w:jc w:val="left"/>
              <w:rPr>
                <w:noProof/>
                <w:sz w:val="20"/>
              </w:rPr>
            </w:pPr>
          </w:p>
        </w:tc>
        <w:tc>
          <w:tcPr>
            <w:tcW w:w="960" w:type="dxa"/>
            <w:tcBorders>
              <w:top w:val="nil"/>
              <w:left w:val="nil"/>
              <w:bottom w:val="nil"/>
              <w:right w:val="nil"/>
            </w:tcBorders>
            <w:shd w:val="clear" w:color="auto" w:fill="auto"/>
            <w:noWrap/>
            <w:vAlign w:val="bottom"/>
            <w:hideMark/>
          </w:tcPr>
          <w:p>
            <w:pPr>
              <w:spacing w:after="0"/>
              <w:jc w:val="left"/>
              <w:rPr>
                <w:noProof/>
                <w:sz w:val="20"/>
              </w:rPr>
            </w:pPr>
          </w:p>
        </w:tc>
        <w:tc>
          <w:tcPr>
            <w:tcW w:w="960" w:type="dxa"/>
            <w:tcBorders>
              <w:top w:val="nil"/>
              <w:left w:val="nil"/>
              <w:bottom w:val="nil"/>
              <w:right w:val="nil"/>
            </w:tcBorders>
            <w:shd w:val="clear" w:color="auto" w:fill="auto"/>
            <w:noWrap/>
            <w:vAlign w:val="bottom"/>
            <w:hideMark/>
          </w:tcPr>
          <w:p>
            <w:pPr>
              <w:spacing w:after="0"/>
              <w:jc w:val="left"/>
              <w:rPr>
                <w:noProof/>
                <w:sz w:val="20"/>
              </w:rPr>
            </w:pPr>
          </w:p>
        </w:tc>
        <w:tc>
          <w:tcPr>
            <w:tcW w:w="960" w:type="dxa"/>
            <w:tcBorders>
              <w:top w:val="nil"/>
              <w:left w:val="nil"/>
              <w:bottom w:val="nil"/>
              <w:right w:val="nil"/>
            </w:tcBorders>
            <w:shd w:val="clear" w:color="auto" w:fill="auto"/>
            <w:noWrap/>
            <w:vAlign w:val="bottom"/>
            <w:hideMark/>
          </w:tcPr>
          <w:p>
            <w:pPr>
              <w:spacing w:after="0"/>
              <w:jc w:val="left"/>
              <w:rPr>
                <w:noProof/>
                <w:sz w:val="20"/>
              </w:rPr>
            </w:pPr>
          </w:p>
        </w:tc>
        <w:tc>
          <w:tcPr>
            <w:tcW w:w="960" w:type="dxa"/>
            <w:tcBorders>
              <w:top w:val="nil"/>
              <w:left w:val="nil"/>
              <w:bottom w:val="nil"/>
              <w:right w:val="nil"/>
            </w:tcBorders>
            <w:shd w:val="clear" w:color="auto" w:fill="auto"/>
            <w:noWrap/>
            <w:vAlign w:val="bottom"/>
            <w:hideMark/>
          </w:tcPr>
          <w:p>
            <w:pPr>
              <w:spacing w:after="0"/>
              <w:jc w:val="left"/>
              <w:rPr>
                <w:noProof/>
                <w:sz w:val="20"/>
              </w:rPr>
            </w:pPr>
          </w:p>
        </w:tc>
        <w:tc>
          <w:tcPr>
            <w:tcW w:w="960" w:type="dxa"/>
            <w:tcBorders>
              <w:top w:val="nil"/>
              <w:left w:val="nil"/>
              <w:bottom w:val="nil"/>
              <w:right w:val="nil"/>
            </w:tcBorders>
            <w:shd w:val="clear" w:color="auto" w:fill="auto"/>
            <w:noWrap/>
            <w:vAlign w:val="bottom"/>
            <w:hideMark/>
          </w:tcPr>
          <w:p>
            <w:pPr>
              <w:spacing w:after="0"/>
              <w:jc w:val="left"/>
              <w:rPr>
                <w:noProof/>
                <w:sz w:val="20"/>
              </w:rPr>
            </w:pPr>
          </w:p>
        </w:tc>
      </w:tr>
      <w:tr>
        <w:trPr>
          <w:trHeight w:val="300"/>
          <w:jc w:val="center"/>
        </w:trPr>
        <w:tc>
          <w:tcPr>
            <w:tcW w:w="256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left"/>
              <w:rPr>
                <w:rFonts w:ascii="Calibri" w:hAnsi="Calibri" w:cs="Calibri"/>
                <w:i/>
                <w:iCs/>
                <w:noProof/>
                <w:color w:val="000000"/>
                <w:sz w:val="22"/>
                <w:szCs w:val="22"/>
              </w:rPr>
            </w:pPr>
            <w:r>
              <w:rPr>
                <w:rFonts w:ascii="Calibri" w:hAnsi="Calibri"/>
                <w:i/>
                <w:iCs/>
                <w:noProof/>
                <w:sz w:val="22"/>
                <w:szCs w:val="22"/>
              </w:rPr>
              <w:t>Taux d’emploi</w:t>
            </w:r>
          </w:p>
        </w:tc>
        <w:tc>
          <w:tcPr>
            <w:tcW w:w="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pPr>
              <w:spacing w:after="0"/>
              <w:jc w:val="center"/>
              <w:rPr>
                <w:rFonts w:ascii="Calibri" w:hAnsi="Calibri" w:cs="Calibri"/>
                <w:b/>
                <w:bCs/>
                <w:noProof/>
                <w:color w:val="000000"/>
                <w:sz w:val="22"/>
                <w:szCs w:val="22"/>
              </w:rPr>
            </w:pPr>
            <w:r>
              <w:rPr>
                <w:rFonts w:ascii="Calibri" w:hAnsi="Calibri"/>
                <w:b/>
                <w:bCs/>
                <w:noProof/>
                <w:sz w:val="22"/>
                <w:szCs w:val="22"/>
              </w:rPr>
              <w:t>2015</w:t>
            </w:r>
          </w:p>
        </w:tc>
        <w:tc>
          <w:tcPr>
            <w:tcW w:w="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pPr>
              <w:spacing w:after="0"/>
              <w:jc w:val="center"/>
              <w:rPr>
                <w:rFonts w:ascii="Calibri" w:hAnsi="Calibri" w:cs="Calibri"/>
                <w:b/>
                <w:bCs/>
                <w:noProof/>
                <w:color w:val="000000"/>
                <w:sz w:val="22"/>
                <w:szCs w:val="22"/>
              </w:rPr>
            </w:pPr>
            <w:r>
              <w:rPr>
                <w:rFonts w:ascii="Calibri" w:hAnsi="Calibri"/>
                <w:b/>
                <w:bCs/>
                <w:noProof/>
                <w:sz w:val="22"/>
                <w:szCs w:val="22"/>
              </w:rPr>
              <w:t>2016</w:t>
            </w:r>
          </w:p>
        </w:tc>
        <w:tc>
          <w:tcPr>
            <w:tcW w:w="9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pPr>
              <w:spacing w:after="0"/>
              <w:jc w:val="center"/>
              <w:rPr>
                <w:rFonts w:ascii="Calibri" w:hAnsi="Calibri" w:cs="Calibri"/>
                <w:b/>
                <w:bCs/>
                <w:noProof/>
                <w:color w:val="000000"/>
                <w:sz w:val="22"/>
                <w:szCs w:val="22"/>
              </w:rPr>
            </w:pPr>
            <w:r>
              <w:rPr>
                <w:rFonts w:ascii="Calibri" w:hAnsi="Calibri"/>
                <w:b/>
                <w:bCs/>
                <w:noProof/>
                <w:sz w:val="22"/>
                <w:szCs w:val="22"/>
              </w:rPr>
              <w:t>2017</w:t>
            </w:r>
          </w:p>
        </w:tc>
        <w:tc>
          <w:tcPr>
            <w:tcW w:w="960" w:type="dxa"/>
            <w:tcBorders>
              <w:top w:val="nil"/>
              <w:left w:val="nil"/>
              <w:bottom w:val="nil"/>
              <w:right w:val="nil"/>
            </w:tcBorders>
            <w:shd w:val="clear" w:color="auto" w:fill="auto"/>
            <w:noWrap/>
            <w:vAlign w:val="bottom"/>
            <w:hideMark/>
          </w:tcPr>
          <w:p>
            <w:pPr>
              <w:spacing w:after="0"/>
              <w:jc w:val="center"/>
              <w:rPr>
                <w:rFonts w:ascii="Calibri" w:hAnsi="Calibri" w:cs="Calibri"/>
                <w:b/>
                <w:bCs/>
                <w:noProof/>
                <w:color w:val="000000"/>
                <w:sz w:val="22"/>
                <w:szCs w:val="22"/>
              </w:rPr>
            </w:pPr>
          </w:p>
        </w:tc>
        <w:tc>
          <w:tcPr>
            <w:tcW w:w="960" w:type="dxa"/>
            <w:tcBorders>
              <w:top w:val="nil"/>
              <w:left w:val="nil"/>
              <w:bottom w:val="nil"/>
              <w:right w:val="nil"/>
            </w:tcBorders>
            <w:shd w:val="clear" w:color="auto" w:fill="auto"/>
            <w:noWrap/>
            <w:vAlign w:val="bottom"/>
            <w:hideMark/>
          </w:tcPr>
          <w:p>
            <w:pPr>
              <w:spacing w:after="0"/>
              <w:jc w:val="left"/>
              <w:rPr>
                <w:noProof/>
                <w:sz w:val="20"/>
              </w:rPr>
            </w:pPr>
          </w:p>
        </w:tc>
      </w:tr>
      <w:tr>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sz w:val="22"/>
                <w:szCs w:val="22"/>
              </w:rPr>
              <w:t xml:space="preserve">Malte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69 %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71 %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72 %</w:t>
            </w:r>
          </w:p>
        </w:tc>
        <w:tc>
          <w:tcPr>
            <w:tcW w:w="960" w:type="dxa"/>
            <w:tcBorders>
              <w:top w:val="nil"/>
              <w:left w:val="nil"/>
              <w:bottom w:val="nil"/>
              <w:right w:val="nil"/>
            </w:tcBorders>
            <w:shd w:val="clear" w:color="auto" w:fill="auto"/>
            <w:noWrap/>
            <w:vAlign w:val="bottom"/>
            <w:hideMark/>
          </w:tcPr>
          <w:p>
            <w:pPr>
              <w:spacing w:after="0"/>
              <w:jc w:val="right"/>
              <w:rPr>
                <w:rFonts w:ascii="Calibri" w:hAnsi="Calibri" w:cs="Calibri"/>
                <w:noProof/>
                <w:color w:val="000000"/>
                <w:sz w:val="22"/>
                <w:szCs w:val="22"/>
              </w:rPr>
            </w:pPr>
          </w:p>
        </w:tc>
        <w:tc>
          <w:tcPr>
            <w:tcW w:w="960" w:type="dxa"/>
            <w:tcBorders>
              <w:top w:val="nil"/>
              <w:left w:val="nil"/>
              <w:bottom w:val="nil"/>
              <w:right w:val="nil"/>
            </w:tcBorders>
            <w:shd w:val="clear" w:color="auto" w:fill="auto"/>
            <w:noWrap/>
            <w:vAlign w:val="bottom"/>
            <w:hideMark/>
          </w:tcPr>
          <w:p>
            <w:pPr>
              <w:spacing w:after="0"/>
              <w:jc w:val="left"/>
              <w:rPr>
                <w:noProof/>
                <w:sz w:val="20"/>
              </w:rPr>
            </w:pPr>
          </w:p>
        </w:tc>
      </w:tr>
      <w:tr>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sz w:val="22"/>
                <w:szCs w:val="22"/>
              </w:rPr>
              <w:t>Gozo et Comino</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66 %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70 %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74 %</w:t>
            </w:r>
          </w:p>
        </w:tc>
        <w:tc>
          <w:tcPr>
            <w:tcW w:w="960" w:type="dxa"/>
            <w:tcBorders>
              <w:top w:val="nil"/>
              <w:left w:val="nil"/>
              <w:bottom w:val="nil"/>
              <w:right w:val="nil"/>
            </w:tcBorders>
            <w:shd w:val="clear" w:color="auto" w:fill="auto"/>
            <w:noWrap/>
            <w:vAlign w:val="bottom"/>
            <w:hideMark/>
          </w:tcPr>
          <w:p>
            <w:pPr>
              <w:spacing w:after="0"/>
              <w:jc w:val="right"/>
              <w:rPr>
                <w:rFonts w:ascii="Calibri" w:hAnsi="Calibri" w:cs="Calibri"/>
                <w:noProof/>
                <w:color w:val="000000"/>
                <w:sz w:val="22"/>
                <w:szCs w:val="22"/>
              </w:rPr>
            </w:pPr>
          </w:p>
        </w:tc>
        <w:tc>
          <w:tcPr>
            <w:tcW w:w="960" w:type="dxa"/>
            <w:tcBorders>
              <w:top w:val="nil"/>
              <w:left w:val="nil"/>
              <w:bottom w:val="nil"/>
              <w:right w:val="nil"/>
            </w:tcBorders>
            <w:shd w:val="clear" w:color="auto" w:fill="auto"/>
            <w:noWrap/>
            <w:vAlign w:val="bottom"/>
            <w:hideMark/>
          </w:tcPr>
          <w:p>
            <w:pPr>
              <w:spacing w:after="0"/>
              <w:jc w:val="left"/>
              <w:rPr>
                <w:noProof/>
                <w:sz w:val="20"/>
              </w:rPr>
            </w:pPr>
          </w:p>
        </w:tc>
      </w:tr>
    </w:tbl>
    <w:p>
      <w:pPr>
        <w:pStyle w:val="Text2"/>
        <w:spacing w:after="120"/>
        <w:ind w:left="0"/>
        <w:rPr>
          <w:noProof/>
          <w:sz w:val="22"/>
        </w:rPr>
      </w:pPr>
      <w:r>
        <w:rPr>
          <w:noProof/>
          <w:sz w:val="22"/>
        </w:rPr>
        <w:t>Taux d’emploi calculé en utilisant comme dénominateur la population âgée de 15 à 64 ans.</w:t>
      </w:r>
    </w:p>
    <w:p>
      <w:pPr>
        <w:pStyle w:val="Text2"/>
        <w:ind w:left="0"/>
        <w:rPr>
          <w:i/>
          <w:noProof/>
          <w:sz w:val="20"/>
        </w:rPr>
      </w:pPr>
      <w:r>
        <w:rPr>
          <w:i/>
          <w:noProof/>
          <w:sz w:val="20"/>
        </w:rPr>
        <w:t>Source: institut national de statistique, Malte, et Eurostat.</w:t>
      </w:r>
    </w:p>
    <w:p>
      <w:pPr>
        <w:pStyle w:val="Text2"/>
        <w:ind w:left="476"/>
        <w:rPr>
          <w:noProof/>
        </w:rPr>
      </w:pPr>
      <w:r>
        <w:rPr>
          <w:noProof/>
        </w:rPr>
        <w:t xml:space="preserve">La composition de la main-d’œuvre des deux îles est très similaire à celle de la valeur ajoutée brute: Gozo emploie 4 points de pourcentage de personnes de plus dans l’agriculture et la pêche et 3 points de pourcentage de plus dans la construction que Malte, mais 7 points de pourcentage de moins dans les services financiers, d’assurance, immobiliers et autres. </w:t>
      </w:r>
    </w:p>
    <w:p>
      <w:pPr>
        <w:spacing w:after="0"/>
        <w:jc w:val="left"/>
        <w:rPr>
          <w:noProof/>
        </w:rPr>
      </w:pPr>
      <w:r>
        <w:rPr>
          <w:noProof/>
        </w:rPr>
        <w:br w:type="page"/>
      </w:r>
    </w:p>
    <w:p>
      <w:pPr>
        <w:pStyle w:val="Text2"/>
        <w:ind w:left="0"/>
        <w:rPr>
          <w:b/>
          <w:noProof/>
        </w:rPr>
      </w:pPr>
      <w:r>
        <w:rPr>
          <w:b/>
          <w:noProof/>
        </w:rPr>
        <w:t>Graphique 4. Composition de l’emploi en 2016 dans les régions de Malte, de Gozo et de Comino</w:t>
      </w:r>
    </w:p>
    <w:p>
      <w:pPr>
        <w:pStyle w:val="Text2"/>
        <w:ind w:left="-709" w:right="-738" w:firstLine="709"/>
        <w:rPr>
          <w:b/>
          <w:noProof/>
        </w:rPr>
      </w:pPr>
      <w:r>
        <w:rPr>
          <w:noProof/>
          <w:lang w:val="en-GB"/>
        </w:rPr>
        <w:drawing>
          <wp:inline distT="0" distB="0" distL="0" distR="0">
            <wp:extent cx="5472430" cy="215961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72430" cy="2159618"/>
                    </a:xfrm>
                    <a:prstGeom prst="rect">
                      <a:avLst/>
                    </a:prstGeom>
                    <a:noFill/>
                    <a:ln>
                      <a:noFill/>
                    </a:ln>
                  </pic:spPr>
                </pic:pic>
              </a:graphicData>
            </a:graphic>
          </wp:inline>
        </w:drawing>
      </w:r>
    </w:p>
    <w:p>
      <w:pPr>
        <w:pStyle w:val="Text2"/>
        <w:ind w:left="0"/>
        <w:rPr>
          <w:i/>
          <w:noProof/>
          <w:sz w:val="20"/>
        </w:rPr>
      </w:pPr>
      <w:r>
        <w:rPr>
          <w:i/>
          <w:noProof/>
          <w:sz w:val="20"/>
        </w:rPr>
        <w:t>Source: Eurostat</w:t>
      </w:r>
    </w:p>
    <w:p>
      <w:pPr>
        <w:pStyle w:val="Heading2"/>
        <w:rPr>
          <w:noProof/>
        </w:rPr>
      </w:pPr>
      <w:r>
        <w:rPr>
          <w:noProof/>
        </w:rPr>
        <w:t>Accessibilité et tourisme</w:t>
      </w:r>
    </w:p>
    <w:p>
      <w:pPr>
        <w:pStyle w:val="Text2"/>
        <w:ind w:left="476"/>
        <w:rPr>
          <w:noProof/>
        </w:rPr>
      </w:pPr>
      <w:r>
        <w:rPr>
          <w:noProof/>
        </w:rPr>
        <w:t>Gozo est à 5,3 km de l’île principale. Le trajet en ferry entre ces deux îles est d’environ 30 minutes par beau temps. Comme indiqué plus haut, de nombreux employés font la navette entre Gozo et l’île de Malte, en particulier vers la capitale en utilisant les liaisons maritimes fréquentes entre les deux îles.</w:t>
      </w:r>
    </w:p>
    <w:p>
      <w:pPr>
        <w:pStyle w:val="Text2"/>
        <w:ind w:left="476"/>
        <w:rPr>
          <w:noProof/>
        </w:rPr>
      </w:pPr>
      <w:r>
        <w:rPr>
          <w:noProof/>
        </w:rPr>
        <w:t>Le nombre de voyageurs maritimes entre les ports de Ċirkewwa à Malte et Mġarr</w:t>
      </w:r>
      <w:r>
        <w:rPr>
          <w:b/>
          <w:bCs/>
          <w:noProof/>
        </w:rPr>
        <w:t xml:space="preserve"> </w:t>
      </w:r>
      <w:r>
        <w:rPr>
          <w:noProof/>
        </w:rPr>
        <w:t xml:space="preserve">à Gozo a augmenté de près de 60 % entre 2003 et 2017 et de près de 34 % entre 2010 et 2017. Cela correspond à une augmentation annuelle moyenne du nombre de voyageurs maritimes entre les deux ports de 3,4 %, et une augmentation plus sensible est observée entre 2013 et 2017, avec un taux de croissance annuel de près de 6 %. </w:t>
      </w:r>
    </w:p>
    <w:p>
      <w:pPr>
        <w:pStyle w:val="Text2"/>
        <w:ind w:left="476"/>
        <w:rPr>
          <w:noProof/>
        </w:rPr>
      </w:pPr>
      <w:r>
        <w:rPr>
          <w:noProof/>
        </w:rPr>
        <w:t xml:space="preserve">Gozo n’est pas seulement un lieu d'habitation pour les navetteurs; elle attire aussi les touristes. Comme Malte, Gozo a enregistré une tendance à la hausse du nombre de touristes sur la période 2012-2017, bien que légèrement plus faible (+ 33 % contre + 36 %). Le nombre de touristes visitant Gozo et Comino et y séjournant au moins une nuit est certes inférieur à celui des touristes visitant l’île de Malte. Cependant, en 2017, ils étaient encore presque trois fois plus nombreux que la population résidente de Gozo. En ce qui concerne l’offre, le nombre de places-lits à Gozo a augmenté plus rapidement qu’à Malte, passant de 1 756 à 2 165 unités entre 2012 et 2017 (+ 23 %), contre environ 40 000 unités disponibles à Malte (+ 7 %). Toutefois, la durée du séjour est généralement plus courte: en moyenne, les touristes séjournent 5 nuits à Malte contre 3 nuits à Gozo et à Comino. </w:t>
      </w:r>
    </w:p>
    <w:p>
      <w:pPr>
        <w:spacing w:after="0"/>
        <w:jc w:val="left"/>
        <w:rPr>
          <w:noProof/>
        </w:rPr>
      </w:pPr>
      <w:r>
        <w:rPr>
          <w:noProof/>
        </w:rPr>
        <w:br w:type="page"/>
      </w:r>
    </w:p>
    <w:p>
      <w:pPr>
        <w:pStyle w:val="Text2"/>
        <w:ind w:left="0"/>
        <w:rPr>
          <w:b/>
          <w:noProof/>
        </w:rPr>
      </w:pPr>
      <w:r>
        <w:rPr>
          <w:b/>
          <w:noProof/>
        </w:rPr>
        <w:t>Graphique 5. Évolution du nombre de passagers entre les ports maritimes de Ċirkewwa et de Mġarr (en milliers)</w:t>
      </w:r>
    </w:p>
    <w:p>
      <w:pPr>
        <w:pStyle w:val="Text2"/>
        <w:ind w:left="476"/>
        <w:jc w:val="center"/>
        <w:rPr>
          <w:noProof/>
        </w:rPr>
      </w:pPr>
      <w:r>
        <w:rPr>
          <w:noProof/>
          <w:lang w:val="en-GB"/>
        </w:rPr>
        <w:drawing>
          <wp:inline distT="0" distB="0" distL="0" distR="0">
            <wp:extent cx="4343400" cy="2230394"/>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pStyle w:val="Text2"/>
        <w:ind w:left="0"/>
        <w:rPr>
          <w:i/>
          <w:noProof/>
          <w:sz w:val="20"/>
        </w:rPr>
      </w:pPr>
      <w:r>
        <w:rPr>
          <w:i/>
          <w:noProof/>
          <w:sz w:val="20"/>
        </w:rPr>
        <w:t>Source: Eurostat</w:t>
      </w:r>
    </w:p>
    <w:p>
      <w:pPr>
        <w:pStyle w:val="Text2"/>
        <w:ind w:left="0"/>
        <w:rPr>
          <w:b/>
          <w:noProof/>
        </w:rPr>
      </w:pPr>
      <w:r>
        <w:rPr>
          <w:b/>
          <w:noProof/>
        </w:rPr>
        <w:t>Tableau 2. Nombre de visiteurs et de places-lits à Malte et à Gozo</w:t>
      </w:r>
    </w:p>
    <w:tbl>
      <w:tblPr>
        <w:tblW w:w="9073" w:type="dxa"/>
        <w:tblInd w:w="-34" w:type="dxa"/>
        <w:tblLook w:val="04A0" w:firstRow="1" w:lastRow="0" w:firstColumn="1" w:lastColumn="0" w:noHBand="0" w:noVBand="1"/>
      </w:tblPr>
      <w:tblGrid>
        <w:gridCol w:w="969"/>
        <w:gridCol w:w="1127"/>
        <w:gridCol w:w="1016"/>
        <w:gridCol w:w="1016"/>
        <w:gridCol w:w="1016"/>
        <w:gridCol w:w="1016"/>
        <w:gridCol w:w="1016"/>
        <w:gridCol w:w="1949"/>
        <w:gridCol w:w="1100"/>
      </w:tblGrid>
      <w:tr>
        <w:trPr>
          <w:trHeight w:val="795"/>
        </w:trPr>
        <w:tc>
          <w:tcPr>
            <w:tcW w:w="969"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pPr>
              <w:spacing w:after="0"/>
              <w:jc w:val="left"/>
              <w:rPr>
                <w:rFonts w:asciiTheme="minorHAnsi" w:hAnsiTheme="minorHAnsi" w:cstheme="minorHAnsi"/>
                <w:i/>
                <w:iCs/>
                <w:noProof/>
                <w:sz w:val="20"/>
              </w:rPr>
            </w:pPr>
            <w:r>
              <w:rPr>
                <w:rFonts w:asciiTheme="minorHAnsi" w:hAnsiTheme="minorHAnsi"/>
                <w:i/>
                <w:iCs/>
                <w:noProof/>
                <w:sz w:val="20"/>
              </w:rPr>
              <w:t>Nombre de visiteurs</w:t>
            </w:r>
          </w:p>
        </w:tc>
        <w:tc>
          <w:tcPr>
            <w:tcW w:w="1127"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Theme="minorHAnsi" w:hAnsiTheme="minorHAnsi" w:cstheme="minorHAnsi"/>
                <w:b/>
                <w:bCs/>
                <w:noProof/>
                <w:sz w:val="20"/>
              </w:rPr>
            </w:pPr>
            <w:r>
              <w:rPr>
                <w:rFonts w:asciiTheme="minorHAnsi" w:hAnsiTheme="minorHAnsi"/>
                <w:b/>
                <w:bCs/>
                <w:noProof/>
                <w:sz w:val="20"/>
              </w:rPr>
              <w:t>2012</w:t>
            </w:r>
          </w:p>
        </w:tc>
        <w:tc>
          <w:tcPr>
            <w:tcW w:w="100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Theme="minorHAnsi" w:hAnsiTheme="minorHAnsi" w:cstheme="minorHAnsi"/>
                <w:b/>
                <w:bCs/>
                <w:noProof/>
                <w:sz w:val="20"/>
              </w:rPr>
            </w:pPr>
            <w:r>
              <w:rPr>
                <w:rFonts w:asciiTheme="minorHAnsi" w:hAnsiTheme="minorHAnsi"/>
                <w:b/>
                <w:bCs/>
                <w:noProof/>
                <w:sz w:val="20"/>
              </w:rPr>
              <w:t>2013</w:t>
            </w:r>
          </w:p>
        </w:tc>
        <w:tc>
          <w:tcPr>
            <w:tcW w:w="100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Theme="minorHAnsi" w:hAnsiTheme="minorHAnsi" w:cstheme="minorHAnsi"/>
                <w:b/>
                <w:bCs/>
                <w:noProof/>
                <w:sz w:val="20"/>
              </w:rPr>
            </w:pPr>
            <w:r>
              <w:rPr>
                <w:rFonts w:asciiTheme="minorHAnsi" w:hAnsiTheme="minorHAnsi"/>
                <w:b/>
                <w:bCs/>
                <w:noProof/>
                <w:sz w:val="20"/>
              </w:rPr>
              <w:t>2014</w:t>
            </w:r>
          </w:p>
        </w:tc>
        <w:tc>
          <w:tcPr>
            <w:tcW w:w="100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Theme="minorHAnsi" w:hAnsiTheme="minorHAnsi" w:cstheme="minorHAnsi"/>
                <w:b/>
                <w:bCs/>
                <w:noProof/>
                <w:sz w:val="20"/>
              </w:rPr>
            </w:pPr>
            <w:r>
              <w:rPr>
                <w:rFonts w:asciiTheme="minorHAnsi" w:hAnsiTheme="minorHAnsi"/>
                <w:b/>
                <w:bCs/>
                <w:noProof/>
                <w:sz w:val="20"/>
              </w:rPr>
              <w:t>2015</w:t>
            </w:r>
          </w:p>
        </w:tc>
        <w:tc>
          <w:tcPr>
            <w:tcW w:w="100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Theme="minorHAnsi" w:hAnsiTheme="minorHAnsi" w:cstheme="minorHAnsi"/>
                <w:b/>
                <w:bCs/>
                <w:noProof/>
                <w:sz w:val="20"/>
              </w:rPr>
            </w:pPr>
            <w:r>
              <w:rPr>
                <w:rFonts w:asciiTheme="minorHAnsi" w:hAnsiTheme="minorHAnsi"/>
                <w:b/>
                <w:bCs/>
                <w:noProof/>
                <w:sz w:val="20"/>
              </w:rPr>
              <w:t>2016</w:t>
            </w:r>
          </w:p>
        </w:tc>
        <w:tc>
          <w:tcPr>
            <w:tcW w:w="100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Theme="minorHAnsi" w:hAnsiTheme="minorHAnsi" w:cstheme="minorHAnsi"/>
                <w:b/>
                <w:bCs/>
                <w:noProof/>
                <w:sz w:val="20"/>
              </w:rPr>
            </w:pPr>
            <w:r>
              <w:rPr>
                <w:rFonts w:asciiTheme="minorHAnsi" w:hAnsiTheme="minorHAnsi"/>
                <w:b/>
                <w:bCs/>
                <w:noProof/>
                <w:sz w:val="20"/>
              </w:rPr>
              <w:t>2017</w:t>
            </w:r>
          </w:p>
        </w:tc>
        <w:tc>
          <w:tcPr>
            <w:tcW w:w="890"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pPr>
              <w:spacing w:after="0"/>
              <w:jc w:val="center"/>
              <w:rPr>
                <w:rFonts w:asciiTheme="minorHAnsi" w:hAnsiTheme="minorHAnsi" w:cstheme="minorHAnsi"/>
                <w:b/>
                <w:bCs/>
                <w:noProof/>
                <w:sz w:val="20"/>
              </w:rPr>
            </w:pPr>
            <w:r>
              <w:rPr>
                <w:rFonts w:asciiTheme="minorHAnsi" w:hAnsiTheme="minorHAnsi"/>
                <w:b/>
                <w:bCs/>
                <w:noProof/>
                <w:sz w:val="20"/>
              </w:rPr>
              <w:t>Augmentation 12/17</w:t>
            </w:r>
          </w:p>
        </w:tc>
        <w:tc>
          <w:tcPr>
            <w:tcW w:w="1082"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pPr>
              <w:spacing w:after="0"/>
              <w:jc w:val="center"/>
              <w:rPr>
                <w:rFonts w:asciiTheme="minorHAnsi" w:hAnsiTheme="minorHAnsi" w:cstheme="minorHAnsi"/>
                <w:b/>
                <w:bCs/>
                <w:noProof/>
                <w:sz w:val="20"/>
              </w:rPr>
            </w:pPr>
            <w:r>
              <w:rPr>
                <w:rFonts w:asciiTheme="minorHAnsi" w:hAnsiTheme="minorHAnsi"/>
                <w:b/>
                <w:bCs/>
                <w:noProof/>
                <w:sz w:val="20"/>
              </w:rPr>
              <w:t>Croissance annuelle moyenne</w:t>
            </w:r>
          </w:p>
        </w:tc>
      </w:tr>
      <w:tr>
        <w:trPr>
          <w:trHeight w:val="251"/>
        </w:trPr>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Theme="minorHAnsi" w:hAnsiTheme="minorHAnsi" w:cstheme="minorHAnsi"/>
                <w:noProof/>
                <w:sz w:val="20"/>
              </w:rPr>
            </w:pPr>
            <w:r>
              <w:rPr>
                <w:rFonts w:asciiTheme="minorHAnsi" w:hAnsiTheme="minorHAnsi"/>
                <w:noProof/>
                <w:sz w:val="20"/>
              </w:rPr>
              <w:t>Malte</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noProof/>
                <w:sz w:val="20"/>
              </w:rPr>
              <w:t>1 274 123</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noProof/>
                <w:sz w:val="20"/>
              </w:rPr>
              <w:t>1 377 594</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noProof/>
                <w:sz w:val="20"/>
              </w:rPr>
              <w:t>1 464 903</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noProof/>
                <w:sz w:val="20"/>
              </w:rPr>
              <w:t>1 499 117</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noProof/>
                <w:sz w:val="20"/>
              </w:rPr>
              <w:t>1 532 666</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noProof/>
                <w:sz w:val="20"/>
              </w:rPr>
              <w:t>1 731 687</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noProof/>
                <w:sz w:val="20"/>
              </w:rPr>
              <w:t>36 %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noProof/>
                <w:sz w:val="20"/>
              </w:rPr>
              <w:t>6,3 %</w:t>
            </w:r>
          </w:p>
        </w:tc>
      </w:tr>
      <w:tr>
        <w:trPr>
          <w:trHeight w:val="251"/>
        </w:trPr>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Theme="minorHAnsi" w:hAnsiTheme="minorHAnsi" w:cstheme="minorHAnsi"/>
                <w:noProof/>
                <w:sz w:val="20"/>
              </w:rPr>
            </w:pPr>
            <w:r>
              <w:rPr>
                <w:rFonts w:asciiTheme="minorHAnsi" w:hAnsiTheme="minorHAnsi"/>
                <w:noProof/>
                <w:sz w:val="20"/>
              </w:rPr>
              <w:t>Gozo et Comino</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noProof/>
                <w:sz w:val="20"/>
              </w:rPr>
              <w:t>73 585</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noProof/>
                <w:sz w:val="20"/>
              </w:rPr>
              <w:t>83 051</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noProof/>
                <w:sz w:val="20"/>
              </w:rPr>
              <w:t>86 644</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noProof/>
                <w:sz w:val="20"/>
              </w:rPr>
              <w:t>86 951</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noProof/>
                <w:sz w:val="20"/>
              </w:rPr>
              <w:t>86 866</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noProof/>
                <w:sz w:val="20"/>
              </w:rPr>
              <w:t>97 781</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noProof/>
                <w:sz w:val="20"/>
              </w:rPr>
              <w:t>33 %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noProof/>
                <w:sz w:val="20"/>
              </w:rPr>
              <w:t>5,9 %</w:t>
            </w:r>
          </w:p>
        </w:tc>
      </w:tr>
      <w:tr>
        <w:trPr>
          <w:trHeight w:val="795"/>
        </w:trPr>
        <w:tc>
          <w:tcPr>
            <w:tcW w:w="969"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pPr>
              <w:spacing w:after="0"/>
              <w:jc w:val="left"/>
              <w:rPr>
                <w:rFonts w:asciiTheme="minorHAnsi" w:hAnsiTheme="minorHAnsi" w:cstheme="minorHAnsi"/>
                <w:i/>
                <w:iCs/>
                <w:noProof/>
                <w:sz w:val="20"/>
              </w:rPr>
            </w:pPr>
            <w:r>
              <w:rPr>
                <w:rFonts w:asciiTheme="minorHAnsi" w:hAnsiTheme="minorHAnsi"/>
                <w:i/>
                <w:iCs/>
                <w:noProof/>
                <w:sz w:val="20"/>
              </w:rPr>
              <w:t>Nombre de places-lits</w:t>
            </w:r>
          </w:p>
        </w:tc>
        <w:tc>
          <w:tcPr>
            <w:tcW w:w="1127"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Theme="minorHAnsi" w:hAnsiTheme="minorHAnsi" w:cstheme="minorHAnsi"/>
                <w:b/>
                <w:bCs/>
                <w:noProof/>
                <w:sz w:val="20"/>
              </w:rPr>
            </w:pPr>
            <w:r>
              <w:rPr>
                <w:rFonts w:asciiTheme="minorHAnsi" w:hAnsiTheme="minorHAnsi"/>
                <w:b/>
                <w:bCs/>
                <w:noProof/>
                <w:sz w:val="20"/>
              </w:rPr>
              <w:t>2012</w:t>
            </w:r>
          </w:p>
        </w:tc>
        <w:tc>
          <w:tcPr>
            <w:tcW w:w="100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Theme="minorHAnsi" w:hAnsiTheme="minorHAnsi" w:cstheme="minorHAnsi"/>
                <w:b/>
                <w:bCs/>
                <w:noProof/>
                <w:sz w:val="20"/>
              </w:rPr>
            </w:pPr>
            <w:r>
              <w:rPr>
                <w:rFonts w:asciiTheme="minorHAnsi" w:hAnsiTheme="minorHAnsi"/>
                <w:b/>
                <w:bCs/>
                <w:noProof/>
                <w:sz w:val="20"/>
              </w:rPr>
              <w:t>2013</w:t>
            </w:r>
          </w:p>
        </w:tc>
        <w:tc>
          <w:tcPr>
            <w:tcW w:w="100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Theme="minorHAnsi" w:hAnsiTheme="minorHAnsi" w:cstheme="minorHAnsi"/>
                <w:b/>
                <w:bCs/>
                <w:noProof/>
                <w:sz w:val="20"/>
              </w:rPr>
            </w:pPr>
            <w:r>
              <w:rPr>
                <w:rFonts w:asciiTheme="minorHAnsi" w:hAnsiTheme="minorHAnsi"/>
                <w:b/>
                <w:bCs/>
                <w:noProof/>
                <w:sz w:val="20"/>
              </w:rPr>
              <w:t>2014</w:t>
            </w:r>
          </w:p>
        </w:tc>
        <w:tc>
          <w:tcPr>
            <w:tcW w:w="100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Theme="minorHAnsi" w:hAnsiTheme="minorHAnsi" w:cstheme="minorHAnsi"/>
                <w:b/>
                <w:bCs/>
                <w:noProof/>
                <w:sz w:val="20"/>
              </w:rPr>
            </w:pPr>
            <w:r>
              <w:rPr>
                <w:rFonts w:asciiTheme="minorHAnsi" w:hAnsiTheme="minorHAnsi"/>
                <w:b/>
                <w:bCs/>
                <w:noProof/>
                <w:sz w:val="20"/>
              </w:rPr>
              <w:t>2015</w:t>
            </w:r>
          </w:p>
        </w:tc>
        <w:tc>
          <w:tcPr>
            <w:tcW w:w="100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Theme="minorHAnsi" w:hAnsiTheme="minorHAnsi" w:cstheme="minorHAnsi"/>
                <w:b/>
                <w:bCs/>
                <w:noProof/>
                <w:sz w:val="20"/>
              </w:rPr>
            </w:pPr>
            <w:r>
              <w:rPr>
                <w:rFonts w:asciiTheme="minorHAnsi" w:hAnsiTheme="minorHAnsi"/>
                <w:b/>
                <w:bCs/>
                <w:noProof/>
                <w:sz w:val="20"/>
              </w:rPr>
              <w:t>2016</w:t>
            </w:r>
          </w:p>
        </w:tc>
        <w:tc>
          <w:tcPr>
            <w:tcW w:w="100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Theme="minorHAnsi" w:hAnsiTheme="minorHAnsi" w:cstheme="minorHAnsi"/>
                <w:b/>
                <w:bCs/>
                <w:noProof/>
                <w:sz w:val="20"/>
              </w:rPr>
            </w:pPr>
            <w:r>
              <w:rPr>
                <w:rFonts w:asciiTheme="minorHAnsi" w:hAnsiTheme="minorHAnsi"/>
                <w:b/>
                <w:bCs/>
                <w:noProof/>
                <w:sz w:val="20"/>
              </w:rPr>
              <w:t>2017</w:t>
            </w:r>
          </w:p>
        </w:tc>
        <w:tc>
          <w:tcPr>
            <w:tcW w:w="890"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pPr>
              <w:spacing w:after="0"/>
              <w:jc w:val="center"/>
              <w:rPr>
                <w:rFonts w:asciiTheme="minorHAnsi" w:hAnsiTheme="minorHAnsi" w:cstheme="minorHAnsi"/>
                <w:b/>
                <w:bCs/>
                <w:noProof/>
                <w:sz w:val="20"/>
              </w:rPr>
            </w:pPr>
            <w:r>
              <w:rPr>
                <w:rFonts w:asciiTheme="minorHAnsi" w:hAnsiTheme="minorHAnsi"/>
                <w:b/>
                <w:bCs/>
                <w:noProof/>
                <w:sz w:val="20"/>
              </w:rPr>
              <w:t>Augmentation 12/17</w:t>
            </w:r>
          </w:p>
        </w:tc>
        <w:tc>
          <w:tcPr>
            <w:tcW w:w="1082"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pPr>
              <w:spacing w:after="0"/>
              <w:jc w:val="center"/>
              <w:rPr>
                <w:rFonts w:asciiTheme="minorHAnsi" w:hAnsiTheme="minorHAnsi" w:cstheme="minorHAnsi"/>
                <w:b/>
                <w:bCs/>
                <w:noProof/>
                <w:sz w:val="20"/>
              </w:rPr>
            </w:pPr>
            <w:r>
              <w:rPr>
                <w:rFonts w:asciiTheme="minorHAnsi" w:hAnsiTheme="minorHAnsi"/>
                <w:b/>
                <w:bCs/>
                <w:noProof/>
                <w:sz w:val="20"/>
              </w:rPr>
              <w:t>Croissance annuelle moyenne</w:t>
            </w:r>
          </w:p>
        </w:tc>
      </w:tr>
      <w:tr>
        <w:trPr>
          <w:trHeight w:val="251"/>
        </w:trPr>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Theme="minorHAnsi" w:hAnsiTheme="minorHAnsi" w:cstheme="minorHAnsi"/>
                <w:noProof/>
                <w:sz w:val="20"/>
              </w:rPr>
            </w:pPr>
            <w:r>
              <w:rPr>
                <w:rFonts w:asciiTheme="minorHAnsi" w:hAnsiTheme="minorHAnsi"/>
                <w:noProof/>
                <w:sz w:val="20"/>
              </w:rPr>
              <w:t>Malte</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noProof/>
                <w:sz w:val="20"/>
              </w:rPr>
              <w:t>38 187</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noProof/>
                <w:sz w:val="20"/>
              </w:rPr>
              <w:t>40 895</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noProof/>
                <w:sz w:val="20"/>
              </w:rPr>
              <w:t>39 473</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noProof/>
                <w:sz w:val="20"/>
              </w:rPr>
              <w:t>40 217</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noProof/>
                <w:sz w:val="20"/>
              </w:rPr>
              <w:t>39 163</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noProof/>
                <w:sz w:val="20"/>
              </w:rPr>
              <w:t>40 762</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noProof/>
                <w:sz w:val="20"/>
              </w:rPr>
              <w:t>7 %</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noProof/>
                <w:sz w:val="20"/>
              </w:rPr>
              <w:t>1,3 %</w:t>
            </w:r>
          </w:p>
        </w:tc>
      </w:tr>
      <w:tr>
        <w:trPr>
          <w:trHeight w:val="251"/>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Theme="minorHAnsi" w:hAnsiTheme="minorHAnsi" w:cstheme="minorHAnsi"/>
                <w:noProof/>
                <w:sz w:val="20"/>
              </w:rPr>
            </w:pPr>
            <w:r>
              <w:rPr>
                <w:rFonts w:asciiTheme="minorHAnsi" w:hAnsiTheme="minorHAnsi"/>
                <w:noProof/>
                <w:sz w:val="20"/>
              </w:rPr>
              <w:t>Gozo et Comino</w:t>
            </w:r>
          </w:p>
        </w:tc>
        <w:tc>
          <w:tcPr>
            <w:tcW w:w="1127"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noProof/>
                <w:sz w:val="20"/>
              </w:rPr>
              <w:t>1 756</w:t>
            </w:r>
          </w:p>
        </w:tc>
        <w:tc>
          <w:tcPr>
            <w:tcW w:w="100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noProof/>
                <w:sz w:val="20"/>
              </w:rPr>
              <w:t>1 800</w:t>
            </w:r>
          </w:p>
        </w:tc>
        <w:tc>
          <w:tcPr>
            <w:tcW w:w="100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noProof/>
                <w:sz w:val="20"/>
              </w:rPr>
              <w:t>1 855</w:t>
            </w:r>
          </w:p>
        </w:tc>
        <w:tc>
          <w:tcPr>
            <w:tcW w:w="100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noProof/>
                <w:sz w:val="20"/>
              </w:rPr>
              <w:t>1 948</w:t>
            </w:r>
          </w:p>
        </w:tc>
        <w:tc>
          <w:tcPr>
            <w:tcW w:w="100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noProof/>
                <w:sz w:val="20"/>
              </w:rPr>
              <w:t>2 074</w:t>
            </w:r>
          </w:p>
        </w:tc>
        <w:tc>
          <w:tcPr>
            <w:tcW w:w="1001"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noProof/>
                <w:sz w:val="20"/>
              </w:rPr>
              <w:t>2 165</w:t>
            </w:r>
          </w:p>
        </w:tc>
        <w:tc>
          <w:tcPr>
            <w:tcW w:w="89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noProof/>
                <w:sz w:val="20"/>
              </w:rPr>
              <w:t>23 %</w:t>
            </w:r>
          </w:p>
        </w:tc>
        <w:tc>
          <w:tcPr>
            <w:tcW w:w="1082"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Theme="minorHAnsi" w:hAnsiTheme="minorHAnsi" w:cstheme="minorHAnsi"/>
                <w:noProof/>
                <w:sz w:val="20"/>
              </w:rPr>
            </w:pPr>
            <w:r>
              <w:rPr>
                <w:rFonts w:asciiTheme="minorHAnsi" w:hAnsiTheme="minorHAnsi"/>
                <w:noProof/>
                <w:sz w:val="20"/>
              </w:rPr>
              <w:t>4,3 %</w:t>
            </w:r>
          </w:p>
        </w:tc>
      </w:tr>
    </w:tbl>
    <w:p>
      <w:pPr>
        <w:pStyle w:val="Text2"/>
        <w:ind w:left="0"/>
        <w:rPr>
          <w:i/>
          <w:noProof/>
          <w:sz w:val="20"/>
        </w:rPr>
      </w:pPr>
      <w:r>
        <w:rPr>
          <w:i/>
          <w:noProof/>
          <w:sz w:val="20"/>
        </w:rPr>
        <w:t>Source: institut national de statistique, Malte.</w:t>
      </w:r>
    </w:p>
    <w:p>
      <w:pPr>
        <w:pStyle w:val="Heading2"/>
        <w:rPr>
          <w:noProof/>
        </w:rPr>
      </w:pPr>
      <w:r>
        <w:rPr>
          <w:noProof/>
        </w:rPr>
        <w:t xml:space="preserve">Comparaison avec d’autres îles européennes </w:t>
      </w:r>
    </w:p>
    <w:p>
      <w:pPr>
        <w:pStyle w:val="Text2"/>
        <w:ind w:left="476"/>
        <w:rPr>
          <w:noProof/>
        </w:rPr>
      </w:pPr>
      <w:r>
        <w:rPr>
          <w:noProof/>
        </w:rPr>
        <w:t xml:space="preserve">Par rapport à d’autres régions insulaires de taille similaire (en termes de population), le PIB par habitant en standards de pouvoir d’achat de Gozo et de Comino en 2016 était généralement inférieur à celui des autres îles, à l’exception des régions insulaires grecques de Lesvos, Limnos, Ikaria, Samos et Chios. Toutefois, Gozo et Comino sont l’une des rares régions insulaires où le PIB par habitant a augmenté, surtout au cours de la période qui a suivi la crise financière (2009-2016). </w:t>
      </w:r>
    </w:p>
    <w:p>
      <w:pPr>
        <w:pStyle w:val="Text2"/>
        <w:ind w:left="0"/>
        <w:rPr>
          <w:noProof/>
        </w:rPr>
      </w:pPr>
    </w:p>
    <w:p>
      <w:pPr>
        <w:pStyle w:val="Text2"/>
        <w:ind w:left="0"/>
        <w:rPr>
          <w:i/>
          <w:noProof/>
        </w:rPr>
      </w:pPr>
    </w:p>
    <w:p>
      <w:pPr>
        <w:pStyle w:val="Text2"/>
        <w:ind w:left="0"/>
        <w:rPr>
          <w:i/>
          <w:noProof/>
        </w:rPr>
      </w:pPr>
    </w:p>
    <w:p>
      <w:pPr>
        <w:pStyle w:val="Text2"/>
        <w:ind w:left="0"/>
        <w:rPr>
          <w:i/>
          <w:noProof/>
        </w:rPr>
      </w:pPr>
    </w:p>
    <w:p>
      <w:pPr>
        <w:pStyle w:val="Text2"/>
        <w:ind w:left="0"/>
        <w:rPr>
          <w:i/>
          <w:noProof/>
        </w:rPr>
      </w:pPr>
    </w:p>
    <w:p>
      <w:pPr>
        <w:pStyle w:val="Text2"/>
        <w:ind w:left="0"/>
        <w:rPr>
          <w:b/>
          <w:noProof/>
        </w:rPr>
      </w:pPr>
      <w:r>
        <w:rPr>
          <w:b/>
          <w:noProof/>
        </w:rPr>
        <w:t>Tableau 3. Évolution du PIB par habitant en standards de pouvoir d’achat dans certaines régions insulaires (EU-28 = 100)</w:t>
      </w:r>
    </w:p>
    <w:tbl>
      <w:tblPr>
        <w:tblW w:w="7522" w:type="dxa"/>
        <w:jc w:val="center"/>
        <w:tblLook w:val="04A0" w:firstRow="1" w:lastRow="0" w:firstColumn="1" w:lastColumn="0" w:noHBand="0" w:noVBand="1"/>
      </w:tblPr>
      <w:tblGrid>
        <w:gridCol w:w="1330"/>
        <w:gridCol w:w="1837"/>
        <w:gridCol w:w="700"/>
        <w:gridCol w:w="700"/>
        <w:gridCol w:w="1013"/>
        <w:gridCol w:w="1164"/>
        <w:gridCol w:w="1164"/>
      </w:tblGrid>
      <w:tr>
        <w:trPr>
          <w:trHeight w:val="300"/>
          <w:jc w:val="center"/>
        </w:trPr>
        <w:tc>
          <w:tcPr>
            <w:tcW w:w="133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left"/>
              <w:rPr>
                <w:rFonts w:ascii="Calibri" w:hAnsi="Calibri" w:cs="Calibri"/>
                <w:b/>
                <w:noProof/>
                <w:color w:val="000000"/>
                <w:sz w:val="22"/>
                <w:szCs w:val="22"/>
              </w:rPr>
            </w:pPr>
            <w:r>
              <w:rPr>
                <w:rFonts w:ascii="Calibri" w:hAnsi="Calibri"/>
                <w:b/>
                <w:noProof/>
                <w:sz w:val="22"/>
                <w:szCs w:val="22"/>
              </w:rPr>
              <w:t>Pays de l’UE</w:t>
            </w:r>
          </w:p>
        </w:tc>
        <w:tc>
          <w:tcPr>
            <w:tcW w:w="1837"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left"/>
              <w:rPr>
                <w:rFonts w:ascii="Calibri" w:hAnsi="Calibri" w:cs="Calibri"/>
                <w:b/>
                <w:noProof/>
                <w:color w:val="000000"/>
                <w:sz w:val="22"/>
                <w:szCs w:val="22"/>
              </w:rPr>
            </w:pPr>
            <w:r>
              <w:rPr>
                <w:rFonts w:ascii="Calibri" w:hAnsi="Calibri"/>
                <w:b/>
                <w:noProof/>
                <w:sz w:val="22"/>
                <w:szCs w:val="22"/>
              </w:rPr>
              <w:t>Région NUTS 3</w:t>
            </w:r>
          </w:p>
        </w:tc>
        <w:tc>
          <w:tcPr>
            <w:tcW w:w="70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right"/>
              <w:rPr>
                <w:rFonts w:ascii="Calibri" w:hAnsi="Calibri" w:cs="Calibri"/>
                <w:b/>
                <w:noProof/>
                <w:color w:val="000000"/>
                <w:sz w:val="22"/>
                <w:szCs w:val="22"/>
              </w:rPr>
            </w:pPr>
            <w:r>
              <w:rPr>
                <w:rFonts w:ascii="Calibri" w:hAnsi="Calibri"/>
                <w:b/>
                <w:noProof/>
                <w:sz w:val="22"/>
                <w:szCs w:val="22"/>
              </w:rPr>
              <w:t>2002</w:t>
            </w:r>
          </w:p>
        </w:tc>
        <w:tc>
          <w:tcPr>
            <w:tcW w:w="70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right"/>
              <w:rPr>
                <w:rFonts w:ascii="Calibri" w:hAnsi="Calibri" w:cs="Calibri"/>
                <w:b/>
                <w:noProof/>
                <w:color w:val="000000"/>
                <w:sz w:val="22"/>
                <w:szCs w:val="22"/>
              </w:rPr>
            </w:pPr>
            <w:r>
              <w:rPr>
                <w:rFonts w:ascii="Calibri" w:hAnsi="Calibri"/>
                <w:b/>
                <w:noProof/>
                <w:sz w:val="22"/>
                <w:szCs w:val="22"/>
              </w:rPr>
              <w:t>2009</w:t>
            </w:r>
          </w:p>
        </w:tc>
        <w:tc>
          <w:tcPr>
            <w:tcW w:w="1013"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right"/>
              <w:rPr>
                <w:rFonts w:ascii="Calibri" w:hAnsi="Calibri" w:cs="Calibri"/>
                <w:b/>
                <w:noProof/>
                <w:color w:val="000000"/>
                <w:sz w:val="22"/>
                <w:szCs w:val="22"/>
              </w:rPr>
            </w:pPr>
            <w:r>
              <w:rPr>
                <w:rFonts w:ascii="Calibri" w:hAnsi="Calibri"/>
                <w:b/>
                <w:noProof/>
                <w:sz w:val="22"/>
                <w:szCs w:val="22"/>
              </w:rPr>
              <w:t>2016</w:t>
            </w:r>
          </w:p>
        </w:tc>
        <w:tc>
          <w:tcPr>
            <w:tcW w:w="929"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Calibri" w:hAnsi="Calibri" w:cs="Calibri"/>
                <w:b/>
                <w:noProof/>
                <w:color w:val="000000"/>
                <w:sz w:val="22"/>
                <w:szCs w:val="22"/>
              </w:rPr>
            </w:pPr>
            <w:r>
              <w:rPr>
                <w:rFonts w:ascii="Calibri" w:hAnsi="Calibri"/>
                <w:b/>
                <w:noProof/>
                <w:sz w:val="22"/>
                <w:szCs w:val="22"/>
              </w:rPr>
              <w:t>Taux de croissance annuel 2002-2016</w:t>
            </w:r>
          </w:p>
        </w:tc>
        <w:tc>
          <w:tcPr>
            <w:tcW w:w="1013"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pPr>
              <w:spacing w:after="0"/>
              <w:jc w:val="center"/>
              <w:rPr>
                <w:rFonts w:ascii="Calibri" w:hAnsi="Calibri" w:cs="Calibri"/>
                <w:b/>
                <w:noProof/>
                <w:color w:val="000000"/>
                <w:sz w:val="22"/>
                <w:szCs w:val="22"/>
              </w:rPr>
            </w:pPr>
            <w:r>
              <w:rPr>
                <w:rFonts w:ascii="Calibri" w:hAnsi="Calibri"/>
                <w:b/>
                <w:noProof/>
                <w:sz w:val="22"/>
                <w:szCs w:val="22"/>
              </w:rPr>
              <w:t>Taux de croissance annuel 2009-2016</w:t>
            </w:r>
          </w:p>
        </w:tc>
      </w:tr>
      <w:tr>
        <w:trPr>
          <w:trHeight w:val="300"/>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sz w:val="22"/>
                <w:szCs w:val="22"/>
              </w:rPr>
              <w:t>DK</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sz w:val="22"/>
                <w:szCs w:val="22"/>
              </w:rPr>
              <w:t>Bornholm</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88</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87</w:t>
            </w:r>
          </w:p>
        </w:tc>
        <w:tc>
          <w:tcPr>
            <w:tcW w:w="1013"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89</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0,1 %</w:t>
            </w:r>
          </w:p>
        </w:tc>
        <w:tc>
          <w:tcPr>
            <w:tcW w:w="1013"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0,3 %</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sz w:val="22"/>
                <w:szCs w:val="22"/>
              </w:rPr>
              <w:t>ES</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sz w:val="22"/>
                <w:szCs w:val="22"/>
              </w:rPr>
              <w:t>Fuerteventura</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132</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88</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85</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-3,1 %</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-0,5 %</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sz w:val="22"/>
                <w:szCs w:val="22"/>
              </w:rPr>
              <w:t>ES</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sz w:val="22"/>
                <w:szCs w:val="22"/>
              </w:rPr>
              <w:t>Minorque</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103</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85</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75</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-2,2 %</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-1,8 %</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sz w:val="22"/>
                <w:szCs w:val="22"/>
              </w:rPr>
              <w:t>ES</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sz w:val="22"/>
                <w:szCs w:val="22"/>
              </w:rPr>
              <w:t>El Hierro</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72</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87</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65</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-0,7 %</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-4,1 %</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sz w:val="22"/>
                <w:szCs w:val="22"/>
              </w:rPr>
              <w:t>ES</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sz w:val="22"/>
                <w:szCs w:val="22"/>
              </w:rPr>
              <w:t>La Gomera</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85</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87</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70</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-1,4 %</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-3,1 %</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sz w:val="22"/>
                <w:szCs w:val="22"/>
              </w:rPr>
              <w:t>ES</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sz w:val="22"/>
                <w:szCs w:val="22"/>
              </w:rPr>
              <w:t>La Palma</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66</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80</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68</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0,2 %</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-2,3 %</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sz w:val="22"/>
                <w:szCs w:val="22"/>
              </w:rPr>
              <w:t>FI</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sz w:val="22"/>
                <w:szCs w:val="22"/>
              </w:rPr>
              <w:t>Åland</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151</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144</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129</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-1,1 %</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-1,6 %</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sz w:val="22"/>
                <w:szCs w:val="22"/>
              </w:rPr>
              <w:t>EL</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sz w:val="22"/>
                <w:szCs w:val="22"/>
              </w:rPr>
              <w:t>Chios</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66</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73</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50</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-2,0 %</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-5,3 %</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sz w:val="22"/>
                <w:szCs w:val="22"/>
              </w:rPr>
              <w:t>EL</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sz w:val="22"/>
                <w:szCs w:val="22"/>
              </w:rPr>
              <w:t>Zante</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104</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104</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75</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-2,3 %</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-4,6 %</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sz w:val="22"/>
                <w:szCs w:val="22"/>
              </w:rPr>
              <w:t>EL</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sz w:val="22"/>
                <w:szCs w:val="22"/>
              </w:rPr>
              <w:t>Ikaria, Samos</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65</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79</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51</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-1,7 %</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-6,1 %</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sz w:val="22"/>
                <w:szCs w:val="22"/>
              </w:rPr>
              <w:t>EL</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sz w:val="22"/>
                <w:szCs w:val="22"/>
              </w:rPr>
              <w:t>Ithaque, Céphalonie</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89</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94</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60</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-2,8 %</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-6,2 %</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sz w:val="22"/>
                <w:szCs w:val="22"/>
              </w:rPr>
              <w:t>EL</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sz w:val="22"/>
                <w:szCs w:val="22"/>
              </w:rPr>
              <w:t>Lesvos, Limnos</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64</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74</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51</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-1,6 %</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-5,2 %</w:t>
            </w:r>
          </w:p>
        </w:tc>
      </w:tr>
      <w:tr>
        <w:trPr>
          <w:trHeight w:val="300"/>
          <w:jc w:val="center"/>
        </w:trPr>
        <w:tc>
          <w:tcPr>
            <w:tcW w:w="1330" w:type="dxa"/>
            <w:tcBorders>
              <w:top w:val="nil"/>
              <w:left w:val="single" w:sz="4" w:space="0" w:color="auto"/>
              <w:bottom w:val="single" w:sz="4" w:space="0" w:color="auto"/>
              <w:right w:val="single" w:sz="4" w:space="0" w:color="auto"/>
            </w:tcBorders>
            <w:shd w:val="clear" w:color="000000" w:fill="DDD9C4"/>
            <w:noWrap/>
            <w:vAlign w:val="bottom"/>
            <w:hideMark/>
          </w:tcPr>
          <w:p>
            <w:pPr>
              <w:spacing w:after="0"/>
              <w:jc w:val="left"/>
              <w:rPr>
                <w:rFonts w:ascii="Calibri" w:hAnsi="Calibri" w:cs="Calibri"/>
                <w:b/>
                <w:noProof/>
                <w:color w:val="000000"/>
                <w:sz w:val="22"/>
                <w:szCs w:val="22"/>
              </w:rPr>
            </w:pPr>
            <w:r>
              <w:rPr>
                <w:rFonts w:ascii="Calibri" w:hAnsi="Calibri"/>
                <w:b/>
                <w:noProof/>
                <w:sz w:val="22"/>
                <w:szCs w:val="22"/>
              </w:rPr>
              <w:t>MT</w:t>
            </w:r>
          </w:p>
        </w:tc>
        <w:tc>
          <w:tcPr>
            <w:tcW w:w="1837" w:type="dxa"/>
            <w:tcBorders>
              <w:top w:val="nil"/>
              <w:left w:val="nil"/>
              <w:bottom w:val="single" w:sz="4" w:space="0" w:color="auto"/>
              <w:right w:val="single" w:sz="4" w:space="0" w:color="auto"/>
            </w:tcBorders>
            <w:shd w:val="clear" w:color="000000" w:fill="DDD9C4"/>
            <w:noWrap/>
            <w:vAlign w:val="bottom"/>
            <w:hideMark/>
          </w:tcPr>
          <w:p>
            <w:pPr>
              <w:spacing w:after="0"/>
              <w:jc w:val="left"/>
              <w:rPr>
                <w:rFonts w:ascii="Calibri" w:hAnsi="Calibri" w:cs="Calibri"/>
                <w:b/>
                <w:noProof/>
                <w:color w:val="000000"/>
                <w:sz w:val="22"/>
                <w:szCs w:val="22"/>
              </w:rPr>
            </w:pPr>
            <w:r>
              <w:rPr>
                <w:rFonts w:ascii="Calibri" w:hAnsi="Calibri"/>
                <w:b/>
                <w:noProof/>
                <w:sz w:val="22"/>
                <w:szCs w:val="22"/>
              </w:rPr>
              <w:t>Gozo et Comino</w:t>
            </w:r>
          </w:p>
        </w:tc>
        <w:tc>
          <w:tcPr>
            <w:tcW w:w="700" w:type="dxa"/>
            <w:tcBorders>
              <w:top w:val="nil"/>
              <w:left w:val="nil"/>
              <w:bottom w:val="single" w:sz="4" w:space="0" w:color="auto"/>
              <w:right w:val="single" w:sz="4" w:space="0" w:color="auto"/>
            </w:tcBorders>
            <w:shd w:val="clear" w:color="000000" w:fill="DDD9C4"/>
            <w:noWrap/>
            <w:vAlign w:val="bottom"/>
            <w:hideMark/>
          </w:tcPr>
          <w:p>
            <w:pPr>
              <w:spacing w:after="0"/>
              <w:jc w:val="right"/>
              <w:rPr>
                <w:rFonts w:ascii="Calibri" w:hAnsi="Calibri" w:cs="Calibri"/>
                <w:b/>
                <w:noProof/>
                <w:color w:val="000000"/>
                <w:sz w:val="22"/>
                <w:szCs w:val="22"/>
              </w:rPr>
            </w:pPr>
            <w:r>
              <w:rPr>
                <w:rFonts w:ascii="Calibri" w:hAnsi="Calibri"/>
                <w:b/>
                <w:noProof/>
                <w:sz w:val="22"/>
                <w:szCs w:val="22"/>
              </w:rPr>
              <w:t>55</w:t>
            </w:r>
          </w:p>
        </w:tc>
        <w:tc>
          <w:tcPr>
            <w:tcW w:w="700" w:type="dxa"/>
            <w:tcBorders>
              <w:top w:val="nil"/>
              <w:left w:val="nil"/>
              <w:bottom w:val="single" w:sz="4" w:space="0" w:color="auto"/>
              <w:right w:val="single" w:sz="4" w:space="0" w:color="auto"/>
            </w:tcBorders>
            <w:shd w:val="clear" w:color="000000" w:fill="DDD9C4"/>
            <w:noWrap/>
            <w:vAlign w:val="bottom"/>
            <w:hideMark/>
          </w:tcPr>
          <w:p>
            <w:pPr>
              <w:spacing w:after="0"/>
              <w:jc w:val="right"/>
              <w:rPr>
                <w:rFonts w:ascii="Calibri" w:hAnsi="Calibri" w:cs="Calibri"/>
                <w:b/>
                <w:noProof/>
                <w:color w:val="000000"/>
                <w:sz w:val="22"/>
                <w:szCs w:val="22"/>
              </w:rPr>
            </w:pPr>
            <w:r>
              <w:rPr>
                <w:rFonts w:ascii="Calibri" w:hAnsi="Calibri"/>
                <w:b/>
                <w:noProof/>
                <w:sz w:val="22"/>
                <w:szCs w:val="22"/>
              </w:rPr>
              <w:t>51</w:t>
            </w:r>
          </w:p>
        </w:tc>
        <w:tc>
          <w:tcPr>
            <w:tcW w:w="1013" w:type="dxa"/>
            <w:tcBorders>
              <w:top w:val="nil"/>
              <w:left w:val="nil"/>
              <w:bottom w:val="single" w:sz="4" w:space="0" w:color="auto"/>
              <w:right w:val="single" w:sz="4" w:space="0" w:color="auto"/>
            </w:tcBorders>
            <w:shd w:val="clear" w:color="000000" w:fill="DDD9C4"/>
            <w:noWrap/>
            <w:vAlign w:val="bottom"/>
            <w:hideMark/>
          </w:tcPr>
          <w:p>
            <w:pPr>
              <w:spacing w:after="0"/>
              <w:jc w:val="right"/>
              <w:rPr>
                <w:rFonts w:ascii="Calibri" w:hAnsi="Calibri" w:cs="Calibri"/>
                <w:b/>
                <w:noProof/>
                <w:color w:val="000000"/>
                <w:sz w:val="22"/>
                <w:szCs w:val="22"/>
              </w:rPr>
            </w:pPr>
            <w:r>
              <w:rPr>
                <w:rFonts w:ascii="Calibri" w:hAnsi="Calibri"/>
                <w:b/>
                <w:noProof/>
                <w:sz w:val="22"/>
                <w:szCs w:val="22"/>
              </w:rPr>
              <w:t>56</w:t>
            </w:r>
          </w:p>
        </w:tc>
        <w:tc>
          <w:tcPr>
            <w:tcW w:w="929" w:type="dxa"/>
            <w:tcBorders>
              <w:top w:val="nil"/>
              <w:left w:val="nil"/>
              <w:bottom w:val="single" w:sz="4" w:space="0" w:color="auto"/>
              <w:right w:val="single" w:sz="4" w:space="0" w:color="auto"/>
            </w:tcBorders>
            <w:shd w:val="clear" w:color="000000" w:fill="DDD9C4"/>
            <w:noWrap/>
            <w:vAlign w:val="bottom"/>
            <w:hideMark/>
          </w:tcPr>
          <w:p>
            <w:pPr>
              <w:spacing w:after="0"/>
              <w:jc w:val="right"/>
              <w:rPr>
                <w:rFonts w:ascii="Calibri" w:hAnsi="Calibri" w:cs="Calibri"/>
                <w:b/>
                <w:noProof/>
                <w:color w:val="000000"/>
                <w:sz w:val="22"/>
                <w:szCs w:val="22"/>
              </w:rPr>
            </w:pPr>
            <w:r>
              <w:rPr>
                <w:rFonts w:ascii="Calibri" w:hAnsi="Calibri"/>
                <w:b/>
                <w:noProof/>
                <w:sz w:val="22"/>
                <w:szCs w:val="22"/>
              </w:rPr>
              <w:t>0,1 %</w:t>
            </w:r>
          </w:p>
        </w:tc>
        <w:tc>
          <w:tcPr>
            <w:tcW w:w="1013" w:type="dxa"/>
            <w:tcBorders>
              <w:top w:val="nil"/>
              <w:left w:val="nil"/>
              <w:bottom w:val="single" w:sz="4" w:space="0" w:color="auto"/>
              <w:right w:val="single" w:sz="4" w:space="0" w:color="auto"/>
            </w:tcBorders>
            <w:shd w:val="clear" w:color="000000" w:fill="DDD9C4"/>
            <w:noWrap/>
            <w:vAlign w:val="bottom"/>
            <w:hideMark/>
          </w:tcPr>
          <w:p>
            <w:pPr>
              <w:spacing w:after="0"/>
              <w:jc w:val="right"/>
              <w:rPr>
                <w:rFonts w:ascii="Calibri" w:hAnsi="Calibri" w:cs="Calibri"/>
                <w:b/>
                <w:noProof/>
                <w:color w:val="000000"/>
                <w:sz w:val="22"/>
                <w:szCs w:val="22"/>
              </w:rPr>
            </w:pPr>
            <w:r>
              <w:rPr>
                <w:rFonts w:ascii="Calibri" w:hAnsi="Calibri"/>
                <w:b/>
                <w:noProof/>
                <w:sz w:val="22"/>
                <w:szCs w:val="22"/>
              </w:rPr>
              <w:t>1,3 %</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sz w:val="22"/>
                <w:szCs w:val="22"/>
              </w:rPr>
              <w:t>SE</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sz w:val="22"/>
                <w:szCs w:val="22"/>
              </w:rPr>
              <w:t>Comté de Gotland</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98</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93</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92</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-0,5 %</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-0,2 %</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sz w:val="22"/>
                <w:szCs w:val="22"/>
              </w:rPr>
              <w:t>UK</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sz w:val="22"/>
                <w:szCs w:val="22"/>
              </w:rPr>
              <w:t>Hébrides extérieures</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88</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88</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76</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-1,0 %</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-2,1 %</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sz w:val="22"/>
                <w:szCs w:val="22"/>
              </w:rPr>
              <w:t>UK</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sz w:val="22"/>
                <w:szCs w:val="22"/>
              </w:rPr>
              <w:t>Îles Shetland</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135</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127</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133</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-0,1 %</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0,7 %</w:t>
            </w:r>
          </w:p>
        </w:tc>
      </w:tr>
      <w:tr>
        <w:trPr>
          <w:trHeight w:val="300"/>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sz w:val="22"/>
                <w:szCs w:val="22"/>
              </w:rPr>
              <w:t>UK</w:t>
            </w:r>
          </w:p>
        </w:tc>
        <w:tc>
          <w:tcPr>
            <w:tcW w:w="1837" w:type="dxa"/>
            <w:tcBorders>
              <w:top w:val="nil"/>
              <w:left w:val="nil"/>
              <w:bottom w:val="single" w:sz="4" w:space="0" w:color="auto"/>
              <w:right w:val="single" w:sz="4" w:space="0" w:color="auto"/>
            </w:tcBorders>
            <w:shd w:val="clear" w:color="auto" w:fill="auto"/>
            <w:noWrap/>
            <w:vAlign w:val="bottom"/>
            <w:hideMark/>
          </w:tcPr>
          <w:p>
            <w:pPr>
              <w:spacing w:after="0"/>
              <w:jc w:val="left"/>
              <w:rPr>
                <w:rFonts w:ascii="Calibri" w:hAnsi="Calibri" w:cs="Calibri"/>
                <w:noProof/>
                <w:color w:val="000000"/>
                <w:sz w:val="22"/>
                <w:szCs w:val="22"/>
              </w:rPr>
            </w:pPr>
            <w:r>
              <w:rPr>
                <w:rFonts w:ascii="Calibri" w:hAnsi="Calibri"/>
                <w:noProof/>
                <w:sz w:val="22"/>
                <w:szCs w:val="22"/>
              </w:rPr>
              <w:t>Orcades</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95</w:t>
            </w:r>
          </w:p>
        </w:tc>
        <w:tc>
          <w:tcPr>
            <w:tcW w:w="7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95</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95</w:t>
            </w:r>
          </w:p>
        </w:tc>
        <w:tc>
          <w:tcPr>
            <w:tcW w:w="929"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0,0 %</w:t>
            </w:r>
          </w:p>
        </w:tc>
        <w:tc>
          <w:tcPr>
            <w:tcW w:w="1013"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hAnsi="Calibri" w:cs="Calibri"/>
                <w:noProof/>
                <w:color w:val="000000"/>
                <w:sz w:val="22"/>
                <w:szCs w:val="22"/>
              </w:rPr>
            </w:pPr>
            <w:r>
              <w:rPr>
                <w:rFonts w:ascii="Calibri" w:hAnsi="Calibri"/>
                <w:noProof/>
                <w:sz w:val="22"/>
                <w:szCs w:val="22"/>
              </w:rPr>
              <w:t>0,0 %</w:t>
            </w:r>
          </w:p>
        </w:tc>
      </w:tr>
    </w:tbl>
    <w:p>
      <w:pPr>
        <w:pStyle w:val="Text2"/>
        <w:ind w:left="0"/>
        <w:rPr>
          <w:i/>
          <w:noProof/>
          <w:sz w:val="20"/>
        </w:rPr>
      </w:pPr>
      <w:r>
        <w:rPr>
          <w:i/>
          <w:noProof/>
          <w:sz w:val="20"/>
        </w:rPr>
        <w:t>Source: Eurostat.</w:t>
      </w:r>
    </w:p>
    <w:p>
      <w:pPr>
        <w:pStyle w:val="Heading2"/>
        <w:rPr>
          <w:noProof/>
        </w:rPr>
      </w:pPr>
      <w:r>
        <w:rPr>
          <w:noProof/>
        </w:rPr>
        <w:t>Disparités internes</w:t>
      </w:r>
    </w:p>
    <w:p>
      <w:pPr>
        <w:pStyle w:val="Text2"/>
        <w:ind w:left="476"/>
        <w:rPr>
          <w:noProof/>
        </w:rPr>
      </w:pPr>
      <w:r>
        <w:rPr>
          <w:noProof/>
        </w:rPr>
        <w:t>Aux fins du présent rapport, les disparités régionales au sein des régions NUTS 2 sont mesurées en utilisant le PIB par habitant au niveau NUTS 3. Dans le cas de Malte, les îles de Malte, de Gozo et de Comino sont deux régions NUTS 3 faisant partie d’une région NUTS 2 unique, qui coïncide également avec le pays.</w:t>
      </w:r>
    </w:p>
    <w:p>
      <w:pPr>
        <w:pStyle w:val="Text2"/>
        <w:ind w:left="476"/>
        <w:rPr>
          <w:noProof/>
        </w:rPr>
      </w:pPr>
      <w:r>
        <w:rPr>
          <w:noProof/>
        </w:rPr>
        <w:t xml:space="preserve">Les disparités internes ne peuvent évidemment pas être évaluées pour les régions NUTS 2 sans subdivision NUTS 3. En outre, les mesures des disparités régionales sont généralement sensibles au nombre de zones NUTS 3 au sein de chaque région NUTS 2. </w:t>
      </w:r>
    </w:p>
    <w:p>
      <w:pPr>
        <w:pStyle w:val="Text2"/>
        <w:ind w:left="476"/>
        <w:rPr>
          <w:noProof/>
        </w:rPr>
      </w:pPr>
      <w:r>
        <w:rPr>
          <w:noProof/>
        </w:rPr>
        <w:t xml:space="preserve">C’est pourquoi le présent rapport utilise quatre mesures des disparités internes, en considérant trois ensembles différents de régions NUTS 2: 1) toutes les régions NUTS 2 de l’UE; 2) les régions NUTS 2 en transition (où le PIB par habitant se situe entre 75 % et 90 % de la moyenne de l’UE); 3) les régions NUTS 2 ayant une capitale, à l’exclusion des régions qui ne sont pas subdivisées en zones NUTS 3. </w:t>
      </w:r>
    </w:p>
    <w:p>
      <w:pPr>
        <w:pStyle w:val="Text2"/>
        <w:ind w:left="476"/>
        <w:rPr>
          <w:noProof/>
        </w:rPr>
      </w:pPr>
      <w:r>
        <w:rPr>
          <w:noProof/>
        </w:rPr>
        <w:t>Les quatre indicateurs sont les suivants:</w:t>
      </w:r>
    </w:p>
    <w:p>
      <w:pPr>
        <w:pStyle w:val="Text2"/>
        <w:numPr>
          <w:ilvl w:val="0"/>
          <w:numId w:val="24"/>
        </w:numPr>
        <w:rPr>
          <w:noProof/>
        </w:rPr>
      </w:pPr>
      <w:r>
        <w:rPr>
          <w:noProof/>
        </w:rPr>
        <w:t xml:space="preserve">le </w:t>
      </w:r>
      <w:r>
        <w:rPr>
          <w:b/>
          <w:noProof/>
        </w:rPr>
        <w:t>coefficient de variation</w:t>
      </w:r>
      <w:r>
        <w:rPr>
          <w:noProof/>
        </w:rPr>
        <w:t>: le rapport entre l’écart type de l’ensemble des NUTS 3 et le PIB moyen par habitant de la NUTS 2. Sur les quatre mesures, cet indicateur est le moins dépendant du nombre de régions NUTS 3 au sein de la région NUTS 2 considérée;</w:t>
      </w:r>
    </w:p>
    <w:p>
      <w:pPr>
        <w:pStyle w:val="Text2"/>
        <w:numPr>
          <w:ilvl w:val="0"/>
          <w:numId w:val="24"/>
        </w:numPr>
        <w:rPr>
          <w:noProof/>
        </w:rPr>
      </w:pPr>
      <w:r>
        <w:rPr>
          <w:noProof/>
        </w:rPr>
        <w:t>l’</w:t>
      </w:r>
      <w:r>
        <w:rPr>
          <w:b/>
          <w:noProof/>
        </w:rPr>
        <w:t>indice de concentration</w:t>
      </w:r>
      <w:r>
        <w:rPr>
          <w:noProof/>
        </w:rPr>
        <w:t>: un indice compris entre 0 et 1, où 0 correspond à une situation de parfaite égalité entre régions NUTS 3 et 1 à une situation où la totalité du PIB est concentrée dans une région NUTS 3;</w:t>
      </w:r>
    </w:p>
    <w:p>
      <w:pPr>
        <w:pStyle w:val="Text2"/>
        <w:numPr>
          <w:ilvl w:val="0"/>
          <w:numId w:val="24"/>
        </w:numPr>
        <w:rPr>
          <w:noProof/>
        </w:rPr>
      </w:pPr>
      <w:r>
        <w:rPr>
          <w:noProof/>
        </w:rPr>
        <w:t>l’</w:t>
      </w:r>
      <w:r>
        <w:rPr>
          <w:b/>
          <w:noProof/>
        </w:rPr>
        <w:t>indice Theil</w:t>
      </w:r>
      <w:r>
        <w:rPr>
          <w:noProof/>
        </w:rPr>
        <w:t xml:space="preserve">: un indice qui renvoie des valeurs plus proches de zéro à mesure que les disparités internes diminuent; </w:t>
      </w:r>
    </w:p>
    <w:p>
      <w:pPr>
        <w:pStyle w:val="Text2"/>
        <w:numPr>
          <w:ilvl w:val="0"/>
          <w:numId w:val="24"/>
        </w:numPr>
        <w:rPr>
          <w:noProof/>
        </w:rPr>
      </w:pPr>
      <w:r>
        <w:rPr>
          <w:noProof/>
        </w:rPr>
        <w:t xml:space="preserve">le </w:t>
      </w:r>
      <w:r>
        <w:rPr>
          <w:b/>
          <w:noProof/>
        </w:rPr>
        <w:t>rapport Min/Max</w:t>
      </w:r>
      <w:r>
        <w:rPr>
          <w:noProof/>
        </w:rPr>
        <w:t xml:space="preserve">: un rapport simple entre le PIB par habitant de la région NUTS 3 ayant la valeur la plus faible et celui de la région NUTS 3 ayant la valeur la plus élevée, au sein de la même région NUTS 2. Sur les quatre mesures, cet indicateur est le plus sensible au nombre de régions NUTS 3 dans chaque zone NUTS 2. </w:t>
      </w:r>
    </w:p>
    <w:p>
      <w:pPr>
        <w:pStyle w:val="Text2"/>
        <w:ind w:left="476"/>
        <w:rPr>
          <w:noProof/>
        </w:rPr>
      </w:pPr>
      <w:r>
        <w:rPr>
          <w:noProof/>
        </w:rPr>
        <w:t xml:space="preserve">Les premiers rangs correspondent aux régions présentant de faibles disparités internes: les classements sont calculés par ordre croissant pour le coefficient de variation, l’indice de concentration et l’indice de Theil et par ordre décroissant pour le rapport Min/Max. </w:t>
      </w:r>
    </w:p>
    <w:p>
      <w:pPr>
        <w:pStyle w:val="Text2"/>
        <w:ind w:left="476"/>
        <w:rPr>
          <w:noProof/>
        </w:rPr>
      </w:pPr>
      <w:r>
        <w:rPr>
          <w:noProof/>
        </w:rPr>
        <w:t>Les résultats pour Malte sont présentés dans le tableau 4.</w:t>
      </w:r>
    </w:p>
    <w:p>
      <w:pPr>
        <w:pStyle w:val="Text2"/>
        <w:ind w:left="476"/>
        <w:rPr>
          <w:noProof/>
        </w:rPr>
      </w:pPr>
      <w:r>
        <w:rPr>
          <w:noProof/>
        </w:rPr>
        <w:t xml:space="preserve">Lorsque l’on classe les </w:t>
      </w:r>
      <w:r>
        <w:rPr>
          <w:b/>
          <w:noProof/>
        </w:rPr>
        <w:t>237 régions NUTS 2</w:t>
      </w:r>
      <w:r>
        <w:rPr>
          <w:noProof/>
        </w:rPr>
        <w:t xml:space="preserve"> comportant des subdivisions NUTS 3, l’indice Theil et le coefficient de variation donnent des résultats pratiquement similaires pour Malte (respectivement 99</w:t>
      </w:r>
      <w:r>
        <w:rPr>
          <w:noProof/>
          <w:vertAlign w:val="superscript"/>
        </w:rPr>
        <w:t>e</w:t>
      </w:r>
      <w:r>
        <w:rPr>
          <w:noProof/>
        </w:rPr>
        <w:t>/237 et 86</w:t>
      </w:r>
      <w:r>
        <w:rPr>
          <w:noProof/>
          <w:vertAlign w:val="superscript"/>
        </w:rPr>
        <w:t>e</w:t>
      </w:r>
      <w:r>
        <w:rPr>
          <w:noProof/>
        </w:rPr>
        <w:t>/237). L’indice de concentration semble sous-estimer les disparités économiques à Malte (33</w:t>
      </w:r>
      <w:r>
        <w:rPr>
          <w:noProof/>
          <w:vertAlign w:val="superscript"/>
        </w:rPr>
        <w:t>e</w:t>
      </w:r>
      <w:r>
        <w:rPr>
          <w:noProof/>
        </w:rPr>
        <w:t>/237), alors que le ratio Min/Max semble les surestimer (164</w:t>
      </w:r>
      <w:r>
        <w:rPr>
          <w:noProof/>
          <w:vertAlign w:val="superscript"/>
        </w:rPr>
        <w:t>e</w:t>
      </w:r>
      <w:r>
        <w:rPr>
          <w:noProof/>
        </w:rPr>
        <w:t xml:space="preserve">/237). </w:t>
      </w:r>
    </w:p>
    <w:p>
      <w:pPr>
        <w:pStyle w:val="Text2"/>
        <w:ind w:left="476"/>
        <w:rPr>
          <w:noProof/>
        </w:rPr>
      </w:pPr>
      <w:r>
        <w:rPr>
          <w:noProof/>
        </w:rPr>
        <w:t xml:space="preserve">Les classements des </w:t>
      </w:r>
      <w:r>
        <w:rPr>
          <w:b/>
          <w:noProof/>
        </w:rPr>
        <w:t>46 NUTS 2 en transition</w:t>
      </w:r>
      <w:r>
        <w:rPr>
          <w:noProof/>
        </w:rPr>
        <w:t xml:space="preserve"> montrent une image légèrement plus claire. Une fois de plus, l’indice de Theil et le coefficient de variation établissent des résultats très proches pour Malte (respectivement 26</w:t>
      </w:r>
      <w:r>
        <w:rPr>
          <w:noProof/>
          <w:vertAlign w:val="superscript"/>
        </w:rPr>
        <w:t>e</w:t>
      </w:r>
      <w:r>
        <w:rPr>
          <w:noProof/>
        </w:rPr>
        <w:t>/46 et 24</w:t>
      </w:r>
      <w:r>
        <w:rPr>
          <w:noProof/>
          <w:vertAlign w:val="superscript"/>
        </w:rPr>
        <w:t>e</w:t>
      </w:r>
      <w:r>
        <w:rPr>
          <w:noProof/>
        </w:rPr>
        <w:t>/46), l’indice de concentration classe Malte à la 11</w:t>
      </w:r>
      <w:r>
        <w:rPr>
          <w:noProof/>
          <w:vertAlign w:val="superscript"/>
        </w:rPr>
        <w:t>e</w:t>
      </w:r>
      <w:r>
        <w:rPr>
          <w:noProof/>
        </w:rPr>
        <w:t xml:space="preserve"> place, tandis que le ratio Min/Max à la 39</w:t>
      </w:r>
      <w:r>
        <w:rPr>
          <w:noProof/>
          <w:vertAlign w:val="superscript"/>
        </w:rPr>
        <w:t>e</w:t>
      </w:r>
      <w:r>
        <w:rPr>
          <w:noProof/>
        </w:rPr>
        <w:t>.</w:t>
      </w:r>
    </w:p>
    <w:p>
      <w:pPr>
        <w:pStyle w:val="Text2"/>
        <w:ind w:left="476"/>
        <w:rPr>
          <w:noProof/>
        </w:rPr>
      </w:pPr>
      <w:r>
        <w:rPr>
          <w:noProof/>
        </w:rPr>
        <w:t xml:space="preserve">Enfin, Malte étant également une </w:t>
      </w:r>
      <w:r>
        <w:rPr>
          <w:b/>
          <w:noProof/>
        </w:rPr>
        <w:t>région de capitale</w:t>
      </w:r>
      <w:r>
        <w:rPr>
          <w:noProof/>
        </w:rPr>
        <w:t xml:space="preserve">, une troisième sélection la classe parmi les 15 autres régions de capitales d’Europe comptant plus d’une région NUTS 3. Malte se situe au premier rang selon le coefficient de variation, l’indice de concentration et l’indice de Theil, et au deuxième rang selon le rapport Min/Max, se classant ainsi généralement mieux que toutes les autres régions de capitales de l’UE en ce qui concerne les disparités internes.  </w:t>
      </w:r>
    </w:p>
    <w:p>
      <w:pPr>
        <w:spacing w:after="0"/>
        <w:jc w:val="left"/>
        <w:rPr>
          <w:noProof/>
        </w:rPr>
      </w:pPr>
      <w:r>
        <w:rPr>
          <w:noProof/>
        </w:rPr>
        <w:br w:type="page"/>
      </w:r>
    </w:p>
    <w:p>
      <w:pPr>
        <w:pStyle w:val="Text2"/>
        <w:ind w:left="0"/>
        <w:rPr>
          <w:b/>
          <w:noProof/>
        </w:rPr>
      </w:pPr>
      <w:r>
        <w:rPr>
          <w:b/>
          <w:noProof/>
        </w:rPr>
        <w:t>Tableau 4. Analyse comparative des disparités régionales en termes de PIB par habitant en 2016 pour Malte, basée sur quatre indicateurs différents et trois sélections de classement différentes</w:t>
      </w:r>
    </w:p>
    <w:tbl>
      <w:tblPr>
        <w:tblW w:w="4040" w:type="dxa"/>
        <w:jc w:val="center"/>
        <w:tblLook w:val="04A0" w:firstRow="1" w:lastRow="0" w:firstColumn="1" w:lastColumn="0" w:noHBand="0" w:noVBand="1"/>
      </w:tblPr>
      <w:tblGrid>
        <w:gridCol w:w="1206"/>
        <w:gridCol w:w="1495"/>
        <w:gridCol w:w="960"/>
        <w:gridCol w:w="1077"/>
      </w:tblGrid>
      <w:tr>
        <w:trPr>
          <w:trHeight w:val="690"/>
          <w:jc w:val="center"/>
        </w:trPr>
        <w:tc>
          <w:tcPr>
            <w:tcW w:w="4040" w:type="dxa"/>
            <w:gridSpan w:val="4"/>
            <w:tcBorders>
              <w:top w:val="nil"/>
              <w:left w:val="nil"/>
              <w:bottom w:val="single" w:sz="4" w:space="0" w:color="auto"/>
              <w:right w:val="nil"/>
            </w:tcBorders>
            <w:shd w:val="clear" w:color="auto" w:fill="auto"/>
            <w:vAlign w:val="bottom"/>
            <w:hideMark/>
          </w:tcPr>
          <w:p>
            <w:pPr>
              <w:spacing w:after="0"/>
              <w:jc w:val="center"/>
              <w:rPr>
                <w:rFonts w:ascii="Calibri" w:hAnsi="Calibri"/>
                <w:b/>
                <w:bCs/>
                <w:noProof/>
                <w:color w:val="000000"/>
                <w:sz w:val="22"/>
                <w:szCs w:val="22"/>
              </w:rPr>
            </w:pPr>
            <w:r>
              <w:rPr>
                <w:rFonts w:ascii="Calibri" w:hAnsi="Calibri"/>
                <w:b/>
                <w:bCs/>
                <w:noProof/>
                <w:sz w:val="22"/>
                <w:szCs w:val="22"/>
              </w:rPr>
              <w:t>Valeurs des quatre indicateurs de mesure des inégalités régionales - Malte</w:t>
            </w:r>
          </w:p>
        </w:tc>
      </w:tr>
      <w:tr>
        <w:trPr>
          <w:trHeight w:val="735"/>
          <w:jc w:val="center"/>
        </w:trPr>
        <w:tc>
          <w:tcPr>
            <w:tcW w:w="116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pPr>
              <w:spacing w:after="0"/>
              <w:jc w:val="center"/>
              <w:rPr>
                <w:rFonts w:ascii="Calibri" w:hAnsi="Calibri"/>
                <w:b/>
                <w:bCs/>
                <w:noProof/>
                <w:color w:val="000000"/>
                <w:sz w:val="22"/>
                <w:szCs w:val="22"/>
              </w:rPr>
            </w:pPr>
            <w:r>
              <w:rPr>
                <w:rFonts w:ascii="Calibri" w:hAnsi="Calibri"/>
                <w:b/>
                <w:bCs/>
                <w:noProof/>
                <w:sz w:val="22"/>
                <w:szCs w:val="22"/>
              </w:rPr>
              <w:t>Coefficient de variation</w:t>
            </w:r>
          </w:p>
        </w:tc>
        <w:tc>
          <w:tcPr>
            <w:tcW w:w="960" w:type="dxa"/>
            <w:tcBorders>
              <w:top w:val="nil"/>
              <w:left w:val="nil"/>
              <w:bottom w:val="single" w:sz="4" w:space="0" w:color="auto"/>
              <w:right w:val="single" w:sz="4" w:space="0" w:color="auto"/>
            </w:tcBorders>
            <w:shd w:val="clear" w:color="auto" w:fill="D9D9D9" w:themeFill="background1" w:themeFillShade="D9"/>
            <w:vAlign w:val="bottom"/>
            <w:hideMark/>
          </w:tcPr>
          <w:p>
            <w:pPr>
              <w:spacing w:after="0"/>
              <w:jc w:val="center"/>
              <w:rPr>
                <w:rFonts w:ascii="Calibri" w:hAnsi="Calibri"/>
                <w:b/>
                <w:bCs/>
                <w:noProof/>
                <w:color w:val="000000"/>
                <w:sz w:val="22"/>
                <w:szCs w:val="22"/>
              </w:rPr>
            </w:pPr>
            <w:r>
              <w:rPr>
                <w:rFonts w:ascii="Calibri" w:hAnsi="Calibri"/>
                <w:b/>
                <w:bCs/>
                <w:noProof/>
                <w:sz w:val="22"/>
                <w:szCs w:val="22"/>
              </w:rPr>
              <w:t>Indice de concentration</w:t>
            </w:r>
          </w:p>
        </w:tc>
        <w:tc>
          <w:tcPr>
            <w:tcW w:w="960" w:type="dxa"/>
            <w:tcBorders>
              <w:top w:val="nil"/>
              <w:left w:val="nil"/>
              <w:bottom w:val="single" w:sz="4" w:space="0" w:color="auto"/>
              <w:right w:val="single" w:sz="4" w:space="0" w:color="auto"/>
            </w:tcBorders>
            <w:shd w:val="clear" w:color="auto" w:fill="D9D9D9" w:themeFill="background1" w:themeFillShade="D9"/>
            <w:vAlign w:val="bottom"/>
            <w:hideMark/>
          </w:tcPr>
          <w:p>
            <w:pPr>
              <w:spacing w:after="0"/>
              <w:jc w:val="center"/>
              <w:rPr>
                <w:rFonts w:ascii="Calibri" w:hAnsi="Calibri"/>
                <w:b/>
                <w:bCs/>
                <w:noProof/>
                <w:color w:val="000000"/>
                <w:sz w:val="22"/>
                <w:szCs w:val="22"/>
              </w:rPr>
            </w:pPr>
            <w:r>
              <w:rPr>
                <w:rFonts w:ascii="Calibri" w:hAnsi="Calibri"/>
                <w:b/>
                <w:bCs/>
                <w:noProof/>
                <w:sz w:val="22"/>
                <w:szCs w:val="22"/>
              </w:rPr>
              <w:t>Indice de Theil</w:t>
            </w:r>
          </w:p>
        </w:tc>
        <w:tc>
          <w:tcPr>
            <w:tcW w:w="960" w:type="dxa"/>
            <w:tcBorders>
              <w:top w:val="nil"/>
              <w:left w:val="nil"/>
              <w:bottom w:val="single" w:sz="4" w:space="0" w:color="auto"/>
              <w:right w:val="single" w:sz="4" w:space="0" w:color="auto"/>
            </w:tcBorders>
            <w:shd w:val="clear" w:color="auto" w:fill="D9D9D9" w:themeFill="background1" w:themeFillShade="D9"/>
            <w:vAlign w:val="bottom"/>
            <w:hideMark/>
          </w:tcPr>
          <w:p>
            <w:pPr>
              <w:spacing w:after="0"/>
              <w:jc w:val="center"/>
              <w:rPr>
                <w:rFonts w:ascii="Calibri" w:hAnsi="Calibri"/>
                <w:b/>
                <w:bCs/>
                <w:noProof/>
                <w:color w:val="000000"/>
                <w:sz w:val="22"/>
                <w:szCs w:val="22"/>
              </w:rPr>
            </w:pPr>
            <w:r>
              <w:rPr>
                <w:rFonts w:ascii="Calibri" w:hAnsi="Calibri"/>
                <w:b/>
                <w:bCs/>
                <w:noProof/>
                <w:sz w:val="22"/>
                <w:szCs w:val="22"/>
              </w:rPr>
              <w:t>Rapport Min/Max</w:t>
            </w:r>
          </w:p>
        </w:tc>
      </w:tr>
      <w:tr>
        <w:trPr>
          <w:trHeight w:val="300"/>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sz w:val="22"/>
                <w:szCs w:val="22"/>
              </w:rPr>
              <w:t>0,11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sz w:val="22"/>
                <w:szCs w:val="22"/>
              </w:rPr>
              <w:t>0,03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sz w:val="22"/>
                <w:szCs w:val="22"/>
              </w:rPr>
              <w:t>0,01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sz w:val="22"/>
                <w:szCs w:val="22"/>
              </w:rPr>
              <w:t>0,57</w:t>
            </w:r>
          </w:p>
        </w:tc>
      </w:tr>
      <w:tr>
        <w:trPr>
          <w:trHeight w:val="960"/>
          <w:jc w:val="center"/>
        </w:trPr>
        <w:tc>
          <w:tcPr>
            <w:tcW w:w="4040" w:type="dxa"/>
            <w:gridSpan w:val="4"/>
            <w:tcBorders>
              <w:top w:val="nil"/>
              <w:left w:val="nil"/>
              <w:bottom w:val="single" w:sz="4" w:space="0" w:color="auto"/>
              <w:right w:val="nil"/>
            </w:tcBorders>
            <w:shd w:val="clear" w:color="auto" w:fill="auto"/>
            <w:vAlign w:val="bottom"/>
            <w:hideMark/>
          </w:tcPr>
          <w:p>
            <w:pPr>
              <w:spacing w:after="0"/>
              <w:jc w:val="center"/>
              <w:rPr>
                <w:rFonts w:ascii="Calibri" w:hAnsi="Calibri"/>
                <w:b/>
                <w:bCs/>
                <w:noProof/>
                <w:color w:val="000000"/>
                <w:sz w:val="22"/>
                <w:szCs w:val="22"/>
              </w:rPr>
            </w:pPr>
            <w:r>
              <w:rPr>
                <w:rFonts w:ascii="Calibri" w:hAnsi="Calibri"/>
                <w:b/>
                <w:bCs/>
                <w:noProof/>
                <w:sz w:val="22"/>
                <w:szCs w:val="22"/>
              </w:rPr>
              <w:t>Classement de Malte dans l'ensemble des régions NUTS 2 de l’UE comptant plus d’une région NUTS 3 (237 régions)</w:t>
            </w:r>
          </w:p>
        </w:tc>
      </w:tr>
      <w:tr>
        <w:trPr>
          <w:trHeight w:val="720"/>
          <w:jc w:val="center"/>
        </w:trPr>
        <w:tc>
          <w:tcPr>
            <w:tcW w:w="1160" w:type="dxa"/>
            <w:tcBorders>
              <w:top w:val="nil"/>
              <w:left w:val="single" w:sz="4" w:space="0" w:color="auto"/>
              <w:bottom w:val="single" w:sz="4" w:space="0" w:color="auto"/>
              <w:right w:val="single" w:sz="4" w:space="0" w:color="auto"/>
            </w:tcBorders>
            <w:shd w:val="clear" w:color="000000" w:fill="D9D9D9"/>
            <w:vAlign w:val="bottom"/>
            <w:hideMark/>
          </w:tcPr>
          <w:p>
            <w:pPr>
              <w:spacing w:after="0"/>
              <w:jc w:val="center"/>
              <w:rPr>
                <w:rFonts w:ascii="Calibri" w:hAnsi="Calibri"/>
                <w:b/>
                <w:bCs/>
                <w:noProof/>
                <w:color w:val="000000"/>
                <w:sz w:val="22"/>
                <w:szCs w:val="22"/>
              </w:rPr>
            </w:pPr>
            <w:r>
              <w:rPr>
                <w:rFonts w:ascii="Calibri" w:hAnsi="Calibri"/>
                <w:b/>
                <w:bCs/>
                <w:noProof/>
                <w:sz w:val="22"/>
                <w:szCs w:val="22"/>
              </w:rPr>
              <w:t>Coefficient de variation</w:t>
            </w:r>
          </w:p>
        </w:tc>
        <w:tc>
          <w:tcPr>
            <w:tcW w:w="960" w:type="dxa"/>
            <w:tcBorders>
              <w:top w:val="nil"/>
              <w:left w:val="nil"/>
              <w:bottom w:val="single" w:sz="4" w:space="0" w:color="auto"/>
              <w:right w:val="single" w:sz="4" w:space="0" w:color="auto"/>
            </w:tcBorders>
            <w:shd w:val="clear" w:color="000000" w:fill="D9D9D9"/>
            <w:vAlign w:val="bottom"/>
            <w:hideMark/>
          </w:tcPr>
          <w:p>
            <w:pPr>
              <w:spacing w:after="0"/>
              <w:jc w:val="center"/>
              <w:rPr>
                <w:rFonts w:ascii="Calibri" w:hAnsi="Calibri"/>
                <w:b/>
                <w:bCs/>
                <w:noProof/>
                <w:color w:val="000000"/>
                <w:sz w:val="22"/>
                <w:szCs w:val="22"/>
              </w:rPr>
            </w:pPr>
            <w:r>
              <w:rPr>
                <w:rFonts w:ascii="Calibri" w:hAnsi="Calibri"/>
                <w:b/>
                <w:bCs/>
                <w:noProof/>
                <w:sz w:val="22"/>
                <w:szCs w:val="22"/>
              </w:rPr>
              <w:t>Indice de concentration</w:t>
            </w:r>
          </w:p>
        </w:tc>
        <w:tc>
          <w:tcPr>
            <w:tcW w:w="960" w:type="dxa"/>
            <w:tcBorders>
              <w:top w:val="nil"/>
              <w:left w:val="nil"/>
              <w:bottom w:val="single" w:sz="4" w:space="0" w:color="auto"/>
              <w:right w:val="single" w:sz="4" w:space="0" w:color="auto"/>
            </w:tcBorders>
            <w:shd w:val="clear" w:color="000000" w:fill="D9D9D9"/>
            <w:vAlign w:val="bottom"/>
            <w:hideMark/>
          </w:tcPr>
          <w:p>
            <w:pPr>
              <w:spacing w:after="0"/>
              <w:jc w:val="center"/>
              <w:rPr>
                <w:rFonts w:ascii="Calibri" w:hAnsi="Calibri"/>
                <w:b/>
                <w:bCs/>
                <w:noProof/>
                <w:color w:val="000000"/>
                <w:sz w:val="22"/>
                <w:szCs w:val="22"/>
              </w:rPr>
            </w:pPr>
            <w:r>
              <w:rPr>
                <w:rFonts w:ascii="Calibri" w:hAnsi="Calibri"/>
                <w:b/>
                <w:bCs/>
                <w:noProof/>
                <w:sz w:val="22"/>
                <w:szCs w:val="22"/>
              </w:rPr>
              <w:t>Indice de Theil</w:t>
            </w:r>
          </w:p>
        </w:tc>
        <w:tc>
          <w:tcPr>
            <w:tcW w:w="960" w:type="dxa"/>
            <w:tcBorders>
              <w:top w:val="nil"/>
              <w:left w:val="nil"/>
              <w:bottom w:val="single" w:sz="4" w:space="0" w:color="auto"/>
              <w:right w:val="single" w:sz="4" w:space="0" w:color="auto"/>
            </w:tcBorders>
            <w:shd w:val="clear" w:color="000000" w:fill="D9D9D9"/>
            <w:vAlign w:val="bottom"/>
            <w:hideMark/>
          </w:tcPr>
          <w:p>
            <w:pPr>
              <w:spacing w:after="0"/>
              <w:jc w:val="center"/>
              <w:rPr>
                <w:rFonts w:ascii="Calibri" w:hAnsi="Calibri"/>
                <w:b/>
                <w:bCs/>
                <w:noProof/>
                <w:color w:val="000000"/>
                <w:sz w:val="22"/>
                <w:szCs w:val="22"/>
              </w:rPr>
            </w:pPr>
            <w:r>
              <w:rPr>
                <w:rFonts w:ascii="Calibri" w:hAnsi="Calibri"/>
                <w:b/>
                <w:bCs/>
                <w:noProof/>
                <w:sz w:val="22"/>
                <w:szCs w:val="22"/>
              </w:rPr>
              <w:t>Rapport Min/Max</w:t>
            </w:r>
          </w:p>
        </w:tc>
      </w:tr>
      <w:tr>
        <w:trPr>
          <w:trHeight w:val="300"/>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sz w:val="22"/>
                <w:szCs w:val="22"/>
              </w:rPr>
              <w:t>86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sz w:val="22"/>
                <w:szCs w:val="22"/>
              </w:rPr>
              <w:t>33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sz w:val="22"/>
                <w:szCs w:val="22"/>
              </w:rPr>
              <w:t>99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sz w:val="22"/>
                <w:szCs w:val="22"/>
              </w:rPr>
              <w:t>164</w:t>
            </w:r>
          </w:p>
        </w:tc>
      </w:tr>
      <w:tr>
        <w:trPr>
          <w:trHeight w:val="1035"/>
          <w:jc w:val="center"/>
        </w:trPr>
        <w:tc>
          <w:tcPr>
            <w:tcW w:w="4040" w:type="dxa"/>
            <w:gridSpan w:val="4"/>
            <w:tcBorders>
              <w:top w:val="nil"/>
              <w:left w:val="nil"/>
              <w:bottom w:val="single" w:sz="4" w:space="0" w:color="auto"/>
              <w:right w:val="nil"/>
            </w:tcBorders>
            <w:shd w:val="clear" w:color="auto" w:fill="auto"/>
            <w:vAlign w:val="bottom"/>
            <w:hideMark/>
          </w:tcPr>
          <w:p>
            <w:pPr>
              <w:spacing w:after="0"/>
              <w:jc w:val="center"/>
              <w:rPr>
                <w:rFonts w:ascii="Calibri" w:hAnsi="Calibri"/>
                <w:b/>
                <w:bCs/>
                <w:noProof/>
                <w:color w:val="000000"/>
                <w:sz w:val="22"/>
                <w:szCs w:val="22"/>
              </w:rPr>
            </w:pPr>
            <w:r>
              <w:rPr>
                <w:rFonts w:ascii="Calibri" w:hAnsi="Calibri"/>
                <w:b/>
                <w:bCs/>
                <w:noProof/>
                <w:sz w:val="22"/>
                <w:szCs w:val="22"/>
              </w:rPr>
              <w:t>Classement de Malte dans l'ensemble des régions NUTS 2 de l’UE comptant plus d’une région NUTS 3 (46 régions)</w:t>
            </w:r>
          </w:p>
        </w:tc>
      </w:tr>
      <w:tr>
        <w:trPr>
          <w:trHeight w:val="675"/>
          <w:jc w:val="center"/>
        </w:trPr>
        <w:tc>
          <w:tcPr>
            <w:tcW w:w="1160" w:type="dxa"/>
            <w:tcBorders>
              <w:top w:val="nil"/>
              <w:left w:val="single" w:sz="4" w:space="0" w:color="auto"/>
              <w:bottom w:val="single" w:sz="4" w:space="0" w:color="auto"/>
              <w:right w:val="single" w:sz="4" w:space="0" w:color="auto"/>
            </w:tcBorders>
            <w:shd w:val="clear" w:color="000000" w:fill="D9D9D9"/>
            <w:vAlign w:val="bottom"/>
            <w:hideMark/>
          </w:tcPr>
          <w:p>
            <w:pPr>
              <w:spacing w:after="0"/>
              <w:jc w:val="center"/>
              <w:rPr>
                <w:rFonts w:ascii="Calibri" w:hAnsi="Calibri"/>
                <w:b/>
                <w:bCs/>
                <w:noProof/>
                <w:color w:val="000000"/>
                <w:sz w:val="22"/>
                <w:szCs w:val="22"/>
              </w:rPr>
            </w:pPr>
            <w:r>
              <w:rPr>
                <w:rFonts w:ascii="Calibri" w:hAnsi="Calibri"/>
                <w:b/>
                <w:bCs/>
                <w:noProof/>
                <w:sz w:val="22"/>
                <w:szCs w:val="22"/>
              </w:rPr>
              <w:t>Coefficient de variation</w:t>
            </w:r>
          </w:p>
        </w:tc>
        <w:tc>
          <w:tcPr>
            <w:tcW w:w="960" w:type="dxa"/>
            <w:tcBorders>
              <w:top w:val="nil"/>
              <w:left w:val="nil"/>
              <w:bottom w:val="single" w:sz="4" w:space="0" w:color="auto"/>
              <w:right w:val="single" w:sz="4" w:space="0" w:color="auto"/>
            </w:tcBorders>
            <w:shd w:val="clear" w:color="000000" w:fill="D9D9D9"/>
            <w:vAlign w:val="bottom"/>
            <w:hideMark/>
          </w:tcPr>
          <w:p>
            <w:pPr>
              <w:spacing w:after="0"/>
              <w:jc w:val="center"/>
              <w:rPr>
                <w:rFonts w:ascii="Calibri" w:hAnsi="Calibri"/>
                <w:b/>
                <w:bCs/>
                <w:noProof/>
                <w:color w:val="000000"/>
                <w:sz w:val="22"/>
                <w:szCs w:val="22"/>
              </w:rPr>
            </w:pPr>
            <w:r>
              <w:rPr>
                <w:rFonts w:ascii="Calibri" w:hAnsi="Calibri"/>
                <w:b/>
                <w:bCs/>
                <w:noProof/>
                <w:sz w:val="22"/>
                <w:szCs w:val="22"/>
              </w:rPr>
              <w:t>Indice de concentration</w:t>
            </w:r>
          </w:p>
        </w:tc>
        <w:tc>
          <w:tcPr>
            <w:tcW w:w="960" w:type="dxa"/>
            <w:tcBorders>
              <w:top w:val="nil"/>
              <w:left w:val="nil"/>
              <w:bottom w:val="single" w:sz="4" w:space="0" w:color="auto"/>
              <w:right w:val="single" w:sz="4" w:space="0" w:color="auto"/>
            </w:tcBorders>
            <w:shd w:val="clear" w:color="000000" w:fill="D9D9D9"/>
            <w:vAlign w:val="bottom"/>
            <w:hideMark/>
          </w:tcPr>
          <w:p>
            <w:pPr>
              <w:spacing w:after="0"/>
              <w:jc w:val="center"/>
              <w:rPr>
                <w:rFonts w:ascii="Calibri" w:hAnsi="Calibri"/>
                <w:b/>
                <w:bCs/>
                <w:noProof/>
                <w:color w:val="000000"/>
                <w:sz w:val="22"/>
                <w:szCs w:val="22"/>
              </w:rPr>
            </w:pPr>
            <w:r>
              <w:rPr>
                <w:rFonts w:ascii="Calibri" w:hAnsi="Calibri"/>
                <w:b/>
                <w:bCs/>
                <w:noProof/>
                <w:sz w:val="22"/>
                <w:szCs w:val="22"/>
              </w:rPr>
              <w:t>Indice de Theil</w:t>
            </w:r>
          </w:p>
        </w:tc>
        <w:tc>
          <w:tcPr>
            <w:tcW w:w="960" w:type="dxa"/>
            <w:tcBorders>
              <w:top w:val="nil"/>
              <w:left w:val="nil"/>
              <w:bottom w:val="single" w:sz="4" w:space="0" w:color="auto"/>
              <w:right w:val="single" w:sz="4" w:space="0" w:color="auto"/>
            </w:tcBorders>
            <w:shd w:val="clear" w:color="000000" w:fill="D9D9D9"/>
            <w:vAlign w:val="bottom"/>
            <w:hideMark/>
          </w:tcPr>
          <w:p>
            <w:pPr>
              <w:spacing w:after="0"/>
              <w:jc w:val="center"/>
              <w:rPr>
                <w:rFonts w:ascii="Calibri" w:hAnsi="Calibri"/>
                <w:b/>
                <w:bCs/>
                <w:noProof/>
                <w:color w:val="000000"/>
                <w:sz w:val="22"/>
                <w:szCs w:val="22"/>
              </w:rPr>
            </w:pPr>
            <w:r>
              <w:rPr>
                <w:rFonts w:ascii="Calibri" w:hAnsi="Calibri"/>
                <w:b/>
                <w:bCs/>
                <w:noProof/>
                <w:sz w:val="22"/>
                <w:szCs w:val="22"/>
              </w:rPr>
              <w:t>Rapport Min/Max</w:t>
            </w:r>
          </w:p>
        </w:tc>
      </w:tr>
      <w:tr>
        <w:trPr>
          <w:trHeight w:val="300"/>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sz w:val="22"/>
                <w:szCs w:val="22"/>
              </w:rPr>
              <w:t>24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sz w:val="22"/>
                <w:szCs w:val="22"/>
              </w:rPr>
              <w:t>11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sz w:val="22"/>
                <w:szCs w:val="22"/>
              </w:rPr>
              <w:t>26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sz w:val="22"/>
                <w:szCs w:val="22"/>
              </w:rPr>
              <w:t>39</w:t>
            </w:r>
          </w:p>
        </w:tc>
      </w:tr>
      <w:tr>
        <w:trPr>
          <w:trHeight w:val="885"/>
          <w:jc w:val="center"/>
        </w:trPr>
        <w:tc>
          <w:tcPr>
            <w:tcW w:w="4040" w:type="dxa"/>
            <w:gridSpan w:val="4"/>
            <w:tcBorders>
              <w:top w:val="nil"/>
              <w:left w:val="nil"/>
              <w:bottom w:val="single" w:sz="4" w:space="0" w:color="auto"/>
              <w:right w:val="nil"/>
            </w:tcBorders>
            <w:shd w:val="clear" w:color="auto" w:fill="auto"/>
            <w:vAlign w:val="bottom"/>
            <w:hideMark/>
          </w:tcPr>
          <w:p>
            <w:pPr>
              <w:spacing w:after="0"/>
              <w:rPr>
                <w:rFonts w:ascii="Calibri" w:hAnsi="Calibri"/>
                <w:b/>
                <w:bCs/>
                <w:noProof/>
                <w:color w:val="000000"/>
                <w:sz w:val="22"/>
                <w:szCs w:val="22"/>
              </w:rPr>
            </w:pPr>
            <w:r>
              <w:rPr>
                <w:rFonts w:ascii="Calibri" w:hAnsi="Calibri"/>
                <w:b/>
                <w:bCs/>
                <w:noProof/>
                <w:sz w:val="22"/>
                <w:szCs w:val="22"/>
              </w:rPr>
              <w:t>Classement de Malte dans l'ensemble des régions NUTS 2 de l’UE comptant plus d’une région NUTS 3 (15 régions)*</w:t>
            </w:r>
          </w:p>
        </w:tc>
      </w:tr>
      <w:tr>
        <w:trPr>
          <w:trHeight w:val="705"/>
          <w:jc w:val="center"/>
        </w:trPr>
        <w:tc>
          <w:tcPr>
            <w:tcW w:w="1160" w:type="dxa"/>
            <w:tcBorders>
              <w:top w:val="nil"/>
              <w:left w:val="single" w:sz="4" w:space="0" w:color="auto"/>
              <w:bottom w:val="single" w:sz="4" w:space="0" w:color="auto"/>
              <w:right w:val="single" w:sz="4" w:space="0" w:color="auto"/>
            </w:tcBorders>
            <w:shd w:val="clear" w:color="000000" w:fill="D9D9D9"/>
            <w:vAlign w:val="bottom"/>
            <w:hideMark/>
          </w:tcPr>
          <w:p>
            <w:pPr>
              <w:spacing w:after="0"/>
              <w:jc w:val="center"/>
              <w:rPr>
                <w:rFonts w:ascii="Calibri" w:hAnsi="Calibri"/>
                <w:b/>
                <w:bCs/>
                <w:noProof/>
                <w:color w:val="000000"/>
                <w:sz w:val="22"/>
                <w:szCs w:val="22"/>
              </w:rPr>
            </w:pPr>
            <w:r>
              <w:rPr>
                <w:rFonts w:ascii="Calibri" w:hAnsi="Calibri"/>
                <w:b/>
                <w:bCs/>
                <w:noProof/>
                <w:sz w:val="22"/>
                <w:szCs w:val="22"/>
              </w:rPr>
              <w:t>Coefficient de variation</w:t>
            </w:r>
          </w:p>
        </w:tc>
        <w:tc>
          <w:tcPr>
            <w:tcW w:w="960" w:type="dxa"/>
            <w:tcBorders>
              <w:top w:val="nil"/>
              <w:left w:val="nil"/>
              <w:bottom w:val="single" w:sz="4" w:space="0" w:color="auto"/>
              <w:right w:val="single" w:sz="4" w:space="0" w:color="auto"/>
            </w:tcBorders>
            <w:shd w:val="clear" w:color="000000" w:fill="D9D9D9"/>
            <w:vAlign w:val="bottom"/>
            <w:hideMark/>
          </w:tcPr>
          <w:p>
            <w:pPr>
              <w:spacing w:after="0"/>
              <w:jc w:val="center"/>
              <w:rPr>
                <w:rFonts w:ascii="Calibri" w:hAnsi="Calibri"/>
                <w:b/>
                <w:bCs/>
                <w:noProof/>
                <w:color w:val="000000"/>
                <w:sz w:val="22"/>
                <w:szCs w:val="22"/>
              </w:rPr>
            </w:pPr>
            <w:r>
              <w:rPr>
                <w:rFonts w:ascii="Calibri" w:hAnsi="Calibri"/>
                <w:b/>
                <w:bCs/>
                <w:noProof/>
                <w:sz w:val="22"/>
                <w:szCs w:val="22"/>
              </w:rPr>
              <w:t>Indice de concentration</w:t>
            </w:r>
          </w:p>
        </w:tc>
        <w:tc>
          <w:tcPr>
            <w:tcW w:w="960" w:type="dxa"/>
            <w:tcBorders>
              <w:top w:val="nil"/>
              <w:left w:val="nil"/>
              <w:bottom w:val="single" w:sz="4" w:space="0" w:color="auto"/>
              <w:right w:val="single" w:sz="4" w:space="0" w:color="auto"/>
            </w:tcBorders>
            <w:shd w:val="clear" w:color="000000" w:fill="D9D9D9"/>
            <w:vAlign w:val="bottom"/>
            <w:hideMark/>
          </w:tcPr>
          <w:p>
            <w:pPr>
              <w:spacing w:after="0"/>
              <w:jc w:val="center"/>
              <w:rPr>
                <w:rFonts w:ascii="Calibri" w:hAnsi="Calibri"/>
                <w:b/>
                <w:bCs/>
                <w:noProof/>
                <w:color w:val="000000"/>
                <w:sz w:val="22"/>
                <w:szCs w:val="22"/>
              </w:rPr>
            </w:pPr>
            <w:r>
              <w:rPr>
                <w:rFonts w:ascii="Calibri" w:hAnsi="Calibri"/>
                <w:b/>
                <w:bCs/>
                <w:noProof/>
                <w:sz w:val="22"/>
                <w:szCs w:val="22"/>
              </w:rPr>
              <w:t>Indice de Theil</w:t>
            </w:r>
          </w:p>
        </w:tc>
        <w:tc>
          <w:tcPr>
            <w:tcW w:w="960" w:type="dxa"/>
            <w:tcBorders>
              <w:top w:val="nil"/>
              <w:left w:val="nil"/>
              <w:bottom w:val="single" w:sz="4" w:space="0" w:color="auto"/>
              <w:right w:val="single" w:sz="4" w:space="0" w:color="auto"/>
            </w:tcBorders>
            <w:shd w:val="clear" w:color="000000" w:fill="D9D9D9"/>
            <w:vAlign w:val="bottom"/>
            <w:hideMark/>
          </w:tcPr>
          <w:p>
            <w:pPr>
              <w:spacing w:after="0"/>
              <w:jc w:val="center"/>
              <w:rPr>
                <w:rFonts w:ascii="Calibri" w:hAnsi="Calibri"/>
                <w:b/>
                <w:bCs/>
                <w:noProof/>
                <w:color w:val="000000"/>
                <w:sz w:val="22"/>
                <w:szCs w:val="22"/>
              </w:rPr>
            </w:pPr>
            <w:r>
              <w:rPr>
                <w:rFonts w:ascii="Calibri" w:hAnsi="Calibri"/>
                <w:b/>
                <w:bCs/>
                <w:noProof/>
                <w:sz w:val="22"/>
                <w:szCs w:val="22"/>
              </w:rPr>
              <w:t>Rapport Min/Max</w:t>
            </w:r>
          </w:p>
        </w:tc>
      </w:tr>
      <w:tr>
        <w:trPr>
          <w:trHeight w:val="300"/>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sz w:val="22"/>
                <w:szCs w:val="22"/>
              </w:rPr>
              <w:t>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sz w:val="22"/>
                <w:szCs w:val="22"/>
              </w:rPr>
              <w:t>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sz w:val="22"/>
                <w:szCs w:val="22"/>
              </w:rPr>
              <w:t>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Calibri" w:hAnsi="Calibri"/>
                <w:noProof/>
                <w:color w:val="000000"/>
                <w:sz w:val="22"/>
                <w:szCs w:val="22"/>
              </w:rPr>
            </w:pPr>
            <w:r>
              <w:rPr>
                <w:rFonts w:ascii="Calibri" w:hAnsi="Calibri"/>
                <w:noProof/>
                <w:sz w:val="22"/>
                <w:szCs w:val="22"/>
              </w:rPr>
              <w:t>2</w:t>
            </w:r>
          </w:p>
        </w:tc>
      </w:tr>
    </w:tbl>
    <w:p>
      <w:pPr>
        <w:pStyle w:val="Text2"/>
        <w:spacing w:after="120"/>
        <w:ind w:left="476"/>
        <w:rPr>
          <w:i/>
          <w:noProof/>
        </w:rPr>
      </w:pPr>
      <w:r>
        <w:rPr>
          <w:i/>
          <w:noProof/>
        </w:rPr>
        <w:t>*</w:t>
      </w:r>
      <w:r>
        <w:rPr>
          <w:noProof/>
          <w:sz w:val="20"/>
        </w:rPr>
        <w:t>Les régions de capitales pour les pays suivants: BG, DK, EE, EL, FR, HR, IE, IT, LV, MT, NL, PL, RO, SI et UK.</w:t>
      </w:r>
    </w:p>
    <w:p>
      <w:pPr>
        <w:pStyle w:val="Text2"/>
        <w:ind w:left="476"/>
        <w:rPr>
          <w:i/>
          <w:noProof/>
          <w:sz w:val="20"/>
        </w:rPr>
      </w:pPr>
      <w:r>
        <w:rPr>
          <w:i/>
          <w:noProof/>
          <w:sz w:val="20"/>
        </w:rPr>
        <w:t>Source: calculs de la DG REGIO sur la base des données Eurostat.</w:t>
      </w:r>
    </w:p>
    <w:p>
      <w:pPr>
        <w:pStyle w:val="Heading1"/>
        <w:rPr>
          <w:noProof/>
        </w:rPr>
      </w:pPr>
      <w:r>
        <w:rPr>
          <w:noProof/>
        </w:rPr>
        <w:t>Mise en œuvre de la politique de cohésion à Gozo</w:t>
      </w:r>
    </w:p>
    <w:p>
      <w:pPr>
        <w:rPr>
          <w:noProof/>
        </w:rPr>
      </w:pPr>
      <w:r>
        <w:rPr>
          <w:noProof/>
        </w:rPr>
        <w:t>Pour les périodes de programmation 2007/2013 et 2014/2020, respectivement 11 % et 10 % du budget global disponible au titre du FEDER, du FSE et du FC ont été consacrés aux investissements territoriaux à Gozo. Cette proportion est légèrement supérieure à celle de la population de Gozo (environ 7 %), l’objectif principal étant de réduire les disparités avec Malte, comme indiqué au chapitre 1.</w:t>
      </w:r>
    </w:p>
    <w:p>
      <w:pPr>
        <w:spacing w:after="0"/>
        <w:rPr>
          <w:noProof/>
        </w:rPr>
      </w:pPr>
      <w:r>
        <w:rPr>
          <w:noProof/>
        </w:rPr>
        <w:t>Les principaux domaines d’investissement pour la période 2007-2013 ont été la compétitivité et la qualité de vie, la responsabilisation des personnes pour plus d’emplois et une meilleure qualité de vie, pour un montant total de 107,3 millions d’EUR. Pour la période 2014/2020, le montant payé au 1</w:t>
      </w:r>
      <w:r>
        <w:rPr>
          <w:noProof/>
          <w:vertAlign w:val="superscript"/>
        </w:rPr>
        <w:t>er</w:t>
      </w:r>
      <w:r>
        <w:rPr>
          <w:noProof/>
        </w:rPr>
        <w:t> mai 2019 s’élevait à 95,6 millions d’EUR.</w:t>
      </w:r>
    </w:p>
    <w:p>
      <w:pPr>
        <w:spacing w:after="0"/>
        <w:rPr>
          <w:noProof/>
        </w:rPr>
      </w:pPr>
    </w:p>
    <w:p>
      <w:pPr>
        <w:rPr>
          <w:noProof/>
        </w:rPr>
      </w:pPr>
      <w:r>
        <w:rPr>
          <w:noProof/>
        </w:rPr>
        <w:t>Les interventions à Gozo couvrent un large éventail de domaines, des budgets importants étant notamment investis dans les infrastructures routières, de transport, d’approvisionnement en eau et d’énergies renouvelables, les installations de gestion des déchets et la réhabilitation de sites historiques, en particulier de la «Cittadella», à laquelle 12 millions d’EUR de fonds de l’UE ont été consacrés. Gozo a également bénéficié d’un financement du FEAMP en faveur du secteur de la pêche pour moderniser les installations des pêcheurs situées dans les ports de pêche désignés de Mġarr et Xlendi, ainsi que pour l’installation de nouveaux équipements connexes.</w:t>
      </w:r>
    </w:p>
    <w:p>
      <w:pPr>
        <w:rPr>
          <w:noProof/>
        </w:rPr>
      </w:pPr>
      <w:r>
        <w:rPr>
          <w:noProof/>
        </w:rPr>
        <w:t>Grâce à 79 projets d’un montant total de 12,4 millions d’EUR, le FSE a également apporté son soutien pour accroître la participation à une éducation et une formation de qualité et axées sur le marché du travail, à l’orientation professionnelle, à l’amélioration de la capacité d’insertion professionnelle et d’adaptation de la main-d’œuvre et à l’inclusion sociale des groupes défavorisés.</w:t>
      </w:r>
    </w:p>
    <w:p>
      <w:pPr>
        <w:rPr>
          <w:noProof/>
        </w:rPr>
      </w:pPr>
      <w:r>
        <w:rPr>
          <w:noProof/>
        </w:rPr>
        <w:t>Pour la prochaine période de programmation 2021/2027, la contribution globale du FEDER, du FSE+ et du Fonds de cohésion pour l’ensemble de l’archipel maltais</w:t>
      </w:r>
      <w:r>
        <w:rPr>
          <w:rStyle w:val="FootnoteReference"/>
          <w:noProof/>
        </w:rPr>
        <w:footnoteReference w:id="4"/>
      </w:r>
      <w:r>
        <w:rPr>
          <w:noProof/>
        </w:rPr>
        <w:t xml:space="preserve"> s’élève à 672,8 millions d’EUR, soit une diminution de 5 % par rapport aux 708 millions d’EUR alloués pour 2014/2020. Cela reflète le processus de rattrapage réussi par rapport à la moyenne de l’UE au cours des dernières années. Les discussions concernant les priorités d’investissement des programmes pour la période de programmation 2021-2027 s’appuieront sur le rapport par pays - Malte 2019</w:t>
      </w:r>
      <w:r>
        <w:rPr>
          <w:rStyle w:val="FootnoteReference"/>
          <w:noProof/>
        </w:rPr>
        <w:footnoteReference w:id="5"/>
      </w:r>
      <w:r>
        <w:rPr>
          <w:noProof/>
        </w:rPr>
        <w:t xml:space="preserve"> du 27 février 2019 et sur les recommandations spécifiques par pays adoptées par le Conseil le 9 juillet 2019. Cela ne préjuge pas de l’importante question de la part des fonds qui sera allouée à Gozo et à Comino.</w:t>
      </w:r>
    </w:p>
    <w:p>
      <w:pPr>
        <w:pStyle w:val="Heading1"/>
        <w:rPr>
          <w:noProof/>
        </w:rPr>
      </w:pPr>
      <w:r>
        <w:rPr>
          <w:noProof/>
        </w:rPr>
        <w:t>Conclusions</w:t>
      </w:r>
    </w:p>
    <w:p>
      <w:pPr>
        <w:pStyle w:val="Text1"/>
        <w:ind w:left="0"/>
        <w:rPr>
          <w:noProof/>
        </w:rPr>
      </w:pPr>
      <w:r>
        <w:rPr>
          <w:noProof/>
        </w:rPr>
        <w:t xml:space="preserve">L’analyse statistique du présent rapport montre que les différences de PIB par habitant entre Gozo et l'île principale de Malte ont légèrement augmenté avec le temps. Différents éléments peuvent expliquer cette tendance. Il est important de noter que l’île de Malte a une économie davantage axée sur les services que celle de l’île de Gozo, qui repose plus sur l’agriculture, la pêche et les activités de construction. Avec cette orientation économique différente, la croissance économique de Malte a dépassé celle de Gozo. </w:t>
      </w:r>
    </w:p>
    <w:p>
      <w:pPr>
        <w:pStyle w:val="Text1"/>
        <w:ind w:left="0"/>
        <w:rPr>
          <w:noProof/>
        </w:rPr>
      </w:pPr>
      <w:r>
        <w:rPr>
          <w:noProof/>
        </w:rPr>
        <w:t xml:space="preserve">Ces dernières années, Gozo a pu rattraper la moyenne de l’UE plus rapidement que d'autres régions insulaires de l’UE. Cela est peut-être dû à l'effet d'entraînement lié à la proximité de l’île de Malte, en particulier les déplacements domicile-travail et l’augmentation du tourisme dans la région. </w:t>
      </w:r>
    </w:p>
    <w:p>
      <w:pPr>
        <w:pStyle w:val="Text1"/>
        <w:ind w:left="0"/>
        <w:rPr>
          <w:noProof/>
        </w:rPr>
      </w:pPr>
      <w:r>
        <w:rPr>
          <w:noProof/>
        </w:rPr>
        <w:t>Si l’on compare la situation économique de Malte avec celle d’autres régions en transition de l’UE, les disparités internes sont moyennes par rapport aux autres régions en transition.</w:t>
      </w:r>
    </w:p>
    <w:p>
      <w:pPr>
        <w:pStyle w:val="Text1"/>
        <w:ind w:left="0"/>
        <w:rPr>
          <w:noProof/>
        </w:rPr>
      </w:pPr>
      <w:r>
        <w:rPr>
          <w:noProof/>
        </w:rPr>
        <w:t>En outre, il convient de garder à l’esprit que le PIB par habitant en tant qu’indicateur sous-estime le bien-être économique réel des habitants de Gozo, étant donné la proportion importante de personnes travaillant sur l’île de Malte.</w:t>
      </w:r>
    </w:p>
    <w:p>
      <w:pPr>
        <w:pStyle w:val="Text1"/>
        <w:ind w:left="0"/>
        <w:rPr>
          <w:noProof/>
        </w:rPr>
      </w:pPr>
      <w:r>
        <w:rPr>
          <w:noProof/>
        </w:rPr>
        <w:t>Des progrès ont été réalisés en termes d’accessibilité, tant pour les touristes que pour les habitants de Gozo travaillant à Malte. La politique de cohésion a contribué à ce succès en permettant les investissements importants réalisés dans les infrastructures de transport routier et maritime, les installations énergétiques et sanitaires et le soutien à la rénovation du patrimoine culturel.</w:t>
      </w:r>
    </w:p>
    <w:p>
      <w:pPr>
        <w:pStyle w:val="Text1"/>
        <w:ind w:left="0"/>
        <w:rPr>
          <w:noProof/>
        </w:rPr>
      </w:pPr>
      <w:r>
        <w:rPr>
          <w:noProof/>
        </w:rPr>
        <w:t>Dans le cadre de la préparation de l’accord de partenariat 2021/2027 et des programmes opérationnels, les autorités maltaises sont invitées à envisager les investissements et les éventuelles mesures structurelles nécessaires, tant au niveau national qu’à celui de Gozo, pour réduire l’écart de PIB par habitant. Le succès du processus de rattrapage de Gozo dépendra de la prise en compte des spécificités de l'île, y compris le vieillissement rapide de sa population.</w:t>
      </w:r>
    </w:p>
    <w:sectPr>
      <w:headerReference w:type="even" r:id="rId25"/>
      <w:headerReference w:type="default" r:id="rId26"/>
      <w:footerReference w:type="even" r:id="rId27"/>
      <w:footerReference w:type="default" r:id="rId28"/>
      <w:headerReference w:type="first" r:id="rId29"/>
      <w:footerReference w:type="first" r:id="rId30"/>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15135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t>Lorsqu’il se réfère à la région NUTS 3, le rapport utilise le terme «Gozo et Comino», mais Comino étant pour l’essentiel inhabitée, le rapport fait référence à Gozo pour décrire les tendances statistiques.</w:t>
      </w:r>
    </w:p>
  </w:footnote>
  <w:footnote w:id="3">
    <w:p>
      <w:pPr>
        <w:pStyle w:val="FootnoteText"/>
      </w:pPr>
      <w:r>
        <w:rPr>
          <w:rStyle w:val="FootnoteReference"/>
        </w:rPr>
        <w:footnoteRef/>
      </w:r>
      <w:r>
        <w:t xml:space="preserve"> </w:t>
      </w:r>
      <w:r>
        <w:tab/>
        <w:t xml:space="preserve">Les chiffres sont tirés de l’inventaire CORINE Land Cover 2018. Ils ne totalisent pas 100 % parce que certaines catégories résiduelles comme les décharges, les chantiers de construction, etc. ne sont pas prises en compte. </w:t>
      </w:r>
    </w:p>
  </w:footnote>
  <w:footnote w:id="4">
    <w:p>
      <w:pPr>
        <w:pStyle w:val="FootnoteText"/>
      </w:pPr>
      <w:r>
        <w:rPr>
          <w:rStyle w:val="FootnoteReference"/>
        </w:rPr>
        <w:footnoteRef/>
      </w:r>
      <w:r>
        <w:t xml:space="preserve"> </w:t>
      </w:r>
      <w:r>
        <w:tab/>
        <w:t>Annexe XXIII de la proposition de règlement de la Commission - COM(2018) 375 final.</w:t>
      </w:r>
    </w:p>
  </w:footnote>
  <w:footnote w:id="5">
    <w:p>
      <w:pPr>
        <w:pStyle w:val="FootnoteText"/>
      </w:pPr>
      <w:r>
        <w:rPr>
          <w:rStyle w:val="FootnoteReference"/>
        </w:rPr>
        <w:footnoteRef/>
      </w:r>
      <w:r>
        <w:t xml:space="preserve"> </w:t>
      </w:r>
      <w:r>
        <w:tab/>
        <w:t>DTS(2019) 1017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AFF273FE"/>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DDD4B0E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F2EAABD6"/>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AA2E2E60"/>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95E4BB92"/>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0D8E464E"/>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30CE94A2"/>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8910B912"/>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A0020E2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36324F1E"/>
    <w:multiLevelType w:val="multilevel"/>
    <w:tmpl w:val="38AEC17C"/>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7CB1E1C"/>
    <w:multiLevelType w:val="multilevel"/>
    <w:tmpl w:val="B4466D60"/>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3A7730C4"/>
    <w:multiLevelType w:val="multilevel"/>
    <w:tmpl w:val="890E492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429E662A"/>
    <w:multiLevelType w:val="multilevel"/>
    <w:tmpl w:val="9AB6B2AC"/>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4B6817D3"/>
    <w:multiLevelType w:val="hybridMultilevel"/>
    <w:tmpl w:val="6DB8B54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4">
    <w:nsid w:val="4E1A982C"/>
    <w:multiLevelType w:val="multilevel"/>
    <w:tmpl w:val="90569CA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5072619B"/>
    <w:multiLevelType w:val="multilevel"/>
    <w:tmpl w:val="7FD46AD4"/>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6977472E"/>
    <w:multiLevelType w:val="multilevel"/>
    <w:tmpl w:val="BDD8C292"/>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7C65145E"/>
    <w:multiLevelType w:val="multilevel"/>
    <w:tmpl w:val="54B4E11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601"/>
      </w:pPr>
    </w:lvl>
    <w:lvl w:ilvl="2">
      <w:start w:val="1"/>
      <w:numFmt w:val="decimal"/>
      <w:pStyle w:val="Heading3"/>
      <w:lvlText w:val="%1.%2.%3."/>
      <w:lvlJc w:val="left"/>
      <w:pPr>
        <w:tabs>
          <w:tab w:val="num" w:pos="1922"/>
        </w:tabs>
        <w:ind w:left="192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18">
    <w:nsid w:val="7C651460"/>
    <w:multiLevelType w:val="multilevel"/>
    <w:tmpl w:val="DCAA060D"/>
    <w:name w:val="AnnexHeading"/>
    <w:lvl w:ilvl="0">
      <w:start w:val="1"/>
      <w:numFmt w:val="decimal"/>
      <w:lvlText w:val="%1."/>
      <w:lvlJc w:val="left"/>
      <w:pPr>
        <w:tabs>
          <w:tab w:val="num" w:pos="397"/>
        </w:tabs>
        <w:ind w:left="397" w:hanging="397"/>
      </w:pPr>
      <w:rPr>
        <w:rFonts w:hint="default"/>
      </w:rPr>
    </w:lvl>
    <w:lvl w:ilvl="1">
      <w:start w:val="1"/>
      <w:numFmt w:val="decimal"/>
      <w:lvlText w:val="%1."/>
      <w:lvlJc w:val="left"/>
      <w:pPr>
        <w:tabs>
          <w:tab w:val="num" w:pos="397"/>
        </w:tabs>
        <w:ind w:left="397" w:hanging="397"/>
      </w:pPr>
      <w:rPr>
        <w:rFonts w:hint="default"/>
      </w:rPr>
    </w:lvl>
    <w:lvl w:ilvl="2">
      <w:start w:val="1"/>
      <w:numFmt w:val="decimal"/>
      <w:lvlText w:val="%1."/>
      <w:lvlJc w:val="left"/>
      <w:pPr>
        <w:tabs>
          <w:tab w:val="num" w:pos="397"/>
        </w:tabs>
        <w:ind w:left="397" w:hanging="397"/>
      </w:pPr>
      <w:rPr>
        <w:rFonts w:hint="default"/>
      </w:rPr>
    </w:lvl>
    <w:lvl w:ilvl="3">
      <w:start w:val="1"/>
      <w:numFmt w:val="decimal"/>
      <w:lvlText w:val="%1."/>
      <w:lvlJc w:val="left"/>
      <w:pPr>
        <w:tabs>
          <w:tab w:val="num" w:pos="397"/>
        </w:tabs>
        <w:ind w:left="397" w:hanging="397"/>
      </w:pPr>
      <w:rPr>
        <w:rFonts w:hint="default"/>
      </w:rPr>
    </w:lvl>
    <w:lvl w:ilvl="4">
      <w:start w:val="1"/>
      <w:numFmt w:val="decimal"/>
      <w:lvlText w:val="%1."/>
      <w:lvlJc w:val="left"/>
      <w:pPr>
        <w:tabs>
          <w:tab w:val="num" w:pos="397"/>
        </w:tabs>
        <w:ind w:left="397" w:hanging="397"/>
      </w:pPr>
      <w:rPr>
        <w:rFonts w:hint="default"/>
      </w:rPr>
    </w:lvl>
    <w:lvl w:ilvl="5">
      <w:start w:val="1"/>
      <w:numFmt w:val="decimal"/>
      <w:lvlText w:val="%1."/>
      <w:lvlJc w:val="left"/>
      <w:pPr>
        <w:tabs>
          <w:tab w:val="num" w:pos="397"/>
        </w:tabs>
        <w:ind w:left="397" w:hanging="397"/>
      </w:pPr>
      <w:rPr>
        <w:rFonts w:hint="default"/>
      </w:rPr>
    </w:lvl>
    <w:lvl w:ilvl="6">
      <w:start w:val="1"/>
      <w:numFmt w:val="decimal"/>
      <w:lvlText w:val="%1."/>
      <w:lvlJc w:val="left"/>
      <w:pPr>
        <w:tabs>
          <w:tab w:val="num" w:pos="397"/>
        </w:tabs>
        <w:ind w:left="397" w:hanging="397"/>
      </w:pPr>
      <w:rPr>
        <w:rFonts w:hint="default"/>
      </w:rPr>
    </w:lvl>
    <w:lvl w:ilvl="7">
      <w:start w:val="1"/>
      <w:numFmt w:val="decimal"/>
      <w:lvlText w:val="%1."/>
      <w:lvlJc w:val="left"/>
      <w:pPr>
        <w:tabs>
          <w:tab w:val="num" w:pos="397"/>
        </w:tabs>
        <w:ind w:left="397" w:hanging="397"/>
      </w:pPr>
      <w:rPr>
        <w:rFonts w:hint="default"/>
      </w:rPr>
    </w:lvl>
    <w:lvl w:ilvl="8">
      <w:start w:val="1"/>
      <w:numFmt w:val="decimal"/>
      <w:lvlText w:val="%1."/>
      <w:lvlJc w:val="left"/>
      <w:pPr>
        <w:tabs>
          <w:tab w:val="num" w:pos="397"/>
        </w:tabs>
        <w:ind w:left="397" w:hanging="397"/>
      </w:pPr>
      <w:rPr>
        <w:rFonts w:hint="default"/>
      </w:rPr>
    </w:lvl>
  </w:abstractNum>
  <w:num w:numId="1">
    <w:abstractNumId w:val="18"/>
  </w:num>
  <w:num w:numId="2">
    <w:abstractNumId w:val="0"/>
  </w:num>
  <w:num w:numId="3">
    <w:abstractNumId w:val="9"/>
  </w:num>
  <w:num w:numId="4">
    <w:abstractNumId w:val="6"/>
  </w:num>
  <w:num w:numId="5">
    <w:abstractNumId w:val="10"/>
  </w:num>
  <w:num w:numId="6">
    <w:abstractNumId w:val="15"/>
  </w:num>
  <w:num w:numId="7">
    <w:abstractNumId w:val="16"/>
  </w:num>
  <w:num w:numId="8">
    <w:abstractNumId w:val="1"/>
  </w:num>
  <w:num w:numId="9">
    <w:abstractNumId w:val="5"/>
  </w:num>
  <w:num w:numId="10">
    <w:abstractNumId w:val="12"/>
  </w:num>
  <w:num w:numId="11">
    <w:abstractNumId w:val="2"/>
  </w:num>
  <w:num w:numId="12">
    <w:abstractNumId w:val="3"/>
  </w:num>
  <w:num w:numId="13">
    <w:abstractNumId w:val="4"/>
  </w:num>
  <w:num w:numId="14">
    <w:abstractNumId w:val="7"/>
  </w:num>
  <w:num w:numId="15">
    <w:abstractNumId w:val="11"/>
  </w:num>
  <w:num w:numId="16">
    <w:abstractNumId w:val="14"/>
  </w:num>
  <w:num w:numId="17">
    <w:abstractNumId w:val="17"/>
  </w:num>
  <w:num w:numId="18">
    <w:abstractNumId w:val="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FA621C2-87F7-44F8-A3CB-DE30FA17738B"/>
    <w:docVar w:name="LW_COVERPAGE_TYPE" w:val="1"/>
    <w:docVar w:name="LW_CROSSREFERENCE" w:val="&lt;UNUSED&gt;"/>
    <w:docVar w:name="LW_DocType" w:val="EUROLOOK"/>
    <w:docVar w:name="LW_EMISSION" w:val="8.10.2019"/>
    <w:docVar w:name="LW_EMISSION_ISODATE" w:val="2019-10-08"/>
    <w:docVar w:name="LW_EMISSION_LOCATION" w:val="BRX"/>
    <w:docVar w:name="LW_EMISSION_PREFIX" w:val="Bruxelles, le "/>
    <w:docVar w:name="LW_EMISSION_SUFFIX" w:val=" "/>
    <w:docVar w:name="LW_ID_DOCTYPE_NONLW" w:val="CP-00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4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2019 sur la situation économique et sociale de Gozo (Malte)"/>
    <w:docVar w:name="LW_TYPE.DOC.CP" w:val="RAPPORT DE LA COMMISSION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header" w:semiHidden="0"/>
    <w:lsdException w:name="footer" w:semiHidden="0" w:uiPriority="99"/>
    <w:lsdException w:name="caption" w:semiHidden="0"/>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Closing" w:semiHidden="0"/>
    <w:lsdException w:name="Signature" w:semiHidden="0" w:uiPriority="99"/>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Note Heading" w:semiHidden="0"/>
    <w:lsdException w:name="Strong" w:semiHidden="0" w:unhideWhenUsed="0"/>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7"/>
      </w:numPr>
      <w:spacing w:before="240"/>
      <w:outlineLvl w:val="0"/>
    </w:pPr>
    <w:rPr>
      <w:b/>
      <w:smallCaps/>
    </w:rPr>
  </w:style>
  <w:style w:type="paragraph" w:styleId="Heading2">
    <w:name w:val="heading 2"/>
    <w:basedOn w:val="Normal"/>
    <w:next w:val="Text2"/>
    <w:uiPriority w:val="90"/>
    <w:qFormat/>
    <w:pPr>
      <w:keepNext/>
      <w:numPr>
        <w:ilvl w:val="1"/>
        <w:numId w:val="17"/>
      </w:numPr>
      <w:outlineLvl w:val="1"/>
    </w:pPr>
    <w:rPr>
      <w:b/>
    </w:rPr>
  </w:style>
  <w:style w:type="paragraph" w:styleId="Heading3">
    <w:name w:val="heading 3"/>
    <w:basedOn w:val="Normal"/>
    <w:next w:val="Text3"/>
    <w:uiPriority w:val="90"/>
    <w:qFormat/>
    <w:pPr>
      <w:keepNext/>
      <w:numPr>
        <w:ilvl w:val="2"/>
        <w:numId w:val="17"/>
      </w:numPr>
      <w:outlineLvl w:val="2"/>
    </w:pPr>
    <w:rPr>
      <w:i/>
    </w:rPr>
  </w:style>
  <w:style w:type="paragraph" w:styleId="Heading4">
    <w:name w:val="heading 4"/>
    <w:basedOn w:val="Normal"/>
    <w:next w:val="Text4"/>
    <w:uiPriority w:val="90"/>
    <w:qFormat/>
    <w:pPr>
      <w:keepNext/>
      <w:numPr>
        <w:ilvl w:val="3"/>
        <w:numId w:val="17"/>
      </w:numPr>
      <w:outlineLvl w:val="3"/>
    </w:pPr>
  </w:style>
  <w:style w:type="paragraph" w:styleId="Heading5">
    <w:name w:val="heading 5"/>
    <w:basedOn w:val="Normal"/>
    <w:next w:val="Normal"/>
    <w:semiHidden/>
    <w:pPr>
      <w:keepNext/>
      <w:numPr>
        <w:ilvl w:val="4"/>
        <w:numId w:val="17"/>
      </w:numPr>
      <w:outlineLvl w:val="4"/>
    </w:pPr>
  </w:style>
  <w:style w:type="paragraph" w:styleId="Heading6">
    <w:name w:val="heading 6"/>
    <w:basedOn w:val="Normal"/>
    <w:next w:val="Normal"/>
    <w:semiHidden/>
    <w:pPr>
      <w:keepNext/>
      <w:numPr>
        <w:ilvl w:val="5"/>
        <w:numId w:val="17"/>
      </w:numPr>
      <w:outlineLvl w:val="5"/>
    </w:pPr>
  </w:style>
  <w:style w:type="paragraph" w:styleId="Heading7">
    <w:name w:val="heading 7"/>
    <w:basedOn w:val="Normal"/>
    <w:next w:val="Normal"/>
    <w:semiHidden/>
    <w:pPr>
      <w:keepNext/>
      <w:numPr>
        <w:ilvl w:val="6"/>
        <w:numId w:val="17"/>
      </w:numPr>
      <w:outlineLvl w:val="6"/>
    </w:pPr>
  </w:style>
  <w:style w:type="paragraph" w:styleId="Heading8">
    <w:name w:val="heading 8"/>
    <w:basedOn w:val="Normal"/>
    <w:next w:val="Normal"/>
    <w:semiHidden/>
    <w:pPr>
      <w:keepNext/>
      <w:numPr>
        <w:ilvl w:val="7"/>
        <w:numId w:val="17"/>
      </w:numPr>
      <w:outlineLvl w:val="7"/>
    </w:pPr>
  </w:style>
  <w:style w:type="paragraph" w:styleId="Heading9">
    <w:name w:val="heading 9"/>
    <w:basedOn w:val="Normal"/>
    <w:next w:val="Normal"/>
    <w:semiHidden/>
    <w:pPr>
      <w:keepNext/>
      <w:numPr>
        <w:ilvl w:val="8"/>
        <w:numId w:val="17"/>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C8F6C"/>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AnnexHeading1">
    <w:name w:val="Annex Heading 1"/>
    <w:basedOn w:val="Normal"/>
    <w:next w:val="Normal"/>
    <w:pPr>
      <w:pageBreakBefore/>
      <w:spacing w:before="240"/>
      <w:outlineLvl w:val="0"/>
    </w:pPr>
    <w:rPr>
      <w:b/>
      <w:smallCaps/>
      <w:sz w:val="36"/>
    </w:rPr>
  </w:style>
  <w:style w:type="paragraph" w:customStyle="1" w:styleId="Text4">
    <w:name w:val="Text 4"/>
    <w:basedOn w:val="Normal"/>
    <w:uiPriority w:val="90"/>
    <w:qFormat/>
    <w:pPr>
      <w:ind w:left="2880"/>
    </w:pPr>
  </w:style>
  <w:style w:type="paragraph" w:customStyle="1" w:styleId="Text3">
    <w:name w:val="Text 3"/>
    <w:basedOn w:val="Normal"/>
    <w:uiPriority w:val="90"/>
    <w:qFormat/>
    <w:pPr>
      <w:ind w:left="1916"/>
    </w:pPr>
  </w:style>
  <w:style w:type="paragraph" w:customStyle="1" w:styleId="Text2">
    <w:name w:val="Text 2"/>
    <w:basedOn w:val="Normal"/>
    <w:uiPriority w:val="90"/>
    <w:qFormat/>
    <w:pPr>
      <w:ind w:left="1077"/>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customStyle="1" w:styleId="FooterLine">
    <w:name w:val="Footer Line"/>
    <w:basedOn w:val="Footer"/>
    <w:next w:val="Footer"/>
    <w:uiPriority w:val="99"/>
    <w:pPr>
      <w:tabs>
        <w:tab w:val="right" w:pos="8646"/>
      </w:tabs>
      <w:spacing w:before="120"/>
      <w:ind w:right="0"/>
    </w:p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styleId="Title">
    <w:name w:val="Title"/>
    <w:basedOn w:val="Normal"/>
    <w:next w:val="Normal"/>
    <w:pPr>
      <w:spacing w:after="480"/>
      <w:jc w:val="center"/>
    </w:pPr>
    <w:rPr>
      <w:b/>
      <w:kern w:val="28"/>
      <w:sz w:val="48"/>
    </w:rPr>
  </w:style>
  <w:style w:type="paragraph" w:styleId="TOCHeading">
    <w:name w:val="TOC Heading"/>
    <w:basedOn w:val="Normal"/>
    <w:next w:val="Normal"/>
    <w:semiHidden/>
    <w:pPr>
      <w:spacing w:after="120"/>
      <w:jc w:val="center"/>
    </w:pPr>
    <w:rPr>
      <w:rFonts w:ascii="Times New Roman Bold" w:hAnsi="Times New Roman Bold"/>
      <w:b/>
      <w:sz w:val="32"/>
    </w:rPr>
  </w:style>
  <w:style w:type="paragraph" w:styleId="TOC1">
    <w:name w:val="toc 1"/>
    <w:basedOn w:val="Normal"/>
    <w:next w:val="Normal"/>
    <w:uiPriority w:val="39"/>
    <w:semiHidden/>
    <w:pPr>
      <w:tabs>
        <w:tab w:val="left" w:pos="595"/>
        <w:tab w:val="right" w:leader="dot" w:pos="8640"/>
      </w:tabs>
      <w:spacing w:after="60"/>
      <w:ind w:left="595" w:right="720" w:hanging="595"/>
    </w:pPr>
    <w:rPr>
      <w:b/>
      <w:caps/>
      <w:sz w:val="20"/>
    </w:rPr>
  </w:style>
  <w:style w:type="paragraph" w:styleId="TOC2">
    <w:name w:val="toc 2"/>
    <w:basedOn w:val="Normal"/>
    <w:next w:val="Normal"/>
    <w:uiPriority w:val="39"/>
    <w:semiHidden/>
    <w:pPr>
      <w:tabs>
        <w:tab w:val="left" w:pos="595"/>
        <w:tab w:val="right" w:leader="dot" w:pos="8640"/>
      </w:tabs>
      <w:spacing w:after="60"/>
      <w:ind w:left="595" w:right="720" w:hanging="595"/>
    </w:pPr>
    <w:rPr>
      <w:noProof/>
      <w:sz w:val="20"/>
    </w:rPr>
  </w:style>
  <w:style w:type="paragraph" w:styleId="TOC3">
    <w:name w:val="toc 3"/>
    <w:basedOn w:val="Normal"/>
    <w:next w:val="Normal"/>
    <w:uiPriority w:val="99"/>
    <w:semiHidden/>
    <w:pPr>
      <w:tabs>
        <w:tab w:val="left" w:pos="595"/>
        <w:tab w:val="right" w:leader="dot" w:pos="8640"/>
      </w:tabs>
      <w:spacing w:after="60"/>
      <w:ind w:left="1190" w:right="720" w:hanging="595"/>
    </w:pPr>
    <w:rPr>
      <w:sz w:val="20"/>
    </w:rPr>
  </w:style>
  <w:style w:type="paragraph" w:styleId="TOC4">
    <w:name w:val="toc 4"/>
    <w:basedOn w:val="Normal"/>
    <w:next w:val="Normal"/>
    <w:uiPriority w:val="99"/>
    <w:semiHidden/>
    <w:pPr>
      <w:tabs>
        <w:tab w:val="left" w:pos="1446"/>
        <w:tab w:val="left" w:pos="1587"/>
        <w:tab w:val="right" w:leader="dot" w:pos="8640"/>
      </w:tabs>
      <w:spacing w:after="60"/>
      <w:ind w:left="1445" w:right="720" w:hanging="850"/>
    </w:pPr>
    <w:rPr>
      <w:noProof/>
      <w:sz w:val="20"/>
    </w:rPr>
  </w:style>
  <w:style w:type="paragraph" w:styleId="TOC5">
    <w:name w:val="toc 5"/>
    <w:basedOn w:val="Normal"/>
    <w:next w:val="Normal"/>
    <w:semiHidden/>
    <w:pPr>
      <w:tabs>
        <w:tab w:val="right" w:leader="dot" w:pos="8640"/>
      </w:tabs>
      <w:spacing w:before="120" w:after="60"/>
      <w:ind w:right="720"/>
    </w:pPr>
    <w:rPr>
      <w:b/>
    </w:rPr>
  </w:style>
  <w:style w:type="paragraph" w:styleId="TOC6">
    <w:name w:val="toc 6"/>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6"/>
      </w:numPr>
    </w:pPr>
  </w:style>
  <w:style w:type="paragraph" w:customStyle="1" w:styleId="ListBulletLevel2">
    <w:name w:val="List Bullet (Level 2)"/>
    <w:basedOn w:val="Text1"/>
    <w:pPr>
      <w:numPr>
        <w:ilvl w:val="1"/>
        <w:numId w:val="16"/>
      </w:numPr>
    </w:pPr>
  </w:style>
  <w:style w:type="paragraph" w:customStyle="1" w:styleId="ListBulletLevel3">
    <w:name w:val="List Bullet (Level 3)"/>
    <w:basedOn w:val="Text1"/>
    <w:semiHidden/>
    <w:unhideWhenUsed/>
    <w:pPr>
      <w:numPr>
        <w:ilvl w:val="2"/>
        <w:numId w:val="16"/>
      </w:numPr>
    </w:pPr>
  </w:style>
  <w:style w:type="paragraph" w:customStyle="1" w:styleId="ListBulletLevel4">
    <w:name w:val="List Bullet (Level 4)"/>
    <w:basedOn w:val="Text1"/>
    <w:semiHidden/>
    <w:unhideWhenUsed/>
    <w:pPr>
      <w:numPr>
        <w:ilvl w:val="3"/>
        <w:numId w:val="16"/>
      </w:numPr>
    </w:pPr>
  </w:style>
  <w:style w:type="paragraph" w:customStyle="1" w:styleId="ListBullet1">
    <w:name w:val="List Bullet 1"/>
    <w:basedOn w:val="Text1"/>
    <w:pPr>
      <w:numPr>
        <w:numId w:val="15"/>
      </w:numPr>
    </w:pPr>
  </w:style>
  <w:style w:type="paragraph" w:customStyle="1" w:styleId="ListBullet1Level2">
    <w:name w:val="List Bullet 1 (Level 2)"/>
    <w:basedOn w:val="Text1"/>
    <w:pPr>
      <w:numPr>
        <w:ilvl w:val="1"/>
        <w:numId w:val="15"/>
      </w:numPr>
    </w:pPr>
  </w:style>
  <w:style w:type="paragraph" w:customStyle="1" w:styleId="ListBullet1Level3">
    <w:name w:val="List Bullet 1 (Level 3)"/>
    <w:basedOn w:val="Text1"/>
    <w:semiHidden/>
    <w:unhideWhenUsed/>
    <w:pPr>
      <w:numPr>
        <w:ilvl w:val="2"/>
        <w:numId w:val="15"/>
      </w:numPr>
    </w:pPr>
  </w:style>
  <w:style w:type="paragraph" w:customStyle="1" w:styleId="ListBullet1Level4">
    <w:name w:val="List Bullet 1 (Level 4)"/>
    <w:basedOn w:val="Text1"/>
    <w:semiHidden/>
    <w:unhideWhenUsed/>
    <w:pPr>
      <w:numPr>
        <w:ilvl w:val="3"/>
        <w:numId w:val="15"/>
      </w:numPr>
    </w:pPr>
  </w:style>
  <w:style w:type="paragraph" w:styleId="ListBullet2">
    <w:name w:val="List Bullet 2"/>
    <w:basedOn w:val="Text2"/>
    <w:pPr>
      <w:numPr>
        <w:numId w:val="14"/>
      </w:numPr>
    </w:pPr>
  </w:style>
  <w:style w:type="paragraph" w:customStyle="1" w:styleId="ListBullet2Level2">
    <w:name w:val="List Bullet 2 (Level 2)"/>
    <w:basedOn w:val="Text2"/>
    <w:pPr>
      <w:numPr>
        <w:ilvl w:val="1"/>
        <w:numId w:val="14"/>
      </w:numPr>
    </w:pPr>
  </w:style>
  <w:style w:type="paragraph" w:customStyle="1" w:styleId="ListBullet2Level3">
    <w:name w:val="List Bullet 2 (Level 3)"/>
    <w:basedOn w:val="Text2"/>
    <w:semiHidden/>
    <w:unhideWhenUsed/>
    <w:pPr>
      <w:numPr>
        <w:ilvl w:val="2"/>
        <w:numId w:val="14"/>
      </w:numPr>
    </w:pPr>
  </w:style>
  <w:style w:type="paragraph" w:customStyle="1" w:styleId="ListBullet2Level4">
    <w:name w:val="List Bullet 2 (Level 4)"/>
    <w:basedOn w:val="Text2"/>
    <w:semiHidden/>
    <w:unhideWhenUsed/>
    <w:pPr>
      <w:numPr>
        <w:ilvl w:val="3"/>
        <w:numId w:val="14"/>
      </w:numPr>
    </w:pPr>
  </w:style>
  <w:style w:type="paragraph" w:styleId="ListBullet3">
    <w:name w:val="List Bullet 3"/>
    <w:basedOn w:val="Text3"/>
    <w:pPr>
      <w:numPr>
        <w:numId w:val="13"/>
      </w:numPr>
    </w:pPr>
  </w:style>
  <w:style w:type="paragraph" w:customStyle="1" w:styleId="ListBullet3Level2">
    <w:name w:val="List Bullet 3 (Level 2)"/>
    <w:basedOn w:val="Text3"/>
    <w:pPr>
      <w:numPr>
        <w:ilvl w:val="1"/>
        <w:numId w:val="13"/>
      </w:numPr>
    </w:pPr>
  </w:style>
  <w:style w:type="paragraph" w:customStyle="1" w:styleId="ListBullet3Level3">
    <w:name w:val="List Bullet 3 (Level 3)"/>
    <w:basedOn w:val="Text3"/>
    <w:semiHidden/>
    <w:unhideWhenUsed/>
    <w:pPr>
      <w:numPr>
        <w:ilvl w:val="2"/>
        <w:numId w:val="13"/>
      </w:numPr>
    </w:pPr>
  </w:style>
  <w:style w:type="paragraph" w:customStyle="1" w:styleId="ListBullet3Level4">
    <w:name w:val="List Bullet 3 (Level 4)"/>
    <w:basedOn w:val="Text3"/>
    <w:semiHidden/>
    <w:unhideWhenUsed/>
    <w:pPr>
      <w:numPr>
        <w:ilvl w:val="3"/>
        <w:numId w:val="13"/>
      </w:numPr>
    </w:pPr>
  </w:style>
  <w:style w:type="paragraph" w:styleId="ListBullet4">
    <w:name w:val="List Bullet 4"/>
    <w:basedOn w:val="Text4"/>
    <w:pPr>
      <w:numPr>
        <w:numId w:val="12"/>
      </w:numPr>
    </w:pPr>
  </w:style>
  <w:style w:type="paragraph" w:customStyle="1" w:styleId="ListBullet4Level2">
    <w:name w:val="List Bullet 4 (Level 2)"/>
    <w:basedOn w:val="Text4"/>
    <w:pPr>
      <w:numPr>
        <w:ilvl w:val="1"/>
        <w:numId w:val="12"/>
      </w:numPr>
    </w:pPr>
  </w:style>
  <w:style w:type="paragraph" w:customStyle="1" w:styleId="ListBullet4Level3">
    <w:name w:val="List Bullet 4 (Level 3)"/>
    <w:basedOn w:val="Text4"/>
    <w:semiHidden/>
    <w:unhideWhenUsed/>
    <w:pPr>
      <w:numPr>
        <w:ilvl w:val="2"/>
        <w:numId w:val="12"/>
      </w:numPr>
    </w:pPr>
  </w:style>
  <w:style w:type="paragraph" w:customStyle="1" w:styleId="ListBullet4Level4">
    <w:name w:val="List Bullet 4 (Level 4)"/>
    <w:basedOn w:val="Text4"/>
    <w:semiHidden/>
    <w:unhideWhenUsed/>
    <w:pPr>
      <w:numPr>
        <w:ilvl w:val="3"/>
        <w:numId w:val="12"/>
      </w:numPr>
    </w:pPr>
  </w:style>
  <w:style w:type="paragraph" w:customStyle="1" w:styleId="ListDash">
    <w:name w:val="List Dash"/>
    <w:basedOn w:val="Normal"/>
    <w:pPr>
      <w:numPr>
        <w:numId w:val="6"/>
      </w:numPr>
    </w:pPr>
  </w:style>
  <w:style w:type="paragraph" w:customStyle="1" w:styleId="ListDashLevel2">
    <w:name w:val="List Dash (Level 2)"/>
    <w:basedOn w:val="Normal"/>
    <w:pPr>
      <w:numPr>
        <w:ilvl w:val="1"/>
        <w:numId w:val="6"/>
      </w:numPr>
    </w:pPr>
  </w:style>
  <w:style w:type="paragraph" w:customStyle="1" w:styleId="ListDashLevel3">
    <w:name w:val="List Dash (Level 3)"/>
    <w:basedOn w:val="Normal"/>
    <w:semiHidden/>
    <w:unhideWhenUsed/>
    <w:pPr>
      <w:numPr>
        <w:ilvl w:val="2"/>
        <w:numId w:val="6"/>
      </w:numPr>
    </w:pPr>
  </w:style>
  <w:style w:type="paragraph" w:customStyle="1" w:styleId="ListDashLevel4">
    <w:name w:val="List Dash (Level 4)"/>
    <w:basedOn w:val="Normal"/>
    <w:semiHidden/>
    <w:unhideWhenUsed/>
    <w:pPr>
      <w:numPr>
        <w:ilvl w:val="3"/>
        <w:numId w:val="6"/>
      </w:numPr>
    </w:pPr>
  </w:style>
  <w:style w:type="paragraph" w:customStyle="1" w:styleId="ListDash1">
    <w:name w:val="List Dash 1"/>
    <w:basedOn w:val="Text1"/>
    <w:pPr>
      <w:numPr>
        <w:numId w:val="5"/>
      </w:numPr>
    </w:pPr>
  </w:style>
  <w:style w:type="paragraph" w:customStyle="1" w:styleId="ListDash1Level2">
    <w:name w:val="List Dash 1 (Level 2)"/>
    <w:basedOn w:val="Text1"/>
    <w:pPr>
      <w:numPr>
        <w:ilvl w:val="1"/>
        <w:numId w:val="5"/>
      </w:numPr>
    </w:pPr>
  </w:style>
  <w:style w:type="paragraph" w:customStyle="1" w:styleId="ListDash1Level3">
    <w:name w:val="List Dash 1 (Level 3)"/>
    <w:basedOn w:val="Text1"/>
    <w:semiHidden/>
    <w:unhideWhenUsed/>
    <w:pPr>
      <w:numPr>
        <w:ilvl w:val="2"/>
        <w:numId w:val="5"/>
      </w:numPr>
    </w:pPr>
  </w:style>
  <w:style w:type="paragraph" w:customStyle="1" w:styleId="ListDash1Level4">
    <w:name w:val="List Dash 1 (Level 4)"/>
    <w:basedOn w:val="Text1"/>
    <w:semiHidden/>
    <w:unhideWhenUsed/>
    <w:pPr>
      <w:numPr>
        <w:ilvl w:val="3"/>
        <w:numId w:val="5"/>
      </w:numPr>
    </w:pPr>
  </w:style>
  <w:style w:type="paragraph" w:customStyle="1" w:styleId="ListDash2">
    <w:name w:val="List Dash 2"/>
    <w:basedOn w:val="Text2"/>
    <w:pPr>
      <w:numPr>
        <w:numId w:val="4"/>
      </w:numPr>
    </w:pPr>
  </w:style>
  <w:style w:type="paragraph" w:customStyle="1" w:styleId="ListDash2Level2">
    <w:name w:val="List Dash 2 (Level 2)"/>
    <w:basedOn w:val="Text2"/>
    <w:pPr>
      <w:numPr>
        <w:ilvl w:val="1"/>
        <w:numId w:val="4"/>
      </w:numPr>
    </w:pPr>
  </w:style>
  <w:style w:type="paragraph" w:customStyle="1" w:styleId="ListDash2Level3">
    <w:name w:val="List Dash 2 (Level 3)"/>
    <w:basedOn w:val="Text2"/>
    <w:semiHidden/>
    <w:unhideWhenUsed/>
    <w:pPr>
      <w:numPr>
        <w:ilvl w:val="2"/>
        <w:numId w:val="4"/>
      </w:numPr>
    </w:pPr>
  </w:style>
  <w:style w:type="paragraph" w:customStyle="1" w:styleId="ListDash2Level4">
    <w:name w:val="List Dash 2 (Level 4)"/>
    <w:basedOn w:val="Text2"/>
    <w:semiHidden/>
    <w:unhideWhenUsed/>
    <w:pPr>
      <w:numPr>
        <w:ilvl w:val="3"/>
        <w:numId w:val="4"/>
      </w:numPr>
    </w:pPr>
  </w:style>
  <w:style w:type="paragraph" w:customStyle="1" w:styleId="ListDash3">
    <w:name w:val="List Dash 3"/>
    <w:basedOn w:val="Text3"/>
    <w:pPr>
      <w:numPr>
        <w:numId w:val="3"/>
      </w:numPr>
    </w:pPr>
  </w:style>
  <w:style w:type="paragraph" w:customStyle="1" w:styleId="ListDash3Level2">
    <w:name w:val="List Dash 3 (Level 2)"/>
    <w:basedOn w:val="Text3"/>
    <w:pPr>
      <w:numPr>
        <w:ilvl w:val="1"/>
        <w:numId w:val="3"/>
      </w:numPr>
    </w:pPr>
  </w:style>
  <w:style w:type="paragraph" w:customStyle="1" w:styleId="ListDash3Level3">
    <w:name w:val="List Dash 3 (Level 3)"/>
    <w:basedOn w:val="Text3"/>
    <w:semiHidden/>
    <w:unhideWhenUsed/>
    <w:pPr>
      <w:numPr>
        <w:ilvl w:val="2"/>
        <w:numId w:val="3"/>
      </w:numPr>
    </w:pPr>
  </w:style>
  <w:style w:type="paragraph" w:customStyle="1" w:styleId="ListDash3Level4">
    <w:name w:val="List Dash 3 (Level 4)"/>
    <w:basedOn w:val="Text3"/>
    <w:semiHidden/>
    <w:unhideWhenUsed/>
    <w:pPr>
      <w:numPr>
        <w:ilvl w:val="3"/>
        <w:numId w:val="3"/>
      </w:numPr>
    </w:pPr>
  </w:style>
  <w:style w:type="paragraph" w:customStyle="1" w:styleId="ListDash4">
    <w:name w:val="List Dash 4"/>
    <w:basedOn w:val="Text4"/>
    <w:pPr>
      <w:numPr>
        <w:numId w:val="2"/>
      </w:numPr>
    </w:pPr>
  </w:style>
  <w:style w:type="paragraph" w:customStyle="1" w:styleId="ListDash4Level2">
    <w:name w:val="List Dash 4 (Level 2)"/>
    <w:basedOn w:val="Text4"/>
    <w:pPr>
      <w:numPr>
        <w:ilvl w:val="1"/>
        <w:numId w:val="2"/>
      </w:numPr>
    </w:pPr>
  </w:style>
  <w:style w:type="paragraph" w:customStyle="1" w:styleId="ListDash4Level3">
    <w:name w:val="List Dash 4 (Level 3)"/>
    <w:basedOn w:val="Text4"/>
    <w:semiHidden/>
    <w:unhideWhenUsed/>
    <w:pPr>
      <w:numPr>
        <w:ilvl w:val="2"/>
        <w:numId w:val="2"/>
      </w:numPr>
    </w:pPr>
  </w:style>
  <w:style w:type="paragraph" w:customStyle="1" w:styleId="ListDash4Level4">
    <w:name w:val="List Dash 4 (Level 4)"/>
    <w:basedOn w:val="Text4"/>
    <w:semiHidden/>
    <w:unhideWhenUsed/>
    <w:pPr>
      <w:numPr>
        <w:ilvl w:val="3"/>
        <w:numId w:val="2"/>
      </w:numPr>
    </w:pPr>
  </w:style>
  <w:style w:type="paragraph" w:styleId="ListNumber">
    <w:name w:val="List Number"/>
    <w:basedOn w:val="Normal"/>
    <w:pPr>
      <w:numPr>
        <w:numId w:val="11"/>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semiHidden/>
    <w:unhideWhenUsed/>
    <w:pPr>
      <w:numPr>
        <w:ilvl w:val="2"/>
        <w:numId w:val="11"/>
      </w:numPr>
    </w:pPr>
  </w:style>
  <w:style w:type="paragraph" w:customStyle="1" w:styleId="ListNumberLevel4">
    <w:name w:val="List Number (Level 4)"/>
    <w:basedOn w:val="Normal"/>
    <w:semiHidden/>
    <w:unhideWhenUsed/>
    <w:pPr>
      <w:numPr>
        <w:ilvl w:val="3"/>
        <w:numId w:val="11"/>
      </w:numPr>
    </w:pPr>
  </w:style>
  <w:style w:type="paragraph" w:customStyle="1" w:styleId="ListNumber1">
    <w:name w:val="List Number 1"/>
    <w:basedOn w:val="Text1"/>
    <w:pPr>
      <w:numPr>
        <w:numId w:val="10"/>
      </w:numPr>
    </w:pPr>
  </w:style>
  <w:style w:type="paragraph" w:customStyle="1" w:styleId="ListNumber1Level2">
    <w:name w:val="List Number 1 (Level 2)"/>
    <w:basedOn w:val="Text1"/>
    <w:pPr>
      <w:numPr>
        <w:ilvl w:val="1"/>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4">
    <w:name w:val="List Number 1 (Level 4)"/>
    <w:basedOn w:val="Text1"/>
    <w:semiHidden/>
    <w:unhideWhenUsed/>
    <w:pPr>
      <w:numPr>
        <w:ilvl w:val="3"/>
        <w:numId w:val="10"/>
      </w:numPr>
    </w:pPr>
  </w:style>
  <w:style w:type="paragraph" w:styleId="ListNumber2">
    <w:name w:val="List Number 2"/>
    <w:basedOn w:val="Text2"/>
    <w:pPr>
      <w:numPr>
        <w:numId w:val="9"/>
      </w:numPr>
    </w:pPr>
  </w:style>
  <w:style w:type="paragraph" w:customStyle="1" w:styleId="ListNumber2Level2">
    <w:name w:val="List Number 2 (Level 2)"/>
    <w:basedOn w:val="Text2"/>
    <w:pPr>
      <w:numPr>
        <w:ilvl w:val="1"/>
        <w:numId w:val="9"/>
      </w:numPr>
    </w:pPr>
  </w:style>
  <w:style w:type="paragraph" w:customStyle="1" w:styleId="ListNumber2Level3">
    <w:name w:val="List Number 2 (Level 3)"/>
    <w:basedOn w:val="Text2"/>
    <w:semiHidden/>
    <w:unhideWhenUsed/>
    <w:pPr>
      <w:numPr>
        <w:ilvl w:val="2"/>
        <w:numId w:val="9"/>
      </w:numPr>
    </w:pPr>
  </w:style>
  <w:style w:type="paragraph" w:customStyle="1" w:styleId="ListNumber2Level4">
    <w:name w:val="List Number 2 (Level 4)"/>
    <w:basedOn w:val="Text2"/>
    <w:semiHidden/>
    <w:unhideWhenUsed/>
    <w:pPr>
      <w:numPr>
        <w:ilvl w:val="3"/>
        <w:numId w:val="9"/>
      </w:numPr>
    </w:pPr>
  </w:style>
  <w:style w:type="paragraph" w:styleId="ListNumber3">
    <w:name w:val="List Number 3"/>
    <w:basedOn w:val="Text3"/>
    <w:pPr>
      <w:numPr>
        <w:numId w:val="8"/>
      </w:numPr>
    </w:pPr>
  </w:style>
  <w:style w:type="paragraph" w:customStyle="1" w:styleId="ListNumber3Level2">
    <w:name w:val="List Number 3 (Level 2)"/>
    <w:basedOn w:val="Text3"/>
    <w:pPr>
      <w:numPr>
        <w:ilvl w:val="1"/>
        <w:numId w:val="8"/>
      </w:numPr>
    </w:pPr>
  </w:style>
  <w:style w:type="paragraph" w:customStyle="1" w:styleId="ListNumber3Level3">
    <w:name w:val="List Number 3 (Level 3)"/>
    <w:basedOn w:val="Text3"/>
    <w:semiHidden/>
    <w:unhideWhenUsed/>
    <w:pPr>
      <w:numPr>
        <w:ilvl w:val="2"/>
        <w:numId w:val="8"/>
      </w:numPr>
    </w:pPr>
  </w:style>
  <w:style w:type="paragraph" w:customStyle="1" w:styleId="ListNumber3Level4">
    <w:name w:val="List Number 3 (Level 4)"/>
    <w:basedOn w:val="Text3"/>
    <w:semiHidden/>
    <w:unhideWhenUsed/>
    <w:pPr>
      <w:numPr>
        <w:ilvl w:val="3"/>
        <w:numId w:val="8"/>
      </w:numPr>
    </w:pPr>
  </w:style>
  <w:style w:type="paragraph" w:styleId="ListNumber4">
    <w:name w:val="List Number 4"/>
    <w:basedOn w:val="Text4"/>
    <w:pPr>
      <w:numPr>
        <w:numId w:val="7"/>
      </w:numPr>
    </w:pPr>
  </w:style>
  <w:style w:type="paragraph" w:customStyle="1" w:styleId="ListNumber4Level2">
    <w:name w:val="List Number 4 (Level 2)"/>
    <w:basedOn w:val="Text4"/>
    <w:pPr>
      <w:numPr>
        <w:ilvl w:val="1"/>
        <w:numId w:val="7"/>
      </w:numPr>
    </w:pPr>
  </w:style>
  <w:style w:type="paragraph" w:customStyle="1" w:styleId="ListNumber4Level3">
    <w:name w:val="List Number 4 (Level 3)"/>
    <w:basedOn w:val="Text4"/>
    <w:semiHidden/>
    <w:unhideWhenUsed/>
    <w:pPr>
      <w:numPr>
        <w:ilvl w:val="2"/>
        <w:numId w:val="7"/>
      </w:numPr>
    </w:pPr>
  </w:style>
  <w:style w:type="paragraph" w:customStyle="1" w:styleId="ListNumber4Level4">
    <w:name w:val="List Number 4 (Level 4)"/>
    <w:basedOn w:val="Text4"/>
    <w:semiHidden/>
    <w:unhideWhenUsed/>
    <w:pPr>
      <w:numPr>
        <w:ilvl w:val="3"/>
        <w:numId w:val="7"/>
      </w:numPr>
    </w:pPr>
  </w:style>
  <w:style w:type="paragraph" w:customStyle="1" w:styleId="Marking">
    <w:name w:val="Marking"/>
    <w:basedOn w:val="Normal"/>
    <w:pPr>
      <w:spacing w:line="276" w:lineRule="auto"/>
      <w:contextualSpacing/>
      <w:jc w:val="right"/>
    </w:pPr>
    <w:rPr>
      <w:sz w:val="28"/>
    </w:rPr>
  </w:style>
  <w:style w:type="paragraph" w:customStyle="1" w:styleId="LegalNumPar">
    <w:name w:val="LegalNumPar"/>
    <w:basedOn w:val="Normal"/>
    <w:uiPriority w:val="90"/>
    <w:qFormat/>
    <w:pPr>
      <w:numPr>
        <w:numId w:val="18"/>
      </w:numPr>
      <w:spacing w:line="360" w:lineRule="auto"/>
      <w:jc w:val="left"/>
    </w:pPr>
  </w:style>
  <w:style w:type="paragraph" w:customStyle="1" w:styleId="LegalNumPar2">
    <w:name w:val="LegalNumPar2"/>
    <w:basedOn w:val="Normal"/>
    <w:pPr>
      <w:numPr>
        <w:ilvl w:val="1"/>
        <w:numId w:val="18"/>
      </w:numPr>
      <w:spacing w:line="360" w:lineRule="auto"/>
      <w:jc w:val="left"/>
    </w:pPr>
  </w:style>
  <w:style w:type="paragraph" w:customStyle="1" w:styleId="LegalNumPar3">
    <w:name w:val="LegalNumPar3"/>
    <w:basedOn w:val="Normal"/>
    <w:pPr>
      <w:numPr>
        <w:ilvl w:val="2"/>
        <w:numId w:val="18"/>
      </w:numPr>
      <w:spacing w:line="360" w:lineRule="auto"/>
      <w:jc w:val="left"/>
    </w:pPr>
  </w:style>
  <w:style w:type="paragraph" w:styleId="NoteHeading">
    <w:name w:val="Note Heading"/>
    <w:basedOn w:val="Normal"/>
    <w:next w:val="Normal"/>
  </w:style>
  <w:style w:type="paragraph" w:customStyle="1" w:styleId="NoteHead">
    <w:name w:val="NoteHead"/>
    <w:basedOn w:val="Normal"/>
    <w:next w:val="Subject"/>
    <w:uiPriority w:val="99"/>
    <w:pPr>
      <w:spacing w:before="720" w:after="720"/>
      <w:jc w:val="center"/>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Subject">
    <w:name w:val="Subject"/>
    <w:basedOn w:val="Normal"/>
    <w:next w:val="Normal"/>
    <w:uiPriority w:val="99"/>
    <w:pPr>
      <w:spacing w:after="480"/>
      <w:ind w:left="1531" w:hanging="1531"/>
      <w:jc w:val="left"/>
    </w:pPr>
    <w:rPr>
      <w:b/>
    </w:rPr>
  </w:style>
  <w:style w:type="paragraph" w:customStyle="1" w:styleId="YReferences">
    <w:name w:val="YReferences"/>
    <w:basedOn w:val="Normal"/>
    <w:next w:val="Normal"/>
    <w:uiPriority w:val="99"/>
    <w:pPr>
      <w:spacing w:after="480"/>
      <w:ind w:left="1531" w:hanging="1531"/>
    </w:pPr>
  </w:style>
  <w:style w:type="paragraph" w:styleId="Closing">
    <w:name w:val="Closing"/>
    <w:basedOn w:val="Normal"/>
    <w:next w:val="Signature"/>
    <w:pPr>
      <w:tabs>
        <w:tab w:val="left" w:pos="5102"/>
      </w:tabs>
      <w:spacing w:before="240"/>
      <w:ind w:left="5102"/>
      <w:jc w:val="left"/>
    </w:pPr>
  </w:style>
  <w:style w:type="paragraph" w:customStyle="1" w:styleId="ClosingL">
    <w:name w:val="ClosingL"/>
    <w:basedOn w:val="Normal"/>
    <w:next w:val="Signature"/>
    <w:pPr>
      <w:spacing w:before="24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SignatureL">
    <w:name w:val="SignatureL"/>
    <w:basedOn w:val="Normal"/>
    <w:next w:val="Contact"/>
    <w:uiPriority w:val="99"/>
    <w:pPr>
      <w:tabs>
        <w:tab w:val="left" w:pos="5102"/>
      </w:tabs>
      <w:spacing w:before="1200" w:after="0"/>
      <w:jc w:val="left"/>
    </w:pPr>
  </w:style>
  <w:style w:type="paragraph" w:customStyle="1" w:styleId="DoubSign">
    <w:name w:val="DoubSign"/>
    <w:basedOn w:val="Normal"/>
    <w:next w:val="Contact"/>
    <w:pPr>
      <w:tabs>
        <w:tab w:val="left" w:pos="5102"/>
      </w:tabs>
      <w:spacing w:before="1200" w:after="0"/>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Copies">
    <w:name w:val="Copies"/>
    <w:basedOn w:val="Normal"/>
    <w:next w:val="Normal"/>
    <w:uiPriority w:val="99"/>
    <w:pPr>
      <w:tabs>
        <w:tab w:val="left" w:pos="5669"/>
      </w:tabs>
      <w:spacing w:before="480" w:after="0"/>
      <w:ind w:left="1984" w:hanging="1984"/>
      <w:jc w:val="left"/>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character" w:styleId="FootnoteReference">
    <w:name w:val="footnote reference"/>
    <w:basedOn w:val="DefaultParagraphFont"/>
    <w:semiHidden/>
    <w:locked/>
    <w:rPr>
      <w:vertAlign w:val="superscript"/>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HeaderSensitivityRight">
    <w:name w:val="Header Sensitivity Right"/>
    <w:basedOn w:val="Normal"/>
    <w:pPr>
      <w:spacing w:after="120"/>
      <w:jc w:val="right"/>
    </w:pPr>
    <w:rPr>
      <w:sz w:val="28"/>
    </w:rPr>
  </w:style>
  <w:style w:type="character" w:customStyle="1" w:styleId="FooterChar">
    <w:name w:val="Footer Char"/>
    <w:basedOn w:val="DefaultParagraphFont"/>
    <w:link w:val="Footer"/>
    <w:uiPriority w:val="99"/>
    <w:rPr>
      <w:sz w:val="16"/>
    </w:rPr>
  </w:style>
  <w:style w:type="paragraph" w:customStyle="1" w:styleId="Typedudocument">
    <w:name w:val="Type du document"/>
    <w:basedOn w:val="Normal"/>
    <w:next w:val="Normal"/>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header" w:semiHidden="0"/>
    <w:lsdException w:name="footer" w:semiHidden="0" w:uiPriority="99"/>
    <w:lsdException w:name="caption" w:semiHidden="0"/>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Closing" w:semiHidden="0"/>
    <w:lsdException w:name="Signature" w:semiHidden="0" w:uiPriority="99"/>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Note Heading" w:semiHidden="0"/>
    <w:lsdException w:name="Strong" w:semiHidden="0" w:unhideWhenUsed="0"/>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7"/>
      </w:numPr>
      <w:spacing w:before="240"/>
      <w:outlineLvl w:val="0"/>
    </w:pPr>
    <w:rPr>
      <w:b/>
      <w:smallCaps/>
    </w:rPr>
  </w:style>
  <w:style w:type="paragraph" w:styleId="Heading2">
    <w:name w:val="heading 2"/>
    <w:basedOn w:val="Normal"/>
    <w:next w:val="Text2"/>
    <w:uiPriority w:val="90"/>
    <w:qFormat/>
    <w:pPr>
      <w:keepNext/>
      <w:numPr>
        <w:ilvl w:val="1"/>
        <w:numId w:val="17"/>
      </w:numPr>
      <w:outlineLvl w:val="1"/>
    </w:pPr>
    <w:rPr>
      <w:b/>
    </w:rPr>
  </w:style>
  <w:style w:type="paragraph" w:styleId="Heading3">
    <w:name w:val="heading 3"/>
    <w:basedOn w:val="Normal"/>
    <w:next w:val="Text3"/>
    <w:uiPriority w:val="90"/>
    <w:qFormat/>
    <w:pPr>
      <w:keepNext/>
      <w:numPr>
        <w:ilvl w:val="2"/>
        <w:numId w:val="17"/>
      </w:numPr>
      <w:outlineLvl w:val="2"/>
    </w:pPr>
    <w:rPr>
      <w:i/>
    </w:rPr>
  </w:style>
  <w:style w:type="paragraph" w:styleId="Heading4">
    <w:name w:val="heading 4"/>
    <w:basedOn w:val="Normal"/>
    <w:next w:val="Text4"/>
    <w:uiPriority w:val="90"/>
    <w:qFormat/>
    <w:pPr>
      <w:keepNext/>
      <w:numPr>
        <w:ilvl w:val="3"/>
        <w:numId w:val="17"/>
      </w:numPr>
      <w:outlineLvl w:val="3"/>
    </w:pPr>
  </w:style>
  <w:style w:type="paragraph" w:styleId="Heading5">
    <w:name w:val="heading 5"/>
    <w:basedOn w:val="Normal"/>
    <w:next w:val="Normal"/>
    <w:semiHidden/>
    <w:pPr>
      <w:keepNext/>
      <w:numPr>
        <w:ilvl w:val="4"/>
        <w:numId w:val="17"/>
      </w:numPr>
      <w:outlineLvl w:val="4"/>
    </w:pPr>
  </w:style>
  <w:style w:type="paragraph" w:styleId="Heading6">
    <w:name w:val="heading 6"/>
    <w:basedOn w:val="Normal"/>
    <w:next w:val="Normal"/>
    <w:semiHidden/>
    <w:pPr>
      <w:keepNext/>
      <w:numPr>
        <w:ilvl w:val="5"/>
        <w:numId w:val="17"/>
      </w:numPr>
      <w:outlineLvl w:val="5"/>
    </w:pPr>
  </w:style>
  <w:style w:type="paragraph" w:styleId="Heading7">
    <w:name w:val="heading 7"/>
    <w:basedOn w:val="Normal"/>
    <w:next w:val="Normal"/>
    <w:semiHidden/>
    <w:pPr>
      <w:keepNext/>
      <w:numPr>
        <w:ilvl w:val="6"/>
        <w:numId w:val="17"/>
      </w:numPr>
      <w:outlineLvl w:val="6"/>
    </w:pPr>
  </w:style>
  <w:style w:type="paragraph" w:styleId="Heading8">
    <w:name w:val="heading 8"/>
    <w:basedOn w:val="Normal"/>
    <w:next w:val="Normal"/>
    <w:semiHidden/>
    <w:pPr>
      <w:keepNext/>
      <w:numPr>
        <w:ilvl w:val="7"/>
        <w:numId w:val="17"/>
      </w:numPr>
      <w:outlineLvl w:val="7"/>
    </w:pPr>
  </w:style>
  <w:style w:type="paragraph" w:styleId="Heading9">
    <w:name w:val="heading 9"/>
    <w:basedOn w:val="Normal"/>
    <w:next w:val="Normal"/>
    <w:semiHidden/>
    <w:pPr>
      <w:keepNext/>
      <w:numPr>
        <w:ilvl w:val="8"/>
        <w:numId w:val="17"/>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C8F6C"/>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AnnexHeading1">
    <w:name w:val="Annex Heading 1"/>
    <w:basedOn w:val="Normal"/>
    <w:next w:val="Normal"/>
    <w:pPr>
      <w:pageBreakBefore/>
      <w:spacing w:before="240"/>
      <w:outlineLvl w:val="0"/>
    </w:pPr>
    <w:rPr>
      <w:b/>
      <w:smallCaps/>
      <w:sz w:val="36"/>
    </w:rPr>
  </w:style>
  <w:style w:type="paragraph" w:customStyle="1" w:styleId="Text4">
    <w:name w:val="Text 4"/>
    <w:basedOn w:val="Normal"/>
    <w:uiPriority w:val="90"/>
    <w:qFormat/>
    <w:pPr>
      <w:ind w:left="2880"/>
    </w:pPr>
  </w:style>
  <w:style w:type="paragraph" w:customStyle="1" w:styleId="Text3">
    <w:name w:val="Text 3"/>
    <w:basedOn w:val="Normal"/>
    <w:uiPriority w:val="90"/>
    <w:qFormat/>
    <w:pPr>
      <w:ind w:left="1916"/>
    </w:pPr>
  </w:style>
  <w:style w:type="paragraph" w:customStyle="1" w:styleId="Text2">
    <w:name w:val="Text 2"/>
    <w:basedOn w:val="Normal"/>
    <w:uiPriority w:val="90"/>
    <w:qFormat/>
    <w:pPr>
      <w:ind w:left="1077"/>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customStyle="1" w:styleId="FooterLine">
    <w:name w:val="Footer Line"/>
    <w:basedOn w:val="Footer"/>
    <w:next w:val="Footer"/>
    <w:uiPriority w:val="99"/>
    <w:pPr>
      <w:tabs>
        <w:tab w:val="right" w:pos="8646"/>
      </w:tabs>
      <w:spacing w:before="120"/>
      <w:ind w:right="0"/>
    </w:p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styleId="Title">
    <w:name w:val="Title"/>
    <w:basedOn w:val="Normal"/>
    <w:next w:val="Normal"/>
    <w:pPr>
      <w:spacing w:after="480"/>
      <w:jc w:val="center"/>
    </w:pPr>
    <w:rPr>
      <w:b/>
      <w:kern w:val="28"/>
      <w:sz w:val="48"/>
    </w:rPr>
  </w:style>
  <w:style w:type="paragraph" w:styleId="TOCHeading">
    <w:name w:val="TOC Heading"/>
    <w:basedOn w:val="Normal"/>
    <w:next w:val="Normal"/>
    <w:semiHidden/>
    <w:pPr>
      <w:spacing w:after="120"/>
      <w:jc w:val="center"/>
    </w:pPr>
    <w:rPr>
      <w:rFonts w:ascii="Times New Roman Bold" w:hAnsi="Times New Roman Bold"/>
      <w:b/>
      <w:sz w:val="32"/>
    </w:rPr>
  </w:style>
  <w:style w:type="paragraph" w:styleId="TOC1">
    <w:name w:val="toc 1"/>
    <w:basedOn w:val="Normal"/>
    <w:next w:val="Normal"/>
    <w:uiPriority w:val="39"/>
    <w:semiHidden/>
    <w:pPr>
      <w:tabs>
        <w:tab w:val="left" w:pos="595"/>
        <w:tab w:val="right" w:leader="dot" w:pos="8640"/>
      </w:tabs>
      <w:spacing w:after="60"/>
      <w:ind w:left="595" w:right="720" w:hanging="595"/>
    </w:pPr>
    <w:rPr>
      <w:b/>
      <w:caps/>
      <w:sz w:val="20"/>
    </w:rPr>
  </w:style>
  <w:style w:type="paragraph" w:styleId="TOC2">
    <w:name w:val="toc 2"/>
    <w:basedOn w:val="Normal"/>
    <w:next w:val="Normal"/>
    <w:uiPriority w:val="39"/>
    <w:semiHidden/>
    <w:pPr>
      <w:tabs>
        <w:tab w:val="left" w:pos="595"/>
        <w:tab w:val="right" w:leader="dot" w:pos="8640"/>
      </w:tabs>
      <w:spacing w:after="60"/>
      <w:ind w:left="595" w:right="720" w:hanging="595"/>
    </w:pPr>
    <w:rPr>
      <w:noProof/>
      <w:sz w:val="20"/>
    </w:rPr>
  </w:style>
  <w:style w:type="paragraph" w:styleId="TOC3">
    <w:name w:val="toc 3"/>
    <w:basedOn w:val="Normal"/>
    <w:next w:val="Normal"/>
    <w:uiPriority w:val="99"/>
    <w:semiHidden/>
    <w:pPr>
      <w:tabs>
        <w:tab w:val="left" w:pos="595"/>
        <w:tab w:val="right" w:leader="dot" w:pos="8640"/>
      </w:tabs>
      <w:spacing w:after="60"/>
      <w:ind w:left="1190" w:right="720" w:hanging="595"/>
    </w:pPr>
    <w:rPr>
      <w:sz w:val="20"/>
    </w:rPr>
  </w:style>
  <w:style w:type="paragraph" w:styleId="TOC4">
    <w:name w:val="toc 4"/>
    <w:basedOn w:val="Normal"/>
    <w:next w:val="Normal"/>
    <w:uiPriority w:val="99"/>
    <w:semiHidden/>
    <w:pPr>
      <w:tabs>
        <w:tab w:val="left" w:pos="1446"/>
        <w:tab w:val="left" w:pos="1587"/>
        <w:tab w:val="right" w:leader="dot" w:pos="8640"/>
      </w:tabs>
      <w:spacing w:after="60"/>
      <w:ind w:left="1445" w:right="720" w:hanging="850"/>
    </w:pPr>
    <w:rPr>
      <w:noProof/>
      <w:sz w:val="20"/>
    </w:rPr>
  </w:style>
  <w:style w:type="paragraph" w:styleId="TOC5">
    <w:name w:val="toc 5"/>
    <w:basedOn w:val="Normal"/>
    <w:next w:val="Normal"/>
    <w:semiHidden/>
    <w:pPr>
      <w:tabs>
        <w:tab w:val="right" w:leader="dot" w:pos="8640"/>
      </w:tabs>
      <w:spacing w:before="120" w:after="60"/>
      <w:ind w:right="720"/>
    </w:pPr>
    <w:rPr>
      <w:b/>
    </w:rPr>
  </w:style>
  <w:style w:type="paragraph" w:styleId="TOC6">
    <w:name w:val="toc 6"/>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6"/>
      </w:numPr>
    </w:pPr>
  </w:style>
  <w:style w:type="paragraph" w:customStyle="1" w:styleId="ListBulletLevel2">
    <w:name w:val="List Bullet (Level 2)"/>
    <w:basedOn w:val="Text1"/>
    <w:pPr>
      <w:numPr>
        <w:ilvl w:val="1"/>
        <w:numId w:val="16"/>
      </w:numPr>
    </w:pPr>
  </w:style>
  <w:style w:type="paragraph" w:customStyle="1" w:styleId="ListBulletLevel3">
    <w:name w:val="List Bullet (Level 3)"/>
    <w:basedOn w:val="Text1"/>
    <w:semiHidden/>
    <w:unhideWhenUsed/>
    <w:pPr>
      <w:numPr>
        <w:ilvl w:val="2"/>
        <w:numId w:val="16"/>
      </w:numPr>
    </w:pPr>
  </w:style>
  <w:style w:type="paragraph" w:customStyle="1" w:styleId="ListBulletLevel4">
    <w:name w:val="List Bullet (Level 4)"/>
    <w:basedOn w:val="Text1"/>
    <w:semiHidden/>
    <w:unhideWhenUsed/>
    <w:pPr>
      <w:numPr>
        <w:ilvl w:val="3"/>
        <w:numId w:val="16"/>
      </w:numPr>
    </w:pPr>
  </w:style>
  <w:style w:type="paragraph" w:customStyle="1" w:styleId="ListBullet1">
    <w:name w:val="List Bullet 1"/>
    <w:basedOn w:val="Text1"/>
    <w:pPr>
      <w:numPr>
        <w:numId w:val="15"/>
      </w:numPr>
    </w:pPr>
  </w:style>
  <w:style w:type="paragraph" w:customStyle="1" w:styleId="ListBullet1Level2">
    <w:name w:val="List Bullet 1 (Level 2)"/>
    <w:basedOn w:val="Text1"/>
    <w:pPr>
      <w:numPr>
        <w:ilvl w:val="1"/>
        <w:numId w:val="15"/>
      </w:numPr>
    </w:pPr>
  </w:style>
  <w:style w:type="paragraph" w:customStyle="1" w:styleId="ListBullet1Level3">
    <w:name w:val="List Bullet 1 (Level 3)"/>
    <w:basedOn w:val="Text1"/>
    <w:semiHidden/>
    <w:unhideWhenUsed/>
    <w:pPr>
      <w:numPr>
        <w:ilvl w:val="2"/>
        <w:numId w:val="15"/>
      </w:numPr>
    </w:pPr>
  </w:style>
  <w:style w:type="paragraph" w:customStyle="1" w:styleId="ListBullet1Level4">
    <w:name w:val="List Bullet 1 (Level 4)"/>
    <w:basedOn w:val="Text1"/>
    <w:semiHidden/>
    <w:unhideWhenUsed/>
    <w:pPr>
      <w:numPr>
        <w:ilvl w:val="3"/>
        <w:numId w:val="15"/>
      </w:numPr>
    </w:pPr>
  </w:style>
  <w:style w:type="paragraph" w:styleId="ListBullet2">
    <w:name w:val="List Bullet 2"/>
    <w:basedOn w:val="Text2"/>
    <w:pPr>
      <w:numPr>
        <w:numId w:val="14"/>
      </w:numPr>
    </w:pPr>
  </w:style>
  <w:style w:type="paragraph" w:customStyle="1" w:styleId="ListBullet2Level2">
    <w:name w:val="List Bullet 2 (Level 2)"/>
    <w:basedOn w:val="Text2"/>
    <w:pPr>
      <w:numPr>
        <w:ilvl w:val="1"/>
        <w:numId w:val="14"/>
      </w:numPr>
    </w:pPr>
  </w:style>
  <w:style w:type="paragraph" w:customStyle="1" w:styleId="ListBullet2Level3">
    <w:name w:val="List Bullet 2 (Level 3)"/>
    <w:basedOn w:val="Text2"/>
    <w:semiHidden/>
    <w:unhideWhenUsed/>
    <w:pPr>
      <w:numPr>
        <w:ilvl w:val="2"/>
        <w:numId w:val="14"/>
      </w:numPr>
    </w:pPr>
  </w:style>
  <w:style w:type="paragraph" w:customStyle="1" w:styleId="ListBullet2Level4">
    <w:name w:val="List Bullet 2 (Level 4)"/>
    <w:basedOn w:val="Text2"/>
    <w:semiHidden/>
    <w:unhideWhenUsed/>
    <w:pPr>
      <w:numPr>
        <w:ilvl w:val="3"/>
        <w:numId w:val="14"/>
      </w:numPr>
    </w:pPr>
  </w:style>
  <w:style w:type="paragraph" w:styleId="ListBullet3">
    <w:name w:val="List Bullet 3"/>
    <w:basedOn w:val="Text3"/>
    <w:pPr>
      <w:numPr>
        <w:numId w:val="13"/>
      </w:numPr>
    </w:pPr>
  </w:style>
  <w:style w:type="paragraph" w:customStyle="1" w:styleId="ListBullet3Level2">
    <w:name w:val="List Bullet 3 (Level 2)"/>
    <w:basedOn w:val="Text3"/>
    <w:pPr>
      <w:numPr>
        <w:ilvl w:val="1"/>
        <w:numId w:val="13"/>
      </w:numPr>
    </w:pPr>
  </w:style>
  <w:style w:type="paragraph" w:customStyle="1" w:styleId="ListBullet3Level3">
    <w:name w:val="List Bullet 3 (Level 3)"/>
    <w:basedOn w:val="Text3"/>
    <w:semiHidden/>
    <w:unhideWhenUsed/>
    <w:pPr>
      <w:numPr>
        <w:ilvl w:val="2"/>
        <w:numId w:val="13"/>
      </w:numPr>
    </w:pPr>
  </w:style>
  <w:style w:type="paragraph" w:customStyle="1" w:styleId="ListBullet3Level4">
    <w:name w:val="List Bullet 3 (Level 4)"/>
    <w:basedOn w:val="Text3"/>
    <w:semiHidden/>
    <w:unhideWhenUsed/>
    <w:pPr>
      <w:numPr>
        <w:ilvl w:val="3"/>
        <w:numId w:val="13"/>
      </w:numPr>
    </w:pPr>
  </w:style>
  <w:style w:type="paragraph" w:styleId="ListBullet4">
    <w:name w:val="List Bullet 4"/>
    <w:basedOn w:val="Text4"/>
    <w:pPr>
      <w:numPr>
        <w:numId w:val="12"/>
      </w:numPr>
    </w:pPr>
  </w:style>
  <w:style w:type="paragraph" w:customStyle="1" w:styleId="ListBullet4Level2">
    <w:name w:val="List Bullet 4 (Level 2)"/>
    <w:basedOn w:val="Text4"/>
    <w:pPr>
      <w:numPr>
        <w:ilvl w:val="1"/>
        <w:numId w:val="12"/>
      </w:numPr>
    </w:pPr>
  </w:style>
  <w:style w:type="paragraph" w:customStyle="1" w:styleId="ListBullet4Level3">
    <w:name w:val="List Bullet 4 (Level 3)"/>
    <w:basedOn w:val="Text4"/>
    <w:semiHidden/>
    <w:unhideWhenUsed/>
    <w:pPr>
      <w:numPr>
        <w:ilvl w:val="2"/>
        <w:numId w:val="12"/>
      </w:numPr>
    </w:pPr>
  </w:style>
  <w:style w:type="paragraph" w:customStyle="1" w:styleId="ListBullet4Level4">
    <w:name w:val="List Bullet 4 (Level 4)"/>
    <w:basedOn w:val="Text4"/>
    <w:semiHidden/>
    <w:unhideWhenUsed/>
    <w:pPr>
      <w:numPr>
        <w:ilvl w:val="3"/>
        <w:numId w:val="12"/>
      </w:numPr>
    </w:pPr>
  </w:style>
  <w:style w:type="paragraph" w:customStyle="1" w:styleId="ListDash">
    <w:name w:val="List Dash"/>
    <w:basedOn w:val="Normal"/>
    <w:pPr>
      <w:numPr>
        <w:numId w:val="6"/>
      </w:numPr>
    </w:pPr>
  </w:style>
  <w:style w:type="paragraph" w:customStyle="1" w:styleId="ListDashLevel2">
    <w:name w:val="List Dash (Level 2)"/>
    <w:basedOn w:val="Normal"/>
    <w:pPr>
      <w:numPr>
        <w:ilvl w:val="1"/>
        <w:numId w:val="6"/>
      </w:numPr>
    </w:pPr>
  </w:style>
  <w:style w:type="paragraph" w:customStyle="1" w:styleId="ListDashLevel3">
    <w:name w:val="List Dash (Level 3)"/>
    <w:basedOn w:val="Normal"/>
    <w:semiHidden/>
    <w:unhideWhenUsed/>
    <w:pPr>
      <w:numPr>
        <w:ilvl w:val="2"/>
        <w:numId w:val="6"/>
      </w:numPr>
    </w:pPr>
  </w:style>
  <w:style w:type="paragraph" w:customStyle="1" w:styleId="ListDashLevel4">
    <w:name w:val="List Dash (Level 4)"/>
    <w:basedOn w:val="Normal"/>
    <w:semiHidden/>
    <w:unhideWhenUsed/>
    <w:pPr>
      <w:numPr>
        <w:ilvl w:val="3"/>
        <w:numId w:val="6"/>
      </w:numPr>
    </w:pPr>
  </w:style>
  <w:style w:type="paragraph" w:customStyle="1" w:styleId="ListDash1">
    <w:name w:val="List Dash 1"/>
    <w:basedOn w:val="Text1"/>
    <w:pPr>
      <w:numPr>
        <w:numId w:val="5"/>
      </w:numPr>
    </w:pPr>
  </w:style>
  <w:style w:type="paragraph" w:customStyle="1" w:styleId="ListDash1Level2">
    <w:name w:val="List Dash 1 (Level 2)"/>
    <w:basedOn w:val="Text1"/>
    <w:pPr>
      <w:numPr>
        <w:ilvl w:val="1"/>
        <w:numId w:val="5"/>
      </w:numPr>
    </w:pPr>
  </w:style>
  <w:style w:type="paragraph" w:customStyle="1" w:styleId="ListDash1Level3">
    <w:name w:val="List Dash 1 (Level 3)"/>
    <w:basedOn w:val="Text1"/>
    <w:semiHidden/>
    <w:unhideWhenUsed/>
    <w:pPr>
      <w:numPr>
        <w:ilvl w:val="2"/>
        <w:numId w:val="5"/>
      </w:numPr>
    </w:pPr>
  </w:style>
  <w:style w:type="paragraph" w:customStyle="1" w:styleId="ListDash1Level4">
    <w:name w:val="List Dash 1 (Level 4)"/>
    <w:basedOn w:val="Text1"/>
    <w:semiHidden/>
    <w:unhideWhenUsed/>
    <w:pPr>
      <w:numPr>
        <w:ilvl w:val="3"/>
        <w:numId w:val="5"/>
      </w:numPr>
    </w:pPr>
  </w:style>
  <w:style w:type="paragraph" w:customStyle="1" w:styleId="ListDash2">
    <w:name w:val="List Dash 2"/>
    <w:basedOn w:val="Text2"/>
    <w:pPr>
      <w:numPr>
        <w:numId w:val="4"/>
      </w:numPr>
    </w:pPr>
  </w:style>
  <w:style w:type="paragraph" w:customStyle="1" w:styleId="ListDash2Level2">
    <w:name w:val="List Dash 2 (Level 2)"/>
    <w:basedOn w:val="Text2"/>
    <w:pPr>
      <w:numPr>
        <w:ilvl w:val="1"/>
        <w:numId w:val="4"/>
      </w:numPr>
    </w:pPr>
  </w:style>
  <w:style w:type="paragraph" w:customStyle="1" w:styleId="ListDash2Level3">
    <w:name w:val="List Dash 2 (Level 3)"/>
    <w:basedOn w:val="Text2"/>
    <w:semiHidden/>
    <w:unhideWhenUsed/>
    <w:pPr>
      <w:numPr>
        <w:ilvl w:val="2"/>
        <w:numId w:val="4"/>
      </w:numPr>
    </w:pPr>
  </w:style>
  <w:style w:type="paragraph" w:customStyle="1" w:styleId="ListDash2Level4">
    <w:name w:val="List Dash 2 (Level 4)"/>
    <w:basedOn w:val="Text2"/>
    <w:semiHidden/>
    <w:unhideWhenUsed/>
    <w:pPr>
      <w:numPr>
        <w:ilvl w:val="3"/>
        <w:numId w:val="4"/>
      </w:numPr>
    </w:pPr>
  </w:style>
  <w:style w:type="paragraph" w:customStyle="1" w:styleId="ListDash3">
    <w:name w:val="List Dash 3"/>
    <w:basedOn w:val="Text3"/>
    <w:pPr>
      <w:numPr>
        <w:numId w:val="3"/>
      </w:numPr>
    </w:pPr>
  </w:style>
  <w:style w:type="paragraph" w:customStyle="1" w:styleId="ListDash3Level2">
    <w:name w:val="List Dash 3 (Level 2)"/>
    <w:basedOn w:val="Text3"/>
    <w:pPr>
      <w:numPr>
        <w:ilvl w:val="1"/>
        <w:numId w:val="3"/>
      </w:numPr>
    </w:pPr>
  </w:style>
  <w:style w:type="paragraph" w:customStyle="1" w:styleId="ListDash3Level3">
    <w:name w:val="List Dash 3 (Level 3)"/>
    <w:basedOn w:val="Text3"/>
    <w:semiHidden/>
    <w:unhideWhenUsed/>
    <w:pPr>
      <w:numPr>
        <w:ilvl w:val="2"/>
        <w:numId w:val="3"/>
      </w:numPr>
    </w:pPr>
  </w:style>
  <w:style w:type="paragraph" w:customStyle="1" w:styleId="ListDash3Level4">
    <w:name w:val="List Dash 3 (Level 4)"/>
    <w:basedOn w:val="Text3"/>
    <w:semiHidden/>
    <w:unhideWhenUsed/>
    <w:pPr>
      <w:numPr>
        <w:ilvl w:val="3"/>
        <w:numId w:val="3"/>
      </w:numPr>
    </w:pPr>
  </w:style>
  <w:style w:type="paragraph" w:customStyle="1" w:styleId="ListDash4">
    <w:name w:val="List Dash 4"/>
    <w:basedOn w:val="Text4"/>
    <w:pPr>
      <w:numPr>
        <w:numId w:val="2"/>
      </w:numPr>
    </w:pPr>
  </w:style>
  <w:style w:type="paragraph" w:customStyle="1" w:styleId="ListDash4Level2">
    <w:name w:val="List Dash 4 (Level 2)"/>
    <w:basedOn w:val="Text4"/>
    <w:pPr>
      <w:numPr>
        <w:ilvl w:val="1"/>
        <w:numId w:val="2"/>
      </w:numPr>
    </w:pPr>
  </w:style>
  <w:style w:type="paragraph" w:customStyle="1" w:styleId="ListDash4Level3">
    <w:name w:val="List Dash 4 (Level 3)"/>
    <w:basedOn w:val="Text4"/>
    <w:semiHidden/>
    <w:unhideWhenUsed/>
    <w:pPr>
      <w:numPr>
        <w:ilvl w:val="2"/>
        <w:numId w:val="2"/>
      </w:numPr>
    </w:pPr>
  </w:style>
  <w:style w:type="paragraph" w:customStyle="1" w:styleId="ListDash4Level4">
    <w:name w:val="List Dash 4 (Level 4)"/>
    <w:basedOn w:val="Text4"/>
    <w:semiHidden/>
    <w:unhideWhenUsed/>
    <w:pPr>
      <w:numPr>
        <w:ilvl w:val="3"/>
        <w:numId w:val="2"/>
      </w:numPr>
    </w:pPr>
  </w:style>
  <w:style w:type="paragraph" w:styleId="ListNumber">
    <w:name w:val="List Number"/>
    <w:basedOn w:val="Normal"/>
    <w:pPr>
      <w:numPr>
        <w:numId w:val="11"/>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semiHidden/>
    <w:unhideWhenUsed/>
    <w:pPr>
      <w:numPr>
        <w:ilvl w:val="2"/>
        <w:numId w:val="11"/>
      </w:numPr>
    </w:pPr>
  </w:style>
  <w:style w:type="paragraph" w:customStyle="1" w:styleId="ListNumberLevel4">
    <w:name w:val="List Number (Level 4)"/>
    <w:basedOn w:val="Normal"/>
    <w:semiHidden/>
    <w:unhideWhenUsed/>
    <w:pPr>
      <w:numPr>
        <w:ilvl w:val="3"/>
        <w:numId w:val="11"/>
      </w:numPr>
    </w:pPr>
  </w:style>
  <w:style w:type="paragraph" w:customStyle="1" w:styleId="ListNumber1">
    <w:name w:val="List Number 1"/>
    <w:basedOn w:val="Text1"/>
    <w:pPr>
      <w:numPr>
        <w:numId w:val="10"/>
      </w:numPr>
    </w:pPr>
  </w:style>
  <w:style w:type="paragraph" w:customStyle="1" w:styleId="ListNumber1Level2">
    <w:name w:val="List Number 1 (Level 2)"/>
    <w:basedOn w:val="Text1"/>
    <w:pPr>
      <w:numPr>
        <w:ilvl w:val="1"/>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4">
    <w:name w:val="List Number 1 (Level 4)"/>
    <w:basedOn w:val="Text1"/>
    <w:semiHidden/>
    <w:unhideWhenUsed/>
    <w:pPr>
      <w:numPr>
        <w:ilvl w:val="3"/>
        <w:numId w:val="10"/>
      </w:numPr>
    </w:pPr>
  </w:style>
  <w:style w:type="paragraph" w:styleId="ListNumber2">
    <w:name w:val="List Number 2"/>
    <w:basedOn w:val="Text2"/>
    <w:pPr>
      <w:numPr>
        <w:numId w:val="9"/>
      </w:numPr>
    </w:pPr>
  </w:style>
  <w:style w:type="paragraph" w:customStyle="1" w:styleId="ListNumber2Level2">
    <w:name w:val="List Number 2 (Level 2)"/>
    <w:basedOn w:val="Text2"/>
    <w:pPr>
      <w:numPr>
        <w:ilvl w:val="1"/>
        <w:numId w:val="9"/>
      </w:numPr>
    </w:pPr>
  </w:style>
  <w:style w:type="paragraph" w:customStyle="1" w:styleId="ListNumber2Level3">
    <w:name w:val="List Number 2 (Level 3)"/>
    <w:basedOn w:val="Text2"/>
    <w:semiHidden/>
    <w:unhideWhenUsed/>
    <w:pPr>
      <w:numPr>
        <w:ilvl w:val="2"/>
        <w:numId w:val="9"/>
      </w:numPr>
    </w:pPr>
  </w:style>
  <w:style w:type="paragraph" w:customStyle="1" w:styleId="ListNumber2Level4">
    <w:name w:val="List Number 2 (Level 4)"/>
    <w:basedOn w:val="Text2"/>
    <w:semiHidden/>
    <w:unhideWhenUsed/>
    <w:pPr>
      <w:numPr>
        <w:ilvl w:val="3"/>
        <w:numId w:val="9"/>
      </w:numPr>
    </w:pPr>
  </w:style>
  <w:style w:type="paragraph" w:styleId="ListNumber3">
    <w:name w:val="List Number 3"/>
    <w:basedOn w:val="Text3"/>
    <w:pPr>
      <w:numPr>
        <w:numId w:val="8"/>
      </w:numPr>
    </w:pPr>
  </w:style>
  <w:style w:type="paragraph" w:customStyle="1" w:styleId="ListNumber3Level2">
    <w:name w:val="List Number 3 (Level 2)"/>
    <w:basedOn w:val="Text3"/>
    <w:pPr>
      <w:numPr>
        <w:ilvl w:val="1"/>
        <w:numId w:val="8"/>
      </w:numPr>
    </w:pPr>
  </w:style>
  <w:style w:type="paragraph" w:customStyle="1" w:styleId="ListNumber3Level3">
    <w:name w:val="List Number 3 (Level 3)"/>
    <w:basedOn w:val="Text3"/>
    <w:semiHidden/>
    <w:unhideWhenUsed/>
    <w:pPr>
      <w:numPr>
        <w:ilvl w:val="2"/>
        <w:numId w:val="8"/>
      </w:numPr>
    </w:pPr>
  </w:style>
  <w:style w:type="paragraph" w:customStyle="1" w:styleId="ListNumber3Level4">
    <w:name w:val="List Number 3 (Level 4)"/>
    <w:basedOn w:val="Text3"/>
    <w:semiHidden/>
    <w:unhideWhenUsed/>
    <w:pPr>
      <w:numPr>
        <w:ilvl w:val="3"/>
        <w:numId w:val="8"/>
      </w:numPr>
    </w:pPr>
  </w:style>
  <w:style w:type="paragraph" w:styleId="ListNumber4">
    <w:name w:val="List Number 4"/>
    <w:basedOn w:val="Text4"/>
    <w:pPr>
      <w:numPr>
        <w:numId w:val="7"/>
      </w:numPr>
    </w:pPr>
  </w:style>
  <w:style w:type="paragraph" w:customStyle="1" w:styleId="ListNumber4Level2">
    <w:name w:val="List Number 4 (Level 2)"/>
    <w:basedOn w:val="Text4"/>
    <w:pPr>
      <w:numPr>
        <w:ilvl w:val="1"/>
        <w:numId w:val="7"/>
      </w:numPr>
    </w:pPr>
  </w:style>
  <w:style w:type="paragraph" w:customStyle="1" w:styleId="ListNumber4Level3">
    <w:name w:val="List Number 4 (Level 3)"/>
    <w:basedOn w:val="Text4"/>
    <w:semiHidden/>
    <w:unhideWhenUsed/>
    <w:pPr>
      <w:numPr>
        <w:ilvl w:val="2"/>
        <w:numId w:val="7"/>
      </w:numPr>
    </w:pPr>
  </w:style>
  <w:style w:type="paragraph" w:customStyle="1" w:styleId="ListNumber4Level4">
    <w:name w:val="List Number 4 (Level 4)"/>
    <w:basedOn w:val="Text4"/>
    <w:semiHidden/>
    <w:unhideWhenUsed/>
    <w:pPr>
      <w:numPr>
        <w:ilvl w:val="3"/>
        <w:numId w:val="7"/>
      </w:numPr>
    </w:pPr>
  </w:style>
  <w:style w:type="paragraph" w:customStyle="1" w:styleId="Marking">
    <w:name w:val="Marking"/>
    <w:basedOn w:val="Normal"/>
    <w:pPr>
      <w:spacing w:line="276" w:lineRule="auto"/>
      <w:contextualSpacing/>
      <w:jc w:val="right"/>
    </w:pPr>
    <w:rPr>
      <w:sz w:val="28"/>
    </w:rPr>
  </w:style>
  <w:style w:type="paragraph" w:customStyle="1" w:styleId="LegalNumPar">
    <w:name w:val="LegalNumPar"/>
    <w:basedOn w:val="Normal"/>
    <w:uiPriority w:val="90"/>
    <w:qFormat/>
    <w:pPr>
      <w:numPr>
        <w:numId w:val="18"/>
      </w:numPr>
      <w:spacing w:line="360" w:lineRule="auto"/>
      <w:jc w:val="left"/>
    </w:pPr>
  </w:style>
  <w:style w:type="paragraph" w:customStyle="1" w:styleId="LegalNumPar2">
    <w:name w:val="LegalNumPar2"/>
    <w:basedOn w:val="Normal"/>
    <w:pPr>
      <w:numPr>
        <w:ilvl w:val="1"/>
        <w:numId w:val="18"/>
      </w:numPr>
      <w:spacing w:line="360" w:lineRule="auto"/>
      <w:jc w:val="left"/>
    </w:pPr>
  </w:style>
  <w:style w:type="paragraph" w:customStyle="1" w:styleId="LegalNumPar3">
    <w:name w:val="LegalNumPar3"/>
    <w:basedOn w:val="Normal"/>
    <w:pPr>
      <w:numPr>
        <w:ilvl w:val="2"/>
        <w:numId w:val="18"/>
      </w:numPr>
      <w:spacing w:line="360" w:lineRule="auto"/>
      <w:jc w:val="left"/>
    </w:pPr>
  </w:style>
  <w:style w:type="paragraph" w:styleId="NoteHeading">
    <w:name w:val="Note Heading"/>
    <w:basedOn w:val="Normal"/>
    <w:next w:val="Normal"/>
  </w:style>
  <w:style w:type="paragraph" w:customStyle="1" w:styleId="NoteHead">
    <w:name w:val="NoteHead"/>
    <w:basedOn w:val="Normal"/>
    <w:next w:val="Subject"/>
    <w:uiPriority w:val="99"/>
    <w:pPr>
      <w:spacing w:before="720" w:after="720"/>
      <w:jc w:val="center"/>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Subject">
    <w:name w:val="Subject"/>
    <w:basedOn w:val="Normal"/>
    <w:next w:val="Normal"/>
    <w:uiPriority w:val="99"/>
    <w:pPr>
      <w:spacing w:after="480"/>
      <w:ind w:left="1531" w:hanging="1531"/>
      <w:jc w:val="left"/>
    </w:pPr>
    <w:rPr>
      <w:b/>
    </w:rPr>
  </w:style>
  <w:style w:type="paragraph" w:customStyle="1" w:styleId="YReferences">
    <w:name w:val="YReferences"/>
    <w:basedOn w:val="Normal"/>
    <w:next w:val="Normal"/>
    <w:uiPriority w:val="99"/>
    <w:pPr>
      <w:spacing w:after="480"/>
      <w:ind w:left="1531" w:hanging="1531"/>
    </w:pPr>
  </w:style>
  <w:style w:type="paragraph" w:styleId="Closing">
    <w:name w:val="Closing"/>
    <w:basedOn w:val="Normal"/>
    <w:next w:val="Signature"/>
    <w:pPr>
      <w:tabs>
        <w:tab w:val="left" w:pos="5102"/>
      </w:tabs>
      <w:spacing w:before="240"/>
      <w:ind w:left="5102"/>
      <w:jc w:val="left"/>
    </w:pPr>
  </w:style>
  <w:style w:type="paragraph" w:customStyle="1" w:styleId="ClosingL">
    <w:name w:val="ClosingL"/>
    <w:basedOn w:val="Normal"/>
    <w:next w:val="Signature"/>
    <w:pPr>
      <w:spacing w:before="24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SignatureL">
    <w:name w:val="SignatureL"/>
    <w:basedOn w:val="Normal"/>
    <w:next w:val="Contact"/>
    <w:uiPriority w:val="99"/>
    <w:pPr>
      <w:tabs>
        <w:tab w:val="left" w:pos="5102"/>
      </w:tabs>
      <w:spacing w:before="1200" w:after="0"/>
      <w:jc w:val="left"/>
    </w:pPr>
  </w:style>
  <w:style w:type="paragraph" w:customStyle="1" w:styleId="DoubSign">
    <w:name w:val="DoubSign"/>
    <w:basedOn w:val="Normal"/>
    <w:next w:val="Contact"/>
    <w:pPr>
      <w:tabs>
        <w:tab w:val="left" w:pos="5102"/>
      </w:tabs>
      <w:spacing w:before="1200" w:after="0"/>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Copies">
    <w:name w:val="Copies"/>
    <w:basedOn w:val="Normal"/>
    <w:next w:val="Normal"/>
    <w:uiPriority w:val="99"/>
    <w:pPr>
      <w:tabs>
        <w:tab w:val="left" w:pos="5669"/>
      </w:tabs>
      <w:spacing w:before="480" w:after="0"/>
      <w:ind w:left="1984" w:hanging="1984"/>
      <w:jc w:val="left"/>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character" w:styleId="FootnoteReference">
    <w:name w:val="footnote reference"/>
    <w:basedOn w:val="DefaultParagraphFont"/>
    <w:semiHidden/>
    <w:locked/>
    <w:rPr>
      <w:vertAlign w:val="superscript"/>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HeaderSensitivityRight">
    <w:name w:val="Header Sensitivity Right"/>
    <w:basedOn w:val="Normal"/>
    <w:pPr>
      <w:spacing w:after="120"/>
      <w:jc w:val="right"/>
    </w:pPr>
    <w:rPr>
      <w:sz w:val="28"/>
    </w:rPr>
  </w:style>
  <w:style w:type="character" w:customStyle="1" w:styleId="FooterChar">
    <w:name w:val="Footer Char"/>
    <w:basedOn w:val="DefaultParagraphFont"/>
    <w:link w:val="Footer"/>
    <w:uiPriority w:val="99"/>
    <w:rPr>
      <w:sz w:val="16"/>
    </w:rPr>
  </w:style>
  <w:style w:type="paragraph" w:customStyle="1" w:styleId="Typedudocument">
    <w:name w:val="Type du document"/>
    <w:basedOn w:val="Normal"/>
    <w:next w:val="Normal"/>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4806">
      <w:bodyDiv w:val="1"/>
      <w:marLeft w:val="0"/>
      <w:marRight w:val="0"/>
      <w:marTop w:val="0"/>
      <w:marBottom w:val="0"/>
      <w:divBdr>
        <w:top w:val="none" w:sz="0" w:space="0" w:color="auto"/>
        <w:left w:val="none" w:sz="0" w:space="0" w:color="auto"/>
        <w:bottom w:val="none" w:sz="0" w:space="0" w:color="auto"/>
        <w:right w:val="none" w:sz="0" w:space="0" w:color="auto"/>
      </w:divBdr>
    </w:div>
    <w:div w:id="533660200">
      <w:bodyDiv w:val="1"/>
      <w:marLeft w:val="0"/>
      <w:marRight w:val="0"/>
      <w:marTop w:val="0"/>
      <w:marBottom w:val="0"/>
      <w:divBdr>
        <w:top w:val="none" w:sz="0" w:space="0" w:color="auto"/>
        <w:left w:val="none" w:sz="0" w:space="0" w:color="auto"/>
        <w:bottom w:val="none" w:sz="0" w:space="0" w:color="auto"/>
        <w:right w:val="none" w:sz="0" w:space="0" w:color="auto"/>
      </w:divBdr>
    </w:div>
    <w:div w:id="738138007">
      <w:bodyDiv w:val="1"/>
      <w:marLeft w:val="0"/>
      <w:marRight w:val="0"/>
      <w:marTop w:val="0"/>
      <w:marBottom w:val="0"/>
      <w:divBdr>
        <w:top w:val="none" w:sz="0" w:space="0" w:color="auto"/>
        <w:left w:val="none" w:sz="0" w:space="0" w:color="auto"/>
        <w:bottom w:val="none" w:sz="0" w:space="0" w:color="auto"/>
        <w:right w:val="none" w:sz="0" w:space="0" w:color="auto"/>
      </w:divBdr>
    </w:div>
    <w:div w:id="948199756">
      <w:bodyDiv w:val="1"/>
      <w:marLeft w:val="0"/>
      <w:marRight w:val="0"/>
      <w:marTop w:val="0"/>
      <w:marBottom w:val="0"/>
      <w:divBdr>
        <w:top w:val="none" w:sz="0" w:space="0" w:color="auto"/>
        <w:left w:val="none" w:sz="0" w:space="0" w:color="auto"/>
        <w:bottom w:val="none" w:sz="0" w:space="0" w:color="auto"/>
        <w:right w:val="none" w:sz="0" w:space="0" w:color="auto"/>
      </w:divBdr>
    </w:div>
    <w:div w:id="1038700700">
      <w:bodyDiv w:val="1"/>
      <w:marLeft w:val="0"/>
      <w:marRight w:val="0"/>
      <w:marTop w:val="0"/>
      <w:marBottom w:val="0"/>
      <w:divBdr>
        <w:top w:val="none" w:sz="0" w:space="0" w:color="auto"/>
        <w:left w:val="none" w:sz="0" w:space="0" w:color="auto"/>
        <w:bottom w:val="none" w:sz="0" w:space="0" w:color="auto"/>
        <w:right w:val="none" w:sz="0" w:space="0" w:color="auto"/>
      </w:divBdr>
    </w:div>
    <w:div w:id="1327129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4.emf"/><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hart" Target="charts/chart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emf"/><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emf"/><Relationship Id="rId27" Type="http://schemas.openxmlformats.org/officeDocument/2006/relationships/footer" Target="footer4.xml"/><Relationship Id="rId30"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olsipa\AppData\Local\Temp\6\mar_pa_qm_m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spPr>
            <a:solidFill>
              <a:schemeClr val="accent2"/>
            </a:solidFill>
            <a:ln>
              <a:noFill/>
            </a:ln>
            <a:effectLst/>
          </c:spPr>
          <c:invertIfNegative val="0"/>
          <c:cat>
            <c:numRef>
              <c:f>Data!$G$13:$G$27</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Data!$H$13:$H$27</c:f>
              <c:numCache>
                <c:formatCode>General</c:formatCode>
                <c:ptCount val="15"/>
                <c:pt idx="0">
                  <c:v>3388</c:v>
                </c:pt>
                <c:pt idx="1">
                  <c:v>3512</c:v>
                </c:pt>
                <c:pt idx="2">
                  <c:v>3463</c:v>
                </c:pt>
                <c:pt idx="3">
                  <c:v>3554</c:v>
                </c:pt>
                <c:pt idx="4">
                  <c:v>3796</c:v>
                </c:pt>
                <c:pt idx="5">
                  <c:v>3941</c:v>
                </c:pt>
                <c:pt idx="6">
                  <c:v>3792</c:v>
                </c:pt>
                <c:pt idx="7">
                  <c:v>4031</c:v>
                </c:pt>
                <c:pt idx="8">
                  <c:v>4125</c:v>
                </c:pt>
                <c:pt idx="9">
                  <c:v>4092</c:v>
                </c:pt>
                <c:pt idx="10">
                  <c:v>4396</c:v>
                </c:pt>
                <c:pt idx="11">
                  <c:v>4643</c:v>
                </c:pt>
                <c:pt idx="12">
                  <c:v>4740</c:v>
                </c:pt>
                <c:pt idx="13">
                  <c:v>5133</c:v>
                </c:pt>
                <c:pt idx="14">
                  <c:v>5384</c:v>
                </c:pt>
              </c:numCache>
            </c:numRef>
          </c:val>
          <c:extLst xmlns:c16r2="http://schemas.microsoft.com/office/drawing/2015/06/chart">
            <c:ext xmlns:c16="http://schemas.microsoft.com/office/drawing/2014/chart" uri="{C3380CC4-5D6E-409C-BE32-E72D297353CC}">
              <c16:uniqueId val="{00000000-D3C9-4547-95CC-494F69E2D1E0}"/>
            </c:ext>
          </c:extLst>
        </c:ser>
        <c:dLbls>
          <c:showLegendKey val="0"/>
          <c:showVal val="0"/>
          <c:showCatName val="0"/>
          <c:showSerName val="0"/>
          <c:showPercent val="0"/>
          <c:showBubbleSize val="0"/>
        </c:dLbls>
        <c:gapWidth val="219"/>
        <c:overlap val="-27"/>
        <c:axId val="108930560"/>
        <c:axId val="108932096"/>
      </c:barChart>
      <c:catAx>
        <c:axId val="108930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932096"/>
        <c:crosses val="autoZero"/>
        <c:auto val="1"/>
        <c:lblAlgn val="ctr"/>
        <c:lblOffset val="100"/>
        <c:noMultiLvlLbl val="0"/>
      </c:catAx>
      <c:valAx>
        <c:axId val="108932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9305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harma>Pharma investigations</SecurityPharma>
  <MarkingUntilText>UNTIL</MarkingUntilText>
  <SecurityMediationServiceMatter>Mediation service</SecurityMediationServiceMatter>
  <SecurityDeadline>Deadline</SecurityDeadline>
  <SecurityEconomyAndFinance>Economy and finance</SecurityEconomyAndFinance>
  <FooterFax>Fax</FooterFax>
  <NoteCopy>c.c.:</NoteCopy>
  <FooterOffice>Office:</FooterOffice>
  <SecurityOlafInvestigations>OLAF investigations</SecurityOlafInvestigations>
  <NoteReference>Ref.:</NoteReference>
  <SensitiveHandling>Handling instructions for SENSITIVE information are given at https://europa.eu/!db43PX</SensitiveHandling>
  <NoteFile>Note for the File</NoteFile>
  <SecurityOlafSpecialHandling>OLAF investigations</SecurityOlafSpecialHandling>
  <NoteParticipants>Participants:</NoteParticipants>
  <CourtProceduralDocuments>Court procedural documents</CourtProceduralDocuments>
  <NoteParticipant>Participant:</NoteParticipant>
  <OrgaRoot>EUROPEAN COMMISSION</OrgaRoot>
  <NoteCopies>c.c.:</NoteCopies>
  <NoteSubject>Subject:</NoteSubject>
  <Contact>Contact:</Contact>
  <SensitiveLabel>Sensitive</SensitiveLabel>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https://europa.eu/!db43PX</SpecialHandlingFootnote>
  <SecurityEtsSensitive>ETS</SecurityEtsSensitive>
  <NoteHead>2019 report on the economic and social situation of Gozo (Malta)</NoteHead>
  <SecurityEtsCritical>ETS Critical</SecurityEtsCritical>
  <SecurityCompSpecial>COMP</SecurityCompSpecial>
  <SecurityPharmaSpecial>Pharma investigations</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NoteEnclosures>Enclosures:</NoteEnclosures>
  <TLPAmber>TLP: Amber</TLPAmber>
  <SecurityMedicalSecret>Medical secret</SecurityMedicalSecret>
  <Contacts>Contacts:</Contacts>
  <SecurityEmbargo>Embargo until</SecurityEmbargo>
  <DateFormatShort>dd/MM/yyyy</DateFormatShort>
  <DateFormatLong>d MMMM yyyy</DateFormatLong>
</Texts>
</file>

<file path=customXml/item2.xml><?xml version="1.0" encoding="utf-8"?>
<Author Role="Creator">
  <Id>166e48bb-a33a-4971-8983-5e6b3e84a6e6</Id>
  <Names>
    <Latin>
      <FirstName>Paolo</FirstName>
      <LastName>BOLSI</LastName>
    </Latin>
    <Greek>
      <FirstName/>
      <LastName/>
    </Greek>
    <Cyrillic>
      <FirstName/>
      <LastName/>
    </Cyrillic>
    <DocumentScript>
      <FirstName>Paolo</FirstName>
      <LastName>BOLSI</LastName>
      <FullName>Paolo BOLSI</FullName>
    </DocumentScript>
  </Names>
  <Initials>PB</Initials>
  <Gender>m</Gender>
  <Email>Paolo.BOLSI@ec.europa.eu</Email>
  <Service>REGIO.B.1</Service>
  <Function ShowInSignature="true"/>
  <WebAddress/>
  <InheritedWebAddress>WebAddress</InheritedWebAddress>
  <OrgaEntity1>
    <Id>4dc35747-c691-429e-8d45-7d224e35618c</Id>
    <LogicalLevel>1</LogicalLevel>
    <Name>REGIO</Name>
    <HeadLine1>DIRECTORATE-GENERAL</HeadLine1>
    <HeadLine2>REGIONAL AND URBAN POLICY</HeadLine2>
    <PrimaryAddressId>f03b5801-04c9-4931-aa17-c6d6c70bc579</PrimaryAddressId>
    <SecondaryAddressId/>
    <WebAddress>WebAddress</WebAddress>
    <InheritedWebAddress>WebAddress</InheritedWebAddress>
    <ShowInHeader>true</ShowInHeader>
  </OrgaEntity1>
  <OrgaEntity2>
    <Id>5fde0302-9f78-447d-a02f-7a6dc2f65c28</Id>
    <LogicalLevel>2</LogicalLevel>
    <Name>REGIO.B</Name>
    <HeadLine1>Policy</HeadLine1>
    <HeadLine2/>
    <PrimaryAddressId>f03b5801-04c9-4931-aa17-c6d6c70bc579</PrimaryAddressId>
    <SecondaryAddressId/>
    <WebAddress/>
    <InheritedWebAddress>WebAddress</InheritedWebAddress>
    <ShowInHeader>true</ShowInHeader>
  </OrgaEntity2>
  <OrgaEntity3>
    <Id>007a54a6-81dc-4443-9cd0-a16a90c1e9e9</Id>
    <LogicalLevel>3</LogicalLevel>
    <Name>REGIO.B.1</Name>
    <HeadLine1>Policy Development and Economic Analysis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+32 229 99314</Phone>
    <Office>BU-1 03/089</Office>
  </MainWorkplace>
  <Workplaces>
    <Workplace IsMain="false">
      <AddressId>1264fb81-f6bb-475e-9f9d-a937d3be6ee2</AddressId>
      <Fax/>
      <Phone/>
      <Office/>
    </Workplace>
    <Workplace IsMain="true">
      <AddressId>f03b5801-04c9-4931-aa17-c6d6c70bc579</AddressId>
      <Fax/>
      <Phone>+32 229 99314</Phone>
      <Office>BU-1 03/089</Office>
    </Workplace>
  </Workplaces>
</Author>
</file>

<file path=customXml/item3.xml><?xml version="1.0" encoding="utf-8"?>
<EurolookProperties>
  <ProductCustomizationId>EC</ProductCustomizationId>
  <Created>
    <Version>10.0.38495.0</Version>
    <Date>2019-04-05T10:54:49</Date>
    <Language>EN</Language>
  </Created>
  <Edited>
    <Version>10.0.39616.0</Version>
    <Date>2019-10-25T13:16:05</Date>
  </Edited>
  <DocumentModel>
    <Id>0b054141-88b1-4efb-8c91-2905cb0bed6c</Id>
    <Name>Note</Name>
  </DocumentModel>
  <DocumentDate>2019-04-05T10:54:49</DocumentDate>
  <DocumentVersion>0.1</DocumentVersion>
  <CompatibilityMode>Eurolook10</CompatibilityMode>
  <Address/>
</Eurolook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EE044946-5330-43F7-8D16-AA78684F293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CC8AE4C-B0DD-47BC-A28F-2BF9FB788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13</Pages>
  <Words>3751</Words>
  <Characters>18043</Characters>
  <Application>Microsoft Office Word</Application>
  <DocSecurity>0</DocSecurity>
  <PresentationFormat>Microsoft Word 14.0</PresentationFormat>
  <Lines>644</Lines>
  <Paragraphs>411</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21</cp:revision>
  <cp:lastPrinted>2019-08-21T14:34:00Z</cp:lastPrinted>
  <dcterms:created xsi:type="dcterms:W3CDTF">2019-09-18T12:47:00Z</dcterms:created>
  <dcterms:modified xsi:type="dcterms:W3CDTF">2019-10-29T07:52:00Z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 Build 20190717</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CP-004</vt:lpwstr>
  </property>
  <property fmtid="{D5CDD505-2E9C-101B-9397-08002B2CF9AE}" pid="9" name="_LW_INVALIDATED__LW_INVALIDATED__LW_INVALIDATED__LW_INVALIDATED_EurolookVersion">
    <vt:lpwstr>10.0</vt:lpwstr>
  </property>
  <property fmtid="{D5CDD505-2E9C-101B-9397-08002B2CF9AE}" pid="10" name="_LW_INVALIDATED__LW_INVALIDATED__LW_INVALIDATED__LW_INVALIDATED_ELDocType">
    <vt:lpwstr>not.dot</vt:lpwstr>
  </property>
</Properties>
</file>