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10031293"/>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C8603D78-4F7A-4789-8262-8D10D4FFD9E5" style="width:450.75pt;height:321pt">
            <v:imagedata r:id="rId12" o:title=""/>
          </v:shape>
        </w:pict>
      </w:r>
    </w:p>
    <w:bookmarkEnd w:id="1"/>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code="9"/>
          <w:pgMar w:top="1134" w:right="1417" w:bottom="1134" w:left="1417" w:header="709" w:footer="709" w:gutter="0"/>
          <w:pgNumType w:start="0"/>
          <w:cols w:space="720"/>
          <w:docGrid w:linePitch="360"/>
        </w:sectPr>
      </w:pPr>
    </w:p>
    <w:p>
      <w:pPr>
        <w:pStyle w:val="ManualHeading1"/>
        <w:rPr>
          <w:noProof/>
        </w:rPr>
      </w:pPr>
      <w:bookmarkStart w:id="2" w:name="_GoBack"/>
      <w:bookmarkEnd w:id="0"/>
      <w:bookmarkEnd w:id="2"/>
      <w:r>
        <w:rPr>
          <w:noProof/>
        </w:rPr>
        <w:lastRenderedPageBreak/>
        <w:t>1.</w:t>
      </w:r>
      <w:r>
        <w:rPr>
          <w:noProof/>
        </w:rPr>
        <w:tab/>
        <w:t>Purpose and scope of the report</w:t>
      </w:r>
    </w:p>
    <w:p>
      <w:pPr>
        <w:spacing w:before="120" w:after="120"/>
        <w:jc w:val="both"/>
        <w:rPr>
          <w:rFonts w:ascii="Times New Roman" w:hAnsi="Times New Roman"/>
          <w:noProof/>
          <w:sz w:val="24"/>
          <w:szCs w:val="24"/>
          <w:lang w:eastAsia="en-GB"/>
        </w:rPr>
      </w:pPr>
      <w:r>
        <w:rPr>
          <w:rFonts w:ascii="Times New Roman" w:hAnsi="Times New Roman"/>
          <w:noProof/>
          <w:sz w:val="24"/>
          <w:szCs w:val="24"/>
        </w:rPr>
        <w:t xml:space="preserve">Pursuant to Regulation </w:t>
      </w:r>
      <w:r>
        <w:rPr>
          <w:rFonts w:ascii="Times New Roman" w:hAnsi="Times New Roman"/>
          <w:bCs/>
          <w:noProof/>
          <w:sz w:val="24"/>
          <w:szCs w:val="24"/>
        </w:rPr>
        <w:t>No 258/2014</w:t>
      </w:r>
      <w:r>
        <w:rPr>
          <w:rFonts w:ascii="Times New Roman" w:hAnsi="Times New Roman"/>
          <w:bCs/>
          <w:noProof/>
          <w:sz w:val="24"/>
          <w:szCs w:val="24"/>
          <w:vertAlign w:val="superscript"/>
        </w:rPr>
        <w:footnoteReference w:id="2"/>
      </w:r>
      <w:r>
        <w:rPr>
          <w:rFonts w:ascii="Times New Roman" w:hAnsi="Times New Roman"/>
          <w:noProof/>
          <w:sz w:val="24"/>
          <w:szCs w:val="24"/>
        </w:rPr>
        <w:t xml:space="preserve"> of the European Parliament and of the Council establishing a Union programme to support specific activities in the field of financial reporting and auditing as amended by Regulation 2017/827</w:t>
      </w:r>
      <w:r>
        <w:rPr>
          <w:rFonts w:ascii="Times New Roman" w:hAnsi="Times New Roman"/>
          <w:noProof/>
          <w:sz w:val="24"/>
          <w:szCs w:val="24"/>
          <w:vertAlign w:val="superscript"/>
        </w:rPr>
        <w:footnoteReference w:id="3"/>
      </w:r>
      <w:r>
        <w:rPr>
          <w:rFonts w:ascii="Times New Roman" w:hAnsi="Times New Roman"/>
          <w:noProof/>
          <w:sz w:val="24"/>
          <w:szCs w:val="24"/>
        </w:rPr>
        <w:t>, t</w:t>
      </w:r>
      <w:r>
        <w:rPr>
          <w:rFonts w:ascii="Times New Roman" w:hAnsi="Times New Roman"/>
          <w:noProof/>
          <w:sz w:val="24"/>
          <w:szCs w:val="24"/>
          <w:lang w:eastAsia="en-GB"/>
        </w:rPr>
        <w:t xml:space="preserve">he Commission must prepare an annual report on the activities of the </w:t>
      </w:r>
      <w:r>
        <w:rPr>
          <w:rFonts w:ascii="Times New Roman" w:hAnsi="Times New Roman"/>
          <w:noProof/>
          <w:sz w:val="24"/>
          <w:szCs w:val="24"/>
        </w:rPr>
        <w:t>beneficiaries</w:t>
      </w:r>
      <w:r>
        <w:rPr>
          <w:rFonts w:ascii="Times New Roman" w:hAnsi="Times New Roman"/>
          <w:noProof/>
          <w:sz w:val="24"/>
          <w:szCs w:val="24"/>
          <w:lang w:eastAsia="en-GB"/>
        </w:rPr>
        <w:t xml:space="preserve"> of the programme. </w:t>
      </w:r>
    </w:p>
    <w:p>
      <w:pPr>
        <w:spacing w:before="120" w:after="120"/>
        <w:jc w:val="both"/>
        <w:rPr>
          <w:rFonts w:ascii="Times New Roman" w:hAnsi="Times New Roman"/>
          <w:noProof/>
          <w:sz w:val="24"/>
          <w:szCs w:val="24"/>
        </w:rPr>
      </w:pPr>
      <w:r>
        <w:rPr>
          <w:rFonts w:ascii="Times New Roman" w:hAnsi="Times New Roman"/>
          <w:noProof/>
          <w:sz w:val="24"/>
          <w:szCs w:val="24"/>
        </w:rPr>
        <w:t>The objective of this Union programme is to improve the conditions for the efficient functioning of the internal market by supporting the transparent and independent development of international high-quality financial reporting and auditing standards.</w:t>
      </w:r>
    </w:p>
    <w:p>
      <w:pPr>
        <w:spacing w:before="120" w:after="120"/>
        <w:jc w:val="both"/>
        <w:rPr>
          <w:rFonts w:ascii="Times New Roman" w:hAnsi="Times New Roman"/>
          <w:noProof/>
          <w:sz w:val="24"/>
          <w:szCs w:val="24"/>
        </w:rPr>
      </w:pPr>
      <w:r>
        <w:rPr>
          <w:rFonts w:ascii="Times New Roman" w:hAnsi="Times New Roman"/>
          <w:noProof/>
          <w:sz w:val="24"/>
          <w:szCs w:val="24"/>
        </w:rPr>
        <w:t>This report covers the activities in 2018 of the International Financial Reporting Standards Foundation (IFRSF), the European Financial Reporting Advisory Group (EFRAG) and the Public Interest Oversight Board (PIOB). Certain events that took place in 2019 are also mentioned where deemed useful for the purpose of this report.</w:t>
      </w:r>
    </w:p>
    <w:p>
      <w:pPr>
        <w:spacing w:before="120" w:after="120"/>
        <w:jc w:val="both"/>
        <w:rPr>
          <w:rFonts w:ascii="Times New Roman" w:hAnsi="Times New Roman"/>
          <w:noProof/>
          <w:sz w:val="24"/>
          <w:szCs w:val="24"/>
        </w:rPr>
      </w:pPr>
      <w:r>
        <w:rPr>
          <w:rFonts w:ascii="Times New Roman" w:hAnsi="Times New Roman"/>
          <w:noProof/>
          <w:sz w:val="24"/>
          <w:szCs w:val="24"/>
        </w:rPr>
        <w:t>As a follow-up of the Stolojan</w:t>
      </w:r>
      <w:r>
        <w:rPr>
          <w:rStyle w:val="FootnoteReference"/>
          <w:rFonts w:ascii="Times New Roman" w:hAnsi="Times New Roman"/>
          <w:noProof/>
          <w:sz w:val="24"/>
          <w:szCs w:val="24"/>
        </w:rPr>
        <w:footnoteReference w:id="4"/>
      </w:r>
      <w:r>
        <w:rPr>
          <w:rFonts w:ascii="Times New Roman" w:hAnsi="Times New Roman"/>
          <w:noProof/>
          <w:sz w:val="24"/>
          <w:szCs w:val="24"/>
        </w:rPr>
        <w:t xml:space="preserve"> report and as required in Recital (9) of the Regulation amending Regulation No 258/2014, it also provides a Commission’s assessment of the governance of these three bodies, in particular in terms of the prevention of conflict of interest, transparency, diversity of experts, diversity of funding, public accountability and public access to documents.  </w:t>
      </w:r>
    </w:p>
    <w:p>
      <w:pPr>
        <w:spacing w:before="120" w:after="120"/>
        <w:jc w:val="both"/>
        <w:rPr>
          <w:rFonts w:ascii="Times New Roman" w:hAnsi="Times New Roman"/>
          <w:noProof/>
          <w:sz w:val="24"/>
          <w:szCs w:val="24"/>
        </w:rPr>
      </w:pPr>
      <w:r>
        <w:rPr>
          <w:rFonts w:ascii="Times New Roman" w:hAnsi="Times New Roman"/>
          <w:noProof/>
          <w:sz w:val="24"/>
          <w:szCs w:val="24"/>
        </w:rPr>
        <w:t>Finally, pursuant to Article 9 (8) of  Regulation No 258/2014, an assessment of the achievements of the funding programme covering the period 2014-2019 is set out in the annex to this report.</w:t>
      </w:r>
    </w:p>
    <w:p>
      <w:pPr>
        <w:pStyle w:val="ManualHeading1"/>
        <w:rPr>
          <w:noProof/>
        </w:rPr>
      </w:pPr>
      <w:r>
        <w:rPr>
          <w:noProof/>
        </w:rPr>
        <w:t>1.1.</w:t>
      </w:r>
      <w:r>
        <w:rPr>
          <w:noProof/>
        </w:rPr>
        <w:tab/>
        <w:t>Structure of the Report</w:t>
      </w:r>
    </w:p>
    <w:p>
      <w:pPr>
        <w:rPr>
          <w:rFonts w:ascii="Times New Roman" w:hAnsi="Times New Roman"/>
          <w:noProof/>
          <w:sz w:val="24"/>
          <w:szCs w:val="24"/>
          <w:lang w:eastAsia="en-GB"/>
        </w:rPr>
      </w:pPr>
      <w:r>
        <w:rPr>
          <w:rFonts w:ascii="Times New Roman" w:hAnsi="Times New Roman"/>
          <w:noProof/>
          <w:sz w:val="24"/>
          <w:szCs w:val="24"/>
          <w:lang w:eastAsia="en-GB"/>
        </w:rPr>
        <w:t>The Report is structured as follows:</w:t>
      </w:r>
    </w:p>
    <w:p>
      <w:pPr>
        <w:pStyle w:val="ListParagraph"/>
        <w:numPr>
          <w:ilvl w:val="0"/>
          <w:numId w:val="41"/>
        </w:numPr>
        <w:rPr>
          <w:rFonts w:ascii="Times New Roman" w:hAnsi="Times New Roman"/>
          <w:noProof/>
          <w:sz w:val="24"/>
          <w:szCs w:val="24"/>
          <w:lang w:eastAsia="en-GB"/>
        </w:rPr>
      </w:pPr>
      <w:r>
        <w:rPr>
          <w:rFonts w:ascii="Times New Roman" w:hAnsi="Times New Roman"/>
          <w:b/>
          <w:noProof/>
          <w:sz w:val="24"/>
          <w:szCs w:val="24"/>
          <w:lang w:eastAsia="en-GB"/>
        </w:rPr>
        <w:t xml:space="preserve">Section 2: </w:t>
      </w:r>
      <w:r>
        <w:rPr>
          <w:rFonts w:ascii="Times New Roman" w:hAnsi="Times New Roman"/>
          <w:b/>
          <w:noProof/>
          <w:sz w:val="24"/>
          <w:szCs w:val="24"/>
        </w:rPr>
        <w:t xml:space="preserve"> </w:t>
      </w:r>
      <w:r>
        <w:rPr>
          <w:rFonts w:ascii="Times New Roman" w:hAnsi="Times New Roman"/>
          <w:b/>
          <w:noProof/>
          <w:sz w:val="24"/>
          <w:szCs w:val="24"/>
          <w:lang w:eastAsia="en-GB"/>
        </w:rPr>
        <w:t>International Financial Reporting Standards Foundation  -</w:t>
      </w:r>
      <w:r>
        <w:rPr>
          <w:rFonts w:ascii="Times New Roman" w:hAnsi="Times New Roman"/>
          <w:noProof/>
          <w:sz w:val="24"/>
          <w:szCs w:val="24"/>
          <w:lang w:eastAsia="en-GB"/>
        </w:rPr>
        <w:t xml:space="preserve"> provides an overview of the foundation’s  activities and an assessment of its governance in 2018; </w:t>
      </w:r>
    </w:p>
    <w:p>
      <w:pPr>
        <w:pStyle w:val="ListParagraph"/>
        <w:numPr>
          <w:ilvl w:val="0"/>
          <w:numId w:val="41"/>
        </w:numPr>
        <w:rPr>
          <w:rFonts w:ascii="Times New Roman" w:hAnsi="Times New Roman"/>
          <w:noProof/>
          <w:sz w:val="24"/>
          <w:szCs w:val="24"/>
          <w:lang w:eastAsia="en-GB"/>
        </w:rPr>
      </w:pPr>
      <w:r>
        <w:rPr>
          <w:rFonts w:ascii="Times New Roman" w:hAnsi="Times New Roman"/>
          <w:b/>
          <w:noProof/>
          <w:sz w:val="24"/>
          <w:szCs w:val="24"/>
          <w:lang w:eastAsia="en-GB"/>
        </w:rPr>
        <w:t>Section 3: European Financial Reporting Advisory Group</w:t>
      </w:r>
      <w:r>
        <w:rPr>
          <w:rFonts w:ascii="Times New Roman" w:hAnsi="Times New Roman"/>
          <w:noProof/>
          <w:sz w:val="24"/>
          <w:szCs w:val="24"/>
          <w:lang w:eastAsia="en-GB"/>
        </w:rPr>
        <w:t xml:space="preserve"> - provides an overview of EFRAG’s  activities and an assessment of its governance in 2018;</w:t>
      </w:r>
    </w:p>
    <w:p>
      <w:pPr>
        <w:pStyle w:val="ListParagraph"/>
        <w:numPr>
          <w:ilvl w:val="0"/>
          <w:numId w:val="41"/>
        </w:numPr>
        <w:rPr>
          <w:rFonts w:ascii="Times New Roman" w:hAnsi="Times New Roman"/>
          <w:noProof/>
          <w:sz w:val="24"/>
          <w:szCs w:val="24"/>
          <w:lang w:val="en-GB"/>
        </w:rPr>
      </w:pPr>
      <w:r>
        <w:rPr>
          <w:rFonts w:ascii="Times New Roman" w:hAnsi="Times New Roman"/>
          <w:b/>
          <w:noProof/>
          <w:sz w:val="24"/>
          <w:szCs w:val="24"/>
          <w:lang w:eastAsia="en-GB"/>
        </w:rPr>
        <w:t>Section 4:</w:t>
      </w:r>
      <w:r>
        <w:rPr>
          <w:rFonts w:ascii="Times New Roman" w:hAnsi="Times New Roman"/>
          <w:noProof/>
          <w:sz w:val="24"/>
          <w:szCs w:val="24"/>
          <w:lang w:eastAsia="en-GB"/>
        </w:rPr>
        <w:t xml:space="preserve"> </w:t>
      </w:r>
      <w:r>
        <w:rPr>
          <w:rFonts w:ascii="Times New Roman" w:hAnsi="Times New Roman"/>
          <w:b/>
          <w:noProof/>
          <w:sz w:val="24"/>
          <w:szCs w:val="24"/>
          <w:lang w:val="en-GB"/>
        </w:rPr>
        <w:t xml:space="preserve">Public Interest Oversight Board - </w:t>
      </w:r>
      <w:r>
        <w:rPr>
          <w:rFonts w:ascii="Times New Roman" w:hAnsi="Times New Roman"/>
          <w:noProof/>
          <w:sz w:val="24"/>
          <w:szCs w:val="24"/>
          <w:lang w:val="en-GB"/>
        </w:rPr>
        <w:t>provides  an overview of the PIOB’s activities and an assessment of its governance in 2018;</w:t>
      </w:r>
    </w:p>
    <w:p>
      <w:pPr>
        <w:pStyle w:val="ListParagraph"/>
        <w:numPr>
          <w:ilvl w:val="0"/>
          <w:numId w:val="41"/>
        </w:numPr>
        <w:rPr>
          <w:rFonts w:ascii="Times New Roman" w:hAnsi="Times New Roman"/>
          <w:b/>
          <w:noProof/>
          <w:sz w:val="24"/>
          <w:szCs w:val="24"/>
          <w:lang w:eastAsia="en-GB"/>
        </w:rPr>
      </w:pPr>
      <w:r>
        <w:rPr>
          <w:rFonts w:ascii="Times New Roman" w:hAnsi="Times New Roman"/>
          <w:b/>
          <w:noProof/>
          <w:sz w:val="24"/>
          <w:szCs w:val="24"/>
          <w:lang w:eastAsia="en-GB"/>
        </w:rPr>
        <w:t xml:space="preserve">Section 5: Conclusions -  </w:t>
      </w:r>
      <w:r>
        <w:rPr>
          <w:rFonts w:ascii="Times New Roman" w:hAnsi="Times New Roman"/>
          <w:noProof/>
          <w:sz w:val="24"/>
          <w:szCs w:val="24"/>
          <w:lang w:eastAsia="en-GB"/>
        </w:rPr>
        <w:t xml:space="preserve">presents a summary of the conclusions as regards the relevance of </w:t>
      </w:r>
      <w:r>
        <w:rPr>
          <w:rFonts w:ascii="Times New Roman" w:hAnsi="Times New Roman"/>
          <w:noProof/>
          <w:sz w:val="24"/>
          <w:szCs w:val="24"/>
          <w:lang w:val="en-GB" w:eastAsia="en-GB"/>
        </w:rPr>
        <w:t xml:space="preserve">the funding </w:t>
      </w:r>
      <w:r>
        <w:rPr>
          <w:rFonts w:ascii="Times New Roman" w:hAnsi="Times New Roman"/>
          <w:noProof/>
          <w:sz w:val="24"/>
          <w:szCs w:val="24"/>
          <w:lang w:eastAsia="en-GB"/>
        </w:rPr>
        <w:t xml:space="preserve"> programme;</w:t>
      </w:r>
    </w:p>
    <w:p>
      <w:pPr>
        <w:pStyle w:val="ListParagraph"/>
        <w:numPr>
          <w:ilvl w:val="0"/>
          <w:numId w:val="41"/>
        </w:numPr>
        <w:rPr>
          <w:rFonts w:ascii="Times New Roman" w:hAnsi="Times New Roman"/>
          <w:noProof/>
          <w:sz w:val="24"/>
          <w:szCs w:val="24"/>
          <w:lang w:val="en-GB" w:eastAsia="en-GB"/>
        </w:rPr>
      </w:pPr>
      <w:r>
        <w:rPr>
          <w:rFonts w:ascii="Times New Roman" w:hAnsi="Times New Roman"/>
          <w:b/>
          <w:noProof/>
          <w:sz w:val="24"/>
          <w:szCs w:val="24"/>
          <w:lang w:eastAsia="en-GB"/>
        </w:rPr>
        <w:t>Annex:</w:t>
      </w:r>
      <w:r>
        <w:rPr>
          <w:rFonts w:ascii="Times New Roman" w:hAnsi="Times New Roman"/>
          <w:noProof/>
          <w:sz w:val="24"/>
          <w:szCs w:val="24"/>
          <w:lang w:eastAsia="en-GB"/>
        </w:rPr>
        <w:t xml:space="preserve"> </w:t>
      </w:r>
      <w:r>
        <w:rPr>
          <w:rFonts w:ascii="Times New Roman" w:hAnsi="Times New Roman"/>
          <w:b/>
          <w:noProof/>
          <w:sz w:val="24"/>
          <w:szCs w:val="24"/>
          <w:lang w:eastAsia="en-GB"/>
        </w:rPr>
        <w:t>Interim appraisal of the programme</w:t>
      </w:r>
      <w:r>
        <w:rPr>
          <w:rFonts w:ascii="Times New Roman" w:hAnsi="Times New Roman"/>
          <w:noProof/>
          <w:sz w:val="24"/>
          <w:szCs w:val="24"/>
          <w:lang w:val="en-GB" w:eastAsia="en-GB"/>
        </w:rPr>
        <w:t xml:space="preserve"> – contains a Commission assessment of the progress of the funding programme towards its objectives over the period 2014-</w:t>
      </w:r>
      <w:r>
        <w:rPr>
          <w:rFonts w:ascii="Times New Roman" w:hAnsi="Times New Roman"/>
          <w:noProof/>
          <w:sz w:val="24"/>
          <w:szCs w:val="24"/>
          <w:lang w:val="en-GB" w:eastAsia="en-GB"/>
        </w:rPr>
        <w:lastRenderedPageBreak/>
        <w:t>2019.</w:t>
      </w:r>
    </w:p>
    <w:p>
      <w:pPr>
        <w:pStyle w:val="ManualHeading1"/>
        <w:rPr>
          <w:noProof/>
        </w:rPr>
      </w:pPr>
      <w:r>
        <w:rPr>
          <w:noProof/>
        </w:rPr>
        <w:t>2.</w:t>
      </w:r>
      <w:r>
        <w:rPr>
          <w:noProof/>
        </w:rPr>
        <w:tab/>
        <w:t>International Financial Reporting Standards Foundation</w:t>
      </w:r>
    </w:p>
    <w:p>
      <w:pPr>
        <w:pStyle w:val="ManualHeading1"/>
        <w:rPr>
          <w:noProof/>
        </w:rPr>
      </w:pPr>
      <w:r>
        <w:rPr>
          <w:noProof/>
        </w:rPr>
        <w:t>2.1.</w:t>
      </w:r>
      <w:r>
        <w:rPr>
          <w:noProof/>
        </w:rPr>
        <w:tab/>
        <w:t>Overview of IFRS activities</w:t>
      </w:r>
    </w:p>
    <w:p>
      <w:pPr>
        <w:pStyle w:val="ManualHeading1"/>
        <w:rPr>
          <w:noProof/>
        </w:rPr>
      </w:pPr>
      <w:r>
        <w:rPr>
          <w:noProof/>
        </w:rPr>
        <w:t>2.1.1.</w:t>
      </w:r>
      <w:r>
        <w:rPr>
          <w:noProof/>
        </w:rPr>
        <w:tab/>
        <w:t xml:space="preserve">Standard setting </w:t>
      </w:r>
    </w:p>
    <w:p>
      <w:pPr>
        <w:jc w:val="both"/>
        <w:rPr>
          <w:rFonts w:ascii="Times New Roman" w:hAnsi="Times New Roman"/>
          <w:noProof/>
          <w:sz w:val="24"/>
          <w:szCs w:val="24"/>
          <w:lang w:eastAsia="en-GB"/>
        </w:rPr>
      </w:pPr>
      <w:r>
        <w:rPr>
          <w:rFonts w:ascii="Times New Roman" w:hAnsi="Times New Roman"/>
          <w:noProof/>
          <w:sz w:val="24"/>
          <w:szCs w:val="24"/>
          <w:lang w:eastAsia="en-GB"/>
        </w:rPr>
        <w:t>An overview of the International Accounting Standards Board</w:t>
      </w:r>
      <w:r>
        <w:rPr>
          <w:noProof/>
          <w:lang w:val="en"/>
        </w:rPr>
        <w:t xml:space="preserve"> (</w:t>
      </w:r>
      <w:r>
        <w:rPr>
          <w:rFonts w:ascii="Times New Roman" w:hAnsi="Times New Roman"/>
          <w:noProof/>
          <w:sz w:val="24"/>
          <w:szCs w:val="24"/>
          <w:lang w:eastAsia="en-GB"/>
        </w:rPr>
        <w:t xml:space="preserve">IASB) standard-setting activities, including the work of the IFRS Interpretations Committee (IFRIC), and ongoing endorsement procedures is outlined in </w:t>
      </w:r>
      <w:r>
        <w:rPr>
          <w:rFonts w:ascii="Times New Roman" w:hAnsi="Times New Roman"/>
          <w:i/>
          <w:noProof/>
          <w:sz w:val="24"/>
          <w:szCs w:val="24"/>
          <w:lang w:eastAsia="en-GB"/>
        </w:rPr>
        <w:t>Appendix 1</w:t>
      </w:r>
      <w:r>
        <w:rPr>
          <w:rFonts w:ascii="Times New Roman" w:hAnsi="Times New Roman"/>
          <w:noProof/>
          <w:sz w:val="24"/>
          <w:szCs w:val="24"/>
          <w:lang w:eastAsia="en-GB"/>
        </w:rPr>
        <w:t xml:space="preserve"> of this report. </w:t>
      </w:r>
    </w:p>
    <w:p>
      <w:pPr>
        <w:jc w:val="both"/>
        <w:rPr>
          <w:rFonts w:ascii="Times New Roman" w:hAnsi="Times New Roman"/>
          <w:noProof/>
          <w:sz w:val="24"/>
          <w:szCs w:val="24"/>
          <w:lang w:eastAsia="en-GB"/>
        </w:rPr>
      </w:pPr>
      <w:r>
        <w:rPr>
          <w:rFonts w:ascii="Times New Roman" w:hAnsi="Times New Roman"/>
          <w:noProof/>
          <w:sz w:val="24"/>
          <w:szCs w:val="24"/>
          <w:lang w:eastAsia="en-GB"/>
        </w:rPr>
        <w:t xml:space="preserve">In 2018, the IFRS Foundation carried-out significant outreach activities to support and monitor the implementation of IFRS 17 </w:t>
      </w:r>
      <w:r>
        <w:rPr>
          <w:rFonts w:ascii="Times New Roman" w:hAnsi="Times New Roman"/>
          <w:i/>
          <w:noProof/>
          <w:sz w:val="24"/>
          <w:szCs w:val="24"/>
          <w:lang w:eastAsia="en-GB"/>
        </w:rPr>
        <w:t>Insurance Contracts</w:t>
      </w:r>
      <w:r>
        <w:rPr>
          <w:rFonts w:ascii="Times New Roman" w:hAnsi="Times New Roman"/>
          <w:noProof/>
          <w:sz w:val="24"/>
          <w:szCs w:val="24"/>
          <w:lang w:eastAsia="en-GB"/>
        </w:rPr>
        <w:t>. In November 2018, the IASB considered a comprehensive list of operational challenges arising from the implementation of the standard and decided to consider potential amendments to ease application. The Board tentatively decided to postpone the application date of IFRS 17 from 1 January 2021 to 1 January 2022 and to extend the optional deferral of IFRS 9 granted to the insurance industry. An exposure draft was released in June 2019 with a view to finalizing a revised standard by the middle of 2020. Meanwhile, the EU endorsement procedure of IFRS 17 has been suspended.</w:t>
      </w:r>
    </w:p>
    <w:p>
      <w:pPr>
        <w:pStyle w:val="ManualHeading1"/>
        <w:rPr>
          <w:noProof/>
        </w:rPr>
      </w:pPr>
      <w:r>
        <w:rPr>
          <w:noProof/>
        </w:rPr>
        <w:t>2.1.2.</w:t>
      </w:r>
      <w:r>
        <w:rPr>
          <w:noProof/>
        </w:rPr>
        <w:tab/>
        <w:t>Research projects</w:t>
      </w:r>
    </w:p>
    <w:p>
      <w:pPr>
        <w:jc w:val="both"/>
        <w:rPr>
          <w:rFonts w:ascii="Times New Roman" w:hAnsi="Times New Roman"/>
          <w:noProof/>
          <w:sz w:val="24"/>
          <w:szCs w:val="24"/>
          <w:lang w:eastAsia="en-GB"/>
        </w:rPr>
      </w:pPr>
      <w:r>
        <w:rPr>
          <w:rFonts w:ascii="Times New Roman" w:hAnsi="Times New Roman"/>
          <w:noProof/>
          <w:sz w:val="24"/>
          <w:szCs w:val="24"/>
          <w:lang w:eastAsia="en-GB"/>
        </w:rPr>
        <w:t xml:space="preserve">Following a consultation carried out in 2015, the 2017-2021 work plan of the IASB aims at improving and supporting existing standards, promoting better communication and supporting implementation. In 2018, with regards to its </w:t>
      </w:r>
      <w:r>
        <w:rPr>
          <w:rFonts w:ascii="Times New Roman" w:hAnsi="Times New Roman"/>
          <w:i/>
          <w:noProof/>
          <w:sz w:val="24"/>
          <w:szCs w:val="24"/>
          <w:lang w:eastAsia="en-GB"/>
        </w:rPr>
        <w:t>"Better Communication</w:t>
      </w:r>
      <w:r>
        <w:rPr>
          <w:rFonts w:ascii="Times New Roman" w:hAnsi="Times New Roman"/>
          <w:noProof/>
          <w:sz w:val="24"/>
          <w:szCs w:val="24"/>
          <w:lang w:eastAsia="en-GB"/>
        </w:rPr>
        <w:t xml:space="preserve">" project, the IASB continued its deliberations about potential improvements to the structure and content of the primary financial statements with a focus on the statement of financial performance. As part of its review of the disclosure requirements in IFRS, it released an amendment to improve relevance by applying the materiality principle and undertook two new initiatives including a standard level-review of the disclosure requirement of two existing standards.  </w:t>
      </w:r>
    </w:p>
    <w:p>
      <w:pPr>
        <w:jc w:val="both"/>
        <w:rPr>
          <w:rFonts w:ascii="Times New Roman" w:hAnsi="Times New Roman"/>
          <w:noProof/>
          <w:sz w:val="24"/>
          <w:szCs w:val="24"/>
          <w:lang w:eastAsia="en-GB"/>
        </w:rPr>
      </w:pPr>
      <w:r>
        <w:rPr>
          <w:rFonts w:ascii="Times New Roman" w:hAnsi="Times New Roman"/>
          <w:noProof/>
          <w:sz w:val="24"/>
          <w:szCs w:val="24"/>
          <w:lang w:eastAsia="en-GB"/>
        </w:rPr>
        <w:t xml:space="preserve">The IASB completed the post-implementation review of IFRS 13 </w:t>
      </w:r>
      <w:r>
        <w:rPr>
          <w:rFonts w:ascii="Times New Roman" w:hAnsi="Times New Roman"/>
          <w:i/>
          <w:noProof/>
          <w:sz w:val="24"/>
          <w:szCs w:val="24"/>
          <w:lang w:eastAsia="en-GB"/>
        </w:rPr>
        <w:t>Fair Value Measurement</w:t>
      </w:r>
      <w:r>
        <w:rPr>
          <w:rFonts w:ascii="Times New Roman" w:hAnsi="Times New Roman"/>
          <w:noProof/>
          <w:sz w:val="24"/>
          <w:szCs w:val="24"/>
          <w:lang w:eastAsia="en-GB"/>
        </w:rPr>
        <w:t xml:space="preserve"> with the conclusion that the standard had improved financial reporting without raising major inconsistencies in implementation or unexpected costs. However, consistent with the comment letter from EFRAG, the IASB decided to include IFRS 13 within the scope of the above mentionned standard-level review of disclosure requirement.</w:t>
      </w:r>
    </w:p>
    <w:p>
      <w:pPr>
        <w:jc w:val="both"/>
        <w:rPr>
          <w:rFonts w:ascii="Times New Roman" w:hAnsi="Times New Roman"/>
          <w:noProof/>
          <w:sz w:val="24"/>
          <w:szCs w:val="24"/>
          <w:lang w:eastAsia="en-GB"/>
        </w:rPr>
      </w:pPr>
      <w:r>
        <w:rPr>
          <w:rFonts w:ascii="Times New Roman" w:hAnsi="Times New Roman"/>
          <w:noProof/>
          <w:sz w:val="24"/>
          <w:szCs w:val="24"/>
          <w:lang w:eastAsia="en-GB"/>
        </w:rPr>
        <w:t xml:space="preserve">In 2018, the Board launched a new project to consider the implications of the reform of interest rate benchmarks on hedge accounting. The IASB published an exposure draft in May 2019 to address the consequences on the accounting treatment of existing hedging relationships. As a second step the project will consider the implications of the replacement of </w:t>
      </w:r>
      <w:r>
        <w:rPr>
          <w:rFonts w:ascii="Times New Roman" w:hAnsi="Times New Roman"/>
          <w:noProof/>
          <w:sz w:val="24"/>
          <w:szCs w:val="24"/>
          <w:lang w:eastAsia="en-GB"/>
        </w:rPr>
        <w:lastRenderedPageBreak/>
        <w:t>interest rate benchmarks. The IASB also undertook a new research project on extractive activities to consider a possible upgrade of the existing standard IFRS 6.</w:t>
      </w:r>
    </w:p>
    <w:p>
      <w:pPr>
        <w:jc w:val="both"/>
        <w:rPr>
          <w:rFonts w:ascii="Times New Roman" w:hAnsi="Times New Roman"/>
          <w:noProof/>
          <w:sz w:val="24"/>
          <w:szCs w:val="24"/>
          <w:lang w:eastAsia="en-GB"/>
        </w:rPr>
      </w:pPr>
      <w:r>
        <w:rPr>
          <w:rFonts w:ascii="Times New Roman" w:hAnsi="Times New Roman"/>
          <w:noProof/>
          <w:sz w:val="24"/>
          <w:szCs w:val="24"/>
          <w:lang w:eastAsia="en-GB"/>
        </w:rPr>
        <w:t xml:space="preserve">Furthermore, the IASB carried out a public consultation about its proposed improvements to IAS 32 </w:t>
      </w:r>
      <w:r>
        <w:rPr>
          <w:rFonts w:ascii="Times New Roman" w:hAnsi="Times New Roman"/>
          <w:i/>
          <w:noProof/>
          <w:sz w:val="24"/>
          <w:szCs w:val="24"/>
          <w:lang w:eastAsia="en-GB"/>
        </w:rPr>
        <w:t>Financial Instruments</w:t>
      </w:r>
      <w:r>
        <w:rPr>
          <w:rFonts w:ascii="Times New Roman" w:hAnsi="Times New Roman"/>
          <w:noProof/>
          <w:sz w:val="24"/>
          <w:szCs w:val="24"/>
          <w:lang w:eastAsia="en-GB"/>
        </w:rPr>
        <w:t xml:space="preserve"> to clarify the distinction between financial liabilities and equities </w:t>
      </w:r>
      <w:r>
        <w:rPr>
          <w:rFonts w:ascii="Times New Roman" w:hAnsi="Times New Roman"/>
          <w:i/>
          <w:noProof/>
          <w:sz w:val="24"/>
          <w:szCs w:val="24"/>
          <w:lang w:eastAsia="en-GB"/>
        </w:rPr>
        <w:t>(Financial Instruments with characteristics of equity).</w:t>
      </w:r>
      <w:r>
        <w:rPr>
          <w:rFonts w:ascii="Times New Roman" w:hAnsi="Times New Roman"/>
          <w:noProof/>
          <w:sz w:val="24"/>
          <w:szCs w:val="24"/>
          <w:lang w:eastAsia="en-GB"/>
        </w:rPr>
        <w:t xml:space="preserve"> Finally, as part of its follow-up of the post-implementation review of IFRS 3 </w:t>
      </w:r>
      <w:r>
        <w:rPr>
          <w:rFonts w:ascii="Times New Roman" w:hAnsi="Times New Roman"/>
          <w:i/>
          <w:noProof/>
          <w:sz w:val="24"/>
          <w:szCs w:val="24"/>
          <w:lang w:eastAsia="en-GB"/>
        </w:rPr>
        <w:t>Business Combination</w:t>
      </w:r>
      <w:r>
        <w:rPr>
          <w:rFonts w:ascii="Times New Roman" w:hAnsi="Times New Roman"/>
          <w:noProof/>
          <w:sz w:val="24"/>
          <w:szCs w:val="24"/>
          <w:lang w:eastAsia="en-GB"/>
        </w:rPr>
        <w:t>, the Board decided to explore possible simplifications to the accounting for goodwill and targeted improvements to the impairment test.</w:t>
      </w:r>
    </w:p>
    <w:p>
      <w:pPr>
        <w:jc w:val="both"/>
        <w:rPr>
          <w:rFonts w:ascii="Times New Roman" w:hAnsi="Times New Roman"/>
          <w:noProof/>
          <w:sz w:val="24"/>
          <w:szCs w:val="24"/>
          <w:lang w:eastAsia="en-GB"/>
        </w:rPr>
      </w:pPr>
      <w:r>
        <w:rPr>
          <w:rFonts w:ascii="Times New Roman" w:hAnsi="Times New Roman"/>
          <w:noProof/>
          <w:sz w:val="24"/>
          <w:szCs w:val="24"/>
          <w:lang w:eastAsia="en-GB"/>
        </w:rPr>
        <w:t>Finally, the IFRS Foundation carried out an update of the IFRS taxonomy in order to reflect the implications of new standards and amendments</w:t>
      </w:r>
      <w:r>
        <w:rPr>
          <w:rStyle w:val="FootnoteReference"/>
          <w:rFonts w:ascii="Times New Roman" w:hAnsi="Times New Roman"/>
          <w:noProof/>
          <w:sz w:val="24"/>
          <w:szCs w:val="24"/>
          <w:lang w:eastAsia="en-GB"/>
        </w:rPr>
        <w:footnoteReference w:id="5"/>
      </w:r>
      <w:r>
        <w:rPr>
          <w:rFonts w:ascii="Times New Roman" w:hAnsi="Times New Roman"/>
          <w:noProof/>
          <w:sz w:val="24"/>
          <w:szCs w:val="24"/>
          <w:lang w:eastAsia="en-GB"/>
        </w:rPr>
        <w:t xml:space="preserve">. </w:t>
      </w:r>
    </w:p>
    <w:p>
      <w:pPr>
        <w:pStyle w:val="ManualHeading1"/>
        <w:rPr>
          <w:noProof/>
        </w:rPr>
      </w:pPr>
      <w:r>
        <w:rPr>
          <w:noProof/>
        </w:rPr>
        <w:t>2.1.3.</w:t>
      </w:r>
      <w:r>
        <w:rPr>
          <w:noProof/>
        </w:rPr>
        <w:tab/>
        <w:t>The revised Conceptual Framework</w:t>
      </w:r>
    </w:p>
    <w:p>
      <w:pPr>
        <w:jc w:val="both"/>
        <w:rPr>
          <w:rFonts w:ascii="Times New Roman" w:hAnsi="Times New Roman"/>
          <w:noProof/>
          <w:sz w:val="24"/>
          <w:szCs w:val="24"/>
          <w:lang w:eastAsia="en-GB"/>
        </w:rPr>
      </w:pPr>
      <w:r>
        <w:rPr>
          <w:rFonts w:ascii="Times New Roman" w:hAnsi="Times New Roman"/>
          <w:noProof/>
          <w:sz w:val="24"/>
          <w:szCs w:val="24"/>
          <w:lang w:eastAsia="en-GB"/>
        </w:rPr>
        <w:t xml:space="preserve">The IASB issued the revised Conceptual Framework for Financial Reporting in March 2018. The main changes were outlined in the Commission’s 2017 Annual Report on the activities of the IFRS Foundation. The Conceptual Framework provides non binding guidance to the IAS Board in developing IFRS Standards and helps preparers and auditors in interpretating existing standards. It has not been adopted by the European Union because IAS 1 </w:t>
      </w:r>
      <w:r>
        <w:rPr>
          <w:rFonts w:ascii="Times New Roman" w:hAnsi="Times New Roman"/>
          <w:i/>
          <w:noProof/>
          <w:sz w:val="24"/>
          <w:szCs w:val="24"/>
          <w:lang w:eastAsia="en-GB"/>
        </w:rPr>
        <w:t xml:space="preserve">Presentation of Financial Statements </w:t>
      </w:r>
      <w:r>
        <w:rPr>
          <w:rFonts w:ascii="Times New Roman" w:hAnsi="Times New Roman"/>
          <w:noProof/>
          <w:sz w:val="24"/>
          <w:szCs w:val="24"/>
          <w:lang w:eastAsia="en-GB"/>
        </w:rPr>
        <w:t>already</w:t>
      </w:r>
      <w:r>
        <w:rPr>
          <w:rFonts w:ascii="Times New Roman" w:hAnsi="Times New Roman"/>
          <w:i/>
          <w:noProof/>
          <w:sz w:val="24"/>
          <w:szCs w:val="24"/>
          <w:lang w:eastAsia="en-GB"/>
        </w:rPr>
        <w:t xml:space="preserve"> </w:t>
      </w:r>
      <w:r>
        <w:rPr>
          <w:rFonts w:ascii="Times New Roman" w:hAnsi="Times New Roman"/>
          <w:noProof/>
          <w:sz w:val="24"/>
          <w:szCs w:val="24"/>
          <w:lang w:eastAsia="en-GB"/>
        </w:rPr>
        <w:t>states that the application of  International Accounting Standards and Interpretations […], with additional disclosure when necessary, is presumed to result in financial statements that achieve a fair presentation.</w:t>
      </w:r>
      <w:r>
        <w:rPr>
          <w:rFonts w:ascii="Times New Roman" w:hAnsi="Times New Roman"/>
          <w:i/>
          <w:noProof/>
          <w:sz w:val="24"/>
          <w:szCs w:val="24"/>
          <w:lang w:eastAsia="en-GB"/>
        </w:rPr>
        <w:t xml:space="preserve"> </w:t>
      </w:r>
      <w:r>
        <w:rPr>
          <w:rFonts w:ascii="Times New Roman" w:hAnsi="Times New Roman"/>
          <w:noProof/>
          <w:sz w:val="24"/>
          <w:szCs w:val="24"/>
          <w:lang w:eastAsia="en-GB"/>
        </w:rPr>
        <w:t>Accordingly,</w:t>
      </w:r>
      <w:r>
        <w:rPr>
          <w:rFonts w:ascii="Times New Roman" w:hAnsi="Times New Roman"/>
          <w:i/>
          <w:noProof/>
          <w:sz w:val="24"/>
          <w:szCs w:val="24"/>
          <w:lang w:eastAsia="en-GB"/>
        </w:rPr>
        <w:t xml:space="preserve"> </w:t>
      </w:r>
      <w:r>
        <w:rPr>
          <w:rFonts w:ascii="Times New Roman" w:hAnsi="Times New Roman"/>
          <w:noProof/>
          <w:sz w:val="24"/>
          <w:szCs w:val="24"/>
          <w:lang w:eastAsia="en-GB"/>
        </w:rPr>
        <w:t>the European Commission assessed in 2003 that endorsing the Conceptual Framework was unnecessary.</w:t>
      </w:r>
    </w:p>
    <w:p>
      <w:pPr>
        <w:pStyle w:val="ManualHeading1"/>
        <w:rPr>
          <w:noProof/>
        </w:rPr>
      </w:pPr>
      <w:r>
        <w:rPr>
          <w:noProof/>
        </w:rPr>
        <w:t>2.2.</w:t>
      </w:r>
      <w:r>
        <w:rPr>
          <w:noProof/>
        </w:rPr>
        <w:tab/>
        <w:t>General principles against which new Standards have been developed</w:t>
      </w:r>
    </w:p>
    <w:p>
      <w:pPr>
        <w:pStyle w:val="ManualHeading1"/>
        <w:rPr>
          <w:noProof/>
        </w:rPr>
      </w:pPr>
      <w:r>
        <w:rPr>
          <w:noProof/>
        </w:rPr>
        <w:t>2.2.1.</w:t>
      </w:r>
      <w:r>
        <w:rPr>
          <w:noProof/>
        </w:rPr>
        <w:tab/>
        <w:t>General principles</w:t>
      </w:r>
    </w:p>
    <w:p>
      <w:pPr>
        <w:spacing w:after="240"/>
        <w:jc w:val="both"/>
        <w:rPr>
          <w:rFonts w:ascii="Times New Roman" w:hAnsi="Times New Roman"/>
          <w:noProof/>
          <w:sz w:val="24"/>
          <w:szCs w:val="24"/>
          <w:lang w:eastAsia="en-GB"/>
        </w:rPr>
      </w:pPr>
      <w:r>
        <w:rPr>
          <w:rFonts w:ascii="Times New Roman" w:hAnsi="Times New Roman"/>
          <w:noProof/>
          <w:sz w:val="24"/>
          <w:szCs w:val="24"/>
          <w:lang w:eastAsia="en-GB"/>
        </w:rPr>
        <w:t>The due process requirements of the IASB are outlined in the Due Process Handbook. Its application in practice is overseen by a dedicated committee of Trustees known as the Due Process Oversight Committee (DPOC). In 2018, the Due process requirements remained unchanged. However, in November 2017, the Due Process Oversight Committee undertook a review of the Due Process Handbook with an expected finalization by 2020. The scope of the review includes reflecting developments to the Effect Analysis process. An Exposure Draft (ED) was published in April 2019 to consult about the proposed changes. One amendment included in the Exposure Draft suggests allowing the IASB to publish explanatory materials in order to address implementation questions arising from an issued standard but before the application date. The objective is to support consistent implementation before the effective application date.</w:t>
      </w:r>
    </w:p>
    <w:p>
      <w:pPr>
        <w:pStyle w:val="ManualHeading1"/>
        <w:rPr>
          <w:noProof/>
        </w:rPr>
      </w:pPr>
      <w:r>
        <w:rPr>
          <w:noProof/>
        </w:rPr>
        <w:t>2.2.2.</w:t>
      </w:r>
      <w:r>
        <w:rPr>
          <w:noProof/>
        </w:rPr>
        <w:tab/>
        <w:t>Due process, effect analysis and specific considerations to business models, consequences on economic transactions, complexity, short-termism and volatility</w:t>
      </w:r>
    </w:p>
    <w:p>
      <w:pPr>
        <w:spacing w:before="120" w:after="120"/>
        <w:jc w:val="both"/>
        <w:rPr>
          <w:rFonts w:ascii="Times New Roman" w:hAnsi="Times New Roman"/>
          <w:noProof/>
          <w:sz w:val="24"/>
          <w:szCs w:val="24"/>
          <w:lang w:eastAsia="en-GB"/>
        </w:rPr>
      </w:pPr>
      <w:r>
        <w:rPr>
          <w:rFonts w:ascii="Times New Roman" w:hAnsi="Times New Roman"/>
          <w:noProof/>
          <w:sz w:val="24"/>
          <w:szCs w:val="24"/>
          <w:lang w:eastAsia="en-GB"/>
        </w:rPr>
        <w:t xml:space="preserve">There was no major standard issued in 2018 requiring the publication of a separate effect analysis report. However, the above mentioned 2019 Due Process Handbook Exposure Draft (ED) suggests amending the Foundation’s Due Process Handbook to emphasize that the IASB’s effects analyses should focus on the improvements to financial reporting taking into account the implementation costs while also considering how increased transparency may affect financial stability. The Exposure Draft also proposes to embed the effects’ analysis throughout the standard setting process. As regards the broader economic impacts of new financial reporting requirements, the proposed amendments highlight that quantitative assessments are generally </w:t>
      </w:r>
      <w:r>
        <w:rPr>
          <w:rFonts w:ascii="Times New Roman" w:hAnsi="Times New Roman"/>
          <w:noProof/>
          <w:sz w:val="24"/>
          <w:szCs w:val="24"/>
        </w:rPr>
        <w:t>impracticable</w:t>
      </w:r>
      <w:r>
        <w:rPr>
          <w:rFonts w:ascii="Times New Roman" w:hAnsi="Times New Roman"/>
          <w:noProof/>
          <w:sz w:val="24"/>
          <w:szCs w:val="24"/>
          <w:lang w:eastAsia="en-GB"/>
        </w:rPr>
        <w:t xml:space="preserve"> but that the Board may assess specific economic effects where relevant. This draft amendment does not fully meet the expectation expressed by the European Commission as a member of the Monitoring Board as it may not sufficiently bridge the gap between the limited scope of the IASB’s impact assessment and the endorsement criteria of the European Public Good set out in the International Accounting Standards (IAS) Regulation. </w:t>
      </w:r>
    </w:p>
    <w:p>
      <w:pPr>
        <w:pStyle w:val="ManualHeading1"/>
        <w:rPr>
          <w:noProof/>
        </w:rPr>
      </w:pPr>
      <w:r>
        <w:rPr>
          <w:noProof/>
        </w:rPr>
        <w:t>2.3.</w:t>
      </w:r>
      <w:r>
        <w:rPr>
          <w:noProof/>
        </w:rPr>
        <w:tab/>
        <w:t>Governance, integrity and accountability</w:t>
      </w:r>
    </w:p>
    <w:p>
      <w:pPr>
        <w:pStyle w:val="ManualHeading1"/>
        <w:rPr>
          <w:noProof/>
        </w:rPr>
      </w:pPr>
      <w:r>
        <w:rPr>
          <w:noProof/>
        </w:rPr>
        <w:t>2.3.1.</w:t>
      </w:r>
      <w:r>
        <w:rPr>
          <w:noProof/>
        </w:rPr>
        <w:tab/>
        <w:t>Overview</w:t>
      </w:r>
    </w:p>
    <w:p>
      <w:pPr>
        <w:spacing w:before="120" w:after="120"/>
        <w:jc w:val="both"/>
        <w:rPr>
          <w:rFonts w:ascii="Times New Roman" w:hAnsi="Times New Roman"/>
          <w:noProof/>
          <w:sz w:val="24"/>
          <w:szCs w:val="24"/>
          <w:lang w:eastAsia="en-GB"/>
        </w:rPr>
      </w:pPr>
      <w:r>
        <w:rPr>
          <w:rFonts w:ascii="Times New Roman" w:hAnsi="Times New Roman"/>
          <w:noProof/>
          <w:sz w:val="24"/>
          <w:szCs w:val="24"/>
          <w:lang w:eastAsia="en-GB"/>
        </w:rPr>
        <w:t xml:space="preserve">The IFRS Foundation is a not-for-profit corporation under the General Corporation Law of the state of Delaware (United States) and operates in the United Kingdom as an overseas company. The choice of a United States legal entity was driven by tax considerations at a time when a substantial portion of the funding and support came from the United States’ stakeholders. Under this legal status, the Foundation has the ability to locate to any jurisdiction in the world, whilst still enjoying the benefits of not-for-profit status in the United States, and the US tax treaties with multiple jurisdictions. </w:t>
      </w:r>
    </w:p>
    <w:p>
      <w:pPr>
        <w:spacing w:before="120" w:after="120"/>
        <w:jc w:val="both"/>
        <w:rPr>
          <w:rFonts w:ascii="Times New Roman" w:hAnsi="Times New Roman"/>
          <w:noProof/>
          <w:sz w:val="24"/>
          <w:szCs w:val="24"/>
          <w:lang w:eastAsia="en-GB"/>
        </w:rPr>
      </w:pPr>
      <w:r>
        <w:rPr>
          <w:rFonts w:ascii="Times New Roman" w:hAnsi="Times New Roman"/>
          <w:noProof/>
          <w:sz w:val="24"/>
          <w:szCs w:val="24"/>
          <w:lang w:eastAsia="en-GB"/>
        </w:rPr>
        <w:t>The IFRS Foundation is governed by a Board of 22 Trustees collectively responsible for general oversight and appointments to the IASB. The Trustees met three times in 2018. The Trustees designation is subject to an apportionment by geographical origin and to prior approval by the Monitoring Board, which is designed to provide a link with Public Authorities. The European Commission is member of the Monitoring Board. The Monitoring Board met twice in 2018. The IASB has 14 members appointed by the trustees subject to geographical balance requirements. IASB members are appointed for a five-year term renewable once. The IASB is responsible for the standard setting. It held 11 board meetings during 2018. The Trustees also appoint the 14 members of the IFRS Interpretation Committee (IFRIC) dedicated to interpreting the application of IFRS Standards and providing guidance on financial reporting issues. Additionally, the IFRS Advisory Council provides a forum for participation by organizations and individuals. Its members are appointed by the trustees and shall be consulted by the Board on decisions pertaining to major projects.</w:t>
      </w:r>
    </w:p>
    <w:p>
      <w:pPr>
        <w:pStyle w:val="ManualHeading1"/>
        <w:rPr>
          <w:noProof/>
        </w:rPr>
      </w:pPr>
      <w:r>
        <w:rPr>
          <w:noProof/>
        </w:rPr>
        <w:t>2.3.2.</w:t>
      </w:r>
      <w:r>
        <w:rPr>
          <w:noProof/>
        </w:rPr>
        <w:tab/>
        <w:t>Transparency rules</w:t>
      </w:r>
    </w:p>
    <w:p>
      <w:pPr>
        <w:spacing w:before="120" w:after="120"/>
        <w:jc w:val="both"/>
        <w:rPr>
          <w:rFonts w:ascii="Times New Roman" w:hAnsi="Times New Roman"/>
          <w:noProof/>
          <w:sz w:val="24"/>
          <w:szCs w:val="24"/>
          <w:lang w:eastAsia="en-GB"/>
        </w:rPr>
      </w:pPr>
      <w:r>
        <w:rPr>
          <w:rFonts w:ascii="Times New Roman" w:hAnsi="Times New Roman"/>
          <w:noProof/>
          <w:sz w:val="24"/>
          <w:szCs w:val="24"/>
          <w:lang w:eastAsia="en-GB"/>
        </w:rPr>
        <w:t xml:space="preserve">The meetings of the Board and Interpretation Committee are open to the public, the agendas are published and meetings can be viewed by webcast. </w:t>
      </w:r>
    </w:p>
    <w:p>
      <w:pPr>
        <w:spacing w:before="120" w:after="120"/>
        <w:jc w:val="both"/>
        <w:rPr>
          <w:rFonts w:ascii="Times New Roman" w:hAnsi="Times New Roman"/>
          <w:noProof/>
          <w:sz w:val="24"/>
          <w:szCs w:val="24"/>
          <w:lang w:eastAsia="en-GB"/>
        </w:rPr>
      </w:pPr>
      <w:r>
        <w:rPr>
          <w:rFonts w:ascii="Times New Roman" w:hAnsi="Times New Roman"/>
          <w:noProof/>
          <w:sz w:val="24"/>
          <w:szCs w:val="24"/>
          <w:lang w:eastAsia="en-GB"/>
        </w:rPr>
        <w:t xml:space="preserve">With regards to transparency registers, starting from December 2019 the IFRS Foundation will publish quarterly a stakeholder engagement register. The register will  cover all engagements of IASB Board Members with external parties of more than 30 minutes including physical, web-based and phone meetings. </w:t>
      </w:r>
    </w:p>
    <w:p>
      <w:pPr>
        <w:pStyle w:val="ManualHeading1"/>
        <w:rPr>
          <w:noProof/>
        </w:rPr>
      </w:pPr>
      <w:r>
        <w:rPr>
          <w:noProof/>
        </w:rPr>
        <w:t>2.3.3.</w:t>
      </w:r>
      <w:r>
        <w:rPr>
          <w:noProof/>
        </w:rPr>
        <w:tab/>
        <w:t>Representation of stakeholders</w:t>
      </w:r>
    </w:p>
    <w:p>
      <w:pPr>
        <w:spacing w:before="120" w:after="120"/>
        <w:jc w:val="both"/>
        <w:rPr>
          <w:rFonts w:ascii="Times New Roman" w:hAnsi="Times New Roman"/>
          <w:noProof/>
          <w:sz w:val="24"/>
          <w:szCs w:val="24"/>
          <w:lang w:eastAsia="en-GB"/>
        </w:rPr>
      </w:pPr>
      <w:r>
        <w:rPr>
          <w:rFonts w:ascii="Times New Roman" w:hAnsi="Times New Roman"/>
          <w:noProof/>
          <w:sz w:val="24"/>
          <w:szCs w:val="24"/>
          <w:lang w:eastAsia="en-GB"/>
        </w:rPr>
        <w:t xml:space="preserve">Following the 2015 "Trustees' Review of Structure and Effectiveness", the geographical distribution of the Trustees should be representative of the world’s capital markets and subject to geographical balance requirement to maintain equal representation between Asia-Oceania, Europe and America. </w:t>
      </w:r>
    </w:p>
    <w:p>
      <w:pPr>
        <w:spacing w:before="120" w:after="120"/>
        <w:jc w:val="both"/>
        <w:rPr>
          <w:rFonts w:ascii="Times New Roman" w:hAnsi="Times New Roman"/>
          <w:noProof/>
          <w:sz w:val="24"/>
          <w:szCs w:val="24"/>
          <w:lang w:eastAsia="en-GB"/>
        </w:rPr>
      </w:pPr>
      <w:r>
        <w:rPr>
          <w:rFonts w:ascii="Times New Roman" w:hAnsi="Times New Roman"/>
          <w:noProof/>
          <w:sz w:val="24"/>
          <w:szCs w:val="24"/>
          <w:lang w:eastAsia="en-GB"/>
        </w:rPr>
        <w:t xml:space="preserve">The IFRS Foundation constitution requires the appointment of 6 trustees from each of the three regions plus one Trustee from Africa and three trustees from any area subject to maintaining an overall geographical balance. Similary the criteria for appointment as Board member of the IASB require four members from each region, one member from Africa and one member from any area. </w:t>
      </w:r>
    </w:p>
    <w:p>
      <w:pPr>
        <w:spacing w:before="120" w:after="120"/>
        <w:jc w:val="both"/>
        <w:rPr>
          <w:rFonts w:ascii="Times New Roman" w:hAnsi="Times New Roman"/>
          <w:noProof/>
          <w:sz w:val="24"/>
          <w:szCs w:val="24"/>
          <w:lang w:eastAsia="en-GB"/>
        </w:rPr>
      </w:pPr>
      <w:r>
        <w:rPr>
          <w:rFonts w:ascii="Times New Roman" w:hAnsi="Times New Roman"/>
          <w:noProof/>
          <w:sz w:val="24"/>
          <w:szCs w:val="24"/>
          <w:lang w:eastAsia="en-GB"/>
        </w:rPr>
        <w:t>As at 31 December 2018, the IFRS Advisory Council comprised 46 organizations with 48 individual members. The European Commission participates as an observer.</w:t>
      </w:r>
    </w:p>
    <w:p>
      <w:pPr>
        <w:spacing w:before="120" w:after="120"/>
        <w:jc w:val="both"/>
        <w:rPr>
          <w:rFonts w:ascii="Times New Roman" w:hAnsi="Times New Roman"/>
          <w:noProof/>
          <w:sz w:val="24"/>
          <w:szCs w:val="24"/>
          <w:lang w:eastAsia="en-GB"/>
        </w:rPr>
      </w:pPr>
      <w:r>
        <w:rPr>
          <w:rFonts w:ascii="Times New Roman" w:hAnsi="Times New Roman"/>
          <w:noProof/>
          <w:sz w:val="24"/>
          <w:szCs w:val="24"/>
          <w:lang w:eastAsia="en-GB"/>
        </w:rPr>
        <w:t xml:space="preserve">In october 2018, Mr Erkki Liikanen was appointed as Chair of the IFRS Foundation. </w:t>
      </w:r>
    </w:p>
    <w:p>
      <w:pPr>
        <w:pStyle w:val="ManualHeading1"/>
        <w:rPr>
          <w:noProof/>
        </w:rPr>
      </w:pPr>
      <w:r>
        <w:rPr>
          <w:noProof/>
        </w:rPr>
        <w:t>2.3.4.</w:t>
      </w:r>
      <w:r>
        <w:rPr>
          <w:noProof/>
        </w:rPr>
        <w:tab/>
        <w:t>Accountability towards the European Parliament</w:t>
      </w:r>
    </w:p>
    <w:p>
      <w:pPr>
        <w:spacing w:before="120" w:after="120"/>
        <w:jc w:val="both"/>
        <w:rPr>
          <w:rFonts w:ascii="Times New Roman" w:hAnsi="Times New Roman"/>
          <w:noProof/>
          <w:sz w:val="24"/>
          <w:szCs w:val="24"/>
          <w:lang w:eastAsia="en-GB"/>
        </w:rPr>
      </w:pPr>
      <w:r>
        <w:rPr>
          <w:rFonts w:ascii="Times New Roman" w:hAnsi="Times New Roman"/>
          <w:noProof/>
          <w:sz w:val="24"/>
          <w:szCs w:val="24"/>
          <w:lang w:eastAsia="en-GB"/>
        </w:rPr>
        <w:t>As part of the 2017/827 Regulation</w:t>
      </w:r>
      <w:r>
        <w:rPr>
          <w:rStyle w:val="FootnoteReference"/>
          <w:rFonts w:ascii="Times New Roman" w:hAnsi="Times New Roman"/>
          <w:noProof/>
          <w:sz w:val="24"/>
          <w:szCs w:val="24"/>
          <w:lang w:eastAsia="en-GB"/>
        </w:rPr>
        <w:footnoteReference w:id="6"/>
      </w:r>
      <w:r>
        <w:rPr>
          <w:rFonts w:ascii="Times New Roman" w:hAnsi="Times New Roman"/>
          <w:noProof/>
          <w:sz w:val="24"/>
          <w:szCs w:val="24"/>
          <w:lang w:eastAsia="en-GB"/>
        </w:rPr>
        <w:t xml:space="preserve"> a full account of the development of IFRS should be provided to the European Parliament. The annual exchange of views between the Committee on Economic and Monetary Affairs (ECON) of the European Parliament and Mr Hoogervorst, Chairman of the IASB and Mr Prada, Chairman of the IFRS Foundation's trustees, took place on 19-20 March 2018. The Committee on Economic and Monetary Affairs (ECON) also held an annual exchange of views on 26  February 2019, in which Mr Hoogervorst and Mr Liikanen reported on the ongoing amendments to IFRS 17 </w:t>
      </w:r>
      <w:r>
        <w:rPr>
          <w:rFonts w:ascii="Times New Roman" w:hAnsi="Times New Roman"/>
          <w:i/>
          <w:noProof/>
          <w:sz w:val="24"/>
          <w:szCs w:val="24"/>
          <w:lang w:eastAsia="en-GB"/>
        </w:rPr>
        <w:t>Insurance Contracts</w:t>
      </w:r>
      <w:r>
        <w:rPr>
          <w:rFonts w:ascii="Times New Roman" w:hAnsi="Times New Roman"/>
          <w:noProof/>
          <w:sz w:val="24"/>
          <w:szCs w:val="24"/>
          <w:lang w:eastAsia="en-GB"/>
        </w:rPr>
        <w:t xml:space="preserve"> and the involvement of the IFRS Foundation in sustainability reporting and tax transparency.</w:t>
      </w:r>
    </w:p>
    <w:p>
      <w:pPr>
        <w:spacing w:before="120" w:after="120"/>
        <w:jc w:val="both"/>
        <w:rPr>
          <w:rFonts w:ascii="Times New Roman" w:hAnsi="Times New Roman"/>
          <w:noProof/>
          <w:sz w:val="24"/>
          <w:szCs w:val="24"/>
          <w:lang w:eastAsia="en-GB"/>
        </w:rPr>
      </w:pPr>
      <w:r>
        <w:rPr>
          <w:rFonts w:ascii="Times New Roman" w:hAnsi="Times New Roman"/>
          <w:noProof/>
          <w:sz w:val="24"/>
          <w:szCs w:val="24"/>
          <w:lang w:eastAsia="en-GB"/>
        </w:rPr>
        <w:t>The IFRS Foundation consulted the Monitoring Board on the Country by Country Reporting (CBCR) on taxes and concluded that there was not a broad-enough wordwide political support for introducing additional mandatory disclosure requirements on tax transparency. However, the IASB is willing to consider disclosures about tax strategies as part of the ongoing project to revise and update the non-binding practice statement on Management Commentary, which provides the context within which to intepret financial statements.</w:t>
      </w:r>
    </w:p>
    <w:p>
      <w:pPr>
        <w:spacing w:before="120" w:after="120"/>
        <w:jc w:val="both"/>
        <w:rPr>
          <w:rFonts w:ascii="Times New Roman" w:hAnsi="Times New Roman"/>
          <w:noProof/>
          <w:sz w:val="24"/>
          <w:szCs w:val="24"/>
          <w:lang w:eastAsia="en-GB"/>
        </w:rPr>
      </w:pPr>
      <w:r>
        <w:rPr>
          <w:rFonts w:ascii="Times New Roman" w:hAnsi="Times New Roman"/>
          <w:noProof/>
          <w:sz w:val="24"/>
          <w:szCs w:val="24"/>
          <w:lang w:eastAsia="en-GB"/>
        </w:rPr>
        <w:t>In that regard, in April 2016 the Commission adopted a more ambitious legislative proposal</w:t>
      </w:r>
      <w:r>
        <w:rPr>
          <w:rStyle w:val="FootnoteReference"/>
          <w:rFonts w:ascii="Times New Roman" w:hAnsi="Times New Roman"/>
          <w:noProof/>
          <w:sz w:val="24"/>
          <w:szCs w:val="24"/>
          <w:lang w:eastAsia="en-GB"/>
        </w:rPr>
        <w:footnoteReference w:id="7"/>
      </w:r>
      <w:r>
        <w:rPr>
          <w:rFonts w:ascii="Times New Roman" w:hAnsi="Times New Roman"/>
          <w:noProof/>
          <w:sz w:val="24"/>
          <w:szCs w:val="24"/>
          <w:lang w:eastAsia="en-GB"/>
        </w:rPr>
        <w:t xml:space="preserve"> on the disclosure of income tax information by large multinational companies, also referred to as the Country-by-Country Reporting (CBCR) of tax information. The proposal aimed at ensuring that large multinational companies with revenues above €750 million) publish their corporate tax payments with a breakdown per country. The European Parliament approved its first position on 27 March 2019. However, the European Councial has not adopted a position yet. </w:t>
      </w:r>
    </w:p>
    <w:p>
      <w:pPr>
        <w:spacing w:before="120" w:after="120"/>
        <w:jc w:val="both"/>
        <w:rPr>
          <w:rFonts w:ascii="Times New Roman" w:hAnsi="Times New Roman"/>
          <w:noProof/>
          <w:sz w:val="24"/>
          <w:szCs w:val="24"/>
          <w:lang w:eastAsia="en-GB"/>
        </w:rPr>
      </w:pPr>
      <w:r>
        <w:rPr>
          <w:rFonts w:ascii="Times New Roman" w:hAnsi="Times New Roman"/>
          <w:noProof/>
          <w:sz w:val="24"/>
          <w:szCs w:val="24"/>
          <w:lang w:eastAsia="en-GB"/>
        </w:rPr>
        <w:t xml:space="preserve">Similarly, as part of the exchanges of views, Mr Hoogervorst reported that sustainability policy objectives had a broader focus than financial reporting and would be better adressed trough financial incentives or taxation rather than by public disclosures. However, he highlighted that the impact of sustainability issues on the future returns of companies would also be considered as part of the non-binding Management Commentary Practice Statement. </w:t>
      </w:r>
    </w:p>
    <w:p>
      <w:pPr>
        <w:spacing w:before="120" w:after="120"/>
        <w:jc w:val="both"/>
        <w:rPr>
          <w:rFonts w:ascii="Times New Roman" w:hAnsi="Times New Roman"/>
          <w:noProof/>
          <w:sz w:val="24"/>
          <w:szCs w:val="24"/>
          <w:lang w:eastAsia="en-GB"/>
        </w:rPr>
      </w:pPr>
      <w:r>
        <w:rPr>
          <w:rFonts w:ascii="Times New Roman" w:hAnsi="Times New Roman"/>
          <w:noProof/>
          <w:sz w:val="24"/>
          <w:szCs w:val="24"/>
          <w:lang w:eastAsia="en-GB"/>
        </w:rPr>
        <w:t>The Commission will explore whether alternative standard setting action should be considered. Especially, as part of its Action Plan on Financing Sustainable Growth, the Commission committed itself to assess the robustness of the sustainability reporting requirements embedded in the Non Financial Information Directive</w:t>
      </w:r>
      <w:r>
        <w:rPr>
          <w:rStyle w:val="FootnoteReference"/>
          <w:rFonts w:ascii="Times New Roman" w:hAnsi="Times New Roman"/>
          <w:noProof/>
          <w:sz w:val="24"/>
          <w:szCs w:val="24"/>
          <w:lang w:eastAsia="en-GB"/>
        </w:rPr>
        <w:footnoteReference w:id="8"/>
      </w:r>
      <w:r>
        <w:rPr>
          <w:rFonts w:ascii="Times New Roman" w:hAnsi="Times New Roman"/>
          <w:noProof/>
          <w:sz w:val="24"/>
          <w:szCs w:val="24"/>
          <w:lang w:eastAsia="en-GB"/>
        </w:rPr>
        <w:t xml:space="preserve"> within the context of its Fitness Check of the EU legislation on public corporate reporting. Depending on the findings, new initatives may be considered by the Commission to enhance corporate transparency  on sustainability issues and long term value creation. In addition, in 2019 the Commission supplemented the non-binding guidelines on non-financial reporting</w:t>
      </w:r>
      <w:r>
        <w:rPr>
          <w:rStyle w:val="FootnoteReference"/>
          <w:rFonts w:ascii="Times New Roman" w:hAnsi="Times New Roman"/>
          <w:noProof/>
          <w:sz w:val="24"/>
          <w:szCs w:val="24"/>
          <w:lang w:eastAsia="en-GB"/>
        </w:rPr>
        <w:footnoteReference w:id="9"/>
      </w:r>
      <w:r>
        <w:rPr>
          <w:rFonts w:ascii="Times New Roman" w:hAnsi="Times New Roman"/>
          <w:noProof/>
          <w:sz w:val="24"/>
          <w:szCs w:val="24"/>
          <w:lang w:eastAsia="en-GB"/>
        </w:rPr>
        <w:t xml:space="preserve"> with the guidelines on reporting climate-related information</w:t>
      </w:r>
      <w:r>
        <w:rPr>
          <w:rStyle w:val="FootnoteReference"/>
          <w:rFonts w:ascii="Times New Roman" w:hAnsi="Times New Roman"/>
          <w:noProof/>
          <w:sz w:val="24"/>
          <w:szCs w:val="24"/>
          <w:lang w:eastAsia="en-GB"/>
        </w:rPr>
        <w:footnoteReference w:id="10"/>
      </w:r>
      <w:r>
        <w:rPr>
          <w:rFonts w:ascii="Times New Roman" w:hAnsi="Times New Roman"/>
          <w:noProof/>
          <w:sz w:val="24"/>
          <w:szCs w:val="24"/>
          <w:lang w:eastAsia="en-GB"/>
        </w:rPr>
        <w:t xml:space="preserve"> so as to integrate the recommandations from the Financial Stability Board’s Task-Force on Climate-related Financial Disclosures.</w:t>
      </w:r>
    </w:p>
    <w:p>
      <w:pPr>
        <w:pStyle w:val="ManualHeading1"/>
        <w:rPr>
          <w:noProof/>
        </w:rPr>
      </w:pPr>
      <w:r>
        <w:rPr>
          <w:noProof/>
        </w:rPr>
        <w:t>2.3.5.</w:t>
      </w:r>
      <w:r>
        <w:rPr>
          <w:noProof/>
        </w:rPr>
        <w:tab/>
        <w:t>Prevention of conflict of interests</w:t>
      </w:r>
    </w:p>
    <w:p>
      <w:pPr>
        <w:spacing w:before="120" w:after="120"/>
        <w:jc w:val="both"/>
        <w:rPr>
          <w:rFonts w:ascii="Times New Roman" w:hAnsi="Times New Roman"/>
          <w:noProof/>
          <w:sz w:val="24"/>
          <w:szCs w:val="24"/>
          <w:lang w:eastAsia="en-GB"/>
        </w:rPr>
      </w:pPr>
      <w:r>
        <w:rPr>
          <w:rFonts w:ascii="Times New Roman" w:hAnsi="Times New Roman"/>
          <w:noProof/>
          <w:sz w:val="24"/>
          <w:szCs w:val="24"/>
          <w:lang w:eastAsia="en-GB"/>
        </w:rPr>
        <w:t>The Trustees of the IFRS Foundation are appointed for a 3 years term renewable once and must commit to act in the public interest. Following a request from the Monitoring Board, a revised conflict of interest policy was adopted in 2018. It introduces the principle that a Trustee and a Monitoring Board Member cannot be employed by the same organization. However, it also empowers the Chair of the Trustees to derogate from this principle in  exceptional circumstances.</w:t>
      </w:r>
    </w:p>
    <w:p>
      <w:pPr>
        <w:spacing w:before="120" w:after="120"/>
        <w:jc w:val="both"/>
        <w:rPr>
          <w:rFonts w:ascii="Times New Roman" w:hAnsi="Times New Roman"/>
          <w:noProof/>
          <w:sz w:val="24"/>
          <w:szCs w:val="24"/>
          <w:lang w:eastAsia="en-GB"/>
        </w:rPr>
      </w:pPr>
      <w:r>
        <w:rPr>
          <w:rFonts w:ascii="Times New Roman" w:hAnsi="Times New Roman"/>
          <w:noProof/>
          <w:sz w:val="24"/>
          <w:szCs w:val="24"/>
          <w:lang w:eastAsia="en-GB"/>
        </w:rPr>
        <w:t>Only three members of the IASB may be part-time members. Full-time Board members are required by the IFRS Foundation constitution to sever all employment relationships and ties that might affect their independence. Neither secondment from an employer nor rights to reintegrate with the former employer are allowed.</w:t>
      </w:r>
    </w:p>
    <w:p>
      <w:pPr>
        <w:pStyle w:val="ManualHeading1"/>
        <w:rPr>
          <w:noProof/>
        </w:rPr>
      </w:pPr>
      <w:r>
        <w:rPr>
          <w:noProof/>
        </w:rPr>
        <w:t>2.3.6.</w:t>
      </w:r>
      <w:r>
        <w:rPr>
          <w:noProof/>
        </w:rPr>
        <w:tab/>
        <w:t>Breakdown of funding</w:t>
      </w:r>
    </w:p>
    <w:p>
      <w:pPr>
        <w:spacing w:before="120" w:after="120"/>
        <w:jc w:val="both"/>
        <w:rPr>
          <w:rFonts w:ascii="Times New Roman" w:hAnsi="Times New Roman"/>
          <w:noProof/>
          <w:sz w:val="24"/>
          <w:szCs w:val="24"/>
          <w:lang w:eastAsia="en-GB"/>
        </w:rPr>
      </w:pPr>
      <w:r>
        <w:rPr>
          <w:rFonts w:ascii="Times New Roman" w:hAnsi="Times New Roman"/>
          <w:noProof/>
          <w:sz w:val="24"/>
          <w:szCs w:val="24"/>
          <w:lang w:eastAsia="en-GB"/>
        </w:rPr>
        <w:t xml:space="preserve">In 2018, the IFRS Foundation received a EUR 4,7 M grant from the European Union which makes up 18.5% of the total funding received. </w:t>
      </w:r>
    </w:p>
    <w:p>
      <w:pPr>
        <w:spacing w:before="120" w:after="120"/>
        <w:jc w:val="both"/>
        <w:rPr>
          <w:rFonts w:ascii="Times New Roman" w:hAnsi="Times New Roman"/>
          <w:noProof/>
          <w:sz w:val="24"/>
          <w:szCs w:val="24"/>
          <w:lang w:eastAsia="en-GB"/>
        </w:rPr>
      </w:pPr>
      <w:r>
        <w:rPr>
          <w:rFonts w:ascii="Times New Roman" w:hAnsi="Times New Roman"/>
          <w:noProof/>
          <w:sz w:val="24"/>
          <w:szCs w:val="24"/>
          <w:lang w:eastAsia="en-GB"/>
        </w:rPr>
        <w:t>Reported contributions were down by 10.6% in 2018 (9.7% after taking into account the impact of exchange rate fluctuations). The most significant evolutions were driven by the international audit networks (-32%), China (+25%) and the United States</w:t>
      </w:r>
      <w:r>
        <w:rPr>
          <w:rStyle w:val="FootnoteReference"/>
          <w:rFonts w:ascii="Times New Roman" w:hAnsi="Times New Roman"/>
          <w:noProof/>
          <w:sz w:val="24"/>
          <w:szCs w:val="24"/>
          <w:lang w:eastAsia="en-GB"/>
        </w:rPr>
        <w:footnoteReference w:id="11"/>
      </w:r>
      <w:r>
        <w:rPr>
          <w:rFonts w:ascii="Times New Roman" w:hAnsi="Times New Roman"/>
          <w:noProof/>
          <w:sz w:val="24"/>
          <w:szCs w:val="24"/>
          <w:lang w:eastAsia="en-GB"/>
        </w:rPr>
        <w:t xml:space="preserve"> (-13%). A breakdown of funding by main geographical areas is outlined in </w:t>
      </w:r>
      <w:r>
        <w:rPr>
          <w:rFonts w:ascii="Times New Roman" w:hAnsi="Times New Roman"/>
          <w:i/>
          <w:noProof/>
          <w:sz w:val="24"/>
          <w:szCs w:val="24"/>
          <w:lang w:eastAsia="en-GB"/>
        </w:rPr>
        <w:t>Appendix 2</w:t>
      </w:r>
      <w:r>
        <w:rPr>
          <w:rFonts w:ascii="Times New Roman" w:hAnsi="Times New Roman"/>
          <w:noProof/>
          <w:sz w:val="24"/>
          <w:szCs w:val="24"/>
          <w:lang w:eastAsia="en-GB"/>
        </w:rPr>
        <w:t xml:space="preserve">. It especially highlights that despite an equal representation of the EU and the US at the Board of Trustees (6 Trustees each) and IASB (4 board members each), the area “Americas” only contributes up to 6% of the Foundation’s funding whereas Europe and Asia-Oceania made respectively 35.7% and 32.7% of total contributions. The relative share of the EU budget and Member States went up compared to 2017 (from 32.4% to 35.7%). The decrease in the reported contributions from international audit networks was partially offset by a commercial arrangement resulting in increased licensing revenues. </w:t>
      </w:r>
    </w:p>
    <w:p>
      <w:pPr>
        <w:jc w:val="both"/>
        <w:rPr>
          <w:rFonts w:ascii="Times New Roman" w:hAnsi="Times New Roman"/>
          <w:noProof/>
          <w:sz w:val="24"/>
          <w:szCs w:val="24"/>
          <w:lang w:eastAsia="en-GB"/>
        </w:rPr>
      </w:pPr>
      <w:r>
        <w:rPr>
          <w:rFonts w:ascii="Times New Roman" w:hAnsi="Times New Roman"/>
          <w:noProof/>
          <w:sz w:val="24"/>
          <w:szCs w:val="24"/>
          <w:lang w:eastAsia="en-GB"/>
        </w:rPr>
        <w:t xml:space="preserve">The IFRS Foundation reported a net surplus of GBP 2,9 M. The total retained surplus as at 31 December 2018 amounted to GBP 34,4 Million. </w:t>
      </w:r>
    </w:p>
    <w:p>
      <w:pPr>
        <w:pStyle w:val="ManualHeading1"/>
        <w:rPr>
          <w:noProof/>
        </w:rPr>
      </w:pPr>
      <w:r>
        <w:rPr>
          <w:noProof/>
        </w:rPr>
        <w:t>3.</w:t>
      </w:r>
      <w:r>
        <w:rPr>
          <w:noProof/>
        </w:rPr>
        <w:tab/>
        <w:t xml:space="preserve">European Financial Reporting Advisory Group </w:t>
      </w:r>
    </w:p>
    <w:p>
      <w:pPr>
        <w:pStyle w:val="ManualHeading1"/>
        <w:rPr>
          <w:noProof/>
        </w:rPr>
      </w:pPr>
      <w:r>
        <w:rPr>
          <w:noProof/>
        </w:rPr>
        <w:t>3.1.</w:t>
      </w:r>
      <w:r>
        <w:rPr>
          <w:noProof/>
        </w:rPr>
        <w:tab/>
        <w:t xml:space="preserve">EFRAG activities overview </w:t>
      </w:r>
    </w:p>
    <w:p>
      <w:pPr>
        <w:pStyle w:val="ManualHeading1"/>
        <w:rPr>
          <w:noProof/>
        </w:rPr>
      </w:pPr>
      <w:r>
        <w:rPr>
          <w:noProof/>
        </w:rPr>
        <w:t>3.1.1.</w:t>
      </w:r>
      <w:r>
        <w:rPr>
          <w:noProof/>
        </w:rPr>
        <w:tab/>
        <w:t xml:space="preserve">Endorsement activities </w:t>
      </w:r>
    </w:p>
    <w:p>
      <w:pPr>
        <w:spacing w:before="120" w:after="120"/>
        <w:jc w:val="both"/>
        <w:rPr>
          <w:rFonts w:ascii="Times New Roman" w:hAnsi="Times New Roman"/>
          <w:noProof/>
          <w:sz w:val="24"/>
          <w:szCs w:val="24"/>
          <w:lang w:eastAsia="en-GB"/>
        </w:rPr>
      </w:pPr>
      <w:r>
        <w:rPr>
          <w:rFonts w:ascii="Times New Roman" w:hAnsi="Times New Roman"/>
          <w:noProof/>
          <w:sz w:val="24"/>
          <w:szCs w:val="24"/>
          <w:lang w:eastAsia="en-GB"/>
        </w:rPr>
        <w:t>The primary role of EFRAG is to advise the European Commission as to whether new or revised IFRS standards meet the endorsement critera set by the IAS Regulation on the application of international accounting standards. Those criteria should include the maintenance of the requirement of a ‘true and fair view,’ and of the European public good. Field tests, impact assessments and outreach activities form a significant part of EFRAG's endorsement work in judging if a standard is favourable to the European public good.</w:t>
      </w:r>
    </w:p>
    <w:p>
      <w:pPr>
        <w:spacing w:before="120" w:after="120"/>
        <w:jc w:val="both"/>
        <w:rPr>
          <w:rFonts w:ascii="Times New Roman" w:hAnsi="Times New Roman"/>
          <w:noProof/>
          <w:sz w:val="24"/>
          <w:szCs w:val="24"/>
          <w:lang w:eastAsia="en-GB"/>
        </w:rPr>
      </w:pPr>
      <w:r>
        <w:rPr>
          <w:rFonts w:ascii="Times New Roman" w:hAnsi="Times New Roman"/>
          <w:noProof/>
          <w:sz w:val="24"/>
          <w:szCs w:val="24"/>
          <w:lang w:eastAsia="en-GB"/>
        </w:rPr>
        <w:t xml:space="preserve">In 2018, EFRAG has been active on the endorsement advice on IFRS 17 </w:t>
      </w:r>
      <w:r>
        <w:rPr>
          <w:rFonts w:ascii="Times New Roman" w:hAnsi="Times New Roman"/>
          <w:i/>
          <w:noProof/>
          <w:sz w:val="24"/>
          <w:szCs w:val="24"/>
          <w:lang w:eastAsia="en-GB"/>
        </w:rPr>
        <w:t xml:space="preserve">Insurance Contracts. </w:t>
      </w:r>
      <w:r>
        <w:rPr>
          <w:rFonts w:ascii="Times New Roman" w:hAnsi="Times New Roman"/>
          <w:noProof/>
          <w:sz w:val="24"/>
          <w:szCs w:val="24"/>
          <w:lang w:eastAsia="en-GB"/>
        </w:rPr>
        <w:t xml:space="preserve">It carried out a major impact analysis on the anticipated impact of IFRS 17 consisting of an extensive case study with 11 insurers, a simplified case study with 49 insurers; and a detailed user outreach. </w:t>
      </w:r>
    </w:p>
    <w:p>
      <w:pPr>
        <w:spacing w:before="120" w:after="120"/>
        <w:jc w:val="both"/>
        <w:rPr>
          <w:rFonts w:ascii="Times New Roman" w:hAnsi="Times New Roman"/>
          <w:noProof/>
          <w:sz w:val="24"/>
          <w:szCs w:val="24"/>
          <w:lang w:eastAsia="en-GB"/>
        </w:rPr>
      </w:pPr>
      <w:r>
        <w:rPr>
          <w:rFonts w:ascii="Times New Roman" w:hAnsi="Times New Roman"/>
          <w:noProof/>
          <w:sz w:val="24"/>
          <w:szCs w:val="24"/>
          <w:lang w:eastAsia="en-GB"/>
        </w:rPr>
        <w:t>In addition, EFRAG commissioned an economic study to obtain an economic analysis in areas such as industry trends, any potential impact on competition for capital and customers, and any potential impact on offerings of products and service by insurers. This study contributes to EFRAG‘s impact analysis. In October 2018, the European Parliament adopted a Motion for a Resolution on IFRS 17 which raised some concerns about the broader impacts of IFRS 17 on financial stability, long-term investment and the european insurance market and highlighted specifical technical issues for consideration in the endorsement advice. EFRAG incorporated the issues identified by the Parliament in its work plan so as to consider them as part of the draft endorsement advice.</w:t>
      </w:r>
    </w:p>
    <w:p>
      <w:pPr>
        <w:spacing w:before="120" w:after="120"/>
        <w:jc w:val="both"/>
        <w:rPr>
          <w:rFonts w:ascii="Times New Roman" w:hAnsi="Times New Roman"/>
          <w:noProof/>
          <w:sz w:val="24"/>
          <w:szCs w:val="24"/>
          <w:lang w:eastAsia="en-GB"/>
        </w:rPr>
      </w:pPr>
      <w:r>
        <w:rPr>
          <w:rFonts w:ascii="Times New Roman" w:hAnsi="Times New Roman"/>
          <w:noProof/>
          <w:sz w:val="24"/>
          <w:szCs w:val="24"/>
          <w:lang w:eastAsia="en-GB"/>
        </w:rPr>
        <w:t xml:space="preserve">EFRAG’s original timetable called for delivery of advice to the Commission by the end of 2018 but the project has since taken a different course. EFRAG’s case study and outreach activities identified several concerns and the EFRAG Board decided to write to the IASB to highlight some aspects of IFRS 17 that, in EFRAG’s view, merited further consideration. Since then the IASB tentatively decided to amend the Standard and issued an Exposure Draft in June 2019 in order to address some of the concern identifed by EFRAG. EFRAG adopted its draft comment letter in July 2019 and launched a public consultation to gather the views from European constituents. The draft comment letter especially highlights that the transition requirements of IFRS 17 and the level of aggregation applied for the measurement of  insurance contracts still raise significant operational challenges. Both concerns were identified in the 2018 Motion for Resolution from the European Parliament on IFRS 17.  </w:t>
      </w:r>
    </w:p>
    <w:p>
      <w:pPr>
        <w:spacing w:before="120" w:after="120"/>
        <w:jc w:val="both"/>
        <w:rPr>
          <w:rFonts w:ascii="Times New Roman" w:hAnsi="Times New Roman"/>
          <w:noProof/>
          <w:sz w:val="24"/>
          <w:szCs w:val="24"/>
          <w:lang w:val="en-US" w:eastAsia="en-GB"/>
        </w:rPr>
      </w:pPr>
      <w:r>
        <w:rPr>
          <w:rFonts w:ascii="Times New Roman" w:hAnsi="Times New Roman"/>
          <w:noProof/>
          <w:sz w:val="24"/>
          <w:szCs w:val="24"/>
          <w:lang w:eastAsia="en-GB"/>
        </w:rPr>
        <w:t xml:space="preserve">In the course of 2018, EFRAG participated in the IASB consultation process, and issued comment letters after public consultation, on all IASB proposals (exposure drafts and discussion papers). In June 2019, EFRAG issued its final comment letter on the Interest Rate Benchmark Reform which highlighted the urgency of addressing its consequences on hedge accounting relationships in order to allow timely endorsement by the European Union. </w:t>
      </w:r>
      <w:r>
        <w:rPr>
          <w:rFonts w:ascii="Times New Roman" w:hAnsi="Times New Roman"/>
          <w:noProof/>
          <w:sz w:val="24"/>
          <w:szCs w:val="24"/>
          <w:lang w:val="en-US" w:eastAsia="en-GB"/>
        </w:rPr>
        <w:t xml:space="preserve">Other areas of focus included the IASB’s projects on </w:t>
      </w:r>
      <w:r>
        <w:rPr>
          <w:rFonts w:ascii="Times New Roman" w:hAnsi="Times New Roman"/>
          <w:i/>
          <w:noProof/>
          <w:sz w:val="24"/>
          <w:szCs w:val="24"/>
          <w:lang w:val="en-US" w:eastAsia="en-GB"/>
        </w:rPr>
        <w:t>Rate-regulated Activities</w:t>
      </w:r>
      <w:r>
        <w:rPr>
          <w:rFonts w:ascii="Times New Roman" w:hAnsi="Times New Roman"/>
          <w:noProof/>
          <w:sz w:val="24"/>
          <w:szCs w:val="24"/>
          <w:lang w:val="en-US" w:eastAsia="en-GB"/>
        </w:rPr>
        <w:t xml:space="preserve">, and </w:t>
      </w:r>
      <w:r>
        <w:rPr>
          <w:rFonts w:ascii="Times New Roman" w:hAnsi="Times New Roman"/>
          <w:i/>
          <w:noProof/>
          <w:sz w:val="24"/>
          <w:szCs w:val="24"/>
          <w:lang w:val="en-US" w:eastAsia="en-GB"/>
        </w:rPr>
        <w:t>Primary Financial Statements</w:t>
      </w:r>
      <w:r>
        <w:rPr>
          <w:rFonts w:ascii="Times New Roman" w:hAnsi="Times New Roman"/>
          <w:noProof/>
          <w:sz w:val="24"/>
          <w:szCs w:val="24"/>
          <w:lang w:val="en-US" w:eastAsia="en-GB"/>
        </w:rPr>
        <w:t>.</w:t>
      </w:r>
    </w:p>
    <w:p>
      <w:pPr>
        <w:pStyle w:val="ManualHeading1"/>
        <w:rPr>
          <w:noProof/>
        </w:rPr>
      </w:pPr>
      <w:r>
        <w:rPr>
          <w:noProof/>
        </w:rPr>
        <w:t>3.1.2.</w:t>
      </w:r>
      <w:r>
        <w:rPr>
          <w:noProof/>
        </w:rPr>
        <w:tab/>
        <w:t xml:space="preserve">Other requests for technical advice </w:t>
      </w:r>
    </w:p>
    <w:p>
      <w:pPr>
        <w:spacing w:before="120" w:after="120"/>
        <w:jc w:val="both"/>
        <w:rPr>
          <w:rFonts w:ascii="Times New Roman" w:hAnsi="Times New Roman"/>
          <w:noProof/>
          <w:sz w:val="24"/>
          <w:szCs w:val="24"/>
          <w:lang w:val="en-US" w:eastAsia="en-GB"/>
        </w:rPr>
      </w:pPr>
      <w:r>
        <w:rPr>
          <w:rFonts w:ascii="Times New Roman" w:hAnsi="Times New Roman"/>
          <w:noProof/>
          <w:sz w:val="24"/>
          <w:szCs w:val="24"/>
          <w:lang w:eastAsia="en-GB"/>
        </w:rPr>
        <w:t>Following up on a resolution from the European Parliament on IFRS 9, and r</w:t>
      </w:r>
      <w:r>
        <w:rPr>
          <w:rFonts w:ascii="Times New Roman" w:hAnsi="Times New Roman"/>
          <w:noProof/>
          <w:sz w:val="24"/>
          <w:szCs w:val="24"/>
          <w:lang w:val="en-US" w:eastAsia="en-GB"/>
        </w:rPr>
        <w:t xml:space="preserve">esponding to the Commission’s requests to consider the potential effects of IFRS 9 on long-term investment in equity instruments (that were also highlighted in the Commission’s Action Plan </w:t>
      </w:r>
      <w:r>
        <w:rPr>
          <w:rFonts w:ascii="Times New Roman" w:hAnsi="Times New Roman"/>
          <w:i/>
          <w:noProof/>
          <w:sz w:val="24"/>
          <w:szCs w:val="24"/>
          <w:lang w:val="en-US" w:eastAsia="en-GB"/>
        </w:rPr>
        <w:t>Financing Sustainable Growth)</w:t>
      </w:r>
      <w:r>
        <w:rPr>
          <w:rFonts w:ascii="Times New Roman" w:hAnsi="Times New Roman"/>
          <w:noProof/>
          <w:sz w:val="24"/>
          <w:szCs w:val="24"/>
          <w:lang w:val="en-US" w:eastAsia="en-GB"/>
        </w:rPr>
        <w:t xml:space="preserve">,  EFRAG published a Discussion Paper </w:t>
      </w:r>
      <w:r>
        <w:rPr>
          <w:rFonts w:ascii="Times New Roman" w:hAnsi="Times New Roman"/>
          <w:i/>
          <w:noProof/>
          <w:sz w:val="24"/>
          <w:szCs w:val="24"/>
          <w:lang w:val="en-US" w:eastAsia="en-GB"/>
        </w:rPr>
        <w:t>Equity Instruments</w:t>
      </w:r>
      <w:r>
        <w:rPr>
          <w:rFonts w:ascii="Times New Roman" w:hAnsi="Times New Roman"/>
          <w:noProof/>
          <w:sz w:val="24"/>
          <w:szCs w:val="24"/>
          <w:lang w:val="en-US" w:eastAsia="en-GB"/>
        </w:rPr>
        <w:t xml:space="preserve"> – </w:t>
      </w:r>
      <w:r>
        <w:rPr>
          <w:rFonts w:ascii="Times New Roman" w:hAnsi="Times New Roman"/>
          <w:i/>
          <w:noProof/>
          <w:sz w:val="24"/>
          <w:szCs w:val="24"/>
          <w:lang w:val="en-US" w:eastAsia="en-GB"/>
        </w:rPr>
        <w:t>Impairment and Recycling</w:t>
      </w:r>
      <w:r>
        <w:rPr>
          <w:rFonts w:ascii="Times New Roman" w:hAnsi="Times New Roman"/>
          <w:noProof/>
          <w:sz w:val="24"/>
          <w:szCs w:val="24"/>
          <w:lang w:val="en-US" w:eastAsia="en-GB"/>
        </w:rPr>
        <w:t xml:space="preserve"> for public consultation. EFRAG also undertook an academic literature review on IFRS 9 and long-term investment. In November 2018, EFRAG delivered its advice about the accounting treatment of equity instruments under IFRS 9 with the conclusion that it had not gathered enough evidence of a detrimental effect on (long term) equity investment decisions to recommend an amendment to the standard in the short term. However, EFRAG also started working on the Commission’s second request to explore potential alternative accounting treatments to fair value measurement for long-term investment portfolios of equity and equity-type instruments.</w:t>
      </w:r>
    </w:p>
    <w:p>
      <w:pPr>
        <w:spacing w:before="120" w:after="120"/>
        <w:jc w:val="both"/>
        <w:rPr>
          <w:rFonts w:ascii="Times New Roman" w:hAnsi="Times New Roman"/>
          <w:noProof/>
          <w:sz w:val="24"/>
          <w:szCs w:val="24"/>
          <w:lang w:eastAsia="en-GB"/>
        </w:rPr>
      </w:pPr>
      <w:r>
        <w:rPr>
          <w:rFonts w:ascii="Times New Roman" w:hAnsi="Times New Roman"/>
          <w:noProof/>
          <w:sz w:val="24"/>
          <w:szCs w:val="24"/>
          <w:lang w:eastAsia="en-GB"/>
        </w:rPr>
        <w:t>Also at the request of the Commission and in line with the timetable envisaged in the March 2018 Action Plan on Financing Sustainable Growth, EFRAG established the European Corporate Reporting Lab@EFRAG (European Lab). The European Lab is designed to stimulate innovation in corporate reporting through sharing good practices. The European Lab Steering Group had its first meeting in November 2018 and confirmed the first project on climate-related reporting. Following a call for candidates in December, the first project task force on climate-related reporting was established and started its work in February 2019.</w:t>
      </w:r>
      <w:r>
        <w:rPr>
          <w:noProof/>
        </w:rPr>
        <w:t xml:space="preserve"> </w:t>
      </w:r>
      <w:r>
        <w:rPr>
          <w:rFonts w:ascii="Times New Roman" w:hAnsi="Times New Roman"/>
          <w:noProof/>
          <w:sz w:val="24"/>
          <w:szCs w:val="24"/>
          <w:lang w:eastAsia="en-GB"/>
        </w:rPr>
        <w:t xml:space="preserve">The decision to add a project to the European Lab agenda is made by the European Lab Steering Group, taking into consideration input from stakeholders in a public consultation published in July  with deadline on 30 September 2019. </w:t>
      </w:r>
    </w:p>
    <w:p>
      <w:pPr>
        <w:pStyle w:val="ManualHeading1"/>
        <w:rPr>
          <w:noProof/>
        </w:rPr>
      </w:pPr>
      <w:r>
        <w:rPr>
          <w:noProof/>
        </w:rPr>
        <w:t>3.1.3.</w:t>
      </w:r>
      <w:r>
        <w:rPr>
          <w:noProof/>
        </w:rPr>
        <w:tab/>
        <w:t xml:space="preserve">Research activities </w:t>
      </w:r>
    </w:p>
    <w:p>
      <w:pPr>
        <w:spacing w:before="120" w:after="120"/>
        <w:jc w:val="both"/>
        <w:rPr>
          <w:rFonts w:ascii="Times New Roman" w:hAnsi="Times New Roman"/>
          <w:noProof/>
          <w:sz w:val="24"/>
          <w:szCs w:val="24"/>
          <w:lang w:eastAsia="en-GB"/>
        </w:rPr>
      </w:pPr>
      <w:r>
        <w:rPr>
          <w:rFonts w:ascii="Times New Roman" w:hAnsi="Times New Roman"/>
          <w:noProof/>
          <w:sz w:val="24"/>
          <w:szCs w:val="24"/>
          <w:lang w:eastAsia="en-GB"/>
        </w:rPr>
        <w:t xml:space="preserve">In 2018, EFRAG conducted a public consultation on its research agenda to ensure that EFRAG undertakes research projects which are most relevant for Europe. The public consultation provided insight into the priorities among European constituents for this essential part of EFRAG’s activities.  Resulting from this consultation EFRAG started three new research projects at the end of 2018 on </w:t>
      </w:r>
      <w:r>
        <w:rPr>
          <w:rFonts w:ascii="Times New Roman" w:hAnsi="Times New Roman"/>
          <w:i/>
          <w:noProof/>
          <w:sz w:val="24"/>
          <w:szCs w:val="24"/>
          <w:lang w:eastAsia="en-GB"/>
        </w:rPr>
        <w:t>Better Information on Intangible Assets; Crypto Assets; and Variable and Contingent Payments</w:t>
      </w:r>
      <w:r>
        <w:rPr>
          <w:rFonts w:ascii="Times New Roman" w:hAnsi="Times New Roman"/>
          <w:noProof/>
          <w:sz w:val="24"/>
          <w:szCs w:val="24"/>
          <w:lang w:eastAsia="en-GB"/>
        </w:rPr>
        <w:t xml:space="preserve">. As part of its research work EFRAG also published a Discussion Paper </w:t>
      </w:r>
      <w:r>
        <w:rPr>
          <w:rFonts w:ascii="Times New Roman" w:hAnsi="Times New Roman"/>
          <w:i/>
          <w:noProof/>
          <w:sz w:val="24"/>
          <w:szCs w:val="24"/>
          <w:lang w:eastAsia="en-GB"/>
        </w:rPr>
        <w:t>Non-exchange Transfers: A role for Societal Benefit</w:t>
      </w:r>
      <w:r>
        <w:rPr>
          <w:rFonts w:ascii="Times New Roman" w:hAnsi="Times New Roman"/>
          <w:noProof/>
          <w:sz w:val="24"/>
          <w:szCs w:val="24"/>
          <w:lang w:eastAsia="en-GB"/>
        </w:rPr>
        <w:t xml:space="preserve">?  and advanced its work </w:t>
      </w:r>
      <w:r>
        <w:rPr>
          <w:rFonts w:ascii="Times New Roman" w:hAnsi="Times New Roman"/>
          <w:i/>
          <w:noProof/>
          <w:sz w:val="24"/>
          <w:szCs w:val="24"/>
          <w:lang w:eastAsia="en-GB"/>
        </w:rPr>
        <w:t>on pension plans</w:t>
      </w:r>
      <w:r>
        <w:rPr>
          <w:rFonts w:ascii="Times New Roman" w:hAnsi="Times New Roman"/>
          <w:noProof/>
          <w:sz w:val="24"/>
          <w:szCs w:val="24"/>
          <w:lang w:eastAsia="en-GB"/>
        </w:rPr>
        <w:t xml:space="preserve"> with the support of its Pensions Plan Advisory Group. Through its Academic Panel and Academic Network EFRAG enhanced its cooperation with academics.</w:t>
      </w:r>
    </w:p>
    <w:p>
      <w:pPr>
        <w:spacing w:before="120" w:after="120"/>
        <w:jc w:val="both"/>
        <w:rPr>
          <w:rFonts w:ascii="Times New Roman" w:hAnsi="Times New Roman"/>
          <w:noProof/>
          <w:sz w:val="24"/>
          <w:szCs w:val="24"/>
          <w:lang w:eastAsia="en-GB"/>
        </w:rPr>
      </w:pPr>
      <w:r>
        <w:rPr>
          <w:rFonts w:ascii="Times New Roman" w:hAnsi="Times New Roman"/>
          <w:noProof/>
          <w:sz w:val="24"/>
          <w:szCs w:val="24"/>
          <w:lang w:eastAsia="en-GB"/>
        </w:rPr>
        <w:t xml:space="preserve">As regard EFRAG’s influence in the debate on International Financial Reporting Standards, it is worth mentioning that ahead of the IASB Discussion Paper </w:t>
      </w:r>
      <w:r>
        <w:rPr>
          <w:rFonts w:ascii="Times New Roman" w:hAnsi="Times New Roman"/>
          <w:i/>
          <w:noProof/>
          <w:sz w:val="24"/>
          <w:szCs w:val="24"/>
          <w:lang w:eastAsia="en-GB"/>
        </w:rPr>
        <w:t xml:space="preserve">Financial Instruments with Characteristics of Equity </w:t>
      </w:r>
      <w:r>
        <w:rPr>
          <w:rFonts w:ascii="Times New Roman" w:hAnsi="Times New Roman"/>
          <w:noProof/>
          <w:sz w:val="24"/>
          <w:szCs w:val="24"/>
          <w:lang w:eastAsia="en-GB"/>
        </w:rPr>
        <w:t>(FICE), the EFRAG Secretariat conducted as a pilot an early stage analysis following up its call that impact analyses should be carried out throughout the standard setting process rather than only at the end. EFRAG conducted extensive outreache with National Standard Setters and user-oriented outreache as part of the consultation on the Draft Comment Letter to assess the wider effects and potential unintended consequences of changes to rules on FICE reporting, in order to reduce the risk of problems emerging in the endorsement phase if the IASB were to proceed to a standard. EFRAG Secretariat published a working paper on the early-stage analysis at the end of February 2019.</w:t>
      </w:r>
    </w:p>
    <w:p>
      <w:pPr>
        <w:pStyle w:val="ManualHeading1"/>
        <w:rPr>
          <w:noProof/>
        </w:rPr>
      </w:pPr>
      <w:r>
        <w:rPr>
          <w:noProof/>
        </w:rPr>
        <w:t>3.2.</w:t>
      </w:r>
      <w:r>
        <w:rPr>
          <w:noProof/>
        </w:rPr>
        <w:tab/>
        <w:t>Governance, transparency and public accountability</w:t>
      </w:r>
    </w:p>
    <w:p>
      <w:pPr>
        <w:pStyle w:val="ManualHeading1"/>
        <w:rPr>
          <w:noProof/>
        </w:rPr>
      </w:pPr>
      <w:r>
        <w:rPr>
          <w:noProof/>
        </w:rPr>
        <w:t>3.2.1.</w:t>
      </w:r>
      <w:r>
        <w:rPr>
          <w:noProof/>
        </w:rPr>
        <w:tab/>
        <w:t>Governance of EFRAG following recommendation of the Maystadt report</w:t>
      </w:r>
    </w:p>
    <w:p>
      <w:pPr>
        <w:spacing w:before="120" w:after="120"/>
        <w:jc w:val="both"/>
        <w:rPr>
          <w:rFonts w:ascii="Times New Roman" w:hAnsi="Times New Roman"/>
          <w:noProof/>
          <w:sz w:val="24"/>
          <w:szCs w:val="24"/>
          <w:lang w:eastAsia="en-GB"/>
        </w:rPr>
      </w:pPr>
      <w:r>
        <w:rPr>
          <w:rFonts w:ascii="Times New Roman" w:hAnsi="Times New Roman"/>
          <w:noProof/>
          <w:sz w:val="24"/>
          <w:szCs w:val="24"/>
          <w:lang w:eastAsia="en-GB"/>
        </w:rPr>
        <w:t xml:space="preserve">The governance reform of EFRAG which was implemented on 31 October 2014, has enhanced the legitimacy and representativeness of the organisation and resulted in a more cohesive process for the participation of the EU in the IASB standard setting process. </w:t>
      </w:r>
    </w:p>
    <w:p>
      <w:pPr>
        <w:spacing w:before="120" w:after="120"/>
        <w:jc w:val="both"/>
        <w:rPr>
          <w:rFonts w:ascii="Times New Roman" w:hAnsi="Times New Roman"/>
          <w:noProof/>
          <w:sz w:val="24"/>
          <w:szCs w:val="24"/>
          <w:lang w:eastAsia="en-GB"/>
        </w:rPr>
      </w:pPr>
      <w:r>
        <w:rPr>
          <w:rFonts w:ascii="Times New Roman" w:hAnsi="Times New Roman"/>
          <w:noProof/>
          <w:sz w:val="24"/>
          <w:szCs w:val="24"/>
          <w:lang w:eastAsia="en-GB"/>
        </w:rPr>
        <w:t xml:space="preserve">The governance reform was completed in July 2016 with the official appointment by the EFRAG General Assembly of Jean-Paul Gauzès, former Member of the European Parliament, as EFRAG Board President following the nomination of the Commission and as endorsed by the European Parliament and the Council. Mr Gauzès’ mandate has been renewed for  a further three-year term, starting on 1 July 2019.  </w:t>
      </w:r>
    </w:p>
    <w:p>
      <w:pPr>
        <w:spacing w:before="120" w:after="120"/>
        <w:jc w:val="both"/>
        <w:rPr>
          <w:rFonts w:ascii="Times New Roman" w:hAnsi="Times New Roman"/>
          <w:noProof/>
          <w:sz w:val="24"/>
          <w:szCs w:val="24"/>
          <w:lang w:eastAsia="en-GB"/>
        </w:rPr>
      </w:pPr>
      <w:r>
        <w:rPr>
          <w:rFonts w:ascii="Times New Roman" w:hAnsi="Times New Roman"/>
          <w:noProof/>
          <w:sz w:val="24"/>
          <w:szCs w:val="24"/>
          <w:lang w:eastAsia="en-GB"/>
        </w:rPr>
        <w:t xml:space="preserve">The European Supervisory Authorities and the European Central Bank have opted to be official observers with speaking rights in the EFRAG Board. Their input has been carefully considered in arriving at EFRAG positions and they have made an important contribution to EFRAG’s impact analysis notably in the area of financial stability. </w:t>
      </w:r>
    </w:p>
    <w:p>
      <w:pPr>
        <w:spacing w:before="120" w:after="120"/>
        <w:jc w:val="both"/>
        <w:rPr>
          <w:rFonts w:ascii="Times New Roman" w:hAnsi="Times New Roman"/>
          <w:noProof/>
          <w:sz w:val="24"/>
          <w:szCs w:val="24"/>
          <w:lang w:eastAsia="en-GB"/>
        </w:rPr>
      </w:pPr>
      <w:r>
        <w:rPr>
          <w:rFonts w:ascii="Times New Roman" w:hAnsi="Times New Roman"/>
          <w:noProof/>
          <w:sz w:val="24"/>
          <w:szCs w:val="24"/>
          <w:lang w:eastAsia="en-GB"/>
        </w:rPr>
        <w:t>It is worthwhile highlighting that the EFRAG Board reached all its conclusions in 2018 on a consensus basis without having resort to voting. In 2017 the first rotation of the EFRAG Board took place and a new Board was appointed. In the spirit of the Maystadt report</w:t>
      </w:r>
      <w:r>
        <w:rPr>
          <w:rStyle w:val="FootnoteReference"/>
          <w:rFonts w:ascii="Times New Roman" w:hAnsi="Times New Roman"/>
          <w:noProof/>
          <w:sz w:val="24"/>
          <w:szCs w:val="24"/>
          <w:lang w:eastAsia="en-GB"/>
        </w:rPr>
        <w:footnoteReference w:id="12"/>
      </w:r>
      <w:r>
        <w:rPr>
          <w:rFonts w:ascii="Times New Roman" w:hAnsi="Times New Roman"/>
          <w:noProof/>
          <w:sz w:val="24"/>
          <w:szCs w:val="24"/>
          <w:lang w:eastAsia="en-GB"/>
        </w:rPr>
        <w:t xml:space="preserve"> an observer seat was created for European organisations representing private investors (“end users”).</w:t>
      </w:r>
    </w:p>
    <w:p>
      <w:pPr>
        <w:spacing w:before="120" w:after="120"/>
        <w:jc w:val="both"/>
        <w:rPr>
          <w:rFonts w:ascii="Times New Roman" w:hAnsi="Times New Roman"/>
          <w:noProof/>
          <w:sz w:val="24"/>
          <w:szCs w:val="24"/>
          <w:lang w:eastAsia="en-GB"/>
        </w:rPr>
      </w:pPr>
      <w:r>
        <w:rPr>
          <w:rFonts w:ascii="Times New Roman" w:hAnsi="Times New Roman"/>
          <w:noProof/>
          <w:sz w:val="24"/>
          <w:szCs w:val="24"/>
          <w:lang w:eastAsia="en-GB"/>
        </w:rPr>
        <w:t xml:space="preserve">The EFRAG Board carries out a performance and effectiveness review of its own members under the oversight of the EFRAG General Assembly on an annual basis. The 2018 review, which covered a mixture of strategic, governance and operational issues, demonstrated that on balance the governance structure worked well, which resulted in increased credibility for the organisation. Some recommendations were adopted to further improve further the effectiveness of EFRAG's activities in the future. </w:t>
      </w:r>
    </w:p>
    <w:p>
      <w:pPr>
        <w:spacing w:before="120" w:after="120"/>
        <w:jc w:val="both"/>
        <w:rPr>
          <w:rFonts w:ascii="Times New Roman" w:hAnsi="Times New Roman"/>
          <w:noProof/>
          <w:sz w:val="24"/>
          <w:szCs w:val="24"/>
          <w:lang w:eastAsia="en-GB"/>
        </w:rPr>
      </w:pPr>
      <w:r>
        <w:rPr>
          <w:rFonts w:ascii="Times New Roman" w:hAnsi="Times New Roman"/>
          <w:noProof/>
          <w:sz w:val="24"/>
          <w:szCs w:val="24"/>
          <w:lang w:eastAsia="en-GB"/>
        </w:rPr>
        <w:t xml:space="preserve">In 2017, EFRAG commissioned an audit of the perceptions of external stakeholders of EFRAG’s visibility and effectiveness  carried out by an independent agency FleishmanHillard. Their final report published in March 2018 confirmed the positive influence of EFRAG's work on stakeholders, the progress brought  on the visibility and credibility of EFRAG by the communication team put  in place under the leadership of the EFRAG Board President and  identified visibility as one of the areas for continuous improvement.  </w:t>
      </w:r>
    </w:p>
    <w:p>
      <w:pPr>
        <w:spacing w:before="120" w:after="120"/>
        <w:jc w:val="both"/>
        <w:rPr>
          <w:rFonts w:ascii="Times New Roman" w:hAnsi="Times New Roman"/>
          <w:noProof/>
          <w:sz w:val="24"/>
          <w:szCs w:val="24"/>
          <w:lang w:eastAsia="en-GB"/>
        </w:rPr>
      </w:pPr>
      <w:r>
        <w:rPr>
          <w:rFonts w:ascii="Times New Roman" w:hAnsi="Times New Roman"/>
          <w:noProof/>
          <w:sz w:val="24"/>
          <w:szCs w:val="24"/>
          <w:lang w:eastAsia="en-GB"/>
        </w:rPr>
        <w:t xml:space="preserve">As regards potential situation of conflicts of interest, there are no issues to mention. </w:t>
      </w:r>
      <w:r>
        <w:rPr>
          <w:rFonts w:ascii="Times New Roman" w:hAnsi="Times New Roman"/>
          <w:noProof/>
          <w:sz w:val="24"/>
          <w:szCs w:val="24"/>
          <w:lang w:val="en-US" w:eastAsia="en-GB"/>
        </w:rPr>
        <w:t>EFRAG’s Internal Rules set out requirements on conflicts of interest and the EFRAG Board has a Conflict of Interest Policy for Board members that is published on the EFRAG website. The objective of the policy is to ensure the credibility of EFRAG as an organisation working in the European public interest. The policy is intended to avoid situations where conflicts or perceptions of conflict may arise, that would: discourage free discussion; result in decisions or actions that are not in the best interest of the European public at large or of EFRAG; or give the perception that EFRAG has acted improperly. EFRAG Board members and EFRAG staff sign yearly declarations.</w:t>
      </w:r>
    </w:p>
    <w:p>
      <w:pPr>
        <w:pStyle w:val="ManualHeading1"/>
        <w:rPr>
          <w:noProof/>
        </w:rPr>
      </w:pPr>
      <w:r>
        <w:rPr>
          <w:noProof/>
        </w:rPr>
        <w:t>3.2.2.</w:t>
      </w:r>
      <w:r>
        <w:rPr>
          <w:noProof/>
        </w:rPr>
        <w:tab/>
        <w:t>Transparency rules</w:t>
      </w:r>
    </w:p>
    <w:p>
      <w:pPr>
        <w:spacing w:before="120" w:after="120"/>
        <w:jc w:val="both"/>
        <w:rPr>
          <w:rFonts w:ascii="Times New Roman" w:hAnsi="Times New Roman"/>
          <w:noProof/>
          <w:sz w:val="24"/>
          <w:szCs w:val="24"/>
          <w:lang w:eastAsia="en-GB"/>
        </w:rPr>
      </w:pPr>
      <w:r>
        <w:rPr>
          <w:rFonts w:ascii="Times New Roman" w:hAnsi="Times New Roman"/>
          <w:noProof/>
          <w:sz w:val="24"/>
          <w:szCs w:val="24"/>
          <w:lang w:eastAsia="en-GB"/>
        </w:rPr>
        <w:t xml:space="preserve">Since its establishment, EFRAG has put in place a transparent public due process that has further developed over time. This due process allows all European constituents to put forward their views for consideration by EFRAG and ensures that the diversity of accounting and economic models and views in Europe are taken into account in determining EFRAG’s positions. This is essential to ensuring that new IFRS respond to Europe’s needs. </w:t>
      </w:r>
    </w:p>
    <w:p>
      <w:pPr>
        <w:spacing w:before="120" w:after="120"/>
        <w:jc w:val="both"/>
        <w:rPr>
          <w:rFonts w:ascii="Times New Roman" w:hAnsi="Times New Roman"/>
          <w:noProof/>
          <w:sz w:val="24"/>
          <w:szCs w:val="24"/>
          <w:lang w:eastAsia="en-GB"/>
        </w:rPr>
      </w:pPr>
      <w:r>
        <w:rPr>
          <w:rFonts w:ascii="Times New Roman" w:hAnsi="Times New Roman"/>
          <w:noProof/>
          <w:sz w:val="24"/>
          <w:szCs w:val="24"/>
          <w:lang w:eastAsia="en-GB"/>
        </w:rPr>
        <w:t>EFRAG’s legitimacy is built on transparency, governance, due process (which may include field tests, impact analyses and outreaches), public accountability and thought leadership. As part of its due process EFRAG publishes draft positions for public consultation, undertakes field tests and other forms of effect analyses, organises outreach events (some of which are especially aimed at users of financial statements), undertakes special surveys, and publishes the results in feedback statements and publishes final positions. EFRAG contributes to evidence-based standard setting by undertaking quantitative studies that inform the discussion on EFRAG’s comment letters and endorsement advice and which are gradually becoming a more important part of EFRAG’s research work.</w:t>
      </w:r>
    </w:p>
    <w:p>
      <w:pPr>
        <w:spacing w:before="120" w:after="120"/>
        <w:jc w:val="both"/>
        <w:rPr>
          <w:rFonts w:ascii="Times New Roman" w:hAnsi="Times New Roman"/>
          <w:noProof/>
          <w:sz w:val="24"/>
          <w:szCs w:val="24"/>
          <w:lang w:eastAsia="en-GB"/>
        </w:rPr>
      </w:pPr>
      <w:r>
        <w:rPr>
          <w:rFonts w:ascii="Times New Roman" w:hAnsi="Times New Roman"/>
          <w:noProof/>
          <w:sz w:val="24"/>
          <w:szCs w:val="24"/>
          <w:lang w:eastAsia="en-GB"/>
        </w:rPr>
        <w:t>Meetings of the EFRAG Board, EFRAG Technical Expert Group (EFRAG TEG) and EFRAG Consultative Forum of Standard Setters (EFRAG CFSS) are held in public and available by webcast since March 2018. The agenda and summaries of the meetings are published on EFRAG’s website. Furthermore, the supporting agenda papers for the meetings of the EFRAG Board, EFRAG TEG and EFRAG CFSS are publicly available. Since March 2018 these public meetings can be accessed by webcast allowing stakeholders to watch the discussions not only real time but also after the meetings have been held.  The discussions of EFRAG TEG are supported by input received from EFRAG CFSS (the forum of national accounting standard setters) and the specialised EFRAG Working Groups and Advisory Panels.</w:t>
      </w:r>
    </w:p>
    <w:p>
      <w:pPr>
        <w:spacing w:before="120" w:after="120"/>
        <w:jc w:val="both"/>
        <w:rPr>
          <w:rFonts w:ascii="Times New Roman" w:hAnsi="Times New Roman"/>
          <w:noProof/>
          <w:sz w:val="24"/>
          <w:szCs w:val="24"/>
          <w:lang w:eastAsia="en-GB"/>
        </w:rPr>
      </w:pPr>
      <w:r>
        <w:rPr>
          <w:rFonts w:ascii="Times New Roman" w:hAnsi="Times New Roman"/>
          <w:noProof/>
          <w:sz w:val="24"/>
          <w:szCs w:val="24"/>
          <w:lang w:eastAsia="en-GB"/>
        </w:rPr>
        <w:t xml:space="preserve">The EFRAG Board receives a regular report of all meetings between EFRAG personnel and other parties (other than routine administrative meetings). These reports in aggregated form are included in the final grant reports that EFRAG submits to the Commission. </w:t>
      </w:r>
    </w:p>
    <w:p>
      <w:pPr>
        <w:spacing w:before="120" w:after="120"/>
        <w:jc w:val="both"/>
        <w:rPr>
          <w:rFonts w:ascii="Times New Roman" w:hAnsi="Times New Roman"/>
          <w:noProof/>
          <w:sz w:val="24"/>
          <w:szCs w:val="24"/>
          <w:lang w:eastAsia="en-GB"/>
        </w:rPr>
      </w:pPr>
      <w:r>
        <w:rPr>
          <w:rFonts w:ascii="Times New Roman" w:hAnsi="Times New Roman"/>
          <w:noProof/>
          <w:sz w:val="24"/>
          <w:szCs w:val="24"/>
          <w:lang w:eastAsia="en-GB"/>
        </w:rPr>
        <w:t>EFRAG publishes an annual review providing full transparency on its governance and financial structure and the main activities in the year concerned. The Annual Review  2018 was published on 25 April 2019.</w:t>
      </w:r>
    </w:p>
    <w:p>
      <w:pPr>
        <w:spacing w:before="120" w:after="120"/>
        <w:jc w:val="both"/>
        <w:rPr>
          <w:rFonts w:ascii="Times New Roman" w:hAnsi="Times New Roman"/>
          <w:noProof/>
          <w:sz w:val="24"/>
          <w:szCs w:val="24"/>
          <w:lang w:eastAsia="en-GB"/>
        </w:rPr>
      </w:pPr>
      <w:r>
        <w:rPr>
          <w:rFonts w:ascii="Times New Roman" w:hAnsi="Times New Roman"/>
          <w:noProof/>
          <w:sz w:val="24"/>
          <w:szCs w:val="24"/>
          <w:lang w:eastAsia="en-GB"/>
        </w:rPr>
        <w:t>Overall, the EFRAG Governance is marked by a good transparency of information flow among the main stakeholders. EFRAG has also shown its commitment to engage with the Commission in order to achieve even higher standards of transparency than it was applying in the past. As evidence of their commitment to the task, on  9 July 2019 the EFRAG Board approved a Policy on the EFRAG Public Transparency Register which consists of the publication on its website of all meetings and conferences of the President</w:t>
      </w:r>
      <w:r>
        <w:rPr>
          <w:noProof/>
        </w:rPr>
        <w:t xml:space="preserve"> </w:t>
      </w:r>
      <w:r>
        <w:rPr>
          <w:rFonts w:ascii="Times New Roman" w:hAnsi="Times New Roman"/>
          <w:noProof/>
          <w:sz w:val="24"/>
          <w:szCs w:val="24"/>
          <w:lang w:eastAsia="en-GB"/>
        </w:rPr>
        <w:t xml:space="preserve">of the Board, the TEG Chairman and the CEO of EFRAG. The Transparency Register started on 1 September and the first version will be put on their website later in the autumn 2019. EFRAG gave an undertaking to the Commission that it will maintain a public register on its website that is regularly updated and covers the calendar year.  </w:t>
      </w:r>
      <w:r>
        <w:rPr>
          <w:rFonts w:ascii="Times New Roman" w:eastAsia="Times New Roman" w:hAnsi="Times New Roman"/>
          <w:noProof/>
          <w:sz w:val="24"/>
          <w:szCs w:val="20"/>
        </w:rPr>
        <w:t xml:space="preserve"> </w:t>
      </w:r>
    </w:p>
    <w:p>
      <w:pPr>
        <w:pStyle w:val="ManualHeading1"/>
        <w:rPr>
          <w:noProof/>
        </w:rPr>
      </w:pPr>
      <w:r>
        <w:rPr>
          <w:noProof/>
        </w:rPr>
        <w:t>3.2.3.</w:t>
      </w:r>
      <w:r>
        <w:rPr>
          <w:noProof/>
        </w:rPr>
        <w:tab/>
        <w:t xml:space="preserve">Broad representation and public accountability of EFRAG’s governance structure </w:t>
      </w:r>
    </w:p>
    <w:p>
      <w:pPr>
        <w:spacing w:before="120" w:after="120"/>
        <w:jc w:val="both"/>
        <w:rPr>
          <w:rFonts w:ascii="Times New Roman" w:hAnsi="Times New Roman"/>
          <w:noProof/>
          <w:sz w:val="24"/>
          <w:szCs w:val="24"/>
          <w:lang w:eastAsia="en-GB"/>
        </w:rPr>
      </w:pPr>
      <w:r>
        <w:rPr>
          <w:rFonts w:ascii="Times New Roman" w:hAnsi="Times New Roman"/>
          <w:noProof/>
          <w:sz w:val="24"/>
          <w:szCs w:val="24"/>
          <w:lang w:eastAsia="en-GB"/>
        </w:rPr>
        <w:t>Overall the approach to the governance structure of EFRAG in promoting broad representation of interests and public accountability has been positive.</w:t>
      </w:r>
    </w:p>
    <w:p>
      <w:pPr>
        <w:spacing w:before="120" w:after="120"/>
        <w:jc w:val="both"/>
        <w:rPr>
          <w:rFonts w:ascii="Times New Roman" w:hAnsi="Times New Roman"/>
          <w:noProof/>
          <w:sz w:val="24"/>
          <w:szCs w:val="24"/>
          <w:lang w:eastAsia="en-GB"/>
        </w:rPr>
      </w:pPr>
      <w:r>
        <w:rPr>
          <w:rFonts w:ascii="Times New Roman" w:hAnsi="Times New Roman"/>
          <w:noProof/>
          <w:sz w:val="24"/>
          <w:szCs w:val="24"/>
          <w:lang w:eastAsia="en-GB"/>
        </w:rPr>
        <w:t>The EFRAG Board receives a regular report of all meetings between EFRAG personnel and other parties (other than routine administrative meetings). These reports in aggregated form are included in the final grant reports that EFRAG submits to the Commission. EFRAG is ready to engage with the Commission to achieve even higher standards of transparency than it is currently applying to give further insight in meetings of the EFRAG leadership with external stakeholders in the context of EFRAG’s public interest mission.</w:t>
      </w:r>
    </w:p>
    <w:p>
      <w:pPr>
        <w:spacing w:before="120" w:after="120"/>
        <w:jc w:val="both"/>
        <w:rPr>
          <w:rFonts w:ascii="Times New Roman" w:hAnsi="Times New Roman"/>
          <w:noProof/>
          <w:sz w:val="24"/>
          <w:szCs w:val="24"/>
          <w:lang w:eastAsia="en-GB"/>
        </w:rPr>
      </w:pPr>
      <w:r>
        <w:rPr>
          <w:rFonts w:ascii="Times New Roman" w:hAnsi="Times New Roman"/>
          <w:noProof/>
          <w:sz w:val="24"/>
          <w:szCs w:val="24"/>
          <w:lang w:eastAsia="en-GB"/>
        </w:rPr>
        <w:t xml:space="preserve">EFRAG strives for a proper geographical, professional background and gender balances in its Board, Technical Expert Group (EFRAG TEG) and its Working Groups and Advisory Panels and the European Lab Steering Group and its project task forces.  The requirements are included in the EFRAG Internal Rules for a maximum number of members of the same nationality in the EFRAG Board and EFRAG TEG and these requirements have also been applied for the establishment for the first European Lab Steering Group. In addition, there are requirements for proper balance in terms of professional background and gender. </w:t>
      </w:r>
    </w:p>
    <w:p>
      <w:pPr>
        <w:spacing w:before="120" w:after="120"/>
        <w:jc w:val="both"/>
        <w:rPr>
          <w:rFonts w:ascii="Times New Roman" w:hAnsi="Times New Roman"/>
          <w:noProof/>
          <w:sz w:val="24"/>
          <w:szCs w:val="24"/>
          <w:lang w:eastAsia="en-GB"/>
        </w:rPr>
      </w:pPr>
      <w:r>
        <w:rPr>
          <w:rFonts w:ascii="Times New Roman" w:hAnsi="Times New Roman"/>
          <w:noProof/>
          <w:sz w:val="24"/>
          <w:szCs w:val="24"/>
          <w:lang w:eastAsia="en-GB"/>
        </w:rPr>
        <w:t xml:space="preserve">The members of the EFRAG Board are nominated by the EFRAG Member Organisations according to a system put in place following the Maystadt recommendations. For EFRAG TEG and its Working Groups and Advisory Panels and of the European Lab Steering Group and its project task forces calls for candidates are issued and widely disseminated. </w:t>
      </w:r>
    </w:p>
    <w:p>
      <w:pPr>
        <w:spacing w:before="120" w:after="120"/>
        <w:jc w:val="both"/>
        <w:rPr>
          <w:rFonts w:ascii="Times New Roman" w:hAnsi="Times New Roman"/>
          <w:noProof/>
          <w:sz w:val="24"/>
          <w:szCs w:val="24"/>
          <w:lang w:eastAsia="en-GB"/>
        </w:rPr>
      </w:pPr>
      <w:r>
        <w:rPr>
          <w:rFonts w:ascii="Times New Roman" w:hAnsi="Times New Roman"/>
          <w:noProof/>
          <w:sz w:val="24"/>
          <w:szCs w:val="24"/>
          <w:lang w:eastAsia="en-GB"/>
        </w:rPr>
        <w:t xml:space="preserve">The number of applications differs widely  but there is in particular a shortage in female candidates and candidates from Central and Eastern Europe. However, EFRAG has been able to attract for the European Lab Steering Group and its project task force a higher number of female candidates and candidates from Central and Eastern Europe (see situation in details per 31 December 2018  in </w:t>
      </w:r>
      <w:r>
        <w:rPr>
          <w:rFonts w:ascii="Times New Roman" w:hAnsi="Times New Roman"/>
          <w:i/>
          <w:noProof/>
          <w:sz w:val="24"/>
          <w:szCs w:val="24"/>
          <w:lang w:eastAsia="en-GB"/>
        </w:rPr>
        <w:t>Appendix 4)</w:t>
      </w:r>
      <w:r>
        <w:rPr>
          <w:rFonts w:ascii="Times New Roman" w:hAnsi="Times New Roman"/>
          <w:noProof/>
          <w:sz w:val="24"/>
          <w:szCs w:val="24"/>
          <w:lang w:eastAsia="en-GB"/>
        </w:rPr>
        <w:t>.</w:t>
      </w:r>
    </w:p>
    <w:p>
      <w:pPr>
        <w:spacing w:before="120" w:after="120"/>
        <w:jc w:val="both"/>
        <w:rPr>
          <w:rFonts w:ascii="Times New Roman" w:hAnsi="Times New Roman"/>
          <w:noProof/>
          <w:sz w:val="24"/>
          <w:szCs w:val="24"/>
          <w:lang w:eastAsia="en-GB"/>
        </w:rPr>
      </w:pPr>
      <w:r>
        <w:rPr>
          <w:rFonts w:ascii="Times New Roman" w:hAnsi="Times New Roman"/>
          <w:noProof/>
          <w:sz w:val="24"/>
          <w:szCs w:val="24"/>
          <w:lang w:eastAsia="en-GB"/>
        </w:rPr>
        <w:t>However, although the overall results of these actions were very positive, some reservation remains regarding the ability to capture the full breadth of stakeholders’ views in Europe. EFRAG should remain pro-active in seeking feedback from stakeholders less closely involved in  EFRAG’s work but affected by it, or from groups of stakeholders outside EFRAG’s immediate sphere.</w:t>
      </w:r>
    </w:p>
    <w:p>
      <w:pPr>
        <w:pStyle w:val="ManualHeading1"/>
        <w:rPr>
          <w:noProof/>
        </w:rPr>
      </w:pPr>
      <w:r>
        <w:rPr>
          <w:noProof/>
        </w:rPr>
        <w:t>3.2.4.</w:t>
      </w:r>
      <w:r>
        <w:rPr>
          <w:noProof/>
        </w:rPr>
        <w:tab/>
        <w:t>Early stage involvement of the European Parliament and the Council</w:t>
      </w:r>
    </w:p>
    <w:p>
      <w:pPr>
        <w:spacing w:before="120" w:after="120"/>
        <w:jc w:val="both"/>
        <w:rPr>
          <w:rFonts w:ascii="Times New Roman" w:hAnsi="Times New Roman"/>
          <w:noProof/>
          <w:sz w:val="24"/>
          <w:szCs w:val="24"/>
          <w:lang w:eastAsia="en-GB"/>
        </w:rPr>
      </w:pPr>
      <w:r>
        <w:rPr>
          <w:rFonts w:ascii="Times New Roman" w:hAnsi="Times New Roman"/>
          <w:noProof/>
          <w:sz w:val="24"/>
          <w:szCs w:val="24"/>
          <w:lang w:eastAsia="en-GB"/>
        </w:rPr>
        <w:t>EFRAG exchanges views with the European Parliament’s ECON IFRS Permanent Team to allow Members of the European Parliament to give input to EFRAG’s activities and to update them on EFRAG’s main activities in all stages of the process. One meeting took place in March 2018 to exchange views on EFRAG’s activities and notably on IFRS 17. The European Parliament issued a Resolution of 3 October 2018 on IFRS 17. An exchange of views that took place with the EFRAG Board President and the EFRAG Technical Expert Group (EFRAG TEG) Chairman with ECON in its public meeting on 17 May 2018.</w:t>
      </w:r>
    </w:p>
    <w:p>
      <w:pPr>
        <w:spacing w:before="120" w:after="120"/>
        <w:jc w:val="both"/>
        <w:rPr>
          <w:rFonts w:ascii="Times New Roman" w:hAnsi="Times New Roman"/>
          <w:noProof/>
          <w:sz w:val="24"/>
          <w:szCs w:val="24"/>
          <w:lang w:eastAsia="en-GB"/>
        </w:rPr>
      </w:pPr>
      <w:r>
        <w:rPr>
          <w:rFonts w:ascii="Times New Roman" w:hAnsi="Times New Roman"/>
          <w:noProof/>
          <w:sz w:val="24"/>
          <w:szCs w:val="24"/>
          <w:lang w:eastAsia="en-GB"/>
        </w:rPr>
        <w:t>EFRAG is always invited by the Commission to attend the Accounting Regulatory Committee (ARC) meetings and at the request of the Commission gives presentations at each of these meetings of work in progress and its opinions on particular topics. This allows the ARC to exchange views with EFRAG and to give early input. The ARC discusses the endorsement advice request letters before they are submitted to EFRAG to ensure that all European  interests are addressed.</w:t>
      </w:r>
    </w:p>
    <w:p>
      <w:pPr>
        <w:spacing w:before="120" w:after="120"/>
        <w:jc w:val="both"/>
        <w:rPr>
          <w:rFonts w:ascii="Times New Roman" w:hAnsi="Times New Roman"/>
          <w:noProof/>
          <w:sz w:val="24"/>
          <w:szCs w:val="24"/>
          <w:lang w:eastAsia="en-GB"/>
        </w:rPr>
      </w:pPr>
      <w:r>
        <w:rPr>
          <w:rFonts w:ascii="Times New Roman" w:hAnsi="Times New Roman"/>
          <w:noProof/>
          <w:sz w:val="24"/>
          <w:szCs w:val="24"/>
          <w:lang w:eastAsia="en-GB"/>
        </w:rPr>
        <w:t>Receiving input from the Parliament and ARC at an early stage allows EFRAG to include the issues in its draft comment letter or draft endorsement advice for public consultation.</w:t>
      </w:r>
    </w:p>
    <w:p>
      <w:pPr>
        <w:pStyle w:val="ManualHeading1"/>
        <w:rPr>
          <w:noProof/>
        </w:rPr>
      </w:pPr>
      <w:r>
        <w:rPr>
          <w:noProof/>
        </w:rPr>
        <w:t>3.2.5.</w:t>
      </w:r>
      <w:r>
        <w:rPr>
          <w:noProof/>
        </w:rPr>
        <w:tab/>
        <w:t xml:space="preserve">Diversification and balance of EFRAG’s financing structure </w:t>
      </w:r>
    </w:p>
    <w:p>
      <w:pPr>
        <w:spacing w:before="120" w:after="120"/>
        <w:jc w:val="both"/>
        <w:rPr>
          <w:rFonts w:ascii="Times New Roman" w:hAnsi="Times New Roman"/>
          <w:noProof/>
          <w:sz w:val="24"/>
        </w:rPr>
      </w:pPr>
      <w:r>
        <w:rPr>
          <w:rFonts w:ascii="Times New Roman" w:hAnsi="Times New Roman"/>
          <w:noProof/>
          <w:sz w:val="24"/>
        </w:rPr>
        <w:t xml:space="preserve">EFRAG is a publicly and privately funded organisation working in the European public interest. EFRAG has the legal form of an AISBL (Belgian international non-profit organisation). </w:t>
      </w:r>
    </w:p>
    <w:p>
      <w:pPr>
        <w:spacing w:before="120" w:after="120"/>
        <w:jc w:val="both"/>
        <w:rPr>
          <w:rFonts w:ascii="Times New Roman" w:hAnsi="Times New Roman"/>
          <w:noProof/>
          <w:sz w:val="24"/>
        </w:rPr>
      </w:pPr>
      <w:r>
        <w:rPr>
          <w:rFonts w:ascii="Times New Roman" w:hAnsi="Times New Roman"/>
          <w:noProof/>
          <w:sz w:val="24"/>
        </w:rPr>
        <w:t xml:space="preserve">EFRAG’s Member Organisations comprise eight European Stakeholder Organisations, nine National Organisations, plus the European Commission. </w:t>
      </w:r>
    </w:p>
    <w:p>
      <w:pPr>
        <w:spacing w:before="120" w:after="120"/>
        <w:jc w:val="both"/>
        <w:rPr>
          <w:rFonts w:ascii="Times New Roman" w:hAnsi="Times New Roman"/>
          <w:i/>
          <w:noProof/>
          <w:sz w:val="24"/>
        </w:rPr>
      </w:pPr>
      <w:r>
        <w:rPr>
          <w:rFonts w:ascii="Times New Roman" w:hAnsi="Times New Roman"/>
          <w:noProof/>
          <w:sz w:val="24"/>
        </w:rPr>
        <w:t xml:space="preserve">The breakdown of the cash contributions by member organisations is reported  in </w:t>
      </w:r>
      <w:r>
        <w:rPr>
          <w:rFonts w:ascii="Times New Roman" w:hAnsi="Times New Roman"/>
          <w:i/>
          <w:noProof/>
          <w:sz w:val="24"/>
        </w:rPr>
        <w:t xml:space="preserve">Appendix 3. </w:t>
      </w:r>
    </w:p>
    <w:p>
      <w:pPr>
        <w:spacing w:before="120" w:after="120"/>
        <w:jc w:val="both"/>
        <w:rPr>
          <w:rFonts w:ascii="Times New Roman" w:hAnsi="Times New Roman"/>
          <w:noProof/>
          <w:sz w:val="24"/>
        </w:rPr>
      </w:pPr>
      <w:r>
        <w:rPr>
          <w:rFonts w:ascii="Times New Roman" w:hAnsi="Times New Roman"/>
          <w:noProof/>
          <w:sz w:val="24"/>
        </w:rPr>
        <w:t>In addition to cash funding, EFRAG receives contributions in kind provided by the members of EFRAG TEG, the EFRAG Board, the Working Groups and Advisory Panels as well as in form of free secondments.</w:t>
      </w:r>
    </w:p>
    <w:p>
      <w:pPr>
        <w:spacing w:before="120" w:after="120"/>
        <w:jc w:val="both"/>
        <w:rPr>
          <w:rFonts w:ascii="Times New Roman" w:hAnsi="Times New Roman"/>
          <w:noProof/>
          <w:sz w:val="24"/>
        </w:rPr>
      </w:pPr>
      <w:r>
        <w:rPr>
          <w:rFonts w:ascii="Times New Roman" w:hAnsi="Times New Roman"/>
          <w:noProof/>
          <w:sz w:val="24"/>
        </w:rPr>
        <w:t>In 2019, EFRAG is seeking to broaden its membership base and to widen its geographical representation. In particular, it will be reviewing its finance structure aiming at a long-term sustainable finance structure following a request from Accountancy Europe to reduce its membership contribution as from 2019 onwards and the possible financial implications if Financial Reporting Council, the regulator in the UK and Ireland for auditors, accountants and actuaries was to withdraw due to Brexit.</w:t>
      </w:r>
    </w:p>
    <w:p>
      <w:pPr>
        <w:pStyle w:val="ManualHeading1"/>
        <w:numPr>
          <w:ilvl w:val="0"/>
          <w:numId w:val="6"/>
        </w:numPr>
        <w:rPr>
          <w:noProof/>
        </w:rPr>
      </w:pPr>
      <w:r>
        <w:rPr>
          <w:noProof/>
        </w:rPr>
        <w:t>Public Interest Oversight Board</w:t>
      </w:r>
    </w:p>
    <w:p>
      <w:pPr>
        <w:pStyle w:val="ManualHeading1"/>
        <w:rPr>
          <w:noProof/>
        </w:rPr>
      </w:pPr>
      <w:r>
        <w:rPr>
          <w:noProof/>
        </w:rPr>
        <w:t>4.1.</w:t>
      </w:r>
      <w:r>
        <w:rPr>
          <w:noProof/>
        </w:rPr>
        <w:tab/>
        <w:t xml:space="preserve">Activities overview  </w:t>
      </w:r>
    </w:p>
    <w:p>
      <w:pPr>
        <w:spacing w:before="120" w:after="120"/>
        <w:jc w:val="both"/>
        <w:rPr>
          <w:rFonts w:ascii="Times New Roman" w:hAnsi="Times New Roman"/>
          <w:noProof/>
          <w:sz w:val="24"/>
        </w:rPr>
      </w:pPr>
      <w:r>
        <w:rPr>
          <w:rFonts w:ascii="Times New Roman" w:hAnsi="Times New Roman"/>
          <w:noProof/>
          <w:sz w:val="24"/>
        </w:rPr>
        <w:t>The global architecture of standard setting in the field of audit, assurance, ethics and education consists of a three-tier structure made up of standard setting boards (SSB) supported by the International Federation of Accountants (IFAC), the independent oversight (PIOB), and accountability to a monitoring body of public authorities (</w:t>
      </w:r>
      <w:hyperlink r:id="rId19" w:tgtFrame="_blank" w:history="1">
        <w:r>
          <w:rPr>
            <w:rFonts w:ascii="Times New Roman" w:hAnsi="Times New Roman"/>
            <w:noProof/>
            <w:sz w:val="24"/>
          </w:rPr>
          <w:t>Monitoring Group</w:t>
        </w:r>
      </w:hyperlink>
      <w:r>
        <w:rPr>
          <w:rFonts w:ascii="Times New Roman" w:hAnsi="Times New Roman"/>
          <w:noProof/>
          <w:sz w:val="24"/>
        </w:rPr>
        <w:t>).</w:t>
      </w:r>
    </w:p>
    <w:p>
      <w:pPr>
        <w:spacing w:before="120" w:after="120"/>
        <w:jc w:val="both"/>
        <w:rPr>
          <w:rFonts w:ascii="Times New Roman" w:hAnsi="Times New Roman"/>
          <w:noProof/>
          <w:sz w:val="24"/>
        </w:rPr>
      </w:pPr>
      <w:r>
        <w:rPr>
          <w:rFonts w:ascii="Times New Roman" w:eastAsia="Times New Roman" w:hAnsi="Times New Roman"/>
          <w:noProof/>
          <w:color w:val="000000"/>
          <w:sz w:val="24"/>
          <w:szCs w:val="24"/>
        </w:rPr>
        <w:t xml:space="preserve">The PIOB is an independent external body, consisting of 10 members including its Chairman (the Commission has nominated 2 EU members of the 10) which </w:t>
      </w:r>
      <w:r>
        <w:rPr>
          <w:rFonts w:ascii="Times New Roman" w:hAnsi="Times New Roman"/>
          <w:noProof/>
          <w:sz w:val="24"/>
        </w:rPr>
        <w:t>oversees the standard setting on auditing,  ethics and education for accountants. The relevant standards are the International Standards on Auditing (ISA), the Ethics standards for accountants, and the International Education Standards (IESs). The standard setting structure is a result of the 2003 IFAC Reforms</w:t>
      </w:r>
      <w:r>
        <w:rPr>
          <w:rStyle w:val="FootnoteReference"/>
          <w:rFonts w:ascii="Times New Roman" w:hAnsi="Times New Roman"/>
          <w:noProof/>
          <w:sz w:val="24"/>
        </w:rPr>
        <w:footnoteReference w:id="13"/>
      </w:r>
      <w:r>
        <w:rPr>
          <w:rFonts w:ascii="Times New Roman" w:hAnsi="Times New Roman"/>
          <w:noProof/>
          <w:sz w:val="24"/>
        </w:rPr>
        <w:t xml:space="preserve">, which were developed as a response to high-profile corporate collapses and failures in financial reporting and auditing in a number of countries. A key reform was the establishment of the PIOB, aimed at increasing the confidence of investors and others by overseeing that the activities of the standard setting Boards related to auditing are properly responsive to the public interest. </w:t>
      </w:r>
    </w:p>
    <w:p>
      <w:pPr>
        <w:spacing w:before="120" w:after="120"/>
        <w:jc w:val="both"/>
        <w:rPr>
          <w:rFonts w:ascii="Times New Roman" w:hAnsi="Times New Roman"/>
          <w:noProof/>
          <w:sz w:val="24"/>
        </w:rPr>
      </w:pPr>
      <w:r>
        <w:rPr>
          <w:rFonts w:ascii="Times New Roman" w:hAnsi="Times New Roman"/>
          <w:noProof/>
          <w:sz w:val="24"/>
        </w:rPr>
        <w:t>The overall task of the PIOB</w:t>
      </w:r>
      <w:r>
        <w:rPr>
          <w:rFonts w:ascii="Times New Roman" w:eastAsia="Times New Roman" w:hAnsi="Times New Roman"/>
          <w:noProof/>
          <w:sz w:val="24"/>
          <w:szCs w:val="24"/>
        </w:rPr>
        <w:t xml:space="preserve"> is to guarantee that due process, oversight and transparency are respected and that the public interest is safeguarded all around the process</w:t>
      </w:r>
      <w:r>
        <w:rPr>
          <w:noProof/>
        </w:rPr>
        <w:t xml:space="preserve"> </w:t>
      </w:r>
      <w:r>
        <w:rPr>
          <w:rFonts w:ascii="Times New Roman" w:eastAsia="Times New Roman" w:hAnsi="Times New Roman"/>
          <w:noProof/>
          <w:sz w:val="24"/>
          <w:szCs w:val="24"/>
        </w:rPr>
        <w:t xml:space="preserve">comprising the proposal, development and adoption of international standard for auditors in the framework of the International Federation of Accountants. </w:t>
      </w:r>
      <w:r>
        <w:rPr>
          <w:rFonts w:ascii="Times New Roman" w:hAnsi="Times New Roman"/>
          <w:noProof/>
          <w:sz w:val="24"/>
        </w:rPr>
        <w:t xml:space="preserve">This remains critically important, as also demonstrated by recent audit scandals (eg. Carillion’s failure in the UK). </w:t>
      </w:r>
    </w:p>
    <w:p>
      <w:pPr>
        <w:spacing w:before="120" w:after="120"/>
        <w:jc w:val="both"/>
        <w:rPr>
          <w:rFonts w:ascii="Times New Roman" w:hAnsi="Times New Roman"/>
          <w:noProof/>
          <w:sz w:val="24"/>
        </w:rPr>
      </w:pPr>
      <w:r>
        <w:rPr>
          <w:rFonts w:ascii="Times New Roman" w:hAnsi="Times New Roman"/>
          <w:noProof/>
          <w:sz w:val="24"/>
        </w:rPr>
        <w:t xml:space="preserve">The PIOB also approves the nominations of the members of the standard setting boards, it agrees with their strategies and work plans, it monitors the development of the standards and verifies that all elements mentioned in the public consultations are duly taken into account. Where needed, the PIOB recommends steps to ensure that the standards effectively respond to the public interest. </w:t>
      </w:r>
    </w:p>
    <w:p>
      <w:pPr>
        <w:spacing w:before="120" w:after="120"/>
        <w:jc w:val="both"/>
        <w:rPr>
          <w:rFonts w:ascii="Times New Roman" w:hAnsi="Times New Roman"/>
          <w:noProof/>
          <w:sz w:val="24"/>
        </w:rPr>
      </w:pPr>
      <w:r>
        <w:rPr>
          <w:rFonts w:ascii="Times New Roman" w:hAnsi="Times New Roman"/>
          <w:noProof/>
          <w:sz w:val="24"/>
        </w:rPr>
        <w:t>In 2018, the PIOB</w:t>
      </w:r>
      <w:r>
        <w:rPr>
          <w:rStyle w:val="FootnoteReference"/>
          <w:rFonts w:ascii="Times New Roman" w:hAnsi="Times New Roman"/>
          <w:noProof/>
          <w:sz w:val="24"/>
        </w:rPr>
        <w:footnoteReference w:id="14"/>
      </w:r>
      <w:r>
        <w:rPr>
          <w:rFonts w:ascii="Times New Roman" w:hAnsi="Times New Roman"/>
          <w:noProof/>
          <w:sz w:val="24"/>
        </w:rPr>
        <w:t xml:space="preserve"> has regularly communicated with the Standard setting boards under its oversight (International Auditing and Assurance Standards Board (IAASB); the International Accounting Education Standards Board (IAESB) and the International Ethics Standards Board for Accountants (IESBA), their three Consultative Advisory Groups, the Compliance Advisory Panel and the Nominating Committee and IFAC leadership. </w:t>
      </w:r>
    </w:p>
    <w:p>
      <w:pPr>
        <w:spacing w:before="120" w:after="120"/>
        <w:jc w:val="both"/>
        <w:rPr>
          <w:rFonts w:ascii="Times New Roman" w:hAnsi="Times New Roman"/>
          <w:noProof/>
          <w:sz w:val="24"/>
        </w:rPr>
      </w:pPr>
      <w:r>
        <w:rPr>
          <w:rFonts w:ascii="Times New Roman" w:hAnsi="Times New Roman"/>
          <w:noProof/>
          <w:sz w:val="24"/>
        </w:rPr>
        <w:t>The PIOB has also actively participated in the Monitoring Group’s discussions on the reform of the current governance and oversight model of international audit-related standards and contributed to the development of a “Public Interest Framework” that would aim at providing a better mechanism for assessing how the public interest is captured throughout the standard setting process. The foreseen reform has been subject of an extensive public consultation</w:t>
      </w:r>
      <w:r>
        <w:rPr>
          <w:rFonts w:ascii="Times New Roman" w:hAnsi="Times New Roman"/>
          <w:bCs/>
          <w:noProof/>
          <w:sz w:val="24"/>
          <w:szCs w:val="24"/>
          <w:vertAlign w:val="superscript"/>
        </w:rPr>
        <w:footnoteReference w:id="15"/>
      </w:r>
      <w:r>
        <w:rPr>
          <w:rFonts w:ascii="Times New Roman" w:hAnsi="Times New Roman"/>
          <w:noProof/>
          <w:sz w:val="24"/>
        </w:rPr>
        <w:t xml:space="preserve"> by the Monitoring Group and the feedback</w:t>
      </w:r>
      <w:r>
        <w:rPr>
          <w:rFonts w:ascii="Times New Roman" w:hAnsi="Times New Roman"/>
          <w:bCs/>
          <w:noProof/>
          <w:sz w:val="24"/>
          <w:szCs w:val="24"/>
          <w:vertAlign w:val="superscript"/>
        </w:rPr>
        <w:footnoteReference w:id="16"/>
      </w:r>
      <w:r>
        <w:rPr>
          <w:rFonts w:ascii="Times New Roman" w:hAnsi="Times New Roman"/>
          <w:noProof/>
          <w:sz w:val="24"/>
        </w:rPr>
        <w:t xml:space="preserve"> shows widespread support among stakeholders for reform in order to increase accountability and transparency in audit-related standard setting. There is also support from all stakeholder groups for a public interest framework that is embedded throughout the standard setting process.  </w:t>
      </w:r>
    </w:p>
    <w:p>
      <w:pPr>
        <w:spacing w:before="120" w:after="120"/>
        <w:jc w:val="both"/>
        <w:rPr>
          <w:rFonts w:ascii="Times New Roman" w:hAnsi="Times New Roman"/>
          <w:noProof/>
          <w:sz w:val="24"/>
        </w:rPr>
      </w:pPr>
      <w:r>
        <w:rPr>
          <w:rFonts w:ascii="Times New Roman" w:hAnsi="Times New Roman"/>
          <w:noProof/>
          <w:sz w:val="24"/>
        </w:rPr>
        <w:t>The main achievements during the year were the approval of “ISA 540, Auditing Accounting Estimates, Including Fair Value Accounting Estimates and Related Disclosures”, the release of the Restructured and Revised Code of Ethics, and the completion of its last piece:  Inducements. All the standards approved by the PIOB in 2018 are shown in the table below.</w:t>
      </w:r>
    </w:p>
    <w:p>
      <w:pPr>
        <w:spacing w:before="120" w:after="120"/>
        <w:jc w:val="both"/>
        <w:rPr>
          <w:rFonts w:ascii="Times New Roman" w:hAnsi="Times New Roman"/>
          <w:noProof/>
          <w:sz w:val="24"/>
        </w:rPr>
      </w:pPr>
    </w:p>
    <w:tbl>
      <w:tblPr>
        <w:tblStyle w:val="TableGrid"/>
        <w:tblW w:w="9180" w:type="dxa"/>
        <w:tblLook w:val="04A0" w:firstRow="1" w:lastRow="0" w:firstColumn="1" w:lastColumn="0" w:noHBand="0" w:noVBand="1"/>
      </w:tblPr>
      <w:tblGrid>
        <w:gridCol w:w="1600"/>
        <w:gridCol w:w="1311"/>
        <w:gridCol w:w="6269"/>
      </w:tblGrid>
      <w:tr>
        <w:trPr>
          <w:trHeight w:val="613"/>
          <w:tblHeader/>
        </w:trPr>
        <w:tc>
          <w:tcPr>
            <w:tcW w:w="1600" w:type="dxa"/>
            <w:tcBorders>
              <w:top w:val="single" w:sz="4" w:space="0" w:color="auto"/>
              <w:left w:val="single" w:sz="4" w:space="0" w:color="auto"/>
              <w:bottom w:val="single" w:sz="4" w:space="0" w:color="auto"/>
              <w:right w:val="single" w:sz="4" w:space="0" w:color="auto"/>
            </w:tcBorders>
            <w:shd w:val="clear" w:color="auto" w:fill="0000FF"/>
            <w:vAlign w:val="bottom"/>
            <w:hideMark/>
          </w:tcPr>
          <w:p>
            <w:pPr>
              <w:spacing w:after="0" w:line="240" w:lineRule="auto"/>
              <w:jc w:val="both"/>
              <w:rPr>
                <w:rFonts w:ascii="Times New Roman" w:hAnsi="Times New Roman"/>
                <w:b/>
                <w:noProof/>
                <w:sz w:val="24"/>
                <w:szCs w:val="24"/>
              </w:rPr>
            </w:pPr>
            <w:r>
              <w:rPr>
                <w:rFonts w:ascii="Times New Roman" w:hAnsi="Times New Roman"/>
                <w:b/>
                <w:noProof/>
                <w:sz w:val="24"/>
                <w:szCs w:val="24"/>
              </w:rPr>
              <w:t>PIOB BOARD MEETING</w:t>
            </w:r>
          </w:p>
        </w:tc>
        <w:tc>
          <w:tcPr>
            <w:tcW w:w="1311" w:type="dxa"/>
            <w:tcBorders>
              <w:top w:val="single" w:sz="4" w:space="0" w:color="auto"/>
              <w:left w:val="single" w:sz="4" w:space="0" w:color="auto"/>
              <w:bottom w:val="single" w:sz="4" w:space="0" w:color="auto"/>
              <w:right w:val="single" w:sz="4" w:space="0" w:color="auto"/>
            </w:tcBorders>
            <w:shd w:val="clear" w:color="auto" w:fill="0000FF"/>
            <w:vAlign w:val="bottom"/>
            <w:hideMark/>
          </w:tcPr>
          <w:p>
            <w:pPr>
              <w:spacing w:after="0" w:line="240" w:lineRule="auto"/>
              <w:jc w:val="both"/>
              <w:rPr>
                <w:rFonts w:ascii="Times New Roman" w:hAnsi="Times New Roman"/>
                <w:b/>
                <w:noProof/>
                <w:sz w:val="24"/>
                <w:szCs w:val="24"/>
              </w:rPr>
            </w:pPr>
            <w:r>
              <w:rPr>
                <w:rFonts w:ascii="Times New Roman" w:hAnsi="Times New Roman"/>
                <w:b/>
                <w:noProof/>
                <w:sz w:val="24"/>
                <w:szCs w:val="24"/>
              </w:rPr>
              <w:t>SSB</w:t>
            </w:r>
          </w:p>
        </w:tc>
        <w:tc>
          <w:tcPr>
            <w:tcW w:w="6269" w:type="dxa"/>
            <w:tcBorders>
              <w:top w:val="single" w:sz="4" w:space="0" w:color="auto"/>
              <w:left w:val="single" w:sz="4" w:space="0" w:color="auto"/>
              <w:bottom w:val="single" w:sz="4" w:space="0" w:color="auto"/>
              <w:right w:val="single" w:sz="4" w:space="0" w:color="auto"/>
            </w:tcBorders>
            <w:shd w:val="clear" w:color="auto" w:fill="0000FF"/>
            <w:vAlign w:val="bottom"/>
            <w:hideMark/>
          </w:tcPr>
          <w:p>
            <w:pPr>
              <w:spacing w:after="0" w:line="240" w:lineRule="auto"/>
              <w:jc w:val="both"/>
              <w:rPr>
                <w:rFonts w:ascii="Times New Roman" w:hAnsi="Times New Roman"/>
                <w:b/>
                <w:noProof/>
                <w:sz w:val="24"/>
                <w:szCs w:val="24"/>
              </w:rPr>
            </w:pPr>
            <w:r>
              <w:rPr>
                <w:rFonts w:ascii="Times New Roman" w:hAnsi="Times New Roman"/>
                <w:b/>
                <w:noProof/>
                <w:sz w:val="24"/>
                <w:szCs w:val="24"/>
              </w:rPr>
              <w:t>STANDARD</w:t>
            </w:r>
          </w:p>
        </w:tc>
      </w:tr>
      <w:tr>
        <w:trPr>
          <w:trHeight w:val="626"/>
        </w:trPr>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after="0" w:line="240" w:lineRule="auto"/>
              <w:jc w:val="both"/>
              <w:rPr>
                <w:rFonts w:ascii="Times New Roman" w:hAnsi="Times New Roman"/>
                <w:noProof/>
                <w:sz w:val="24"/>
                <w:szCs w:val="24"/>
              </w:rPr>
            </w:pPr>
            <w:r>
              <w:rPr>
                <w:rFonts w:ascii="Times New Roman" w:hAnsi="Times New Roman"/>
                <w:noProof/>
                <w:sz w:val="24"/>
                <w:szCs w:val="24"/>
              </w:rPr>
              <w:t>March</w:t>
            </w:r>
          </w:p>
          <w:p>
            <w:pPr>
              <w:spacing w:after="0" w:line="240" w:lineRule="auto"/>
              <w:jc w:val="both"/>
              <w:rPr>
                <w:rFonts w:ascii="Times New Roman" w:hAnsi="Times New Roman"/>
                <w:noProof/>
                <w:sz w:val="24"/>
                <w:szCs w:val="24"/>
              </w:rPr>
            </w:pPr>
          </w:p>
        </w:tc>
        <w:tc>
          <w:tcPr>
            <w:tcW w:w="13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spacing w:after="0" w:line="240" w:lineRule="auto"/>
              <w:jc w:val="both"/>
              <w:rPr>
                <w:rFonts w:ascii="Times New Roman" w:hAnsi="Times New Roman"/>
                <w:noProof/>
                <w:sz w:val="24"/>
                <w:szCs w:val="24"/>
              </w:rPr>
            </w:pPr>
            <w:r>
              <w:rPr>
                <w:rFonts w:ascii="Times New Roman" w:hAnsi="Times New Roman"/>
                <w:noProof/>
                <w:sz w:val="24"/>
                <w:szCs w:val="24"/>
              </w:rPr>
              <w:t>IESBA</w:t>
            </w:r>
          </w:p>
        </w:tc>
        <w:tc>
          <w:tcPr>
            <w:tcW w:w="6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spacing w:after="0" w:line="240" w:lineRule="auto"/>
              <w:jc w:val="both"/>
              <w:rPr>
                <w:rFonts w:ascii="Times New Roman" w:hAnsi="Times New Roman"/>
                <w:noProof/>
                <w:sz w:val="24"/>
                <w:szCs w:val="24"/>
              </w:rPr>
            </w:pPr>
            <w:r>
              <w:rPr>
                <w:rFonts w:ascii="Times New Roman" w:hAnsi="Times New Roman"/>
                <w:noProof/>
                <w:sz w:val="24"/>
                <w:szCs w:val="24"/>
              </w:rPr>
              <w:t>“International Code of Ethics for Professional Accountants (including International Independence Standards)” – (The “Restructured and Revised Code”)</w:t>
            </w:r>
          </w:p>
        </w:tc>
      </w:tr>
      <w:tr>
        <w:trPr>
          <w:trHeight w:val="613"/>
        </w:trPr>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spacing w:after="0" w:line="240" w:lineRule="auto"/>
              <w:jc w:val="both"/>
              <w:rPr>
                <w:rFonts w:ascii="Times New Roman" w:hAnsi="Times New Roman"/>
                <w:noProof/>
                <w:sz w:val="24"/>
                <w:szCs w:val="24"/>
              </w:rPr>
            </w:pPr>
            <w:r>
              <w:rPr>
                <w:rFonts w:ascii="Times New Roman" w:hAnsi="Times New Roman"/>
                <w:noProof/>
                <w:sz w:val="24"/>
                <w:szCs w:val="24"/>
              </w:rPr>
              <w:t>March</w:t>
            </w:r>
          </w:p>
        </w:tc>
        <w:tc>
          <w:tcPr>
            <w:tcW w:w="13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spacing w:after="0" w:line="240" w:lineRule="auto"/>
              <w:jc w:val="both"/>
              <w:rPr>
                <w:rFonts w:ascii="Times New Roman" w:hAnsi="Times New Roman"/>
                <w:noProof/>
                <w:sz w:val="24"/>
                <w:szCs w:val="24"/>
              </w:rPr>
            </w:pPr>
            <w:r>
              <w:rPr>
                <w:rFonts w:ascii="Times New Roman" w:hAnsi="Times New Roman"/>
                <w:noProof/>
                <w:sz w:val="24"/>
                <w:szCs w:val="24"/>
              </w:rPr>
              <w:t>IESBA</w:t>
            </w:r>
          </w:p>
        </w:tc>
        <w:tc>
          <w:tcPr>
            <w:tcW w:w="6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spacing w:after="0" w:line="240" w:lineRule="auto"/>
              <w:jc w:val="both"/>
              <w:rPr>
                <w:rFonts w:ascii="Times New Roman" w:hAnsi="Times New Roman"/>
                <w:noProof/>
                <w:sz w:val="24"/>
                <w:szCs w:val="24"/>
              </w:rPr>
            </w:pPr>
            <w:r>
              <w:rPr>
                <w:rFonts w:ascii="Times New Roman" w:hAnsi="Times New Roman"/>
                <w:noProof/>
                <w:sz w:val="24"/>
                <w:szCs w:val="24"/>
              </w:rPr>
              <w:t>“Revisions pertaining to Safeguards in the Code”</w:t>
            </w:r>
          </w:p>
        </w:tc>
      </w:tr>
      <w:tr>
        <w:trPr>
          <w:trHeight w:val="613"/>
        </w:trPr>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spacing w:after="0" w:line="240" w:lineRule="auto"/>
              <w:jc w:val="both"/>
              <w:rPr>
                <w:rFonts w:ascii="Times New Roman" w:hAnsi="Times New Roman"/>
                <w:noProof/>
                <w:sz w:val="24"/>
                <w:szCs w:val="24"/>
              </w:rPr>
            </w:pPr>
            <w:r>
              <w:rPr>
                <w:rFonts w:ascii="Times New Roman" w:hAnsi="Times New Roman"/>
                <w:noProof/>
                <w:sz w:val="24"/>
                <w:szCs w:val="24"/>
              </w:rPr>
              <w:t>June</w:t>
            </w:r>
          </w:p>
        </w:tc>
        <w:tc>
          <w:tcPr>
            <w:tcW w:w="13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spacing w:after="0" w:line="240" w:lineRule="auto"/>
              <w:jc w:val="both"/>
              <w:rPr>
                <w:rFonts w:ascii="Times New Roman" w:hAnsi="Times New Roman"/>
                <w:noProof/>
                <w:sz w:val="24"/>
                <w:szCs w:val="24"/>
              </w:rPr>
            </w:pPr>
            <w:r>
              <w:rPr>
                <w:rFonts w:ascii="Times New Roman" w:hAnsi="Times New Roman"/>
                <w:noProof/>
                <w:sz w:val="24"/>
                <w:szCs w:val="24"/>
              </w:rPr>
              <w:t>IESBA</w:t>
            </w:r>
          </w:p>
        </w:tc>
        <w:tc>
          <w:tcPr>
            <w:tcW w:w="6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spacing w:after="0" w:line="240" w:lineRule="auto"/>
              <w:jc w:val="both"/>
              <w:rPr>
                <w:rFonts w:ascii="Times New Roman" w:hAnsi="Times New Roman"/>
                <w:noProof/>
                <w:sz w:val="24"/>
                <w:szCs w:val="24"/>
              </w:rPr>
            </w:pPr>
            <w:r>
              <w:rPr>
                <w:rFonts w:ascii="Times New Roman" w:hAnsi="Times New Roman"/>
                <w:noProof/>
                <w:sz w:val="24"/>
                <w:szCs w:val="24"/>
              </w:rPr>
              <w:t>“Revisions to the Code pertaining to the Offering and Accepting of Inducements”</w:t>
            </w:r>
          </w:p>
        </w:tc>
      </w:tr>
      <w:tr>
        <w:trPr>
          <w:trHeight w:val="613"/>
        </w:trPr>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spacing w:after="0" w:line="240" w:lineRule="auto"/>
              <w:jc w:val="both"/>
              <w:rPr>
                <w:rFonts w:ascii="Times New Roman" w:hAnsi="Times New Roman"/>
                <w:noProof/>
                <w:sz w:val="24"/>
                <w:szCs w:val="24"/>
              </w:rPr>
            </w:pPr>
            <w:r>
              <w:rPr>
                <w:rFonts w:ascii="Times New Roman" w:hAnsi="Times New Roman"/>
                <w:noProof/>
                <w:sz w:val="24"/>
                <w:szCs w:val="24"/>
              </w:rPr>
              <w:t>September</w:t>
            </w:r>
          </w:p>
        </w:tc>
        <w:tc>
          <w:tcPr>
            <w:tcW w:w="13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spacing w:after="0" w:line="240" w:lineRule="auto"/>
              <w:jc w:val="both"/>
              <w:rPr>
                <w:rFonts w:ascii="Times New Roman" w:hAnsi="Times New Roman"/>
                <w:noProof/>
                <w:sz w:val="24"/>
                <w:szCs w:val="24"/>
              </w:rPr>
            </w:pPr>
            <w:r>
              <w:rPr>
                <w:rFonts w:ascii="Times New Roman" w:hAnsi="Times New Roman"/>
                <w:noProof/>
                <w:sz w:val="24"/>
                <w:szCs w:val="24"/>
              </w:rPr>
              <w:t>IAASB</w:t>
            </w:r>
          </w:p>
        </w:tc>
        <w:tc>
          <w:tcPr>
            <w:tcW w:w="6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spacing w:after="0" w:line="240" w:lineRule="auto"/>
              <w:jc w:val="both"/>
              <w:rPr>
                <w:rFonts w:ascii="Times New Roman" w:hAnsi="Times New Roman"/>
                <w:noProof/>
                <w:sz w:val="24"/>
                <w:szCs w:val="24"/>
              </w:rPr>
            </w:pPr>
            <w:r>
              <w:rPr>
                <w:rFonts w:ascii="Times New Roman" w:hAnsi="Times New Roman"/>
                <w:noProof/>
                <w:sz w:val="24"/>
                <w:szCs w:val="24"/>
              </w:rPr>
              <w:t>“International Standards on Auditing - ISA 540 (Revised) – Auditing Accounting Estimates and Related Disclosures”</w:t>
            </w:r>
          </w:p>
        </w:tc>
      </w:tr>
      <w:tr>
        <w:trPr>
          <w:trHeight w:val="306"/>
        </w:trPr>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spacing w:after="0" w:line="240" w:lineRule="auto"/>
              <w:jc w:val="both"/>
              <w:rPr>
                <w:rFonts w:ascii="Times New Roman" w:hAnsi="Times New Roman"/>
                <w:noProof/>
                <w:sz w:val="24"/>
                <w:szCs w:val="24"/>
              </w:rPr>
            </w:pPr>
            <w:r>
              <w:rPr>
                <w:rFonts w:ascii="Times New Roman" w:hAnsi="Times New Roman"/>
                <w:noProof/>
                <w:sz w:val="24"/>
                <w:szCs w:val="24"/>
              </w:rPr>
              <w:t>September</w:t>
            </w:r>
          </w:p>
        </w:tc>
        <w:tc>
          <w:tcPr>
            <w:tcW w:w="13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spacing w:after="0" w:line="240" w:lineRule="auto"/>
              <w:jc w:val="both"/>
              <w:rPr>
                <w:rFonts w:ascii="Times New Roman" w:hAnsi="Times New Roman"/>
                <w:noProof/>
                <w:sz w:val="24"/>
                <w:szCs w:val="24"/>
              </w:rPr>
            </w:pPr>
            <w:r>
              <w:rPr>
                <w:rFonts w:ascii="Times New Roman" w:hAnsi="Times New Roman"/>
                <w:noProof/>
                <w:sz w:val="24"/>
                <w:szCs w:val="24"/>
              </w:rPr>
              <w:t>IAESB</w:t>
            </w:r>
          </w:p>
        </w:tc>
        <w:tc>
          <w:tcPr>
            <w:tcW w:w="6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spacing w:after="0" w:line="240" w:lineRule="auto"/>
              <w:jc w:val="both"/>
              <w:rPr>
                <w:rFonts w:ascii="Times New Roman" w:hAnsi="Times New Roman"/>
                <w:noProof/>
                <w:sz w:val="24"/>
                <w:szCs w:val="24"/>
              </w:rPr>
            </w:pPr>
            <w:r>
              <w:rPr>
                <w:rFonts w:ascii="Times New Roman" w:hAnsi="Times New Roman"/>
                <w:noProof/>
                <w:sz w:val="24"/>
                <w:szCs w:val="24"/>
              </w:rPr>
              <w:t>“International Education Standard - IES 7 (Revised) – Continuing Professional Development”</w:t>
            </w:r>
          </w:p>
        </w:tc>
      </w:tr>
    </w:tbl>
    <w:p>
      <w:pPr>
        <w:pStyle w:val="ManualHeading1"/>
        <w:rPr>
          <w:noProof/>
        </w:rPr>
      </w:pPr>
      <w:r>
        <w:rPr>
          <w:noProof/>
        </w:rPr>
        <w:t>4.2.</w:t>
      </w:r>
      <w:r>
        <w:rPr>
          <w:noProof/>
        </w:rPr>
        <w:tab/>
        <w:t>Governance and accountability</w:t>
      </w:r>
    </w:p>
    <w:p>
      <w:pPr>
        <w:spacing w:before="120" w:after="120"/>
        <w:jc w:val="both"/>
        <w:rPr>
          <w:rFonts w:ascii="Times New Roman" w:hAnsi="Times New Roman"/>
          <w:noProof/>
          <w:sz w:val="24"/>
        </w:rPr>
      </w:pPr>
      <w:r>
        <w:rPr>
          <w:rFonts w:ascii="Times New Roman" w:hAnsi="Times New Roman"/>
          <w:noProof/>
          <w:sz w:val="24"/>
        </w:rPr>
        <w:t xml:space="preserve">The members of the PIOB are appointed by the Monitoring Group which is ultimately responsible for the overall governance arrangements in the field of international standards on auditing, assurance, ethics and education. </w:t>
      </w:r>
    </w:p>
    <w:p>
      <w:pPr>
        <w:spacing w:before="120" w:after="120"/>
        <w:jc w:val="both"/>
        <w:rPr>
          <w:rFonts w:ascii="Times New Roman" w:hAnsi="Times New Roman"/>
          <w:noProof/>
          <w:sz w:val="24"/>
        </w:rPr>
      </w:pPr>
      <w:r>
        <w:rPr>
          <w:rFonts w:ascii="Times New Roman" w:hAnsi="Times New Roman"/>
          <w:noProof/>
          <w:sz w:val="24"/>
        </w:rPr>
        <w:t>The Monitoring Group, of which the European Commission is a member, monitors how the PIOB carries out its public interest role with particular regard to the PIOB's oversight of the standard setting process.</w:t>
      </w:r>
      <w:r>
        <w:rPr>
          <w:rFonts w:ascii="Times New Roman" w:eastAsia="Times New Roman" w:hAnsi="Times New Roman"/>
          <w:noProof/>
          <w:sz w:val="24"/>
          <w:szCs w:val="24"/>
        </w:rPr>
        <w:t xml:space="preserve"> </w:t>
      </w:r>
    </w:p>
    <w:p>
      <w:pPr>
        <w:spacing w:before="120" w:after="120"/>
        <w:jc w:val="both"/>
        <w:rPr>
          <w:rFonts w:ascii="Times New Roman" w:hAnsi="Times New Roman"/>
          <w:noProof/>
          <w:sz w:val="24"/>
        </w:rPr>
      </w:pPr>
      <w:r>
        <w:rPr>
          <w:rFonts w:ascii="Times New Roman" w:hAnsi="Times New Roman"/>
          <w:noProof/>
          <w:sz w:val="24"/>
        </w:rPr>
        <w:t>As regards potential situation of conflicts of interest, PIOB members and staff need to abide by the PIOB Code of Conduct. The first principle of the PIOB Code of Conduct states that Board members and staff must not become involved in any matter in relation to which their judgement may be affected by a conflict of interest. Every year, each Board member signs a declaration of absence of conflicts of interest. No conflicts of interests have been reported by any of the PIOB´s Board members in 2018.</w:t>
      </w:r>
    </w:p>
    <w:p>
      <w:pPr>
        <w:spacing w:before="120" w:after="120"/>
        <w:jc w:val="both"/>
        <w:rPr>
          <w:rFonts w:ascii="Times New Roman" w:hAnsi="Times New Roman"/>
          <w:noProof/>
          <w:sz w:val="24"/>
        </w:rPr>
      </w:pPr>
      <w:r>
        <w:rPr>
          <w:rFonts w:ascii="Times New Roman" w:hAnsi="Times New Roman"/>
          <w:noProof/>
          <w:sz w:val="24"/>
        </w:rPr>
        <w:t xml:space="preserve">The Code also requires Board members and staff to conduct themselves in a manner that befits their status as members of an international organization that is focused on protecting the Public Interest by behaving in a manner consistent with integrity, impartiality and discretion. </w:t>
      </w:r>
    </w:p>
    <w:p>
      <w:pPr>
        <w:pStyle w:val="ManualHeading1"/>
        <w:rPr>
          <w:noProof/>
        </w:rPr>
      </w:pPr>
      <w:r>
        <w:rPr>
          <w:noProof/>
        </w:rPr>
        <w:t>4.3.</w:t>
      </w:r>
      <w:r>
        <w:rPr>
          <w:noProof/>
        </w:rPr>
        <w:tab/>
        <w:t>Developments in the diversification of funding in 2018</w:t>
      </w:r>
    </w:p>
    <w:p>
      <w:pPr>
        <w:spacing w:before="120" w:after="120"/>
        <w:jc w:val="both"/>
        <w:rPr>
          <w:rFonts w:ascii="Times New Roman" w:hAnsi="Times New Roman"/>
          <w:noProof/>
          <w:sz w:val="24"/>
        </w:rPr>
      </w:pPr>
      <w:r>
        <w:rPr>
          <w:rFonts w:ascii="Times New Roman" w:hAnsi="Times New Roman"/>
          <w:noProof/>
          <w:sz w:val="24"/>
        </w:rPr>
        <w:t>The funding of the PIOB is designed as to preserve its independence in fact and appearance. To achieve the public interest objective, proper diversification of stable funding sources would help not only to preserve its continuity but also to guarantee the PIOB’s independence. The importance of funding diversification was already recognised in the IFAC (International Federation of Accountants) reform of 2003 which was at the origin of the current international standard setting system, including the PIOB.</w:t>
      </w:r>
    </w:p>
    <w:p>
      <w:pPr>
        <w:spacing w:before="120" w:after="120"/>
        <w:jc w:val="both"/>
        <w:rPr>
          <w:rFonts w:ascii="Times New Roman" w:hAnsi="Times New Roman"/>
          <w:noProof/>
          <w:sz w:val="24"/>
        </w:rPr>
      </w:pPr>
      <w:r>
        <w:rPr>
          <w:rFonts w:ascii="Times New Roman" w:hAnsi="Times New Roman"/>
          <w:noProof/>
          <w:sz w:val="24"/>
        </w:rPr>
        <w:t>Since its creation in 2005 until 2010 when the Community funding programme established by Decision 716/2009/EC became operative, the PIOB was financed exclusively by IFAC (apart from an in-kind contribution by Spain (i.e. the rental of the Madrid office, which was valued in 2018 at EUR 128,154).</w:t>
      </w:r>
    </w:p>
    <w:p>
      <w:pPr>
        <w:spacing w:before="120" w:after="120"/>
        <w:jc w:val="both"/>
        <w:rPr>
          <w:rFonts w:ascii="Times New Roman" w:hAnsi="Times New Roman"/>
          <w:noProof/>
          <w:sz w:val="24"/>
        </w:rPr>
      </w:pPr>
      <w:r>
        <w:rPr>
          <w:rFonts w:ascii="Times New Roman" w:hAnsi="Times New Roman"/>
          <w:noProof/>
          <w:sz w:val="24"/>
        </w:rPr>
        <w:t xml:space="preserve">The funds made available by IFAC in a given year constitute a maximum guaranteed contribution which is made available to the PIOB without any further interference from IFAC. The non-IFAC contributions substitute and thus reduce the IFAC contribution for that specific year. Ideally the IFAC funding portion of the total PIOB annual expenses should be less than half of the total, but it is been very challenging to find other public sponsors. </w:t>
      </w:r>
    </w:p>
    <w:p>
      <w:pPr>
        <w:spacing w:before="120" w:after="120"/>
        <w:jc w:val="both"/>
        <w:rPr>
          <w:rFonts w:ascii="Times New Roman" w:hAnsi="Times New Roman"/>
          <w:noProof/>
          <w:sz w:val="24"/>
        </w:rPr>
      </w:pPr>
      <w:r>
        <w:rPr>
          <w:rFonts w:ascii="Times New Roman" w:hAnsi="Times New Roman"/>
          <w:noProof/>
          <w:sz w:val="24"/>
        </w:rPr>
        <w:t>The EU is the second biggest donor to the PIOB. In year 2017, PIOB’s revenue (monetary and in-kind contributions) amounted to EUR 1,784,154. IFAC provided EUR 1,059,807 or 59.40%, whereas the EU contribution was EUR 325,000 or 18.21%</w:t>
      </w:r>
    </w:p>
    <w:p>
      <w:pPr>
        <w:spacing w:before="120" w:after="120"/>
        <w:jc w:val="both"/>
        <w:rPr>
          <w:rFonts w:ascii="Times New Roman" w:hAnsi="Times New Roman"/>
          <w:noProof/>
          <w:sz w:val="24"/>
        </w:rPr>
      </w:pPr>
      <w:r>
        <w:rPr>
          <w:rFonts w:ascii="Times New Roman" w:hAnsi="Times New Roman"/>
          <w:noProof/>
          <w:sz w:val="24"/>
        </w:rPr>
        <w:t xml:space="preserve">In year 2018, PIOB’s revenue (monetray and in-kind contributions) amounted to EUR 1,825,620 and the EU contribution was EUR 331,000 or 18.13%. IFAC contributed EUR 1,135,302 or 62.18%. </w:t>
      </w:r>
    </w:p>
    <w:p>
      <w:pPr>
        <w:spacing w:before="120" w:after="120"/>
        <w:jc w:val="both"/>
        <w:rPr>
          <w:rFonts w:ascii="Times New Roman" w:hAnsi="Times New Roman"/>
          <w:noProof/>
          <w:sz w:val="24"/>
        </w:rPr>
      </w:pPr>
      <w:r>
        <w:rPr>
          <w:rFonts w:ascii="Times New Roman" w:hAnsi="Times New Roman"/>
          <w:noProof/>
          <w:sz w:val="24"/>
        </w:rPr>
        <w:t xml:space="preserve">The breakdown of the monetary contributions of the organisations is reported in </w:t>
      </w:r>
      <w:r>
        <w:rPr>
          <w:rFonts w:ascii="Times New Roman" w:hAnsi="Times New Roman"/>
          <w:i/>
          <w:noProof/>
          <w:sz w:val="24"/>
        </w:rPr>
        <w:t>Appendix 5</w:t>
      </w:r>
      <w:r>
        <w:rPr>
          <w:rFonts w:ascii="Times New Roman" w:hAnsi="Times New Roman"/>
          <w:noProof/>
          <w:sz w:val="24"/>
        </w:rPr>
        <w:t>.</w:t>
      </w:r>
    </w:p>
    <w:p>
      <w:pPr>
        <w:spacing w:before="120" w:after="120"/>
        <w:jc w:val="both"/>
        <w:rPr>
          <w:rFonts w:ascii="Times New Roman" w:hAnsi="Times New Roman"/>
          <w:noProof/>
          <w:sz w:val="24"/>
        </w:rPr>
      </w:pPr>
      <w:r>
        <w:rPr>
          <w:rFonts w:ascii="Times New Roman" w:hAnsi="Times New Roman"/>
          <w:noProof/>
          <w:sz w:val="24"/>
        </w:rPr>
        <w:t>Article 9.5 of the Regulation stipulates that if funding by IFAC in a given year reaches more than two-thirds of the total annual PIOB funding, the Commission must propose to limit its annual contribution for that year to a maximum of EUR 300,000. In year 2018 (as in 2014- 2016), this has not been the case. Therefore, as the critical threshold stipulated in the Regulation (66.66%) has not been reached by the IFAC funding, the Commission does not need to review its 2018 contribution to the PIOB.</w:t>
      </w:r>
    </w:p>
    <w:p>
      <w:pPr>
        <w:pStyle w:val="ManualHeading1"/>
        <w:rPr>
          <w:rFonts w:eastAsia="Calibri"/>
          <w:noProof/>
        </w:rPr>
      </w:pPr>
      <w:r>
        <w:rPr>
          <w:noProof/>
        </w:rPr>
        <w:t>5.</w:t>
      </w:r>
      <w:r>
        <w:rPr>
          <w:noProof/>
        </w:rPr>
        <w:tab/>
        <w:t>Conclusions</w:t>
      </w:r>
      <w:r>
        <w:rPr>
          <w:rFonts w:eastAsia="Calibri"/>
          <w:noProof/>
        </w:rPr>
        <w:t xml:space="preserve"> </w:t>
      </w:r>
    </w:p>
    <w:p>
      <w:pPr>
        <w:spacing w:before="120" w:after="120"/>
        <w:contextualSpacing/>
        <w:jc w:val="both"/>
        <w:rPr>
          <w:rFonts w:ascii="Times New Roman" w:hAnsi="Times New Roman"/>
          <w:noProof/>
          <w:sz w:val="24"/>
        </w:rPr>
      </w:pPr>
      <w:r>
        <w:rPr>
          <w:rFonts w:ascii="Times New Roman" w:hAnsi="Times New Roman"/>
          <w:noProof/>
          <w:sz w:val="24"/>
        </w:rPr>
        <w:t xml:space="preserve">In 2018, the Union funding programme remains fully justified in the context of the EU's efforts to establish a Capital Markets Union and to safeguard financial stability. The three beneficiaries (EFRAG, the IFRSF and the PIOB) have been in line with the annual work programme set out in the annex to Commission Implementing Decision 2018.  At this point there are no reasons to question the relevance of the programme for the remaining period of the current financial perspective.  </w:t>
      </w:r>
    </w:p>
    <w:p>
      <w:pPr>
        <w:spacing w:before="120" w:after="120"/>
        <w:contextualSpacing/>
        <w:jc w:val="both"/>
        <w:rPr>
          <w:rFonts w:ascii="Times New Roman" w:hAnsi="Times New Roman"/>
          <w:noProof/>
          <w:sz w:val="24"/>
        </w:rPr>
      </w:pPr>
    </w:p>
    <w:p>
      <w:pPr>
        <w:spacing w:before="120" w:after="120"/>
        <w:contextualSpacing/>
        <w:jc w:val="both"/>
        <w:rPr>
          <w:rFonts w:ascii="Times New Roman" w:hAnsi="Times New Roman"/>
          <w:noProof/>
          <w:sz w:val="24"/>
        </w:rPr>
      </w:pPr>
      <w:r>
        <w:rPr>
          <w:rFonts w:ascii="Times New Roman" w:hAnsi="Times New Roman"/>
          <w:noProof/>
          <w:sz w:val="24"/>
        </w:rPr>
        <w:t xml:space="preserve">As regards EFRAG, the Commission has in particular appreciated the comprehensive effects analysis  initiated by EFRAG's in order to support its future endorsement advice on IFRS 17 </w:t>
      </w:r>
      <w:r>
        <w:rPr>
          <w:rFonts w:ascii="Times New Roman" w:hAnsi="Times New Roman"/>
          <w:i/>
          <w:noProof/>
          <w:sz w:val="24"/>
        </w:rPr>
        <w:t>Insurance Contracts</w:t>
      </w:r>
      <w:r>
        <w:rPr>
          <w:rFonts w:ascii="Times New Roman" w:hAnsi="Times New Roman"/>
          <w:noProof/>
          <w:sz w:val="24"/>
        </w:rPr>
        <w:t xml:space="preserve"> and its key role played to influence the discussion on </w:t>
      </w:r>
      <w:r>
        <w:rPr>
          <w:rFonts w:ascii="Times New Roman" w:hAnsi="Times New Roman"/>
          <w:i/>
          <w:noProof/>
          <w:sz w:val="24"/>
        </w:rPr>
        <w:t>Financial Instruments with Characteristics of Equity</w:t>
      </w:r>
      <w:r>
        <w:rPr>
          <w:rFonts w:ascii="Times New Roman" w:hAnsi="Times New Roman"/>
          <w:noProof/>
          <w:sz w:val="24"/>
        </w:rPr>
        <w:t xml:space="preserve"> within the IASB. In addition, the creation of the European Corporate Reporting Laboratory at the request of the Commission represents a logical extention of its mandate to provide valuable inputs to the European Commission on best practices on non-financial reporting. </w:t>
      </w:r>
    </w:p>
    <w:p>
      <w:pPr>
        <w:spacing w:before="120" w:after="120"/>
        <w:contextualSpacing/>
        <w:jc w:val="both"/>
        <w:rPr>
          <w:rFonts w:ascii="Times New Roman" w:hAnsi="Times New Roman"/>
          <w:noProof/>
          <w:sz w:val="24"/>
        </w:rPr>
      </w:pPr>
    </w:p>
    <w:p>
      <w:pPr>
        <w:spacing w:before="120" w:after="120"/>
        <w:contextualSpacing/>
        <w:jc w:val="both"/>
        <w:rPr>
          <w:rFonts w:ascii="Times New Roman" w:hAnsi="Times New Roman"/>
          <w:noProof/>
          <w:sz w:val="24"/>
        </w:rPr>
      </w:pPr>
      <w:r>
        <w:rPr>
          <w:rFonts w:ascii="Times New Roman" w:hAnsi="Times New Roman"/>
          <w:noProof/>
          <w:sz w:val="24"/>
        </w:rPr>
        <w:t>As for the IFRS Foundation, the International Accounting Standard Board undertook actions to address the concerns arising from the pre-implementation phase of IFRS 17 through a deferral of the implementation date and targetted amendments to the standard. With regards to sustainability and tax transparency disclosures, the Foundation is leaning toward a non binding approach as part of its project on Management Commentaries to the financial statements. Finally, the 2018 breakdown of funding of the Foundation highlights that the gap between the financial contributions and the representation of jurisdictions within the board of Trustees and the IASB board has further widened  from an already unbalanced situation with an especially low share of funding from the “Americas” region  which  additionaly decreased  in 2018 by 10%.</w:t>
      </w:r>
    </w:p>
    <w:p>
      <w:pPr>
        <w:spacing w:before="120" w:after="120"/>
        <w:contextualSpacing/>
        <w:jc w:val="both"/>
        <w:rPr>
          <w:rFonts w:ascii="Times New Roman" w:hAnsi="Times New Roman"/>
          <w:noProof/>
          <w:sz w:val="24"/>
        </w:rPr>
      </w:pPr>
    </w:p>
    <w:p>
      <w:pPr>
        <w:spacing w:before="120" w:after="120"/>
        <w:contextualSpacing/>
        <w:jc w:val="both"/>
        <w:rPr>
          <w:rFonts w:ascii="Times New Roman" w:hAnsi="Times New Roman"/>
          <w:noProof/>
          <w:sz w:val="24"/>
        </w:rPr>
      </w:pPr>
      <w:r>
        <w:rPr>
          <w:rFonts w:ascii="Times New Roman" w:hAnsi="Times New Roman"/>
          <w:noProof/>
          <w:sz w:val="24"/>
        </w:rPr>
        <w:t>The PIOB’s independent oversight function exists to provide assurance to investors and others that audit-related standard setting has taken place in the public interest. Although the composition and role of the PIOB is likely to evolve in the coming years pursuant to the reform process launched by the Monitoring Group, independent oversight will remain  one of the key features of any future governance model. Moreover, efforts to diversify the funding of the PIOB should continue in the meantime.</w:t>
      </w:r>
      <w:r>
        <w:rPr>
          <w:rFonts w:ascii="Times New Roman" w:hAnsi="Times New Roman"/>
          <w:noProof/>
          <w:sz w:val="24"/>
        </w:rPr>
        <w:br w:type="page"/>
      </w:r>
    </w:p>
    <w:p>
      <w:pPr>
        <w:pStyle w:val="Heading1"/>
        <w:tabs>
          <w:tab w:val="clear" w:pos="850"/>
        </w:tabs>
        <w:ind w:left="0" w:firstLine="0"/>
        <w:rPr>
          <w:rFonts w:ascii="Times New Roman" w:hAnsi="Times New Roman"/>
          <w:noProof/>
          <w:sz w:val="24"/>
          <w:szCs w:val="24"/>
        </w:rPr>
      </w:pPr>
      <w:r>
        <w:rPr>
          <w:rFonts w:ascii="Times New Roman" w:hAnsi="Times New Roman"/>
          <w:noProof/>
          <w:sz w:val="24"/>
          <w:szCs w:val="24"/>
        </w:rPr>
        <w:t>Appendix 1 – Summary of IFRS activities in 2018</w:t>
      </w:r>
    </w:p>
    <w:tbl>
      <w:tblP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6"/>
        <w:gridCol w:w="1417"/>
        <w:gridCol w:w="1417"/>
        <w:gridCol w:w="1417"/>
      </w:tblGrid>
      <w:tr>
        <w:tc>
          <w:tcPr>
            <w:tcW w:w="5896" w:type="dxa"/>
            <w:shd w:val="clear" w:color="auto" w:fill="002060"/>
          </w:tcPr>
          <w:p>
            <w:pPr>
              <w:rPr>
                <w:rFonts w:ascii="Times New Roman" w:hAnsi="Times New Roman"/>
                <w:b/>
                <w:noProof/>
                <w:sz w:val="24"/>
                <w:szCs w:val="24"/>
                <w:lang w:val="fr-BE"/>
              </w:rPr>
            </w:pPr>
            <w:r>
              <w:rPr>
                <w:rFonts w:ascii="Times New Roman" w:hAnsi="Times New Roman"/>
                <w:b/>
                <w:noProof/>
                <w:sz w:val="24"/>
                <w:szCs w:val="24"/>
                <w:lang w:val="fr-BE"/>
              </w:rPr>
              <w:t>Standard</w:t>
            </w:r>
          </w:p>
        </w:tc>
        <w:tc>
          <w:tcPr>
            <w:tcW w:w="1417" w:type="dxa"/>
            <w:shd w:val="clear" w:color="auto" w:fill="002060"/>
          </w:tcPr>
          <w:p>
            <w:pPr>
              <w:jc w:val="center"/>
              <w:rPr>
                <w:rFonts w:ascii="Times New Roman" w:hAnsi="Times New Roman"/>
                <w:b/>
                <w:noProof/>
                <w:sz w:val="24"/>
                <w:szCs w:val="24"/>
                <w:lang w:val="fr-BE"/>
              </w:rPr>
            </w:pPr>
            <w:r>
              <w:rPr>
                <w:rFonts w:ascii="Times New Roman" w:hAnsi="Times New Roman"/>
                <w:b/>
                <w:noProof/>
                <w:sz w:val="24"/>
                <w:szCs w:val="24"/>
                <w:lang w:val="fr-BE"/>
              </w:rPr>
              <w:t>IASB Issue date</w:t>
            </w:r>
          </w:p>
        </w:tc>
        <w:tc>
          <w:tcPr>
            <w:tcW w:w="1417" w:type="dxa"/>
            <w:shd w:val="clear" w:color="auto" w:fill="002060"/>
          </w:tcPr>
          <w:p>
            <w:pPr>
              <w:jc w:val="center"/>
              <w:rPr>
                <w:rFonts w:ascii="Times New Roman" w:hAnsi="Times New Roman"/>
                <w:b/>
                <w:noProof/>
                <w:sz w:val="24"/>
                <w:szCs w:val="24"/>
                <w:lang w:val="fr-BE"/>
              </w:rPr>
            </w:pPr>
            <w:r>
              <w:rPr>
                <w:rFonts w:ascii="Times New Roman" w:hAnsi="Times New Roman"/>
                <w:b/>
                <w:noProof/>
                <w:sz w:val="24"/>
                <w:szCs w:val="24"/>
                <w:lang w:val="fr-BE"/>
              </w:rPr>
              <w:t>Application date</w:t>
            </w:r>
          </w:p>
        </w:tc>
        <w:tc>
          <w:tcPr>
            <w:tcW w:w="1417" w:type="dxa"/>
            <w:shd w:val="clear" w:color="auto" w:fill="002060"/>
          </w:tcPr>
          <w:p>
            <w:pPr>
              <w:jc w:val="center"/>
              <w:rPr>
                <w:rFonts w:ascii="Times New Roman" w:hAnsi="Times New Roman"/>
                <w:b/>
                <w:noProof/>
                <w:sz w:val="24"/>
                <w:szCs w:val="24"/>
                <w:lang w:val="fr-BE"/>
              </w:rPr>
            </w:pPr>
            <w:r>
              <w:rPr>
                <w:rFonts w:ascii="Times New Roman" w:hAnsi="Times New Roman"/>
                <w:b/>
                <w:noProof/>
                <w:sz w:val="24"/>
                <w:szCs w:val="24"/>
                <w:lang w:val="fr-BE"/>
              </w:rPr>
              <w:t>Publication date Official Journal</w:t>
            </w: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szCs w:val="24"/>
              </w:rPr>
              <w:t xml:space="preserve">Amendments to IFRS 2 - Clarifications of Classification and Measurement of Share-based Payments </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20/06/2016</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01/01/2018</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27/02/2018</w:t>
            </w: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szCs w:val="24"/>
              </w:rPr>
              <w:t>Annual Improvements to IFRS Standards 2014-2016</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08/12/2016</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01/01/2017</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08/02/2018</w:t>
            </w: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szCs w:val="24"/>
              </w:rPr>
              <w:t>IFRIC 22 Foreign Currency Transactions and Advance Consideration</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08/12/2016</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01/01/2018</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03/04/2018</w:t>
            </w: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szCs w:val="24"/>
              </w:rPr>
              <w:t>Amendments to IAS 40: Transfers of Investment Property</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08/12/2016</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01/01/2018</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15/03/2018</w:t>
            </w: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szCs w:val="24"/>
              </w:rPr>
              <w:t>IFRS17 – Insurance contracts</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18/05/2017</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01/01/2021</w:t>
            </w:r>
          </w:p>
        </w:tc>
        <w:tc>
          <w:tcPr>
            <w:tcW w:w="1417" w:type="dxa"/>
            <w:shd w:val="clear" w:color="auto" w:fill="auto"/>
          </w:tcPr>
          <w:p>
            <w:pPr>
              <w:rPr>
                <w:rFonts w:ascii="Times New Roman" w:hAnsi="Times New Roman"/>
                <w:noProof/>
                <w:sz w:val="24"/>
                <w:szCs w:val="24"/>
              </w:rPr>
            </w:pP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szCs w:val="24"/>
              </w:rPr>
              <w:t>IFRIC 23 - Uncertainty over Income Tax Treatments</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07/06/2017</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01/01/2018</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24/10/2018</w:t>
            </w: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szCs w:val="24"/>
              </w:rPr>
              <w:t>Amendments to IFRS 9 Financial Instruments - Prepayment Features with Negative Compensation</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12/10/2017</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01/01/2019</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26/03/2018</w:t>
            </w: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szCs w:val="24"/>
              </w:rPr>
              <w:t>Amendment to IAS 28 – Long Term Interest in Associates and Joint Ventures</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12/10/2017</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01/01/2019</w:t>
            </w:r>
          </w:p>
        </w:tc>
        <w:tc>
          <w:tcPr>
            <w:tcW w:w="1417" w:type="dxa"/>
            <w:shd w:val="clear" w:color="auto" w:fill="auto"/>
          </w:tcPr>
          <w:p>
            <w:pPr>
              <w:rPr>
                <w:rFonts w:ascii="Times New Roman" w:hAnsi="Times New Roman"/>
                <w:noProof/>
                <w:sz w:val="24"/>
                <w:szCs w:val="24"/>
              </w:rPr>
            </w:pPr>
            <w:r>
              <w:rPr>
                <w:rFonts w:ascii="Times New Roman" w:hAnsi="Times New Roman"/>
                <w:noProof/>
                <w:sz w:val="24"/>
                <w:szCs w:val="24"/>
              </w:rPr>
              <w:t>11/02/2019</w:t>
            </w:r>
          </w:p>
        </w:tc>
      </w:tr>
      <w:tr>
        <w:trPr>
          <w:trHeight w:val="510"/>
        </w:trPr>
        <w:tc>
          <w:tcPr>
            <w:tcW w:w="5896" w:type="dxa"/>
            <w:shd w:val="clear" w:color="auto" w:fill="auto"/>
          </w:tcPr>
          <w:p>
            <w:pPr>
              <w:rPr>
                <w:rFonts w:ascii="Times New Roman" w:hAnsi="Times New Roman"/>
                <w:noProof/>
                <w:sz w:val="24"/>
                <w:szCs w:val="24"/>
                <w:lang w:val="fr-BE"/>
              </w:rPr>
            </w:pPr>
            <w:r>
              <w:rPr>
                <w:rFonts w:ascii="Times New Roman" w:hAnsi="Times New Roman"/>
                <w:noProof/>
                <w:sz w:val="24"/>
                <w:szCs w:val="24"/>
                <w:lang w:val="fr-BE"/>
              </w:rPr>
              <w:t>Annual improvements 2015-2017</w:t>
            </w:r>
          </w:p>
        </w:tc>
        <w:tc>
          <w:tcPr>
            <w:tcW w:w="1417" w:type="dxa"/>
            <w:shd w:val="clear" w:color="auto" w:fill="auto"/>
          </w:tcPr>
          <w:p>
            <w:pPr>
              <w:rPr>
                <w:rFonts w:ascii="Times New Roman" w:hAnsi="Times New Roman"/>
                <w:noProof/>
                <w:sz w:val="24"/>
                <w:szCs w:val="24"/>
                <w:lang w:val="fr-BE"/>
              </w:rPr>
            </w:pPr>
            <w:r>
              <w:rPr>
                <w:rFonts w:ascii="Times New Roman" w:hAnsi="Times New Roman"/>
                <w:noProof/>
                <w:sz w:val="24"/>
                <w:szCs w:val="24"/>
                <w:lang w:val="fr-BE"/>
              </w:rPr>
              <w:t>12/12/2017</w:t>
            </w:r>
          </w:p>
        </w:tc>
        <w:tc>
          <w:tcPr>
            <w:tcW w:w="1417" w:type="dxa"/>
            <w:shd w:val="clear" w:color="auto" w:fill="auto"/>
          </w:tcPr>
          <w:p>
            <w:pPr>
              <w:rPr>
                <w:rFonts w:ascii="Times New Roman" w:hAnsi="Times New Roman"/>
                <w:noProof/>
                <w:sz w:val="24"/>
                <w:szCs w:val="24"/>
                <w:lang w:val="fr-BE"/>
              </w:rPr>
            </w:pPr>
            <w:r>
              <w:rPr>
                <w:rFonts w:ascii="Times New Roman" w:hAnsi="Times New Roman"/>
                <w:noProof/>
                <w:sz w:val="24"/>
                <w:szCs w:val="24"/>
                <w:lang w:val="fr-BE"/>
              </w:rPr>
              <w:t>01/01/2019</w:t>
            </w:r>
          </w:p>
        </w:tc>
        <w:tc>
          <w:tcPr>
            <w:tcW w:w="1417" w:type="dxa"/>
            <w:shd w:val="clear" w:color="auto" w:fill="auto"/>
          </w:tcPr>
          <w:p>
            <w:pPr>
              <w:rPr>
                <w:rFonts w:ascii="Times New Roman" w:hAnsi="Times New Roman"/>
                <w:noProof/>
                <w:sz w:val="24"/>
                <w:szCs w:val="24"/>
                <w:lang w:val="fr-BE"/>
              </w:rPr>
            </w:pPr>
            <w:r>
              <w:rPr>
                <w:rFonts w:ascii="Times New Roman" w:hAnsi="Times New Roman"/>
                <w:noProof/>
                <w:sz w:val="24"/>
                <w:szCs w:val="24"/>
                <w:lang w:val="fr-BE"/>
              </w:rPr>
              <w:t>15/03/2019</w:t>
            </w:r>
          </w:p>
        </w:tc>
      </w:tr>
      <w:tr>
        <w:trPr>
          <w:trHeight w:val="510"/>
        </w:trPr>
        <w:tc>
          <w:tcPr>
            <w:tcW w:w="5896" w:type="dxa"/>
            <w:shd w:val="clear" w:color="auto" w:fill="auto"/>
          </w:tcPr>
          <w:p>
            <w:pPr>
              <w:rPr>
                <w:rFonts w:ascii="Times New Roman" w:hAnsi="Times New Roman"/>
                <w:noProof/>
                <w:sz w:val="24"/>
                <w:szCs w:val="24"/>
                <w:lang w:val="en-US"/>
              </w:rPr>
            </w:pPr>
            <w:r>
              <w:rPr>
                <w:rFonts w:ascii="Times New Roman" w:hAnsi="Times New Roman"/>
                <w:noProof/>
                <w:sz w:val="24"/>
                <w:szCs w:val="24"/>
                <w:lang w:val="en-US"/>
              </w:rPr>
              <w:t>Amendments to IAS 19 – Plan Amendment, Curtailment or Settlement</w:t>
            </w:r>
          </w:p>
        </w:tc>
        <w:tc>
          <w:tcPr>
            <w:tcW w:w="1417" w:type="dxa"/>
            <w:shd w:val="clear" w:color="auto" w:fill="auto"/>
          </w:tcPr>
          <w:p>
            <w:pPr>
              <w:rPr>
                <w:rFonts w:ascii="Times New Roman" w:hAnsi="Times New Roman"/>
                <w:noProof/>
                <w:sz w:val="24"/>
                <w:szCs w:val="24"/>
                <w:lang w:val="en-US"/>
              </w:rPr>
            </w:pPr>
            <w:r>
              <w:rPr>
                <w:rFonts w:ascii="Times New Roman" w:hAnsi="Times New Roman"/>
                <w:noProof/>
                <w:sz w:val="24"/>
                <w:szCs w:val="24"/>
                <w:lang w:val="en-US"/>
              </w:rPr>
              <w:t>07/02/2018</w:t>
            </w:r>
          </w:p>
        </w:tc>
        <w:tc>
          <w:tcPr>
            <w:tcW w:w="1417" w:type="dxa"/>
            <w:shd w:val="clear" w:color="auto" w:fill="auto"/>
          </w:tcPr>
          <w:p>
            <w:pPr>
              <w:rPr>
                <w:rFonts w:ascii="Times New Roman" w:hAnsi="Times New Roman"/>
                <w:noProof/>
                <w:sz w:val="24"/>
                <w:szCs w:val="24"/>
                <w:lang w:val="en-US"/>
              </w:rPr>
            </w:pPr>
            <w:r>
              <w:rPr>
                <w:rFonts w:ascii="Times New Roman" w:hAnsi="Times New Roman"/>
                <w:noProof/>
                <w:sz w:val="24"/>
                <w:szCs w:val="24"/>
                <w:lang w:val="en-US"/>
              </w:rPr>
              <w:t>01/01/2019</w:t>
            </w:r>
          </w:p>
        </w:tc>
        <w:tc>
          <w:tcPr>
            <w:tcW w:w="1417" w:type="dxa"/>
            <w:shd w:val="clear" w:color="auto" w:fill="auto"/>
          </w:tcPr>
          <w:p>
            <w:pPr>
              <w:rPr>
                <w:rFonts w:ascii="Times New Roman" w:hAnsi="Times New Roman"/>
                <w:noProof/>
                <w:sz w:val="24"/>
                <w:szCs w:val="24"/>
                <w:lang w:val="en-US"/>
              </w:rPr>
            </w:pPr>
            <w:r>
              <w:rPr>
                <w:rFonts w:ascii="Times New Roman" w:hAnsi="Times New Roman"/>
                <w:noProof/>
                <w:sz w:val="24"/>
                <w:szCs w:val="24"/>
                <w:lang w:val="en-US"/>
              </w:rPr>
              <w:t>14/03/2019</w:t>
            </w:r>
          </w:p>
        </w:tc>
      </w:tr>
      <w:tr>
        <w:trPr>
          <w:trHeight w:val="510"/>
        </w:trPr>
        <w:tc>
          <w:tcPr>
            <w:tcW w:w="5896" w:type="dxa"/>
            <w:shd w:val="clear" w:color="auto" w:fill="auto"/>
          </w:tcPr>
          <w:p>
            <w:pPr>
              <w:rPr>
                <w:rFonts w:ascii="Times New Roman" w:hAnsi="Times New Roman"/>
                <w:noProof/>
                <w:sz w:val="24"/>
                <w:szCs w:val="24"/>
                <w:lang w:val="en-US"/>
              </w:rPr>
            </w:pPr>
            <w:r>
              <w:rPr>
                <w:rFonts w:ascii="Times New Roman" w:hAnsi="Times New Roman"/>
                <w:noProof/>
                <w:sz w:val="24"/>
                <w:szCs w:val="24"/>
                <w:lang w:val="en-US"/>
              </w:rPr>
              <w:t>Amendments to references to the Conceptual Framework in IFRS Standards</w:t>
            </w:r>
          </w:p>
        </w:tc>
        <w:tc>
          <w:tcPr>
            <w:tcW w:w="1417" w:type="dxa"/>
            <w:shd w:val="clear" w:color="auto" w:fill="auto"/>
          </w:tcPr>
          <w:p>
            <w:pPr>
              <w:rPr>
                <w:rFonts w:ascii="Times New Roman" w:hAnsi="Times New Roman"/>
                <w:noProof/>
                <w:sz w:val="24"/>
                <w:szCs w:val="24"/>
                <w:lang w:val="en-US"/>
              </w:rPr>
            </w:pPr>
            <w:r>
              <w:rPr>
                <w:rFonts w:ascii="Times New Roman" w:hAnsi="Times New Roman"/>
                <w:noProof/>
                <w:sz w:val="24"/>
                <w:szCs w:val="24"/>
                <w:lang w:val="en-US"/>
              </w:rPr>
              <w:t>29/03/2018</w:t>
            </w:r>
          </w:p>
        </w:tc>
        <w:tc>
          <w:tcPr>
            <w:tcW w:w="1417" w:type="dxa"/>
            <w:shd w:val="clear" w:color="auto" w:fill="auto"/>
          </w:tcPr>
          <w:p>
            <w:pPr>
              <w:rPr>
                <w:rFonts w:ascii="Times New Roman" w:hAnsi="Times New Roman"/>
                <w:noProof/>
                <w:sz w:val="24"/>
                <w:szCs w:val="24"/>
                <w:lang w:val="en-US"/>
              </w:rPr>
            </w:pPr>
          </w:p>
        </w:tc>
        <w:tc>
          <w:tcPr>
            <w:tcW w:w="1417" w:type="dxa"/>
            <w:shd w:val="clear" w:color="auto" w:fill="auto"/>
          </w:tcPr>
          <w:p>
            <w:pPr>
              <w:rPr>
                <w:rFonts w:ascii="Times New Roman" w:hAnsi="Times New Roman"/>
                <w:noProof/>
                <w:sz w:val="24"/>
                <w:szCs w:val="24"/>
                <w:lang w:val="en-US"/>
              </w:rPr>
            </w:pPr>
          </w:p>
        </w:tc>
      </w:tr>
      <w:tr>
        <w:trPr>
          <w:trHeight w:val="510"/>
        </w:trPr>
        <w:tc>
          <w:tcPr>
            <w:tcW w:w="5896" w:type="dxa"/>
            <w:shd w:val="clear" w:color="auto" w:fill="auto"/>
          </w:tcPr>
          <w:p>
            <w:pPr>
              <w:rPr>
                <w:rFonts w:ascii="Times New Roman" w:hAnsi="Times New Roman"/>
                <w:noProof/>
                <w:sz w:val="24"/>
                <w:szCs w:val="24"/>
                <w:lang w:val="en-US"/>
              </w:rPr>
            </w:pPr>
            <w:r>
              <w:rPr>
                <w:rFonts w:ascii="Times New Roman" w:hAnsi="Times New Roman"/>
                <w:noProof/>
                <w:sz w:val="24"/>
                <w:szCs w:val="24"/>
                <w:lang w:val="en-US"/>
              </w:rPr>
              <w:t>Amendments to IFRS 3 – Definition of a business</w:t>
            </w:r>
          </w:p>
        </w:tc>
        <w:tc>
          <w:tcPr>
            <w:tcW w:w="1417" w:type="dxa"/>
            <w:shd w:val="clear" w:color="auto" w:fill="auto"/>
          </w:tcPr>
          <w:p>
            <w:pPr>
              <w:rPr>
                <w:rFonts w:ascii="Times New Roman" w:hAnsi="Times New Roman"/>
                <w:noProof/>
                <w:sz w:val="24"/>
                <w:szCs w:val="24"/>
                <w:lang w:val="en-US"/>
              </w:rPr>
            </w:pPr>
            <w:r>
              <w:rPr>
                <w:rFonts w:ascii="Times New Roman" w:hAnsi="Times New Roman"/>
                <w:noProof/>
                <w:sz w:val="24"/>
                <w:szCs w:val="24"/>
                <w:lang w:val="en-US"/>
              </w:rPr>
              <w:t>22/10/2018</w:t>
            </w:r>
          </w:p>
        </w:tc>
        <w:tc>
          <w:tcPr>
            <w:tcW w:w="1417" w:type="dxa"/>
            <w:shd w:val="clear" w:color="auto" w:fill="auto"/>
          </w:tcPr>
          <w:p>
            <w:pPr>
              <w:rPr>
                <w:rFonts w:ascii="Times New Roman" w:hAnsi="Times New Roman"/>
                <w:noProof/>
                <w:sz w:val="24"/>
                <w:szCs w:val="24"/>
                <w:lang w:val="en-US"/>
              </w:rPr>
            </w:pPr>
          </w:p>
        </w:tc>
        <w:tc>
          <w:tcPr>
            <w:tcW w:w="1417" w:type="dxa"/>
            <w:shd w:val="clear" w:color="auto" w:fill="auto"/>
          </w:tcPr>
          <w:p>
            <w:pPr>
              <w:rPr>
                <w:rFonts w:ascii="Times New Roman" w:hAnsi="Times New Roman"/>
                <w:noProof/>
                <w:sz w:val="24"/>
                <w:szCs w:val="24"/>
                <w:lang w:val="en-US"/>
              </w:rPr>
            </w:pPr>
          </w:p>
        </w:tc>
      </w:tr>
      <w:tr>
        <w:trPr>
          <w:trHeight w:val="510"/>
        </w:trPr>
        <w:tc>
          <w:tcPr>
            <w:tcW w:w="5896" w:type="dxa"/>
            <w:shd w:val="clear" w:color="auto" w:fill="auto"/>
          </w:tcPr>
          <w:p>
            <w:pPr>
              <w:rPr>
                <w:rFonts w:ascii="Times New Roman" w:hAnsi="Times New Roman"/>
                <w:noProof/>
                <w:sz w:val="24"/>
                <w:szCs w:val="24"/>
                <w:lang w:val="en-US"/>
              </w:rPr>
            </w:pPr>
            <w:r>
              <w:rPr>
                <w:rFonts w:ascii="Times New Roman" w:hAnsi="Times New Roman"/>
                <w:noProof/>
                <w:sz w:val="24"/>
                <w:szCs w:val="24"/>
                <w:lang w:val="en-US"/>
              </w:rPr>
              <w:t>Amendments to IAS 1 and IAS 8 – Definition of material</w:t>
            </w:r>
          </w:p>
        </w:tc>
        <w:tc>
          <w:tcPr>
            <w:tcW w:w="1417" w:type="dxa"/>
            <w:shd w:val="clear" w:color="auto" w:fill="auto"/>
          </w:tcPr>
          <w:p>
            <w:pPr>
              <w:rPr>
                <w:rFonts w:ascii="Times New Roman" w:hAnsi="Times New Roman"/>
                <w:noProof/>
                <w:sz w:val="24"/>
                <w:szCs w:val="24"/>
                <w:lang w:val="en-US"/>
              </w:rPr>
            </w:pPr>
            <w:r>
              <w:rPr>
                <w:rFonts w:ascii="Times New Roman" w:hAnsi="Times New Roman"/>
                <w:noProof/>
                <w:sz w:val="24"/>
                <w:szCs w:val="24"/>
                <w:lang w:val="en-US"/>
              </w:rPr>
              <w:t>31/10/2018</w:t>
            </w:r>
          </w:p>
        </w:tc>
        <w:tc>
          <w:tcPr>
            <w:tcW w:w="1417" w:type="dxa"/>
            <w:shd w:val="clear" w:color="auto" w:fill="auto"/>
          </w:tcPr>
          <w:p>
            <w:pPr>
              <w:rPr>
                <w:rFonts w:ascii="Times New Roman" w:hAnsi="Times New Roman"/>
                <w:noProof/>
                <w:sz w:val="24"/>
                <w:szCs w:val="24"/>
                <w:lang w:val="en-US"/>
              </w:rPr>
            </w:pPr>
          </w:p>
        </w:tc>
        <w:tc>
          <w:tcPr>
            <w:tcW w:w="1417" w:type="dxa"/>
            <w:shd w:val="clear" w:color="auto" w:fill="auto"/>
          </w:tcPr>
          <w:p>
            <w:pPr>
              <w:rPr>
                <w:rFonts w:ascii="Times New Roman" w:hAnsi="Times New Roman"/>
                <w:noProof/>
                <w:sz w:val="24"/>
                <w:szCs w:val="24"/>
                <w:lang w:val="en-US"/>
              </w:rPr>
            </w:pPr>
          </w:p>
        </w:tc>
      </w:tr>
    </w:tbl>
    <w:p>
      <w:pPr>
        <w:rPr>
          <w:rFonts w:ascii="Times New Roman" w:hAnsi="Times New Roman"/>
          <w:noProof/>
          <w:sz w:val="24"/>
          <w:szCs w:val="24"/>
          <w:lang w:eastAsia="en-GB"/>
        </w:rPr>
        <w:sectPr>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08"/>
          <w:docGrid w:linePitch="360"/>
        </w:sectPr>
      </w:pP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1310"/>
        <w:gridCol w:w="1310"/>
        <w:gridCol w:w="1310"/>
        <w:gridCol w:w="6716"/>
      </w:tblGrid>
      <w:tr>
        <w:tc>
          <w:tcPr>
            <w:tcW w:w="2362" w:type="dxa"/>
            <w:shd w:val="clear" w:color="auto" w:fill="002060"/>
          </w:tcPr>
          <w:p>
            <w:pPr>
              <w:spacing w:after="0"/>
              <w:rPr>
                <w:rFonts w:ascii="Times New Roman" w:hAnsi="Times New Roman"/>
                <w:b/>
                <w:noProof/>
                <w:sz w:val="24"/>
                <w:szCs w:val="24"/>
              </w:rPr>
            </w:pPr>
            <w:r>
              <w:rPr>
                <w:rFonts w:ascii="Times New Roman" w:hAnsi="Times New Roman"/>
                <w:b/>
                <w:noProof/>
                <w:sz w:val="24"/>
                <w:szCs w:val="24"/>
              </w:rPr>
              <w:t>Projects reported in grant applications</w:t>
            </w:r>
          </w:p>
        </w:tc>
        <w:tc>
          <w:tcPr>
            <w:tcW w:w="1310" w:type="dxa"/>
            <w:shd w:val="clear" w:color="auto" w:fill="002060"/>
          </w:tcPr>
          <w:p>
            <w:pPr>
              <w:jc w:val="center"/>
              <w:rPr>
                <w:rFonts w:ascii="Times New Roman" w:hAnsi="Times New Roman"/>
                <w:b/>
                <w:noProof/>
                <w:sz w:val="24"/>
                <w:szCs w:val="24"/>
              </w:rPr>
            </w:pPr>
            <w:r>
              <w:rPr>
                <w:rFonts w:ascii="Times New Roman" w:hAnsi="Times New Roman"/>
                <w:b/>
                <w:noProof/>
                <w:sz w:val="24"/>
                <w:szCs w:val="24"/>
              </w:rPr>
              <w:t>2017</w:t>
            </w:r>
          </w:p>
        </w:tc>
        <w:tc>
          <w:tcPr>
            <w:tcW w:w="1310" w:type="dxa"/>
            <w:shd w:val="clear" w:color="auto" w:fill="002060"/>
          </w:tcPr>
          <w:p>
            <w:pPr>
              <w:jc w:val="center"/>
              <w:rPr>
                <w:rFonts w:ascii="Times New Roman" w:hAnsi="Times New Roman"/>
                <w:b/>
                <w:noProof/>
                <w:sz w:val="24"/>
                <w:szCs w:val="24"/>
              </w:rPr>
            </w:pPr>
            <w:r>
              <w:rPr>
                <w:rFonts w:ascii="Times New Roman" w:hAnsi="Times New Roman"/>
                <w:b/>
                <w:noProof/>
                <w:sz w:val="24"/>
                <w:szCs w:val="24"/>
              </w:rPr>
              <w:t>2018</w:t>
            </w:r>
          </w:p>
        </w:tc>
        <w:tc>
          <w:tcPr>
            <w:tcW w:w="1310" w:type="dxa"/>
            <w:shd w:val="clear" w:color="auto" w:fill="002060"/>
          </w:tcPr>
          <w:p>
            <w:pPr>
              <w:jc w:val="center"/>
              <w:rPr>
                <w:rFonts w:ascii="Times New Roman" w:hAnsi="Times New Roman"/>
                <w:b/>
                <w:noProof/>
                <w:sz w:val="24"/>
                <w:szCs w:val="24"/>
              </w:rPr>
            </w:pPr>
            <w:r>
              <w:rPr>
                <w:rFonts w:ascii="Times New Roman" w:hAnsi="Times New Roman"/>
                <w:b/>
                <w:noProof/>
                <w:sz w:val="24"/>
                <w:szCs w:val="24"/>
              </w:rPr>
              <w:t>2019</w:t>
            </w:r>
          </w:p>
        </w:tc>
        <w:tc>
          <w:tcPr>
            <w:tcW w:w="6716" w:type="dxa"/>
            <w:shd w:val="clear" w:color="auto" w:fill="002060"/>
          </w:tcPr>
          <w:p>
            <w:pPr>
              <w:jc w:val="center"/>
              <w:rPr>
                <w:rFonts w:ascii="Times New Roman" w:hAnsi="Times New Roman"/>
                <w:b/>
                <w:noProof/>
                <w:sz w:val="24"/>
                <w:szCs w:val="24"/>
              </w:rPr>
            </w:pPr>
            <w:r>
              <w:rPr>
                <w:rFonts w:ascii="Times New Roman" w:hAnsi="Times New Roman"/>
                <w:b/>
                <w:noProof/>
                <w:sz w:val="24"/>
                <w:szCs w:val="24"/>
              </w:rPr>
              <w:t>Comments</w:t>
            </w:r>
          </w:p>
        </w:tc>
      </w:tr>
      <w:tr>
        <w:tc>
          <w:tcPr>
            <w:tcW w:w="13008" w:type="dxa"/>
            <w:gridSpan w:val="5"/>
            <w:tcBorders>
              <w:bottom w:val="single" w:sz="4" w:space="0" w:color="auto"/>
            </w:tcBorders>
            <w:shd w:val="clear" w:color="auto" w:fill="F2F2F2"/>
          </w:tcPr>
          <w:p>
            <w:pPr>
              <w:spacing w:after="0"/>
              <w:rPr>
                <w:rFonts w:ascii="Times New Roman" w:hAnsi="Times New Roman"/>
                <w:b/>
                <w:noProof/>
                <w:sz w:val="24"/>
                <w:szCs w:val="24"/>
              </w:rPr>
            </w:pPr>
            <w:r>
              <w:rPr>
                <w:rFonts w:ascii="Times New Roman" w:hAnsi="Times New Roman"/>
                <w:b/>
                <w:noProof/>
                <w:sz w:val="24"/>
                <w:szCs w:val="24"/>
              </w:rPr>
              <w:t>Better communication project</w:t>
            </w:r>
          </w:p>
        </w:tc>
      </w:tr>
      <w:tr>
        <w:tc>
          <w:tcPr>
            <w:tcW w:w="2362" w:type="dxa"/>
            <w:tcBorders>
              <w:top w:val="single" w:sz="4" w:space="0" w:color="auto"/>
              <w:bottom w:val="single" w:sz="4" w:space="0" w:color="auto"/>
              <w:right w:val="single" w:sz="4" w:space="0" w:color="auto"/>
            </w:tcBorders>
            <w:shd w:val="clear" w:color="auto" w:fill="auto"/>
          </w:tcPr>
          <w:p>
            <w:pPr>
              <w:spacing w:after="0"/>
              <w:rPr>
                <w:rFonts w:ascii="Times New Roman" w:hAnsi="Times New Roman"/>
                <w:noProof/>
                <w:sz w:val="24"/>
                <w:szCs w:val="24"/>
              </w:rPr>
            </w:pPr>
            <w:r>
              <w:rPr>
                <w:rFonts w:ascii="Times New Roman" w:hAnsi="Times New Roman"/>
                <w:noProof/>
                <w:sz w:val="24"/>
                <w:szCs w:val="24"/>
              </w:rPr>
              <w:t>Primary Financial Statements</w:t>
            </w:r>
          </w:p>
        </w:tc>
        <w:tc>
          <w:tcPr>
            <w:tcW w:w="1310"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Times New Roman" w:hAnsi="Times New Roman"/>
                <w:noProof/>
                <w:sz w:val="24"/>
                <w:szCs w:val="24"/>
              </w:rPr>
            </w:pPr>
            <w:r>
              <w:rPr>
                <w:rFonts w:ascii="Times New Roman" w:hAnsi="Times New Roman"/>
                <w:noProof/>
                <w:sz w:val="24"/>
                <w:szCs w:val="24"/>
              </w:rPr>
              <w:t>Work Plan</w:t>
            </w:r>
          </w:p>
        </w:tc>
        <w:tc>
          <w:tcPr>
            <w:tcW w:w="1310"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Times New Roman" w:hAnsi="Times New Roman"/>
                <w:noProof/>
                <w:sz w:val="24"/>
                <w:szCs w:val="24"/>
              </w:rPr>
            </w:pPr>
            <w:r>
              <w:rPr>
                <w:rFonts w:ascii="Times New Roman" w:hAnsi="Times New Roman"/>
                <w:noProof/>
                <w:sz w:val="24"/>
                <w:szCs w:val="24"/>
              </w:rPr>
              <w:t>Work Plan</w:t>
            </w:r>
          </w:p>
        </w:tc>
        <w:tc>
          <w:tcPr>
            <w:tcW w:w="1310" w:type="dxa"/>
            <w:tcBorders>
              <w:top w:val="single" w:sz="4" w:space="0" w:color="auto"/>
              <w:left w:val="single" w:sz="4" w:space="0" w:color="auto"/>
              <w:bottom w:val="single" w:sz="4" w:space="0" w:color="auto"/>
              <w:right w:val="single" w:sz="4" w:space="0" w:color="auto"/>
            </w:tcBorders>
          </w:tcPr>
          <w:p>
            <w:pPr>
              <w:rPr>
                <w:rFonts w:ascii="Times New Roman" w:hAnsi="Times New Roman"/>
                <w:noProof/>
                <w:sz w:val="24"/>
                <w:szCs w:val="24"/>
              </w:rPr>
            </w:pPr>
            <w:r>
              <w:rPr>
                <w:rFonts w:ascii="Times New Roman" w:hAnsi="Times New Roman"/>
                <w:noProof/>
                <w:sz w:val="24"/>
                <w:szCs w:val="24"/>
              </w:rPr>
              <w:t>Work Plan</w:t>
            </w:r>
          </w:p>
        </w:tc>
        <w:tc>
          <w:tcPr>
            <w:tcW w:w="6716" w:type="dxa"/>
            <w:tcBorders>
              <w:top w:val="single" w:sz="4" w:space="0" w:color="auto"/>
              <w:left w:val="single" w:sz="4" w:space="0" w:color="auto"/>
              <w:bottom w:val="single" w:sz="4" w:space="0" w:color="auto"/>
            </w:tcBorders>
            <w:shd w:val="clear" w:color="auto" w:fill="auto"/>
          </w:tcPr>
          <w:p>
            <w:pPr>
              <w:rPr>
                <w:rFonts w:ascii="Times New Roman" w:hAnsi="Times New Roman"/>
                <w:noProof/>
                <w:sz w:val="24"/>
                <w:szCs w:val="24"/>
              </w:rPr>
            </w:pPr>
            <w:r>
              <w:rPr>
                <w:rFonts w:ascii="Times New Roman" w:hAnsi="Times New Roman"/>
                <w:noProof/>
                <w:sz w:val="24"/>
                <w:szCs w:val="24"/>
              </w:rPr>
              <w:t>Targeted improvement of the structure and content of the primary financial statement.</w:t>
            </w:r>
          </w:p>
        </w:tc>
      </w:tr>
      <w:tr>
        <w:tc>
          <w:tcPr>
            <w:tcW w:w="2362" w:type="dxa"/>
            <w:tcBorders>
              <w:top w:val="single" w:sz="4" w:space="0" w:color="auto"/>
            </w:tcBorders>
            <w:shd w:val="clear" w:color="auto" w:fill="auto"/>
          </w:tcPr>
          <w:p>
            <w:pPr>
              <w:spacing w:after="0"/>
              <w:rPr>
                <w:rFonts w:ascii="Times New Roman" w:hAnsi="Times New Roman"/>
                <w:noProof/>
                <w:sz w:val="24"/>
                <w:szCs w:val="24"/>
              </w:rPr>
            </w:pPr>
            <w:r>
              <w:rPr>
                <w:rFonts w:ascii="Times New Roman" w:hAnsi="Times New Roman"/>
                <w:noProof/>
                <w:sz w:val="24"/>
                <w:szCs w:val="24"/>
              </w:rPr>
              <w:t>Disclosure Initiative – Principles of disclosures</w:t>
            </w:r>
          </w:p>
        </w:tc>
        <w:tc>
          <w:tcPr>
            <w:tcW w:w="1310" w:type="dxa"/>
            <w:tcBorders>
              <w:top w:val="single" w:sz="4" w:space="0" w:color="auto"/>
            </w:tcBorders>
            <w:shd w:val="clear" w:color="auto" w:fill="auto"/>
          </w:tcPr>
          <w:p>
            <w:pPr>
              <w:jc w:val="center"/>
              <w:rPr>
                <w:rFonts w:ascii="Times New Roman" w:hAnsi="Times New Roman"/>
                <w:noProof/>
                <w:sz w:val="24"/>
                <w:szCs w:val="24"/>
              </w:rPr>
            </w:pPr>
            <w:r>
              <w:rPr>
                <w:rFonts w:ascii="Times New Roman" w:hAnsi="Times New Roman"/>
                <w:noProof/>
                <w:sz w:val="24"/>
                <w:szCs w:val="24"/>
              </w:rPr>
              <w:t>Work Plan</w:t>
            </w:r>
          </w:p>
        </w:tc>
        <w:tc>
          <w:tcPr>
            <w:tcW w:w="1310" w:type="dxa"/>
            <w:tcBorders>
              <w:top w:val="single" w:sz="4" w:space="0" w:color="auto"/>
            </w:tcBorders>
            <w:shd w:val="clear" w:color="auto" w:fill="auto"/>
          </w:tcPr>
          <w:p>
            <w:pPr>
              <w:jc w:val="center"/>
              <w:rPr>
                <w:rFonts w:ascii="Times New Roman" w:hAnsi="Times New Roman"/>
                <w:noProof/>
                <w:sz w:val="24"/>
                <w:szCs w:val="24"/>
              </w:rPr>
            </w:pPr>
            <w:r>
              <w:rPr>
                <w:rFonts w:ascii="Times New Roman" w:hAnsi="Times New Roman"/>
                <w:noProof/>
                <w:sz w:val="24"/>
                <w:szCs w:val="24"/>
              </w:rPr>
              <w:t>Discussion paper – 30/03/2017</w:t>
            </w:r>
          </w:p>
        </w:tc>
        <w:tc>
          <w:tcPr>
            <w:tcW w:w="1310" w:type="dxa"/>
            <w:tcBorders>
              <w:top w:val="single" w:sz="4" w:space="0" w:color="auto"/>
            </w:tcBorders>
          </w:tcPr>
          <w:p>
            <w:pPr>
              <w:rPr>
                <w:rFonts w:ascii="Times New Roman" w:hAnsi="Times New Roman"/>
                <w:noProof/>
                <w:sz w:val="24"/>
                <w:szCs w:val="24"/>
              </w:rPr>
            </w:pPr>
            <w:r>
              <w:rPr>
                <w:rFonts w:ascii="Times New Roman" w:hAnsi="Times New Roman"/>
                <w:noProof/>
                <w:sz w:val="24"/>
                <w:szCs w:val="24"/>
              </w:rPr>
              <w:t>Project summary published on 03/2019</w:t>
            </w:r>
          </w:p>
        </w:tc>
        <w:tc>
          <w:tcPr>
            <w:tcW w:w="6716" w:type="dxa"/>
            <w:tcBorders>
              <w:top w:val="single" w:sz="4" w:space="0" w:color="auto"/>
            </w:tcBorders>
            <w:shd w:val="clear" w:color="auto" w:fill="auto"/>
          </w:tcPr>
          <w:p>
            <w:pPr>
              <w:rPr>
                <w:rFonts w:ascii="Times New Roman" w:hAnsi="Times New Roman"/>
                <w:noProof/>
                <w:sz w:val="24"/>
                <w:szCs w:val="24"/>
              </w:rPr>
            </w:pPr>
            <w:r>
              <w:rPr>
                <w:rFonts w:ascii="Times New Roman" w:hAnsi="Times New Roman"/>
                <w:noProof/>
                <w:sz w:val="24"/>
                <w:szCs w:val="24"/>
              </w:rPr>
              <w:t xml:space="preserve">Research project designed to improve disclosure requirements. </w:t>
            </w:r>
          </w:p>
        </w:tc>
      </w:tr>
      <w:tr>
        <w:trPr>
          <w:trHeight w:val="1644"/>
        </w:trPr>
        <w:tc>
          <w:tcPr>
            <w:tcW w:w="2362" w:type="dxa"/>
            <w:shd w:val="clear" w:color="auto" w:fill="auto"/>
          </w:tcPr>
          <w:p>
            <w:pPr>
              <w:spacing w:after="0"/>
              <w:rPr>
                <w:rFonts w:ascii="Times New Roman" w:hAnsi="Times New Roman"/>
                <w:noProof/>
                <w:sz w:val="24"/>
                <w:szCs w:val="24"/>
              </w:rPr>
            </w:pPr>
            <w:r>
              <w:rPr>
                <w:rFonts w:ascii="Times New Roman" w:hAnsi="Times New Roman"/>
                <w:noProof/>
                <w:sz w:val="24"/>
                <w:szCs w:val="24"/>
              </w:rPr>
              <w:t>Disclosure Initiative - Definition of materiality (Amendment to IAS 1 and 8)</w:t>
            </w:r>
          </w:p>
        </w:tc>
        <w:tc>
          <w:tcPr>
            <w:tcW w:w="1310" w:type="dxa"/>
            <w:shd w:val="clear" w:color="auto" w:fill="D9D9D9" w:themeFill="background1" w:themeFillShade="D9"/>
          </w:tcPr>
          <w:p>
            <w:pPr>
              <w:jc w:val="center"/>
              <w:rPr>
                <w:rFonts w:ascii="Times New Roman" w:hAnsi="Times New Roman"/>
                <w:noProof/>
                <w:sz w:val="24"/>
                <w:szCs w:val="24"/>
              </w:rPr>
            </w:pP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Exposure Draft – 14/09/2017</w:t>
            </w:r>
          </w:p>
        </w:tc>
        <w:tc>
          <w:tcPr>
            <w:tcW w:w="1310" w:type="dxa"/>
          </w:tcPr>
          <w:p>
            <w:pPr>
              <w:rPr>
                <w:rFonts w:ascii="Times New Roman" w:hAnsi="Times New Roman"/>
                <w:noProof/>
                <w:sz w:val="24"/>
                <w:szCs w:val="24"/>
              </w:rPr>
            </w:pPr>
            <w:r>
              <w:rPr>
                <w:rFonts w:ascii="Times New Roman" w:hAnsi="Times New Roman"/>
                <w:noProof/>
                <w:sz w:val="24"/>
                <w:szCs w:val="24"/>
              </w:rPr>
              <w:t>Issued on 31/12/2018</w:t>
            </w:r>
          </w:p>
        </w:tc>
        <w:tc>
          <w:tcPr>
            <w:tcW w:w="6716" w:type="dxa"/>
            <w:shd w:val="clear" w:color="auto" w:fill="auto"/>
          </w:tcPr>
          <w:p>
            <w:pPr>
              <w:rPr>
                <w:rFonts w:ascii="Times New Roman" w:hAnsi="Times New Roman"/>
                <w:noProof/>
                <w:sz w:val="24"/>
                <w:szCs w:val="24"/>
              </w:rPr>
            </w:pPr>
            <w:r>
              <w:rPr>
                <w:rFonts w:ascii="Times New Roman" w:hAnsi="Times New Roman"/>
                <w:noProof/>
                <w:sz w:val="24"/>
                <w:szCs w:val="24"/>
              </w:rPr>
              <w:t>Project completed.</w:t>
            </w:r>
          </w:p>
        </w:tc>
      </w:tr>
      <w:tr>
        <w:trPr>
          <w:trHeight w:val="1644"/>
        </w:trPr>
        <w:tc>
          <w:tcPr>
            <w:tcW w:w="2362" w:type="dxa"/>
            <w:shd w:val="clear" w:color="auto" w:fill="auto"/>
          </w:tcPr>
          <w:p>
            <w:pPr>
              <w:spacing w:after="0"/>
              <w:rPr>
                <w:rFonts w:ascii="Times New Roman" w:hAnsi="Times New Roman"/>
                <w:noProof/>
                <w:sz w:val="24"/>
                <w:szCs w:val="24"/>
              </w:rPr>
            </w:pPr>
            <w:r>
              <w:rPr>
                <w:rFonts w:ascii="Times New Roman" w:hAnsi="Times New Roman"/>
                <w:noProof/>
                <w:sz w:val="24"/>
                <w:szCs w:val="24"/>
              </w:rPr>
              <w:t>Disclosure Initiative – Targeted Standards-level Review of Disclosures</w:t>
            </w:r>
          </w:p>
        </w:tc>
        <w:tc>
          <w:tcPr>
            <w:tcW w:w="1310" w:type="dxa"/>
            <w:shd w:val="clear" w:color="auto" w:fill="D9D9D9" w:themeFill="background1" w:themeFillShade="D9"/>
          </w:tcPr>
          <w:p>
            <w:pPr>
              <w:jc w:val="center"/>
              <w:rPr>
                <w:rFonts w:ascii="Times New Roman" w:hAnsi="Times New Roman"/>
                <w:noProof/>
                <w:sz w:val="24"/>
                <w:szCs w:val="24"/>
              </w:rPr>
            </w:pPr>
          </w:p>
        </w:tc>
        <w:tc>
          <w:tcPr>
            <w:tcW w:w="1310" w:type="dxa"/>
            <w:shd w:val="clear" w:color="auto" w:fill="D9D9D9" w:themeFill="background1" w:themeFillShade="D9"/>
          </w:tcPr>
          <w:p>
            <w:pPr>
              <w:jc w:val="center"/>
              <w:rPr>
                <w:rFonts w:ascii="Times New Roman" w:hAnsi="Times New Roman"/>
                <w:noProof/>
                <w:sz w:val="24"/>
                <w:szCs w:val="24"/>
              </w:rPr>
            </w:pPr>
          </w:p>
        </w:tc>
        <w:tc>
          <w:tcPr>
            <w:tcW w:w="1310" w:type="dxa"/>
          </w:tcPr>
          <w:p>
            <w:pPr>
              <w:rPr>
                <w:rFonts w:ascii="Times New Roman" w:hAnsi="Times New Roman"/>
                <w:noProof/>
                <w:sz w:val="24"/>
                <w:szCs w:val="24"/>
              </w:rPr>
            </w:pPr>
            <w:r>
              <w:rPr>
                <w:rFonts w:ascii="Times New Roman" w:hAnsi="Times New Roman"/>
                <w:noProof/>
                <w:sz w:val="24"/>
                <w:szCs w:val="24"/>
              </w:rPr>
              <w:t>Work Plan</w:t>
            </w:r>
          </w:p>
        </w:tc>
        <w:tc>
          <w:tcPr>
            <w:tcW w:w="6716" w:type="dxa"/>
            <w:shd w:val="clear" w:color="auto" w:fill="auto"/>
          </w:tcPr>
          <w:p>
            <w:pPr>
              <w:spacing w:after="0"/>
              <w:rPr>
                <w:rFonts w:ascii="Times New Roman" w:hAnsi="Times New Roman"/>
                <w:noProof/>
                <w:sz w:val="24"/>
                <w:szCs w:val="24"/>
              </w:rPr>
            </w:pPr>
            <w:r>
              <w:rPr>
                <w:rFonts w:ascii="Times New Roman" w:hAnsi="Times New Roman"/>
                <w:noProof/>
                <w:sz w:val="24"/>
                <w:szCs w:val="24"/>
              </w:rPr>
              <w:t xml:space="preserve">Project designed to test the disclosure requirements of IFRS 13 Fair Value Measurement and IAS 19 Employee Benefits against the new guidance principles defined by the IASB. </w:t>
            </w:r>
          </w:p>
        </w:tc>
      </w:tr>
      <w:tr>
        <w:tc>
          <w:tcPr>
            <w:tcW w:w="2362" w:type="dxa"/>
            <w:shd w:val="clear" w:color="auto" w:fill="auto"/>
          </w:tcPr>
          <w:p>
            <w:pPr>
              <w:spacing w:after="0"/>
              <w:rPr>
                <w:rFonts w:ascii="Times New Roman" w:hAnsi="Times New Roman"/>
                <w:noProof/>
                <w:sz w:val="24"/>
                <w:szCs w:val="24"/>
              </w:rPr>
            </w:pPr>
            <w:r>
              <w:rPr>
                <w:rFonts w:ascii="Times New Roman" w:hAnsi="Times New Roman"/>
                <w:noProof/>
                <w:sz w:val="24"/>
                <w:szCs w:val="24"/>
              </w:rPr>
              <w:t>Disclosure initiative – Accounting Policies</w:t>
            </w:r>
          </w:p>
        </w:tc>
        <w:tc>
          <w:tcPr>
            <w:tcW w:w="1310" w:type="dxa"/>
            <w:shd w:val="clear" w:color="auto" w:fill="D9D9D9" w:themeFill="background1" w:themeFillShade="D9"/>
          </w:tcPr>
          <w:p>
            <w:pPr>
              <w:jc w:val="center"/>
              <w:rPr>
                <w:rFonts w:ascii="Times New Roman" w:hAnsi="Times New Roman"/>
                <w:noProof/>
                <w:sz w:val="24"/>
                <w:szCs w:val="24"/>
              </w:rPr>
            </w:pPr>
          </w:p>
        </w:tc>
        <w:tc>
          <w:tcPr>
            <w:tcW w:w="1310" w:type="dxa"/>
            <w:shd w:val="clear" w:color="auto" w:fill="D9D9D9" w:themeFill="background1" w:themeFillShade="D9"/>
          </w:tcPr>
          <w:p>
            <w:pPr>
              <w:jc w:val="center"/>
              <w:rPr>
                <w:rFonts w:ascii="Times New Roman" w:hAnsi="Times New Roman"/>
                <w:noProof/>
                <w:sz w:val="24"/>
                <w:szCs w:val="24"/>
              </w:rPr>
            </w:pPr>
          </w:p>
        </w:tc>
        <w:tc>
          <w:tcPr>
            <w:tcW w:w="1310" w:type="dxa"/>
          </w:tcPr>
          <w:p>
            <w:pPr>
              <w:rPr>
                <w:rFonts w:ascii="Times New Roman" w:hAnsi="Times New Roman"/>
                <w:noProof/>
                <w:sz w:val="24"/>
                <w:szCs w:val="24"/>
              </w:rPr>
            </w:pPr>
            <w:r>
              <w:rPr>
                <w:rFonts w:ascii="Times New Roman" w:hAnsi="Times New Roman"/>
                <w:noProof/>
                <w:sz w:val="24"/>
                <w:szCs w:val="24"/>
              </w:rPr>
              <w:t>Work Plan</w:t>
            </w:r>
          </w:p>
        </w:tc>
        <w:tc>
          <w:tcPr>
            <w:tcW w:w="6716" w:type="dxa"/>
            <w:shd w:val="clear" w:color="auto" w:fill="auto"/>
          </w:tcPr>
          <w:p>
            <w:pPr>
              <w:rPr>
                <w:rFonts w:ascii="Times New Roman" w:hAnsi="Times New Roman"/>
                <w:noProof/>
                <w:sz w:val="24"/>
                <w:szCs w:val="24"/>
              </w:rPr>
            </w:pPr>
            <w:r>
              <w:rPr>
                <w:rFonts w:ascii="Times New Roman" w:hAnsi="Times New Roman"/>
                <w:noProof/>
                <w:sz w:val="24"/>
                <w:szCs w:val="24"/>
              </w:rPr>
              <w:t>Project designed to improve the disclosures pertainining to accounting policies by applying the materiality principle.</w:t>
            </w:r>
          </w:p>
        </w:tc>
      </w:tr>
      <w:tr>
        <w:tc>
          <w:tcPr>
            <w:tcW w:w="13008" w:type="dxa"/>
            <w:gridSpan w:val="5"/>
            <w:shd w:val="clear" w:color="auto" w:fill="F2F2F2"/>
          </w:tcPr>
          <w:p>
            <w:pPr>
              <w:spacing w:after="0"/>
              <w:rPr>
                <w:rFonts w:ascii="Times New Roman" w:hAnsi="Times New Roman"/>
                <w:noProof/>
                <w:sz w:val="24"/>
                <w:szCs w:val="24"/>
              </w:rPr>
            </w:pPr>
            <w:r>
              <w:rPr>
                <w:rFonts w:ascii="Times New Roman" w:hAnsi="Times New Roman"/>
                <w:b/>
                <w:noProof/>
                <w:sz w:val="24"/>
                <w:szCs w:val="24"/>
              </w:rPr>
              <w:t>Research projects</w:t>
            </w:r>
          </w:p>
        </w:tc>
      </w:tr>
      <w:tr>
        <w:tc>
          <w:tcPr>
            <w:tcW w:w="2362" w:type="dxa"/>
            <w:shd w:val="clear" w:color="auto" w:fill="auto"/>
          </w:tcPr>
          <w:p>
            <w:pPr>
              <w:spacing w:after="0"/>
              <w:rPr>
                <w:rFonts w:ascii="Times New Roman" w:hAnsi="Times New Roman"/>
                <w:noProof/>
                <w:sz w:val="24"/>
                <w:szCs w:val="24"/>
              </w:rPr>
            </w:pPr>
            <w:r>
              <w:rPr>
                <w:rFonts w:ascii="Times New Roman" w:hAnsi="Times New Roman"/>
                <w:noProof/>
                <w:sz w:val="24"/>
                <w:szCs w:val="24"/>
              </w:rPr>
              <w:t>Business combination under Common Control</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Work Plan</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Work Plan</w:t>
            </w:r>
          </w:p>
        </w:tc>
        <w:tc>
          <w:tcPr>
            <w:tcW w:w="1310" w:type="dxa"/>
          </w:tcPr>
          <w:p>
            <w:pPr>
              <w:rPr>
                <w:rFonts w:ascii="Times New Roman" w:hAnsi="Times New Roman"/>
                <w:noProof/>
                <w:sz w:val="24"/>
                <w:szCs w:val="24"/>
              </w:rPr>
            </w:pPr>
            <w:r>
              <w:rPr>
                <w:rFonts w:ascii="Times New Roman" w:hAnsi="Times New Roman"/>
                <w:noProof/>
                <w:sz w:val="24"/>
                <w:szCs w:val="24"/>
              </w:rPr>
              <w:t>Work Plan</w:t>
            </w:r>
          </w:p>
        </w:tc>
        <w:tc>
          <w:tcPr>
            <w:tcW w:w="6716" w:type="dxa"/>
            <w:shd w:val="clear" w:color="auto" w:fill="auto"/>
          </w:tcPr>
          <w:p>
            <w:pPr>
              <w:spacing w:after="0"/>
              <w:rPr>
                <w:rFonts w:ascii="Times New Roman" w:hAnsi="Times New Roman"/>
                <w:noProof/>
                <w:sz w:val="24"/>
                <w:szCs w:val="24"/>
              </w:rPr>
            </w:pPr>
            <w:r>
              <w:rPr>
                <w:rFonts w:ascii="Times New Roman" w:hAnsi="Times New Roman"/>
                <w:noProof/>
                <w:sz w:val="24"/>
                <w:szCs w:val="24"/>
              </w:rPr>
              <w:t>Aims at reducing the diversity in accounting for business combinations under common control.</w:t>
            </w:r>
          </w:p>
        </w:tc>
      </w:tr>
      <w:tr>
        <w:tc>
          <w:tcPr>
            <w:tcW w:w="2362" w:type="dxa"/>
            <w:shd w:val="clear" w:color="auto" w:fill="auto"/>
          </w:tcPr>
          <w:p>
            <w:pPr>
              <w:spacing w:after="0"/>
              <w:rPr>
                <w:rFonts w:ascii="Times New Roman" w:hAnsi="Times New Roman"/>
                <w:noProof/>
                <w:sz w:val="24"/>
                <w:szCs w:val="24"/>
              </w:rPr>
            </w:pPr>
            <w:r>
              <w:rPr>
                <w:rFonts w:ascii="Times New Roman" w:hAnsi="Times New Roman"/>
                <w:noProof/>
                <w:sz w:val="24"/>
                <w:szCs w:val="24"/>
              </w:rPr>
              <w:t>Post-implementation review of IFRS13</w:t>
            </w:r>
          </w:p>
        </w:tc>
        <w:tc>
          <w:tcPr>
            <w:tcW w:w="1310" w:type="dxa"/>
            <w:shd w:val="clear" w:color="auto" w:fill="D9D9D9" w:themeFill="background1" w:themeFillShade="D9"/>
          </w:tcPr>
          <w:p>
            <w:pPr>
              <w:spacing w:after="0"/>
              <w:jc w:val="center"/>
              <w:rPr>
                <w:rFonts w:ascii="Times New Roman" w:hAnsi="Times New Roman"/>
                <w:noProof/>
                <w:sz w:val="24"/>
                <w:szCs w:val="24"/>
              </w:rPr>
            </w:pPr>
          </w:p>
        </w:tc>
        <w:tc>
          <w:tcPr>
            <w:tcW w:w="1310" w:type="dxa"/>
            <w:shd w:val="clear" w:color="auto" w:fill="auto"/>
          </w:tcPr>
          <w:p>
            <w:pPr>
              <w:spacing w:after="0"/>
              <w:jc w:val="center"/>
              <w:rPr>
                <w:rFonts w:ascii="Times New Roman" w:hAnsi="Times New Roman"/>
                <w:noProof/>
                <w:sz w:val="24"/>
                <w:szCs w:val="24"/>
              </w:rPr>
            </w:pPr>
            <w:r>
              <w:rPr>
                <w:rFonts w:ascii="Times New Roman" w:hAnsi="Times New Roman"/>
                <w:noProof/>
                <w:sz w:val="24"/>
                <w:szCs w:val="24"/>
              </w:rPr>
              <w:t>Work Plan</w:t>
            </w:r>
          </w:p>
        </w:tc>
        <w:tc>
          <w:tcPr>
            <w:tcW w:w="1310" w:type="dxa"/>
          </w:tcPr>
          <w:p>
            <w:pPr>
              <w:spacing w:after="0"/>
              <w:rPr>
                <w:rFonts w:ascii="Times New Roman" w:hAnsi="Times New Roman"/>
                <w:noProof/>
                <w:sz w:val="24"/>
                <w:szCs w:val="24"/>
              </w:rPr>
            </w:pPr>
            <w:r>
              <w:rPr>
                <w:rFonts w:ascii="Times New Roman" w:hAnsi="Times New Roman"/>
                <w:noProof/>
                <w:sz w:val="24"/>
                <w:szCs w:val="24"/>
              </w:rPr>
              <w:t>Projected summary published 12/2018</w:t>
            </w:r>
          </w:p>
        </w:tc>
        <w:tc>
          <w:tcPr>
            <w:tcW w:w="6716" w:type="dxa"/>
            <w:shd w:val="clear" w:color="auto" w:fill="auto"/>
          </w:tcPr>
          <w:p>
            <w:pPr>
              <w:spacing w:after="0"/>
              <w:rPr>
                <w:rFonts w:ascii="Times New Roman" w:hAnsi="Times New Roman"/>
                <w:noProof/>
                <w:sz w:val="24"/>
                <w:szCs w:val="24"/>
              </w:rPr>
            </w:pPr>
            <w:r>
              <w:rPr>
                <w:rFonts w:ascii="Times New Roman" w:hAnsi="Times New Roman"/>
                <w:noProof/>
                <w:sz w:val="24"/>
                <w:szCs w:val="24"/>
              </w:rPr>
              <w:t>The review aimed at assessing the impact of IFRS13 "Fair Value Measurement" on financial reporting. It started in 2017 with a request for information.</w:t>
            </w:r>
          </w:p>
        </w:tc>
      </w:tr>
      <w:tr>
        <w:tc>
          <w:tcPr>
            <w:tcW w:w="2362" w:type="dxa"/>
            <w:shd w:val="clear" w:color="auto" w:fill="auto"/>
          </w:tcPr>
          <w:p>
            <w:pPr>
              <w:spacing w:after="0"/>
              <w:rPr>
                <w:rFonts w:ascii="Times New Roman" w:hAnsi="Times New Roman"/>
                <w:noProof/>
                <w:sz w:val="24"/>
                <w:szCs w:val="24"/>
              </w:rPr>
            </w:pPr>
            <w:r>
              <w:rPr>
                <w:rFonts w:ascii="Times New Roman" w:hAnsi="Times New Roman"/>
                <w:noProof/>
                <w:sz w:val="24"/>
                <w:szCs w:val="24"/>
              </w:rPr>
              <w:t>Discount rate</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Work Plan</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Work Plan</w:t>
            </w:r>
          </w:p>
        </w:tc>
        <w:tc>
          <w:tcPr>
            <w:tcW w:w="1310" w:type="dxa"/>
          </w:tcPr>
          <w:p>
            <w:pPr>
              <w:rPr>
                <w:rFonts w:ascii="Times New Roman" w:hAnsi="Times New Roman"/>
                <w:noProof/>
                <w:sz w:val="24"/>
                <w:szCs w:val="24"/>
              </w:rPr>
            </w:pPr>
            <w:r>
              <w:rPr>
                <w:rFonts w:ascii="Times New Roman" w:hAnsi="Times New Roman"/>
                <w:noProof/>
                <w:sz w:val="24"/>
                <w:szCs w:val="24"/>
              </w:rPr>
              <w:t>Project summary published 02/2019</w:t>
            </w:r>
          </w:p>
        </w:tc>
        <w:tc>
          <w:tcPr>
            <w:tcW w:w="6716" w:type="dxa"/>
            <w:shd w:val="clear" w:color="auto" w:fill="auto"/>
          </w:tcPr>
          <w:p>
            <w:pPr>
              <w:rPr>
                <w:rFonts w:ascii="Times New Roman" w:hAnsi="Times New Roman"/>
                <w:noProof/>
                <w:sz w:val="24"/>
                <w:szCs w:val="24"/>
              </w:rPr>
            </w:pPr>
            <w:r>
              <w:rPr>
                <w:rFonts w:ascii="Times New Roman" w:hAnsi="Times New Roman"/>
                <w:noProof/>
                <w:sz w:val="24"/>
                <w:szCs w:val="24"/>
              </w:rPr>
              <w:t>Research plan on the use of discount rate troughout IFRS Standards. The project was closed in March 2017. A research summary is expected in 2018.</w:t>
            </w:r>
          </w:p>
        </w:tc>
      </w:tr>
      <w:tr>
        <w:tc>
          <w:tcPr>
            <w:tcW w:w="2362" w:type="dxa"/>
            <w:shd w:val="clear" w:color="auto" w:fill="auto"/>
          </w:tcPr>
          <w:p>
            <w:pPr>
              <w:spacing w:after="0"/>
              <w:rPr>
                <w:rFonts w:ascii="Times New Roman" w:hAnsi="Times New Roman"/>
                <w:noProof/>
                <w:sz w:val="24"/>
                <w:szCs w:val="24"/>
              </w:rPr>
            </w:pPr>
            <w:r>
              <w:rPr>
                <w:rFonts w:ascii="Times New Roman" w:hAnsi="Times New Roman"/>
                <w:noProof/>
                <w:sz w:val="24"/>
                <w:szCs w:val="24"/>
              </w:rPr>
              <w:t>Dynamic Risk Management</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Work Plan</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Work Plan</w:t>
            </w:r>
          </w:p>
        </w:tc>
        <w:tc>
          <w:tcPr>
            <w:tcW w:w="1310" w:type="dxa"/>
          </w:tcPr>
          <w:p>
            <w:pPr>
              <w:rPr>
                <w:rFonts w:ascii="Times New Roman" w:hAnsi="Times New Roman"/>
                <w:noProof/>
                <w:sz w:val="24"/>
                <w:szCs w:val="24"/>
              </w:rPr>
            </w:pPr>
            <w:r>
              <w:rPr>
                <w:rFonts w:ascii="Times New Roman" w:hAnsi="Times New Roman"/>
                <w:noProof/>
                <w:sz w:val="24"/>
                <w:szCs w:val="24"/>
              </w:rPr>
              <w:t>Work Plan</w:t>
            </w:r>
          </w:p>
        </w:tc>
        <w:tc>
          <w:tcPr>
            <w:tcW w:w="6716" w:type="dxa"/>
            <w:shd w:val="clear" w:color="auto" w:fill="auto"/>
          </w:tcPr>
          <w:p>
            <w:pPr>
              <w:spacing w:after="0"/>
              <w:rPr>
                <w:rFonts w:ascii="Times New Roman" w:hAnsi="Times New Roman"/>
                <w:noProof/>
                <w:sz w:val="24"/>
                <w:szCs w:val="24"/>
              </w:rPr>
            </w:pPr>
            <w:r>
              <w:rPr>
                <w:rFonts w:ascii="Times New Roman" w:hAnsi="Times New Roman"/>
                <w:noProof/>
                <w:sz w:val="24"/>
                <w:szCs w:val="24"/>
              </w:rPr>
              <w:t>Macro Hedging research plan that aims at devising an accounting model to report the effect of hedging and dynamic risk management. Discussion paper expected in 2019.</w:t>
            </w:r>
          </w:p>
        </w:tc>
      </w:tr>
      <w:tr>
        <w:tc>
          <w:tcPr>
            <w:tcW w:w="2362" w:type="dxa"/>
            <w:shd w:val="clear" w:color="auto" w:fill="auto"/>
          </w:tcPr>
          <w:p>
            <w:pPr>
              <w:spacing w:after="0"/>
              <w:rPr>
                <w:rFonts w:ascii="Times New Roman" w:hAnsi="Times New Roman"/>
                <w:noProof/>
                <w:sz w:val="24"/>
                <w:szCs w:val="24"/>
              </w:rPr>
            </w:pPr>
            <w:r>
              <w:rPr>
                <w:rFonts w:ascii="Times New Roman" w:hAnsi="Times New Roman"/>
                <w:noProof/>
                <w:sz w:val="24"/>
                <w:szCs w:val="24"/>
              </w:rPr>
              <w:t>Financial Instruments with Characteristics of equity</w:t>
            </w:r>
          </w:p>
        </w:tc>
        <w:tc>
          <w:tcPr>
            <w:tcW w:w="1310" w:type="dxa"/>
            <w:shd w:val="clear" w:color="auto" w:fill="auto"/>
          </w:tcPr>
          <w:p>
            <w:pPr>
              <w:spacing w:after="0"/>
              <w:jc w:val="center"/>
              <w:rPr>
                <w:rFonts w:ascii="Times New Roman" w:hAnsi="Times New Roman"/>
                <w:noProof/>
                <w:sz w:val="24"/>
                <w:szCs w:val="24"/>
              </w:rPr>
            </w:pPr>
            <w:r>
              <w:rPr>
                <w:rFonts w:ascii="Times New Roman" w:hAnsi="Times New Roman"/>
                <w:noProof/>
                <w:sz w:val="24"/>
                <w:szCs w:val="24"/>
              </w:rPr>
              <w:t>Work Plan</w:t>
            </w:r>
          </w:p>
        </w:tc>
        <w:tc>
          <w:tcPr>
            <w:tcW w:w="1310" w:type="dxa"/>
            <w:shd w:val="clear" w:color="auto" w:fill="auto"/>
          </w:tcPr>
          <w:p>
            <w:pPr>
              <w:spacing w:after="0"/>
              <w:jc w:val="center"/>
              <w:rPr>
                <w:rFonts w:ascii="Times New Roman" w:hAnsi="Times New Roman"/>
                <w:noProof/>
                <w:sz w:val="24"/>
                <w:szCs w:val="24"/>
              </w:rPr>
            </w:pPr>
            <w:r>
              <w:rPr>
                <w:rFonts w:ascii="Times New Roman" w:hAnsi="Times New Roman"/>
                <w:noProof/>
                <w:sz w:val="24"/>
                <w:szCs w:val="24"/>
              </w:rPr>
              <w:t>Work Plan</w:t>
            </w:r>
          </w:p>
        </w:tc>
        <w:tc>
          <w:tcPr>
            <w:tcW w:w="1310" w:type="dxa"/>
          </w:tcPr>
          <w:p>
            <w:pPr>
              <w:spacing w:after="0"/>
              <w:rPr>
                <w:rFonts w:ascii="Times New Roman" w:hAnsi="Times New Roman"/>
                <w:noProof/>
                <w:sz w:val="24"/>
                <w:szCs w:val="24"/>
              </w:rPr>
            </w:pPr>
            <w:r>
              <w:rPr>
                <w:rFonts w:ascii="Times New Roman" w:hAnsi="Times New Roman"/>
                <w:noProof/>
                <w:sz w:val="24"/>
                <w:szCs w:val="24"/>
              </w:rPr>
              <w:t>Discussion paper 06/2018</w:t>
            </w:r>
          </w:p>
        </w:tc>
        <w:tc>
          <w:tcPr>
            <w:tcW w:w="6716" w:type="dxa"/>
            <w:shd w:val="clear" w:color="auto" w:fill="auto"/>
          </w:tcPr>
          <w:p>
            <w:pPr>
              <w:spacing w:after="0"/>
              <w:rPr>
                <w:rFonts w:ascii="Times New Roman" w:hAnsi="Times New Roman"/>
                <w:noProof/>
                <w:sz w:val="24"/>
                <w:szCs w:val="24"/>
              </w:rPr>
            </w:pPr>
            <w:r>
              <w:rPr>
                <w:rFonts w:ascii="Times New Roman" w:hAnsi="Times New Roman"/>
                <w:noProof/>
                <w:sz w:val="24"/>
                <w:szCs w:val="24"/>
              </w:rPr>
              <w:t xml:space="preserve">Clarification for the presentation of financial instruments with both liability and equity features. Aims at clarifying the requirements of IAS32 Financial instruments - presentation. </w:t>
            </w:r>
          </w:p>
        </w:tc>
      </w:tr>
      <w:tr>
        <w:tc>
          <w:tcPr>
            <w:tcW w:w="2362" w:type="dxa"/>
            <w:shd w:val="clear" w:color="auto" w:fill="auto"/>
          </w:tcPr>
          <w:p>
            <w:pPr>
              <w:spacing w:after="0"/>
              <w:rPr>
                <w:rFonts w:ascii="Times New Roman" w:hAnsi="Times New Roman"/>
                <w:noProof/>
                <w:sz w:val="24"/>
                <w:szCs w:val="24"/>
              </w:rPr>
            </w:pPr>
            <w:r>
              <w:rPr>
                <w:rFonts w:ascii="Times New Roman" w:hAnsi="Times New Roman"/>
                <w:noProof/>
                <w:sz w:val="24"/>
                <w:szCs w:val="24"/>
              </w:rPr>
              <w:t>Goodwill and impairment</w:t>
            </w:r>
          </w:p>
        </w:tc>
        <w:tc>
          <w:tcPr>
            <w:tcW w:w="1310" w:type="dxa"/>
            <w:shd w:val="clear" w:color="auto" w:fill="auto"/>
          </w:tcPr>
          <w:p>
            <w:pPr>
              <w:spacing w:after="0"/>
              <w:jc w:val="center"/>
              <w:rPr>
                <w:rFonts w:ascii="Times New Roman" w:hAnsi="Times New Roman"/>
                <w:noProof/>
                <w:sz w:val="24"/>
                <w:szCs w:val="24"/>
              </w:rPr>
            </w:pPr>
            <w:r>
              <w:rPr>
                <w:rFonts w:ascii="Times New Roman" w:hAnsi="Times New Roman"/>
                <w:noProof/>
                <w:sz w:val="24"/>
                <w:szCs w:val="24"/>
              </w:rPr>
              <w:t>Work Plan</w:t>
            </w:r>
          </w:p>
        </w:tc>
        <w:tc>
          <w:tcPr>
            <w:tcW w:w="1310" w:type="dxa"/>
            <w:shd w:val="clear" w:color="auto" w:fill="auto"/>
          </w:tcPr>
          <w:p>
            <w:pPr>
              <w:spacing w:after="0"/>
              <w:jc w:val="center"/>
              <w:rPr>
                <w:rFonts w:ascii="Times New Roman" w:hAnsi="Times New Roman"/>
                <w:noProof/>
                <w:sz w:val="24"/>
                <w:szCs w:val="24"/>
              </w:rPr>
            </w:pPr>
            <w:r>
              <w:rPr>
                <w:rFonts w:ascii="Times New Roman" w:hAnsi="Times New Roman"/>
                <w:noProof/>
                <w:sz w:val="24"/>
                <w:szCs w:val="24"/>
              </w:rPr>
              <w:t>Work Plan</w:t>
            </w:r>
          </w:p>
        </w:tc>
        <w:tc>
          <w:tcPr>
            <w:tcW w:w="1310" w:type="dxa"/>
          </w:tcPr>
          <w:p>
            <w:pPr>
              <w:spacing w:after="0"/>
              <w:rPr>
                <w:rFonts w:ascii="Times New Roman" w:hAnsi="Times New Roman"/>
                <w:noProof/>
                <w:sz w:val="24"/>
                <w:szCs w:val="24"/>
              </w:rPr>
            </w:pPr>
            <w:r>
              <w:rPr>
                <w:rFonts w:ascii="Times New Roman" w:hAnsi="Times New Roman"/>
                <w:noProof/>
                <w:sz w:val="24"/>
                <w:szCs w:val="24"/>
              </w:rPr>
              <w:t>Work Plan</w:t>
            </w:r>
          </w:p>
        </w:tc>
        <w:tc>
          <w:tcPr>
            <w:tcW w:w="6716" w:type="dxa"/>
            <w:shd w:val="clear" w:color="auto" w:fill="auto"/>
          </w:tcPr>
          <w:p>
            <w:pPr>
              <w:spacing w:after="0"/>
              <w:rPr>
                <w:rFonts w:ascii="Times New Roman" w:hAnsi="Times New Roman"/>
                <w:noProof/>
                <w:sz w:val="24"/>
                <w:szCs w:val="24"/>
              </w:rPr>
            </w:pPr>
            <w:r>
              <w:rPr>
                <w:rFonts w:ascii="Times New Roman" w:hAnsi="Times New Roman"/>
                <w:noProof/>
                <w:sz w:val="24"/>
                <w:szCs w:val="24"/>
              </w:rPr>
              <w:t xml:space="preserve">Research project to ensure the timely recognition of goodwill impairment. Aims at improving the requirements of IAS36. </w:t>
            </w:r>
          </w:p>
        </w:tc>
      </w:tr>
      <w:tr>
        <w:tc>
          <w:tcPr>
            <w:tcW w:w="2362" w:type="dxa"/>
            <w:shd w:val="clear" w:color="auto" w:fill="auto"/>
          </w:tcPr>
          <w:p>
            <w:pPr>
              <w:spacing w:after="0"/>
              <w:rPr>
                <w:rFonts w:ascii="Times New Roman" w:hAnsi="Times New Roman"/>
                <w:noProof/>
                <w:sz w:val="24"/>
                <w:szCs w:val="24"/>
              </w:rPr>
            </w:pPr>
            <w:r>
              <w:rPr>
                <w:rFonts w:ascii="Times New Roman" w:hAnsi="Times New Roman"/>
                <w:noProof/>
                <w:sz w:val="24"/>
                <w:szCs w:val="24"/>
              </w:rPr>
              <w:t>Share-based payment</w:t>
            </w:r>
          </w:p>
        </w:tc>
        <w:tc>
          <w:tcPr>
            <w:tcW w:w="1310" w:type="dxa"/>
            <w:shd w:val="clear" w:color="auto" w:fill="auto"/>
          </w:tcPr>
          <w:p>
            <w:pPr>
              <w:spacing w:after="0"/>
              <w:jc w:val="center"/>
              <w:rPr>
                <w:rFonts w:ascii="Times New Roman" w:hAnsi="Times New Roman"/>
                <w:noProof/>
                <w:sz w:val="24"/>
                <w:szCs w:val="24"/>
              </w:rPr>
            </w:pPr>
            <w:r>
              <w:rPr>
                <w:rFonts w:ascii="Times New Roman" w:hAnsi="Times New Roman"/>
                <w:noProof/>
                <w:sz w:val="24"/>
                <w:szCs w:val="24"/>
              </w:rPr>
              <w:t>Work Plan</w:t>
            </w:r>
          </w:p>
        </w:tc>
        <w:tc>
          <w:tcPr>
            <w:tcW w:w="1310" w:type="dxa"/>
            <w:shd w:val="clear" w:color="auto" w:fill="auto"/>
          </w:tcPr>
          <w:p>
            <w:pPr>
              <w:spacing w:after="0"/>
              <w:jc w:val="center"/>
              <w:rPr>
                <w:rFonts w:ascii="Times New Roman" w:hAnsi="Times New Roman"/>
                <w:noProof/>
                <w:sz w:val="24"/>
                <w:szCs w:val="24"/>
              </w:rPr>
            </w:pPr>
            <w:r>
              <w:rPr>
                <w:rFonts w:ascii="Times New Roman" w:hAnsi="Times New Roman"/>
                <w:noProof/>
                <w:sz w:val="24"/>
                <w:szCs w:val="24"/>
              </w:rPr>
              <w:t>Completed</w:t>
            </w:r>
          </w:p>
        </w:tc>
        <w:tc>
          <w:tcPr>
            <w:tcW w:w="1310" w:type="dxa"/>
          </w:tcPr>
          <w:p>
            <w:pPr>
              <w:spacing w:after="0"/>
              <w:rPr>
                <w:rFonts w:ascii="Times New Roman" w:hAnsi="Times New Roman"/>
                <w:noProof/>
                <w:sz w:val="24"/>
                <w:szCs w:val="24"/>
              </w:rPr>
            </w:pPr>
            <w:r>
              <w:rPr>
                <w:rFonts w:ascii="Times New Roman" w:hAnsi="Times New Roman"/>
                <w:noProof/>
                <w:sz w:val="24"/>
                <w:szCs w:val="24"/>
              </w:rPr>
              <w:t>Projected summary 10/2018</w:t>
            </w:r>
          </w:p>
        </w:tc>
        <w:tc>
          <w:tcPr>
            <w:tcW w:w="6716" w:type="dxa"/>
            <w:shd w:val="clear" w:color="auto" w:fill="auto"/>
          </w:tcPr>
          <w:p>
            <w:pPr>
              <w:spacing w:after="0"/>
              <w:rPr>
                <w:rFonts w:ascii="Times New Roman" w:hAnsi="Times New Roman"/>
                <w:noProof/>
                <w:sz w:val="24"/>
                <w:szCs w:val="24"/>
              </w:rPr>
            </w:pPr>
            <w:r>
              <w:rPr>
                <w:rFonts w:ascii="Times New Roman" w:hAnsi="Times New Roman"/>
                <w:noProof/>
                <w:sz w:val="24"/>
                <w:szCs w:val="24"/>
              </w:rPr>
              <w:t xml:space="preserve">Project completed. </w:t>
            </w:r>
          </w:p>
        </w:tc>
      </w:tr>
      <w:tr>
        <w:tc>
          <w:tcPr>
            <w:tcW w:w="2362" w:type="dxa"/>
            <w:shd w:val="clear" w:color="auto" w:fill="auto"/>
          </w:tcPr>
          <w:p>
            <w:pPr>
              <w:spacing w:after="0"/>
              <w:rPr>
                <w:rFonts w:ascii="Times New Roman" w:hAnsi="Times New Roman"/>
                <w:noProof/>
                <w:sz w:val="24"/>
                <w:szCs w:val="24"/>
              </w:rPr>
            </w:pPr>
            <w:r>
              <w:rPr>
                <w:rFonts w:ascii="Times New Roman" w:hAnsi="Times New Roman"/>
                <w:noProof/>
                <w:sz w:val="24"/>
                <w:szCs w:val="24"/>
              </w:rPr>
              <w:t>Rate regulated activities</w:t>
            </w:r>
          </w:p>
        </w:tc>
        <w:tc>
          <w:tcPr>
            <w:tcW w:w="1310" w:type="dxa"/>
            <w:shd w:val="clear" w:color="auto" w:fill="auto"/>
          </w:tcPr>
          <w:p>
            <w:pPr>
              <w:spacing w:after="0"/>
              <w:jc w:val="center"/>
              <w:rPr>
                <w:rFonts w:ascii="Times New Roman" w:hAnsi="Times New Roman"/>
                <w:noProof/>
                <w:sz w:val="24"/>
                <w:szCs w:val="24"/>
              </w:rPr>
            </w:pPr>
            <w:r>
              <w:rPr>
                <w:rFonts w:ascii="Times New Roman" w:hAnsi="Times New Roman"/>
                <w:noProof/>
                <w:sz w:val="24"/>
                <w:szCs w:val="24"/>
              </w:rPr>
              <w:t>Work Plan</w:t>
            </w:r>
          </w:p>
        </w:tc>
        <w:tc>
          <w:tcPr>
            <w:tcW w:w="1310" w:type="dxa"/>
            <w:shd w:val="clear" w:color="auto" w:fill="auto"/>
          </w:tcPr>
          <w:p>
            <w:pPr>
              <w:spacing w:after="0"/>
              <w:jc w:val="center"/>
              <w:rPr>
                <w:rFonts w:ascii="Times New Roman" w:hAnsi="Times New Roman"/>
                <w:noProof/>
                <w:sz w:val="24"/>
                <w:szCs w:val="24"/>
              </w:rPr>
            </w:pPr>
            <w:r>
              <w:rPr>
                <w:rFonts w:ascii="Times New Roman" w:hAnsi="Times New Roman"/>
                <w:noProof/>
                <w:sz w:val="24"/>
                <w:szCs w:val="24"/>
              </w:rPr>
              <w:t>Work Plan</w:t>
            </w:r>
          </w:p>
        </w:tc>
        <w:tc>
          <w:tcPr>
            <w:tcW w:w="1310" w:type="dxa"/>
          </w:tcPr>
          <w:p>
            <w:pPr>
              <w:spacing w:after="0"/>
              <w:rPr>
                <w:rFonts w:ascii="Times New Roman" w:hAnsi="Times New Roman"/>
                <w:noProof/>
                <w:sz w:val="24"/>
                <w:szCs w:val="24"/>
              </w:rPr>
            </w:pPr>
            <w:r>
              <w:rPr>
                <w:rFonts w:ascii="Times New Roman" w:hAnsi="Times New Roman"/>
                <w:noProof/>
                <w:sz w:val="24"/>
                <w:szCs w:val="24"/>
              </w:rPr>
              <w:t>Work Plan</w:t>
            </w:r>
          </w:p>
        </w:tc>
        <w:tc>
          <w:tcPr>
            <w:tcW w:w="6716" w:type="dxa"/>
            <w:shd w:val="clear" w:color="auto" w:fill="auto"/>
          </w:tcPr>
          <w:p>
            <w:pPr>
              <w:spacing w:after="0"/>
              <w:rPr>
                <w:rFonts w:ascii="Times New Roman" w:hAnsi="Times New Roman"/>
                <w:noProof/>
                <w:sz w:val="24"/>
                <w:szCs w:val="24"/>
              </w:rPr>
            </w:pPr>
            <w:r>
              <w:rPr>
                <w:rFonts w:ascii="Times New Roman" w:hAnsi="Times New Roman"/>
                <w:noProof/>
                <w:sz w:val="24"/>
                <w:szCs w:val="24"/>
              </w:rPr>
              <w:t>The project aims at accounting for the effect of rate regulations when companies pricing policies are regulated.</w:t>
            </w:r>
          </w:p>
        </w:tc>
      </w:tr>
      <w:tr>
        <w:trPr>
          <w:trHeight w:val="634"/>
        </w:trPr>
        <w:tc>
          <w:tcPr>
            <w:tcW w:w="2362" w:type="dxa"/>
            <w:shd w:val="clear" w:color="auto" w:fill="auto"/>
          </w:tcPr>
          <w:p>
            <w:pPr>
              <w:spacing w:after="0"/>
              <w:rPr>
                <w:rFonts w:ascii="Times New Roman" w:hAnsi="Times New Roman"/>
                <w:noProof/>
                <w:sz w:val="24"/>
                <w:szCs w:val="24"/>
              </w:rPr>
            </w:pPr>
            <w:r>
              <w:rPr>
                <w:rFonts w:ascii="Times New Roman" w:hAnsi="Times New Roman"/>
                <w:noProof/>
                <w:sz w:val="24"/>
                <w:szCs w:val="24"/>
              </w:rPr>
              <w:t>Conceptual framework</w:t>
            </w:r>
          </w:p>
        </w:tc>
        <w:tc>
          <w:tcPr>
            <w:tcW w:w="1310" w:type="dxa"/>
            <w:shd w:val="clear" w:color="auto" w:fill="auto"/>
          </w:tcPr>
          <w:p>
            <w:pPr>
              <w:spacing w:after="0"/>
              <w:jc w:val="center"/>
              <w:rPr>
                <w:rFonts w:ascii="Times New Roman" w:hAnsi="Times New Roman"/>
                <w:noProof/>
                <w:sz w:val="24"/>
                <w:szCs w:val="24"/>
              </w:rPr>
            </w:pPr>
            <w:r>
              <w:rPr>
                <w:rFonts w:ascii="Times New Roman" w:hAnsi="Times New Roman"/>
                <w:noProof/>
                <w:sz w:val="24"/>
                <w:szCs w:val="24"/>
              </w:rPr>
              <w:t>Exposure Draft – 28/05/2015</w:t>
            </w:r>
          </w:p>
        </w:tc>
        <w:tc>
          <w:tcPr>
            <w:tcW w:w="1310" w:type="dxa"/>
            <w:shd w:val="clear" w:color="auto" w:fill="auto"/>
          </w:tcPr>
          <w:p>
            <w:pPr>
              <w:spacing w:after="0"/>
              <w:jc w:val="center"/>
              <w:rPr>
                <w:rFonts w:ascii="Times New Roman" w:hAnsi="Times New Roman"/>
                <w:noProof/>
                <w:sz w:val="24"/>
                <w:szCs w:val="24"/>
              </w:rPr>
            </w:pPr>
            <w:r>
              <w:rPr>
                <w:rFonts w:ascii="Times New Roman" w:hAnsi="Times New Roman"/>
                <w:noProof/>
                <w:sz w:val="24"/>
                <w:szCs w:val="24"/>
              </w:rPr>
              <w:t>Ongoing</w:t>
            </w:r>
          </w:p>
        </w:tc>
        <w:tc>
          <w:tcPr>
            <w:tcW w:w="1310" w:type="dxa"/>
          </w:tcPr>
          <w:p>
            <w:pPr>
              <w:spacing w:after="0"/>
              <w:rPr>
                <w:rFonts w:ascii="Times New Roman" w:hAnsi="Times New Roman"/>
                <w:noProof/>
                <w:sz w:val="24"/>
                <w:szCs w:val="24"/>
              </w:rPr>
            </w:pPr>
            <w:r>
              <w:rPr>
                <w:rFonts w:ascii="Times New Roman" w:hAnsi="Times New Roman"/>
                <w:noProof/>
                <w:sz w:val="24"/>
                <w:szCs w:val="24"/>
              </w:rPr>
              <w:t>Issued in March 2018</w:t>
            </w:r>
          </w:p>
        </w:tc>
        <w:tc>
          <w:tcPr>
            <w:tcW w:w="6716" w:type="dxa"/>
            <w:shd w:val="clear" w:color="auto" w:fill="auto"/>
          </w:tcPr>
          <w:p>
            <w:pPr>
              <w:spacing w:after="0"/>
              <w:rPr>
                <w:rFonts w:ascii="Times New Roman" w:hAnsi="Times New Roman"/>
                <w:noProof/>
                <w:sz w:val="24"/>
                <w:szCs w:val="24"/>
              </w:rPr>
            </w:pPr>
            <w:r>
              <w:rPr>
                <w:rFonts w:ascii="Times New Roman" w:hAnsi="Times New Roman"/>
                <w:noProof/>
                <w:sz w:val="24"/>
                <w:szCs w:val="24"/>
              </w:rPr>
              <w:t>Project completed.</w:t>
            </w:r>
          </w:p>
        </w:tc>
      </w:tr>
      <w:tr>
        <w:trPr>
          <w:trHeight w:val="634"/>
        </w:trPr>
        <w:tc>
          <w:tcPr>
            <w:tcW w:w="2362" w:type="dxa"/>
            <w:shd w:val="clear" w:color="auto" w:fill="auto"/>
          </w:tcPr>
          <w:p>
            <w:pPr>
              <w:spacing w:after="0"/>
              <w:rPr>
                <w:rFonts w:ascii="Times New Roman" w:hAnsi="Times New Roman"/>
                <w:noProof/>
                <w:sz w:val="24"/>
                <w:szCs w:val="24"/>
              </w:rPr>
            </w:pPr>
            <w:r>
              <w:rPr>
                <w:rFonts w:ascii="Times New Roman" w:hAnsi="Times New Roman"/>
                <w:noProof/>
                <w:sz w:val="24"/>
                <w:szCs w:val="24"/>
              </w:rPr>
              <w:t>Extractive activities</w:t>
            </w:r>
          </w:p>
        </w:tc>
        <w:tc>
          <w:tcPr>
            <w:tcW w:w="1310" w:type="dxa"/>
            <w:shd w:val="clear" w:color="auto" w:fill="D9D9D9" w:themeFill="background1" w:themeFillShade="D9"/>
          </w:tcPr>
          <w:p>
            <w:pPr>
              <w:spacing w:after="0"/>
              <w:jc w:val="center"/>
              <w:rPr>
                <w:rFonts w:ascii="Times New Roman" w:hAnsi="Times New Roman"/>
                <w:noProof/>
                <w:sz w:val="24"/>
                <w:szCs w:val="24"/>
              </w:rPr>
            </w:pPr>
          </w:p>
        </w:tc>
        <w:tc>
          <w:tcPr>
            <w:tcW w:w="1310" w:type="dxa"/>
            <w:shd w:val="clear" w:color="auto" w:fill="D9D9D9" w:themeFill="background1" w:themeFillShade="D9"/>
          </w:tcPr>
          <w:p>
            <w:pPr>
              <w:spacing w:after="0"/>
              <w:jc w:val="center"/>
              <w:rPr>
                <w:rFonts w:ascii="Times New Roman" w:hAnsi="Times New Roman"/>
                <w:noProof/>
                <w:sz w:val="24"/>
                <w:szCs w:val="24"/>
              </w:rPr>
            </w:pPr>
          </w:p>
        </w:tc>
        <w:tc>
          <w:tcPr>
            <w:tcW w:w="1310" w:type="dxa"/>
          </w:tcPr>
          <w:p>
            <w:pPr>
              <w:spacing w:after="0"/>
              <w:rPr>
                <w:rFonts w:ascii="Times New Roman" w:hAnsi="Times New Roman"/>
                <w:noProof/>
                <w:sz w:val="24"/>
                <w:szCs w:val="24"/>
              </w:rPr>
            </w:pPr>
            <w:r>
              <w:rPr>
                <w:rFonts w:ascii="Times New Roman" w:hAnsi="Times New Roman"/>
                <w:noProof/>
                <w:sz w:val="24"/>
                <w:szCs w:val="24"/>
              </w:rPr>
              <w:t>Work Plan</w:t>
            </w:r>
          </w:p>
        </w:tc>
        <w:tc>
          <w:tcPr>
            <w:tcW w:w="6716" w:type="dxa"/>
            <w:shd w:val="clear" w:color="auto" w:fill="auto"/>
          </w:tcPr>
          <w:p>
            <w:pPr>
              <w:spacing w:after="0"/>
              <w:rPr>
                <w:rFonts w:ascii="Times New Roman" w:hAnsi="Times New Roman"/>
                <w:noProof/>
                <w:sz w:val="24"/>
                <w:szCs w:val="24"/>
              </w:rPr>
            </w:pPr>
            <w:r>
              <w:rPr>
                <w:rFonts w:ascii="Times New Roman" w:hAnsi="Times New Roman"/>
                <w:noProof/>
                <w:sz w:val="24"/>
                <w:szCs w:val="24"/>
              </w:rPr>
              <w:t>Research project to consider an upgrade of IFRS 6 – Exploration for and Evaluation of Mineral Ressources</w:t>
            </w:r>
          </w:p>
        </w:tc>
      </w:tr>
      <w:tr>
        <w:tc>
          <w:tcPr>
            <w:tcW w:w="13008" w:type="dxa"/>
            <w:gridSpan w:val="5"/>
            <w:shd w:val="clear" w:color="auto" w:fill="F2F2F2"/>
          </w:tcPr>
          <w:p>
            <w:pPr>
              <w:spacing w:after="0"/>
              <w:rPr>
                <w:rFonts w:ascii="Times New Roman" w:hAnsi="Times New Roman"/>
                <w:b/>
                <w:noProof/>
                <w:sz w:val="24"/>
                <w:szCs w:val="24"/>
              </w:rPr>
            </w:pPr>
            <w:r>
              <w:rPr>
                <w:rFonts w:ascii="Times New Roman" w:hAnsi="Times New Roman"/>
                <w:b/>
                <w:noProof/>
                <w:sz w:val="24"/>
                <w:szCs w:val="24"/>
              </w:rPr>
              <w:t>Maintenance projects – Narrow scope amendments</w:t>
            </w:r>
          </w:p>
        </w:tc>
      </w:tr>
      <w:tr>
        <w:tc>
          <w:tcPr>
            <w:tcW w:w="2362" w:type="dxa"/>
            <w:shd w:val="clear" w:color="auto" w:fill="auto"/>
          </w:tcPr>
          <w:p>
            <w:pPr>
              <w:spacing w:after="0"/>
              <w:rPr>
                <w:rFonts w:ascii="Times New Roman" w:hAnsi="Times New Roman"/>
                <w:noProof/>
                <w:sz w:val="24"/>
                <w:szCs w:val="24"/>
              </w:rPr>
            </w:pPr>
            <w:r>
              <w:rPr>
                <w:rFonts w:ascii="Times New Roman" w:hAnsi="Times New Roman"/>
                <w:noProof/>
                <w:sz w:val="24"/>
                <w:szCs w:val="24"/>
              </w:rPr>
              <w:t>Accounting policies and Accounting Estimates (Amendments to IAS 8)</w:t>
            </w:r>
          </w:p>
        </w:tc>
        <w:tc>
          <w:tcPr>
            <w:tcW w:w="1310" w:type="dxa"/>
            <w:shd w:val="clear" w:color="auto" w:fill="D9D9D9" w:themeFill="background1" w:themeFillShade="D9"/>
          </w:tcPr>
          <w:p>
            <w:pPr>
              <w:spacing w:after="0"/>
              <w:jc w:val="center"/>
              <w:rPr>
                <w:rFonts w:ascii="Times New Roman" w:hAnsi="Times New Roman"/>
                <w:noProof/>
                <w:sz w:val="24"/>
                <w:szCs w:val="24"/>
              </w:rPr>
            </w:pPr>
          </w:p>
        </w:tc>
        <w:tc>
          <w:tcPr>
            <w:tcW w:w="1310" w:type="dxa"/>
            <w:shd w:val="clear" w:color="auto" w:fill="auto"/>
          </w:tcPr>
          <w:p>
            <w:pPr>
              <w:spacing w:after="0"/>
              <w:jc w:val="center"/>
              <w:rPr>
                <w:rFonts w:ascii="Times New Roman" w:hAnsi="Times New Roman"/>
                <w:noProof/>
                <w:sz w:val="24"/>
                <w:szCs w:val="24"/>
              </w:rPr>
            </w:pPr>
            <w:r>
              <w:rPr>
                <w:rFonts w:ascii="Times New Roman" w:hAnsi="Times New Roman"/>
                <w:noProof/>
                <w:sz w:val="24"/>
                <w:szCs w:val="24"/>
              </w:rPr>
              <w:t>Exposure Draft  - 12/09/2017</w:t>
            </w:r>
          </w:p>
        </w:tc>
        <w:tc>
          <w:tcPr>
            <w:tcW w:w="1310" w:type="dxa"/>
          </w:tcPr>
          <w:p>
            <w:pPr>
              <w:spacing w:after="0"/>
              <w:rPr>
                <w:rFonts w:ascii="Times New Roman" w:hAnsi="Times New Roman"/>
                <w:noProof/>
                <w:sz w:val="24"/>
                <w:szCs w:val="24"/>
              </w:rPr>
            </w:pPr>
            <w:r>
              <w:rPr>
                <w:rFonts w:ascii="Times New Roman" w:hAnsi="Times New Roman"/>
                <w:noProof/>
                <w:sz w:val="24"/>
                <w:szCs w:val="24"/>
              </w:rPr>
              <w:t>Work plan</w:t>
            </w:r>
          </w:p>
        </w:tc>
        <w:tc>
          <w:tcPr>
            <w:tcW w:w="6716" w:type="dxa"/>
            <w:shd w:val="clear" w:color="auto" w:fill="auto"/>
          </w:tcPr>
          <w:p>
            <w:pPr>
              <w:spacing w:after="0"/>
              <w:rPr>
                <w:rFonts w:ascii="Times New Roman" w:hAnsi="Times New Roman"/>
                <w:noProof/>
                <w:sz w:val="24"/>
                <w:szCs w:val="24"/>
              </w:rPr>
            </w:pPr>
            <w:r>
              <w:rPr>
                <w:rFonts w:ascii="Times New Roman" w:hAnsi="Times New Roman"/>
                <w:noProof/>
                <w:sz w:val="24"/>
                <w:szCs w:val="24"/>
              </w:rPr>
              <w:t>Clarifications on the distinction between accounting policies and estimates.</w:t>
            </w:r>
          </w:p>
        </w:tc>
      </w:tr>
      <w:tr>
        <w:tc>
          <w:tcPr>
            <w:tcW w:w="2362" w:type="dxa"/>
            <w:shd w:val="clear" w:color="auto" w:fill="auto"/>
          </w:tcPr>
          <w:p>
            <w:pPr>
              <w:spacing w:after="0"/>
              <w:rPr>
                <w:rFonts w:ascii="Times New Roman" w:hAnsi="Times New Roman"/>
                <w:noProof/>
                <w:sz w:val="24"/>
                <w:szCs w:val="24"/>
              </w:rPr>
            </w:pPr>
            <w:r>
              <w:rPr>
                <w:rFonts w:ascii="Times New Roman" w:hAnsi="Times New Roman"/>
                <w:noProof/>
                <w:sz w:val="24"/>
                <w:szCs w:val="24"/>
              </w:rPr>
              <w:t>Accounting policies changes (Amendment to IAS 8)</w:t>
            </w:r>
          </w:p>
        </w:tc>
        <w:tc>
          <w:tcPr>
            <w:tcW w:w="1310" w:type="dxa"/>
            <w:shd w:val="clear" w:color="auto" w:fill="D9D9D9" w:themeFill="background1" w:themeFillShade="D9"/>
          </w:tcPr>
          <w:p>
            <w:pPr>
              <w:spacing w:after="0"/>
              <w:rPr>
                <w:rFonts w:ascii="Times New Roman" w:hAnsi="Times New Roman"/>
                <w:noProof/>
                <w:sz w:val="24"/>
                <w:szCs w:val="24"/>
              </w:rPr>
            </w:pPr>
          </w:p>
        </w:tc>
        <w:tc>
          <w:tcPr>
            <w:tcW w:w="1310" w:type="dxa"/>
            <w:shd w:val="clear" w:color="auto" w:fill="auto"/>
          </w:tcPr>
          <w:p>
            <w:pPr>
              <w:spacing w:after="0"/>
              <w:jc w:val="center"/>
              <w:rPr>
                <w:rFonts w:ascii="Times New Roman" w:hAnsi="Times New Roman"/>
                <w:noProof/>
                <w:sz w:val="24"/>
                <w:szCs w:val="24"/>
              </w:rPr>
            </w:pPr>
            <w:r>
              <w:rPr>
                <w:rFonts w:ascii="Times New Roman" w:hAnsi="Times New Roman"/>
                <w:noProof/>
                <w:sz w:val="24"/>
                <w:szCs w:val="24"/>
              </w:rPr>
              <w:t>Work plan</w:t>
            </w:r>
          </w:p>
        </w:tc>
        <w:tc>
          <w:tcPr>
            <w:tcW w:w="1310" w:type="dxa"/>
          </w:tcPr>
          <w:p>
            <w:pPr>
              <w:spacing w:after="0"/>
              <w:rPr>
                <w:rFonts w:ascii="Times New Roman" w:hAnsi="Times New Roman"/>
                <w:noProof/>
                <w:sz w:val="24"/>
                <w:szCs w:val="24"/>
              </w:rPr>
            </w:pPr>
            <w:r>
              <w:rPr>
                <w:rFonts w:ascii="Times New Roman" w:hAnsi="Times New Roman"/>
                <w:noProof/>
                <w:sz w:val="24"/>
                <w:szCs w:val="24"/>
              </w:rPr>
              <w:t>Exposure Draft 26/03/2018</w:t>
            </w:r>
          </w:p>
        </w:tc>
        <w:tc>
          <w:tcPr>
            <w:tcW w:w="6716" w:type="dxa"/>
            <w:shd w:val="clear" w:color="auto" w:fill="auto"/>
          </w:tcPr>
          <w:p>
            <w:pPr>
              <w:spacing w:after="0"/>
              <w:rPr>
                <w:rFonts w:ascii="Times New Roman" w:hAnsi="Times New Roman"/>
                <w:noProof/>
                <w:sz w:val="24"/>
                <w:szCs w:val="24"/>
              </w:rPr>
            </w:pPr>
            <w:r>
              <w:rPr>
                <w:rFonts w:ascii="Times New Roman" w:hAnsi="Times New Roman"/>
                <w:noProof/>
                <w:sz w:val="24"/>
                <w:szCs w:val="24"/>
              </w:rPr>
              <w:t>Designed to lower the impracticability threshold regarding retrospective application of voluntary changes in accounting policies.</w:t>
            </w:r>
          </w:p>
        </w:tc>
      </w:tr>
      <w:tr>
        <w:tc>
          <w:tcPr>
            <w:tcW w:w="2362" w:type="dxa"/>
            <w:shd w:val="clear" w:color="auto" w:fill="auto"/>
          </w:tcPr>
          <w:p>
            <w:pPr>
              <w:spacing w:after="0"/>
              <w:rPr>
                <w:rFonts w:ascii="Times New Roman" w:hAnsi="Times New Roman"/>
                <w:noProof/>
                <w:sz w:val="24"/>
                <w:szCs w:val="24"/>
              </w:rPr>
            </w:pPr>
            <w:r>
              <w:rPr>
                <w:rFonts w:ascii="Times New Roman" w:hAnsi="Times New Roman"/>
                <w:noProof/>
                <w:sz w:val="24"/>
                <w:szCs w:val="24"/>
              </w:rPr>
              <w:t>Availability of a refund (Amendments to IFRIC14)</w:t>
            </w:r>
          </w:p>
        </w:tc>
        <w:tc>
          <w:tcPr>
            <w:tcW w:w="1310" w:type="dxa"/>
            <w:shd w:val="clear" w:color="auto" w:fill="D9D9D9" w:themeFill="background1" w:themeFillShade="D9"/>
          </w:tcPr>
          <w:p>
            <w:pPr>
              <w:jc w:val="center"/>
              <w:rPr>
                <w:rFonts w:ascii="Times New Roman" w:hAnsi="Times New Roman"/>
                <w:noProof/>
                <w:sz w:val="24"/>
                <w:szCs w:val="24"/>
              </w:rPr>
            </w:pP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Work plan</w:t>
            </w:r>
          </w:p>
        </w:tc>
        <w:tc>
          <w:tcPr>
            <w:tcW w:w="1310" w:type="dxa"/>
          </w:tcPr>
          <w:p>
            <w:pPr>
              <w:rPr>
                <w:rFonts w:ascii="Times New Roman" w:hAnsi="Times New Roman"/>
                <w:noProof/>
                <w:sz w:val="24"/>
                <w:szCs w:val="24"/>
              </w:rPr>
            </w:pPr>
            <w:r>
              <w:rPr>
                <w:rFonts w:ascii="Times New Roman" w:hAnsi="Times New Roman"/>
                <w:noProof/>
                <w:sz w:val="24"/>
                <w:szCs w:val="24"/>
              </w:rPr>
              <w:t>Work Plan</w:t>
            </w:r>
          </w:p>
        </w:tc>
        <w:tc>
          <w:tcPr>
            <w:tcW w:w="6716" w:type="dxa"/>
            <w:shd w:val="clear" w:color="auto" w:fill="auto"/>
          </w:tcPr>
          <w:p>
            <w:pPr>
              <w:rPr>
                <w:rFonts w:ascii="Times New Roman" w:hAnsi="Times New Roman"/>
                <w:noProof/>
                <w:sz w:val="24"/>
                <w:szCs w:val="24"/>
              </w:rPr>
            </w:pPr>
            <w:r>
              <w:rPr>
                <w:rFonts w:ascii="Times New Roman" w:hAnsi="Times New Roman"/>
                <w:noProof/>
                <w:sz w:val="24"/>
                <w:szCs w:val="24"/>
              </w:rPr>
              <w:t>Clarifications when third parties have rights to make particular decisions about a company's defined benefit plan</w:t>
            </w:r>
          </w:p>
        </w:tc>
      </w:tr>
      <w:tr>
        <w:tc>
          <w:tcPr>
            <w:tcW w:w="2362" w:type="dxa"/>
            <w:shd w:val="clear" w:color="auto" w:fill="auto"/>
          </w:tcPr>
          <w:p>
            <w:pPr>
              <w:spacing w:after="0"/>
              <w:rPr>
                <w:rFonts w:ascii="Times New Roman" w:hAnsi="Times New Roman"/>
                <w:noProof/>
                <w:sz w:val="24"/>
                <w:szCs w:val="24"/>
              </w:rPr>
            </w:pPr>
            <w:r>
              <w:rPr>
                <w:rFonts w:ascii="Times New Roman" w:hAnsi="Times New Roman"/>
                <w:noProof/>
                <w:sz w:val="24"/>
                <w:szCs w:val="24"/>
              </w:rPr>
              <w:t>Classification of liabilities (Amendment to IAS 1)</w:t>
            </w:r>
          </w:p>
        </w:tc>
        <w:tc>
          <w:tcPr>
            <w:tcW w:w="1310" w:type="dxa"/>
            <w:shd w:val="clear" w:color="auto" w:fill="D9D9D9" w:themeFill="background1" w:themeFillShade="D9"/>
          </w:tcPr>
          <w:p>
            <w:pPr>
              <w:spacing w:after="0"/>
              <w:jc w:val="center"/>
              <w:rPr>
                <w:rFonts w:ascii="Times New Roman" w:hAnsi="Times New Roman"/>
                <w:noProof/>
                <w:sz w:val="24"/>
                <w:szCs w:val="24"/>
              </w:rPr>
            </w:pPr>
          </w:p>
        </w:tc>
        <w:tc>
          <w:tcPr>
            <w:tcW w:w="1310" w:type="dxa"/>
            <w:shd w:val="clear" w:color="auto" w:fill="auto"/>
          </w:tcPr>
          <w:p>
            <w:pPr>
              <w:spacing w:after="0"/>
              <w:jc w:val="center"/>
              <w:rPr>
                <w:rFonts w:ascii="Times New Roman" w:hAnsi="Times New Roman"/>
                <w:noProof/>
                <w:sz w:val="24"/>
                <w:szCs w:val="24"/>
              </w:rPr>
            </w:pPr>
            <w:r>
              <w:rPr>
                <w:rFonts w:ascii="Times New Roman" w:hAnsi="Times New Roman"/>
                <w:noProof/>
                <w:sz w:val="24"/>
                <w:szCs w:val="24"/>
              </w:rPr>
              <w:t>Exposure Draft – 10/02/2015</w:t>
            </w:r>
          </w:p>
        </w:tc>
        <w:tc>
          <w:tcPr>
            <w:tcW w:w="1310" w:type="dxa"/>
          </w:tcPr>
          <w:p>
            <w:pPr>
              <w:spacing w:after="0"/>
              <w:rPr>
                <w:rFonts w:ascii="Times New Roman" w:hAnsi="Times New Roman"/>
                <w:noProof/>
                <w:sz w:val="24"/>
                <w:szCs w:val="24"/>
              </w:rPr>
            </w:pPr>
            <w:r>
              <w:rPr>
                <w:rFonts w:ascii="Times New Roman" w:hAnsi="Times New Roman"/>
                <w:noProof/>
                <w:sz w:val="24"/>
                <w:szCs w:val="24"/>
              </w:rPr>
              <w:t>Work Plan</w:t>
            </w:r>
          </w:p>
        </w:tc>
        <w:tc>
          <w:tcPr>
            <w:tcW w:w="6716" w:type="dxa"/>
            <w:shd w:val="clear" w:color="auto" w:fill="auto"/>
          </w:tcPr>
          <w:p>
            <w:pPr>
              <w:spacing w:after="0"/>
              <w:rPr>
                <w:rFonts w:ascii="Times New Roman" w:hAnsi="Times New Roman"/>
                <w:noProof/>
                <w:sz w:val="24"/>
                <w:szCs w:val="24"/>
              </w:rPr>
            </w:pPr>
            <w:r>
              <w:rPr>
                <w:rFonts w:ascii="Times New Roman" w:hAnsi="Times New Roman"/>
                <w:noProof/>
                <w:sz w:val="24"/>
                <w:szCs w:val="24"/>
              </w:rPr>
              <w:t>Clarification of the classification of debts with renewal options. An amendment is expected in 2019.</w:t>
            </w:r>
          </w:p>
        </w:tc>
      </w:tr>
      <w:tr>
        <w:tc>
          <w:tcPr>
            <w:tcW w:w="2362" w:type="dxa"/>
            <w:shd w:val="clear" w:color="auto" w:fill="auto"/>
          </w:tcPr>
          <w:p>
            <w:pPr>
              <w:spacing w:after="0"/>
              <w:rPr>
                <w:rFonts w:ascii="Times New Roman" w:hAnsi="Times New Roman"/>
                <w:noProof/>
                <w:sz w:val="24"/>
                <w:szCs w:val="24"/>
              </w:rPr>
            </w:pPr>
            <w:r>
              <w:rPr>
                <w:rFonts w:ascii="Times New Roman" w:hAnsi="Times New Roman"/>
                <w:noProof/>
                <w:sz w:val="24"/>
                <w:szCs w:val="24"/>
              </w:rPr>
              <w:t>Definition of a business (Amendment to IFRS 3)</w:t>
            </w:r>
          </w:p>
        </w:tc>
        <w:tc>
          <w:tcPr>
            <w:tcW w:w="1310" w:type="dxa"/>
            <w:shd w:val="clear" w:color="auto" w:fill="D9D9D9" w:themeFill="background1" w:themeFillShade="D9"/>
          </w:tcPr>
          <w:p>
            <w:pPr>
              <w:jc w:val="center"/>
              <w:rPr>
                <w:rFonts w:ascii="Times New Roman" w:hAnsi="Times New Roman"/>
                <w:noProof/>
                <w:sz w:val="24"/>
                <w:szCs w:val="24"/>
              </w:rPr>
            </w:pP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Work plan</w:t>
            </w:r>
          </w:p>
        </w:tc>
        <w:tc>
          <w:tcPr>
            <w:tcW w:w="1310" w:type="dxa"/>
          </w:tcPr>
          <w:p>
            <w:pPr>
              <w:rPr>
                <w:rFonts w:ascii="Times New Roman" w:hAnsi="Times New Roman"/>
                <w:noProof/>
                <w:sz w:val="24"/>
                <w:szCs w:val="24"/>
              </w:rPr>
            </w:pPr>
            <w:r>
              <w:rPr>
                <w:rFonts w:ascii="Times New Roman" w:hAnsi="Times New Roman"/>
                <w:noProof/>
                <w:sz w:val="24"/>
                <w:szCs w:val="24"/>
              </w:rPr>
              <w:t>Issued on 22/10/2018</w:t>
            </w:r>
          </w:p>
        </w:tc>
        <w:tc>
          <w:tcPr>
            <w:tcW w:w="6716" w:type="dxa"/>
            <w:shd w:val="clear" w:color="auto" w:fill="auto"/>
          </w:tcPr>
          <w:p>
            <w:pPr>
              <w:rPr>
                <w:rFonts w:ascii="Times New Roman" w:hAnsi="Times New Roman"/>
                <w:noProof/>
                <w:sz w:val="24"/>
                <w:szCs w:val="24"/>
              </w:rPr>
            </w:pPr>
            <w:r>
              <w:rPr>
                <w:rFonts w:ascii="Times New Roman" w:hAnsi="Times New Roman"/>
                <w:noProof/>
                <w:sz w:val="24"/>
                <w:szCs w:val="24"/>
              </w:rPr>
              <w:t>Clarification between the definition of "business" and "group of asset"</w:t>
            </w:r>
          </w:p>
        </w:tc>
      </w:tr>
      <w:tr>
        <w:tc>
          <w:tcPr>
            <w:tcW w:w="2362" w:type="dxa"/>
            <w:shd w:val="clear" w:color="auto" w:fill="auto"/>
          </w:tcPr>
          <w:p>
            <w:pPr>
              <w:spacing w:after="0"/>
              <w:rPr>
                <w:rFonts w:ascii="Times New Roman" w:hAnsi="Times New Roman"/>
                <w:noProof/>
                <w:sz w:val="24"/>
                <w:szCs w:val="24"/>
              </w:rPr>
            </w:pPr>
            <w:r>
              <w:rPr>
                <w:rFonts w:ascii="Times New Roman" w:hAnsi="Times New Roman"/>
                <w:noProof/>
                <w:sz w:val="24"/>
                <w:szCs w:val="24"/>
              </w:rPr>
              <w:t>Fees in the 10 percent test for Derecognition (Amendment to IFRS 9)</w:t>
            </w:r>
          </w:p>
        </w:tc>
        <w:tc>
          <w:tcPr>
            <w:tcW w:w="1310" w:type="dxa"/>
            <w:shd w:val="clear" w:color="auto" w:fill="D9D9D9" w:themeFill="background1" w:themeFillShade="D9"/>
          </w:tcPr>
          <w:p>
            <w:pPr>
              <w:jc w:val="center"/>
              <w:rPr>
                <w:rFonts w:ascii="Times New Roman" w:hAnsi="Times New Roman"/>
                <w:noProof/>
                <w:sz w:val="24"/>
                <w:szCs w:val="24"/>
              </w:rPr>
            </w:pP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szCs w:val="24"/>
              </w:rPr>
              <w:t>Work Plan</w:t>
            </w:r>
          </w:p>
        </w:tc>
        <w:tc>
          <w:tcPr>
            <w:tcW w:w="1310" w:type="dxa"/>
          </w:tcPr>
          <w:p>
            <w:pPr>
              <w:rPr>
                <w:rFonts w:ascii="Times New Roman" w:hAnsi="Times New Roman"/>
                <w:noProof/>
                <w:sz w:val="24"/>
                <w:szCs w:val="24"/>
              </w:rPr>
            </w:pPr>
            <w:r>
              <w:rPr>
                <w:rFonts w:ascii="Times New Roman" w:hAnsi="Times New Roman"/>
                <w:noProof/>
                <w:sz w:val="24"/>
                <w:szCs w:val="24"/>
              </w:rPr>
              <w:t>Work plan</w:t>
            </w:r>
          </w:p>
        </w:tc>
        <w:tc>
          <w:tcPr>
            <w:tcW w:w="6716" w:type="dxa"/>
            <w:shd w:val="clear" w:color="auto" w:fill="auto"/>
          </w:tcPr>
          <w:p>
            <w:pPr>
              <w:rPr>
                <w:rFonts w:ascii="Times New Roman" w:hAnsi="Times New Roman"/>
                <w:noProof/>
                <w:sz w:val="24"/>
                <w:szCs w:val="24"/>
              </w:rPr>
            </w:pPr>
            <w:r>
              <w:rPr>
                <w:rFonts w:ascii="Times New Roman" w:hAnsi="Times New Roman"/>
                <w:noProof/>
                <w:sz w:val="24"/>
                <w:szCs w:val="24"/>
              </w:rPr>
              <w:t>Clarifications of fees and costs to be considered when assessing the de-recognition of a financial liability</w:t>
            </w:r>
          </w:p>
        </w:tc>
      </w:tr>
      <w:tr>
        <w:tc>
          <w:tcPr>
            <w:tcW w:w="2362" w:type="dxa"/>
            <w:shd w:val="clear" w:color="auto" w:fill="auto"/>
          </w:tcPr>
          <w:p>
            <w:pPr>
              <w:spacing w:after="0"/>
              <w:rPr>
                <w:rFonts w:ascii="Times New Roman" w:hAnsi="Times New Roman"/>
                <w:noProof/>
                <w:sz w:val="24"/>
                <w:szCs w:val="24"/>
              </w:rPr>
            </w:pPr>
            <w:r>
              <w:rPr>
                <w:rFonts w:ascii="Times New Roman" w:hAnsi="Times New Roman"/>
                <w:noProof/>
                <w:sz w:val="24"/>
                <w:szCs w:val="24"/>
              </w:rPr>
              <w:t>Improvements to IFRS 8 - Operational segments</w:t>
            </w:r>
          </w:p>
        </w:tc>
        <w:tc>
          <w:tcPr>
            <w:tcW w:w="1310" w:type="dxa"/>
            <w:shd w:val="clear" w:color="auto" w:fill="D9D9D9" w:themeFill="background1" w:themeFillShade="D9"/>
          </w:tcPr>
          <w:p>
            <w:pPr>
              <w:spacing w:after="0"/>
              <w:jc w:val="center"/>
              <w:rPr>
                <w:rFonts w:ascii="Times New Roman" w:hAnsi="Times New Roman"/>
                <w:noProof/>
                <w:sz w:val="24"/>
                <w:szCs w:val="24"/>
              </w:rPr>
            </w:pPr>
          </w:p>
        </w:tc>
        <w:tc>
          <w:tcPr>
            <w:tcW w:w="1310" w:type="dxa"/>
            <w:shd w:val="clear" w:color="auto" w:fill="auto"/>
          </w:tcPr>
          <w:p>
            <w:pPr>
              <w:spacing w:after="0"/>
              <w:jc w:val="center"/>
              <w:rPr>
                <w:rFonts w:ascii="Times New Roman" w:hAnsi="Times New Roman"/>
                <w:noProof/>
                <w:sz w:val="24"/>
                <w:szCs w:val="24"/>
              </w:rPr>
            </w:pPr>
            <w:r>
              <w:rPr>
                <w:rFonts w:ascii="Times New Roman" w:hAnsi="Times New Roman"/>
                <w:noProof/>
                <w:sz w:val="24"/>
                <w:szCs w:val="24"/>
              </w:rPr>
              <w:t>Exposure Draft – 29/03/2017</w:t>
            </w:r>
          </w:p>
        </w:tc>
        <w:tc>
          <w:tcPr>
            <w:tcW w:w="1310" w:type="dxa"/>
          </w:tcPr>
          <w:p>
            <w:pPr>
              <w:spacing w:after="0"/>
              <w:rPr>
                <w:rFonts w:ascii="Times New Roman" w:hAnsi="Times New Roman"/>
                <w:noProof/>
                <w:sz w:val="24"/>
                <w:szCs w:val="24"/>
              </w:rPr>
            </w:pPr>
            <w:r>
              <w:rPr>
                <w:rFonts w:ascii="Times New Roman" w:hAnsi="Times New Roman"/>
                <w:noProof/>
                <w:sz w:val="24"/>
                <w:szCs w:val="24"/>
              </w:rPr>
              <w:t>Project summary 02/2019</w:t>
            </w:r>
          </w:p>
        </w:tc>
        <w:tc>
          <w:tcPr>
            <w:tcW w:w="6716" w:type="dxa"/>
            <w:shd w:val="clear" w:color="auto" w:fill="auto"/>
          </w:tcPr>
          <w:p>
            <w:pPr>
              <w:spacing w:after="0"/>
              <w:rPr>
                <w:rFonts w:ascii="Times New Roman" w:hAnsi="Times New Roman"/>
                <w:noProof/>
                <w:sz w:val="24"/>
                <w:szCs w:val="24"/>
              </w:rPr>
            </w:pPr>
            <w:r>
              <w:rPr>
                <w:rFonts w:ascii="Times New Roman" w:hAnsi="Times New Roman"/>
                <w:noProof/>
                <w:sz w:val="24"/>
                <w:szCs w:val="24"/>
              </w:rPr>
              <w:t xml:space="preserve">Project terminated following the feedback from the Exposure Draft consultation. </w:t>
            </w:r>
          </w:p>
        </w:tc>
      </w:tr>
      <w:tr>
        <w:tc>
          <w:tcPr>
            <w:tcW w:w="2362" w:type="dxa"/>
            <w:shd w:val="clear" w:color="auto" w:fill="auto"/>
          </w:tcPr>
          <w:p>
            <w:pPr>
              <w:spacing w:after="0"/>
              <w:rPr>
                <w:rFonts w:ascii="Times New Roman" w:hAnsi="Times New Roman"/>
                <w:noProof/>
                <w:sz w:val="24"/>
                <w:szCs w:val="24"/>
              </w:rPr>
            </w:pPr>
            <w:r>
              <w:rPr>
                <w:rFonts w:ascii="Times New Roman" w:hAnsi="Times New Roman"/>
                <w:noProof/>
                <w:sz w:val="24"/>
                <w:szCs w:val="24"/>
              </w:rPr>
              <w:t>IAS16 - Proceeds before Intended Use</w:t>
            </w:r>
          </w:p>
        </w:tc>
        <w:tc>
          <w:tcPr>
            <w:tcW w:w="1310" w:type="dxa"/>
            <w:shd w:val="clear" w:color="auto" w:fill="D9D9D9" w:themeFill="background1" w:themeFillShade="D9"/>
          </w:tcPr>
          <w:p>
            <w:pPr>
              <w:spacing w:after="0"/>
              <w:jc w:val="center"/>
              <w:rPr>
                <w:rFonts w:ascii="Times New Roman" w:hAnsi="Times New Roman"/>
                <w:noProof/>
                <w:sz w:val="24"/>
                <w:szCs w:val="24"/>
              </w:rPr>
            </w:pPr>
          </w:p>
        </w:tc>
        <w:tc>
          <w:tcPr>
            <w:tcW w:w="1310" w:type="dxa"/>
            <w:shd w:val="clear" w:color="auto" w:fill="auto"/>
          </w:tcPr>
          <w:p>
            <w:pPr>
              <w:spacing w:after="0"/>
              <w:jc w:val="center"/>
              <w:rPr>
                <w:rFonts w:ascii="Times New Roman" w:hAnsi="Times New Roman"/>
                <w:noProof/>
                <w:sz w:val="24"/>
                <w:szCs w:val="24"/>
              </w:rPr>
            </w:pPr>
            <w:r>
              <w:rPr>
                <w:rFonts w:ascii="Times New Roman" w:hAnsi="Times New Roman"/>
                <w:noProof/>
                <w:sz w:val="24"/>
                <w:szCs w:val="24"/>
              </w:rPr>
              <w:t>Exposure Draft  – 20/06/2017</w:t>
            </w:r>
          </w:p>
        </w:tc>
        <w:tc>
          <w:tcPr>
            <w:tcW w:w="1310" w:type="dxa"/>
          </w:tcPr>
          <w:p>
            <w:pPr>
              <w:spacing w:after="0"/>
              <w:rPr>
                <w:rFonts w:ascii="Times New Roman" w:hAnsi="Times New Roman"/>
                <w:noProof/>
                <w:sz w:val="24"/>
                <w:szCs w:val="24"/>
              </w:rPr>
            </w:pPr>
            <w:r>
              <w:rPr>
                <w:rFonts w:ascii="Times New Roman" w:hAnsi="Times New Roman"/>
                <w:noProof/>
                <w:sz w:val="24"/>
                <w:szCs w:val="24"/>
              </w:rPr>
              <w:t>Work plan</w:t>
            </w:r>
          </w:p>
        </w:tc>
        <w:tc>
          <w:tcPr>
            <w:tcW w:w="6716" w:type="dxa"/>
            <w:shd w:val="clear" w:color="auto" w:fill="auto"/>
          </w:tcPr>
          <w:p>
            <w:pPr>
              <w:spacing w:after="0"/>
              <w:rPr>
                <w:rFonts w:ascii="Times New Roman" w:hAnsi="Times New Roman"/>
                <w:noProof/>
                <w:sz w:val="24"/>
                <w:szCs w:val="24"/>
              </w:rPr>
            </w:pPr>
            <w:r>
              <w:rPr>
                <w:rFonts w:ascii="Times New Roman" w:hAnsi="Times New Roman"/>
                <w:noProof/>
                <w:sz w:val="24"/>
                <w:szCs w:val="24"/>
              </w:rPr>
              <w:t>Amendment to prohibit deducting sales proceeds from the cost of an item of property</w:t>
            </w:r>
          </w:p>
        </w:tc>
      </w:tr>
      <w:tr>
        <w:tc>
          <w:tcPr>
            <w:tcW w:w="2362" w:type="dxa"/>
            <w:shd w:val="clear" w:color="auto" w:fill="auto"/>
          </w:tcPr>
          <w:p>
            <w:pPr>
              <w:spacing w:after="0"/>
              <w:rPr>
                <w:rFonts w:ascii="Times New Roman" w:hAnsi="Times New Roman"/>
                <w:noProof/>
                <w:sz w:val="24"/>
                <w:szCs w:val="24"/>
              </w:rPr>
            </w:pPr>
            <w:r>
              <w:rPr>
                <w:rFonts w:ascii="Times New Roman" w:hAnsi="Times New Roman"/>
                <w:noProof/>
                <w:sz w:val="24"/>
                <w:szCs w:val="24"/>
              </w:rPr>
              <w:t>Taxation in Fair Value Measurements (Amendments to IAS 41)</w:t>
            </w:r>
          </w:p>
        </w:tc>
        <w:tc>
          <w:tcPr>
            <w:tcW w:w="1310" w:type="dxa"/>
            <w:shd w:val="clear" w:color="auto" w:fill="D9D9D9" w:themeFill="background1" w:themeFillShade="D9"/>
          </w:tcPr>
          <w:p>
            <w:pPr>
              <w:spacing w:after="0"/>
              <w:jc w:val="center"/>
              <w:rPr>
                <w:rFonts w:ascii="Times New Roman" w:hAnsi="Times New Roman"/>
                <w:noProof/>
                <w:sz w:val="24"/>
                <w:szCs w:val="24"/>
              </w:rPr>
            </w:pPr>
          </w:p>
        </w:tc>
        <w:tc>
          <w:tcPr>
            <w:tcW w:w="1310" w:type="dxa"/>
            <w:shd w:val="clear" w:color="auto" w:fill="D9D9D9" w:themeFill="background1" w:themeFillShade="D9"/>
          </w:tcPr>
          <w:p>
            <w:pPr>
              <w:spacing w:after="0"/>
              <w:jc w:val="center"/>
              <w:rPr>
                <w:rFonts w:ascii="Times New Roman" w:hAnsi="Times New Roman"/>
                <w:noProof/>
                <w:sz w:val="24"/>
                <w:szCs w:val="24"/>
              </w:rPr>
            </w:pPr>
          </w:p>
        </w:tc>
        <w:tc>
          <w:tcPr>
            <w:tcW w:w="1310" w:type="dxa"/>
          </w:tcPr>
          <w:p>
            <w:pPr>
              <w:spacing w:after="0"/>
              <w:rPr>
                <w:rFonts w:ascii="Times New Roman" w:hAnsi="Times New Roman"/>
                <w:noProof/>
                <w:sz w:val="24"/>
                <w:szCs w:val="24"/>
              </w:rPr>
            </w:pPr>
            <w:r>
              <w:rPr>
                <w:rFonts w:ascii="Times New Roman" w:hAnsi="Times New Roman"/>
                <w:noProof/>
                <w:sz w:val="24"/>
                <w:szCs w:val="24"/>
              </w:rPr>
              <w:t>Work plan</w:t>
            </w:r>
          </w:p>
        </w:tc>
        <w:tc>
          <w:tcPr>
            <w:tcW w:w="6716" w:type="dxa"/>
            <w:shd w:val="clear" w:color="auto" w:fill="auto"/>
          </w:tcPr>
          <w:p>
            <w:pPr>
              <w:spacing w:after="0"/>
              <w:rPr>
                <w:rFonts w:ascii="Times New Roman" w:hAnsi="Times New Roman"/>
                <w:noProof/>
                <w:sz w:val="24"/>
                <w:szCs w:val="24"/>
              </w:rPr>
            </w:pPr>
            <w:r>
              <w:rPr>
                <w:rFonts w:ascii="Times New Roman" w:hAnsi="Times New Roman"/>
                <w:noProof/>
                <w:sz w:val="24"/>
                <w:szCs w:val="24"/>
              </w:rPr>
              <w:t xml:space="preserve">Amendment designed to narrow down the scope of an existing exemption in IAS 12 not to recognize deferred taxes upon the initial recognition of an asset or liability. </w:t>
            </w:r>
          </w:p>
        </w:tc>
      </w:tr>
      <w:tr>
        <w:tc>
          <w:tcPr>
            <w:tcW w:w="2362" w:type="dxa"/>
            <w:shd w:val="clear" w:color="auto" w:fill="auto"/>
          </w:tcPr>
          <w:p>
            <w:pPr>
              <w:spacing w:after="0"/>
              <w:rPr>
                <w:rFonts w:ascii="Times New Roman" w:hAnsi="Times New Roman"/>
                <w:noProof/>
                <w:sz w:val="24"/>
                <w:szCs w:val="24"/>
              </w:rPr>
            </w:pPr>
            <w:r>
              <w:rPr>
                <w:rFonts w:ascii="Times New Roman" w:hAnsi="Times New Roman"/>
                <w:noProof/>
                <w:sz w:val="24"/>
                <w:szCs w:val="24"/>
              </w:rPr>
              <w:t>IBOR Reform and the Effects on Financial Reporting</w:t>
            </w:r>
          </w:p>
        </w:tc>
        <w:tc>
          <w:tcPr>
            <w:tcW w:w="1310" w:type="dxa"/>
            <w:shd w:val="clear" w:color="auto" w:fill="D9D9D9" w:themeFill="background1" w:themeFillShade="D9"/>
          </w:tcPr>
          <w:p>
            <w:pPr>
              <w:spacing w:after="0"/>
              <w:jc w:val="center"/>
              <w:rPr>
                <w:rFonts w:ascii="Times New Roman" w:hAnsi="Times New Roman"/>
                <w:noProof/>
                <w:sz w:val="24"/>
                <w:szCs w:val="24"/>
              </w:rPr>
            </w:pPr>
          </w:p>
        </w:tc>
        <w:tc>
          <w:tcPr>
            <w:tcW w:w="1310" w:type="dxa"/>
            <w:shd w:val="clear" w:color="auto" w:fill="D9D9D9" w:themeFill="background1" w:themeFillShade="D9"/>
          </w:tcPr>
          <w:p>
            <w:pPr>
              <w:spacing w:after="0"/>
              <w:jc w:val="center"/>
              <w:rPr>
                <w:rFonts w:ascii="Times New Roman" w:hAnsi="Times New Roman"/>
                <w:noProof/>
                <w:sz w:val="24"/>
                <w:szCs w:val="24"/>
              </w:rPr>
            </w:pPr>
          </w:p>
        </w:tc>
        <w:tc>
          <w:tcPr>
            <w:tcW w:w="1310" w:type="dxa"/>
          </w:tcPr>
          <w:p>
            <w:pPr>
              <w:spacing w:after="0"/>
              <w:rPr>
                <w:rFonts w:ascii="Times New Roman" w:hAnsi="Times New Roman"/>
                <w:noProof/>
                <w:sz w:val="24"/>
                <w:szCs w:val="24"/>
              </w:rPr>
            </w:pPr>
            <w:r>
              <w:rPr>
                <w:rFonts w:ascii="Times New Roman" w:hAnsi="Times New Roman"/>
                <w:noProof/>
                <w:sz w:val="24"/>
                <w:szCs w:val="24"/>
              </w:rPr>
              <w:t>Work Plan</w:t>
            </w:r>
          </w:p>
        </w:tc>
        <w:tc>
          <w:tcPr>
            <w:tcW w:w="6716" w:type="dxa"/>
            <w:shd w:val="clear" w:color="auto" w:fill="auto"/>
          </w:tcPr>
          <w:p>
            <w:pPr>
              <w:spacing w:after="0"/>
              <w:rPr>
                <w:rFonts w:ascii="Times New Roman" w:hAnsi="Times New Roman"/>
                <w:noProof/>
                <w:sz w:val="24"/>
                <w:szCs w:val="24"/>
              </w:rPr>
            </w:pPr>
            <w:r>
              <w:rPr>
                <w:rFonts w:ascii="Times New Roman" w:hAnsi="Times New Roman"/>
                <w:noProof/>
                <w:sz w:val="24"/>
                <w:szCs w:val="24"/>
              </w:rPr>
              <w:t>Project designed to address the consequences of the IBOR reform on financial reporting.</w:t>
            </w:r>
          </w:p>
        </w:tc>
      </w:tr>
      <w:tr>
        <w:tc>
          <w:tcPr>
            <w:tcW w:w="2362" w:type="dxa"/>
            <w:shd w:val="clear" w:color="auto" w:fill="auto"/>
          </w:tcPr>
          <w:p>
            <w:pPr>
              <w:spacing w:after="0"/>
              <w:rPr>
                <w:rFonts w:ascii="Times New Roman" w:hAnsi="Times New Roman"/>
                <w:noProof/>
                <w:sz w:val="24"/>
                <w:szCs w:val="24"/>
              </w:rPr>
            </w:pPr>
            <w:r>
              <w:rPr>
                <w:rFonts w:ascii="Times New Roman" w:hAnsi="Times New Roman"/>
                <w:noProof/>
                <w:sz w:val="24"/>
                <w:szCs w:val="24"/>
              </w:rPr>
              <w:t>Onerous Contracts – Cost of fulfilling a contract (Amendment to IAS 37)</w:t>
            </w:r>
          </w:p>
        </w:tc>
        <w:tc>
          <w:tcPr>
            <w:tcW w:w="1310" w:type="dxa"/>
            <w:shd w:val="clear" w:color="auto" w:fill="D9D9D9" w:themeFill="background1" w:themeFillShade="D9"/>
          </w:tcPr>
          <w:p>
            <w:pPr>
              <w:spacing w:after="0"/>
              <w:jc w:val="center"/>
              <w:rPr>
                <w:rFonts w:ascii="Times New Roman" w:hAnsi="Times New Roman"/>
                <w:noProof/>
                <w:sz w:val="24"/>
                <w:szCs w:val="24"/>
              </w:rPr>
            </w:pPr>
          </w:p>
        </w:tc>
        <w:tc>
          <w:tcPr>
            <w:tcW w:w="1310" w:type="dxa"/>
            <w:shd w:val="clear" w:color="auto" w:fill="D9D9D9" w:themeFill="background1" w:themeFillShade="D9"/>
          </w:tcPr>
          <w:p>
            <w:pPr>
              <w:spacing w:after="0"/>
              <w:jc w:val="center"/>
              <w:rPr>
                <w:rFonts w:ascii="Times New Roman" w:hAnsi="Times New Roman"/>
                <w:noProof/>
                <w:sz w:val="24"/>
                <w:szCs w:val="24"/>
              </w:rPr>
            </w:pPr>
          </w:p>
        </w:tc>
        <w:tc>
          <w:tcPr>
            <w:tcW w:w="1310" w:type="dxa"/>
          </w:tcPr>
          <w:p>
            <w:pPr>
              <w:spacing w:after="0"/>
              <w:rPr>
                <w:rFonts w:ascii="Times New Roman" w:hAnsi="Times New Roman"/>
                <w:noProof/>
                <w:sz w:val="24"/>
                <w:szCs w:val="24"/>
              </w:rPr>
            </w:pPr>
            <w:r>
              <w:rPr>
                <w:rFonts w:ascii="Times New Roman" w:hAnsi="Times New Roman"/>
                <w:noProof/>
                <w:sz w:val="24"/>
                <w:szCs w:val="24"/>
              </w:rPr>
              <w:t>Exposure draft 13/12/2018</w:t>
            </w:r>
          </w:p>
        </w:tc>
        <w:tc>
          <w:tcPr>
            <w:tcW w:w="6716" w:type="dxa"/>
            <w:shd w:val="clear" w:color="auto" w:fill="auto"/>
          </w:tcPr>
          <w:p>
            <w:pPr>
              <w:spacing w:after="0"/>
              <w:rPr>
                <w:rFonts w:ascii="Times New Roman" w:hAnsi="Times New Roman"/>
                <w:noProof/>
                <w:sz w:val="24"/>
                <w:szCs w:val="24"/>
              </w:rPr>
            </w:pPr>
            <w:r>
              <w:rPr>
                <w:rFonts w:ascii="Times New Roman" w:hAnsi="Times New Roman"/>
                <w:noProof/>
                <w:sz w:val="24"/>
                <w:szCs w:val="24"/>
              </w:rPr>
              <w:t>Project designed to clarify the definition of “unavoidable costs” in determining whether a contract is onerous</w:t>
            </w:r>
          </w:p>
        </w:tc>
      </w:tr>
      <w:tr>
        <w:tc>
          <w:tcPr>
            <w:tcW w:w="2362" w:type="dxa"/>
            <w:shd w:val="clear" w:color="auto" w:fill="auto"/>
          </w:tcPr>
          <w:p>
            <w:pPr>
              <w:spacing w:after="0"/>
              <w:rPr>
                <w:rFonts w:ascii="Times New Roman" w:hAnsi="Times New Roman"/>
                <w:noProof/>
                <w:sz w:val="24"/>
                <w:szCs w:val="24"/>
              </w:rPr>
            </w:pPr>
            <w:r>
              <w:rPr>
                <w:rFonts w:ascii="Times New Roman" w:hAnsi="Times New Roman"/>
                <w:noProof/>
                <w:sz w:val="24"/>
                <w:szCs w:val="24"/>
              </w:rPr>
              <w:t>Pension benefits that depend on Asset Returns</w:t>
            </w:r>
          </w:p>
        </w:tc>
        <w:tc>
          <w:tcPr>
            <w:tcW w:w="1310" w:type="dxa"/>
            <w:shd w:val="clear" w:color="auto" w:fill="D9D9D9" w:themeFill="background1" w:themeFillShade="D9"/>
          </w:tcPr>
          <w:p>
            <w:pPr>
              <w:spacing w:after="0"/>
              <w:jc w:val="center"/>
              <w:rPr>
                <w:rFonts w:ascii="Times New Roman" w:hAnsi="Times New Roman"/>
                <w:noProof/>
                <w:sz w:val="24"/>
                <w:szCs w:val="24"/>
              </w:rPr>
            </w:pPr>
          </w:p>
        </w:tc>
        <w:tc>
          <w:tcPr>
            <w:tcW w:w="1310" w:type="dxa"/>
            <w:shd w:val="clear" w:color="auto" w:fill="D9D9D9" w:themeFill="background1" w:themeFillShade="D9"/>
          </w:tcPr>
          <w:p>
            <w:pPr>
              <w:spacing w:after="0"/>
              <w:jc w:val="center"/>
              <w:rPr>
                <w:rFonts w:ascii="Times New Roman" w:hAnsi="Times New Roman"/>
                <w:noProof/>
                <w:sz w:val="24"/>
                <w:szCs w:val="24"/>
              </w:rPr>
            </w:pPr>
          </w:p>
        </w:tc>
        <w:tc>
          <w:tcPr>
            <w:tcW w:w="1310" w:type="dxa"/>
          </w:tcPr>
          <w:p>
            <w:pPr>
              <w:spacing w:after="0"/>
              <w:rPr>
                <w:rFonts w:ascii="Times New Roman" w:hAnsi="Times New Roman"/>
                <w:noProof/>
                <w:sz w:val="24"/>
                <w:szCs w:val="24"/>
              </w:rPr>
            </w:pPr>
            <w:r>
              <w:rPr>
                <w:rFonts w:ascii="Times New Roman" w:hAnsi="Times New Roman"/>
                <w:noProof/>
                <w:sz w:val="24"/>
                <w:szCs w:val="24"/>
              </w:rPr>
              <w:t>Work Plan</w:t>
            </w:r>
          </w:p>
        </w:tc>
        <w:tc>
          <w:tcPr>
            <w:tcW w:w="6716" w:type="dxa"/>
            <w:shd w:val="clear" w:color="auto" w:fill="auto"/>
          </w:tcPr>
          <w:p>
            <w:pPr>
              <w:spacing w:after="0"/>
              <w:rPr>
                <w:rFonts w:ascii="Times New Roman" w:hAnsi="Times New Roman"/>
                <w:noProof/>
                <w:sz w:val="24"/>
                <w:szCs w:val="24"/>
              </w:rPr>
            </w:pPr>
            <w:r>
              <w:rPr>
                <w:rFonts w:ascii="Times New Roman" w:hAnsi="Times New Roman"/>
                <w:noProof/>
                <w:sz w:val="24"/>
                <w:szCs w:val="24"/>
              </w:rPr>
              <w:t>Research project to consider the possibility to amend IAS 19 Employee benefits with regards to pension benefits that depend on asset returns.</w:t>
            </w:r>
          </w:p>
        </w:tc>
      </w:tr>
      <w:tr>
        <w:tc>
          <w:tcPr>
            <w:tcW w:w="2362" w:type="dxa"/>
            <w:shd w:val="clear" w:color="auto" w:fill="auto"/>
          </w:tcPr>
          <w:p>
            <w:pPr>
              <w:spacing w:after="0"/>
              <w:rPr>
                <w:rFonts w:ascii="Times New Roman" w:hAnsi="Times New Roman"/>
                <w:noProof/>
                <w:sz w:val="24"/>
                <w:szCs w:val="24"/>
              </w:rPr>
            </w:pPr>
            <w:r>
              <w:rPr>
                <w:rFonts w:ascii="Times New Roman" w:hAnsi="Times New Roman"/>
                <w:noProof/>
                <w:sz w:val="24"/>
                <w:szCs w:val="24"/>
              </w:rPr>
              <w:t>Subsidiary as a First-time Adopter (Amendments to IFRS 1)</w:t>
            </w:r>
          </w:p>
        </w:tc>
        <w:tc>
          <w:tcPr>
            <w:tcW w:w="1310" w:type="dxa"/>
            <w:shd w:val="clear" w:color="auto" w:fill="D9D9D9" w:themeFill="background1" w:themeFillShade="D9"/>
          </w:tcPr>
          <w:p>
            <w:pPr>
              <w:spacing w:after="0"/>
              <w:jc w:val="center"/>
              <w:rPr>
                <w:rFonts w:ascii="Times New Roman" w:hAnsi="Times New Roman"/>
                <w:noProof/>
                <w:sz w:val="24"/>
                <w:szCs w:val="24"/>
              </w:rPr>
            </w:pPr>
          </w:p>
        </w:tc>
        <w:tc>
          <w:tcPr>
            <w:tcW w:w="1310" w:type="dxa"/>
            <w:shd w:val="clear" w:color="auto" w:fill="D9D9D9" w:themeFill="background1" w:themeFillShade="D9"/>
          </w:tcPr>
          <w:p>
            <w:pPr>
              <w:spacing w:after="0"/>
              <w:jc w:val="center"/>
              <w:rPr>
                <w:rFonts w:ascii="Times New Roman" w:hAnsi="Times New Roman"/>
                <w:noProof/>
                <w:sz w:val="24"/>
                <w:szCs w:val="24"/>
              </w:rPr>
            </w:pPr>
          </w:p>
        </w:tc>
        <w:tc>
          <w:tcPr>
            <w:tcW w:w="1310" w:type="dxa"/>
          </w:tcPr>
          <w:p>
            <w:pPr>
              <w:spacing w:after="0"/>
              <w:rPr>
                <w:rFonts w:ascii="Times New Roman" w:hAnsi="Times New Roman"/>
                <w:noProof/>
                <w:sz w:val="24"/>
                <w:szCs w:val="24"/>
              </w:rPr>
            </w:pPr>
            <w:r>
              <w:rPr>
                <w:rFonts w:ascii="Times New Roman" w:hAnsi="Times New Roman"/>
                <w:noProof/>
                <w:sz w:val="24"/>
                <w:szCs w:val="24"/>
              </w:rPr>
              <w:t>Work Plan</w:t>
            </w:r>
          </w:p>
        </w:tc>
        <w:tc>
          <w:tcPr>
            <w:tcW w:w="6716" w:type="dxa"/>
            <w:shd w:val="clear" w:color="auto" w:fill="auto"/>
          </w:tcPr>
          <w:p>
            <w:pPr>
              <w:spacing w:after="0"/>
              <w:rPr>
                <w:rFonts w:ascii="Times New Roman" w:hAnsi="Times New Roman"/>
                <w:noProof/>
                <w:sz w:val="24"/>
                <w:szCs w:val="24"/>
              </w:rPr>
            </w:pPr>
            <w:r>
              <w:rPr>
                <w:rFonts w:ascii="Times New Roman" w:hAnsi="Times New Roman"/>
                <w:noProof/>
                <w:sz w:val="24"/>
                <w:szCs w:val="24"/>
              </w:rPr>
              <w:t>Clarification of IFRS 1 as regards the calculation of the cumulative translation adjustment upon the first adoption of IFRS by a subsidiary.</w:t>
            </w:r>
          </w:p>
        </w:tc>
      </w:tr>
    </w:tbl>
    <w:p>
      <w:pPr>
        <w:autoSpaceDE w:val="0"/>
        <w:autoSpaceDN w:val="0"/>
        <w:adjustRightInd w:val="0"/>
        <w:spacing w:after="0"/>
        <w:jc w:val="both"/>
        <w:rPr>
          <w:rFonts w:ascii="Times New Roman" w:eastAsia="Times New Roman" w:hAnsi="Times New Roman"/>
          <w:noProof/>
          <w:sz w:val="24"/>
          <w:szCs w:val="20"/>
          <w:lang w:eastAsia="en-GB"/>
        </w:rPr>
      </w:pPr>
    </w:p>
    <w:p>
      <w:pPr>
        <w:pStyle w:val="Heading1"/>
        <w:tabs>
          <w:tab w:val="clear" w:pos="850"/>
        </w:tabs>
        <w:ind w:left="0" w:firstLine="0"/>
        <w:rPr>
          <w:rFonts w:ascii="Times New Roman" w:hAnsi="Times New Roman"/>
          <w:noProof/>
          <w:sz w:val="24"/>
          <w:szCs w:val="24"/>
        </w:rPr>
      </w:pPr>
      <w:r>
        <w:rPr>
          <w:rFonts w:ascii="Times New Roman" w:hAnsi="Times New Roman"/>
          <w:noProof/>
          <w:sz w:val="24"/>
          <w:szCs w:val="20"/>
        </w:rPr>
        <w:br w:type="page"/>
      </w:r>
      <w:r>
        <w:rPr>
          <w:rFonts w:ascii="Times New Roman" w:hAnsi="Times New Roman"/>
          <w:noProof/>
          <w:sz w:val="24"/>
          <w:szCs w:val="24"/>
        </w:rPr>
        <w:t>Appendix 2 – Breakdown of the 2018 funding of the IFRS Foundation</w:t>
      </w:r>
    </w:p>
    <w:p>
      <w:pPr>
        <w:rPr>
          <w:noProof/>
          <w:lang w:eastAsia="en-GB"/>
        </w:rPr>
      </w:pPr>
    </w:p>
    <w:tbl>
      <w:tblPr>
        <w:tblW w:w="11796" w:type="dxa"/>
        <w:tblInd w:w="40" w:type="dxa"/>
        <w:tblLayout w:type="fixed"/>
        <w:tblCellMar>
          <w:left w:w="70" w:type="dxa"/>
          <w:right w:w="70" w:type="dxa"/>
        </w:tblCellMar>
        <w:tblLook w:val="0000" w:firstRow="0" w:lastRow="0" w:firstColumn="0" w:lastColumn="0" w:noHBand="0" w:noVBand="0"/>
      </w:tblPr>
      <w:tblGrid>
        <w:gridCol w:w="3118"/>
        <w:gridCol w:w="1435"/>
        <w:gridCol w:w="331"/>
        <w:gridCol w:w="1104"/>
        <w:gridCol w:w="331"/>
        <w:gridCol w:w="1104"/>
        <w:gridCol w:w="331"/>
        <w:gridCol w:w="1105"/>
        <w:gridCol w:w="331"/>
        <w:gridCol w:w="1104"/>
        <w:gridCol w:w="331"/>
        <w:gridCol w:w="1104"/>
        <w:gridCol w:w="67"/>
      </w:tblGrid>
      <w:tr>
        <w:trPr>
          <w:trHeight w:val="290"/>
        </w:trPr>
        <w:tc>
          <w:tcPr>
            <w:tcW w:w="4884" w:type="dxa"/>
            <w:gridSpan w:val="3"/>
            <w:tcBorders>
              <w:top w:val="single" w:sz="6" w:space="0" w:color="auto"/>
              <w:left w:val="single" w:sz="6" w:space="0" w:color="auto"/>
              <w:bottom w:val="single" w:sz="6" w:space="0" w:color="auto"/>
              <w:right w:val="nil"/>
            </w:tcBorders>
            <w:shd w:val="solid" w:color="003366" w:fill="auto"/>
          </w:tcPr>
          <w:p>
            <w:pPr>
              <w:autoSpaceDE w:val="0"/>
              <w:autoSpaceDN w:val="0"/>
              <w:adjustRightInd w:val="0"/>
              <w:spacing w:after="0" w:line="240" w:lineRule="auto"/>
              <w:rPr>
                <w:rFonts w:cs="Calibri"/>
                <w:b/>
                <w:bCs/>
                <w:noProof/>
                <w:color w:val="FFFFFF"/>
                <w:lang w:val="en-US" w:eastAsia="zh-CN"/>
              </w:rPr>
            </w:pPr>
            <w:r>
              <w:rPr>
                <w:rFonts w:cs="Calibri"/>
                <w:b/>
                <w:bCs/>
                <w:noProof/>
                <w:color w:val="FFFFFF"/>
                <w:lang w:val="en-US" w:eastAsia="zh-CN"/>
              </w:rPr>
              <w:t>Breakdown of funding of the IFRS Foundation</w:t>
            </w:r>
          </w:p>
        </w:tc>
        <w:tc>
          <w:tcPr>
            <w:tcW w:w="1435" w:type="dxa"/>
            <w:gridSpan w:val="2"/>
            <w:tcBorders>
              <w:top w:val="single" w:sz="6" w:space="0" w:color="auto"/>
              <w:left w:val="nil"/>
              <w:bottom w:val="single" w:sz="6" w:space="0" w:color="auto"/>
              <w:right w:val="nil"/>
            </w:tcBorders>
            <w:shd w:val="solid" w:color="003366" w:fill="auto"/>
          </w:tcPr>
          <w:p>
            <w:pPr>
              <w:autoSpaceDE w:val="0"/>
              <w:autoSpaceDN w:val="0"/>
              <w:adjustRightInd w:val="0"/>
              <w:spacing w:after="0" w:line="240" w:lineRule="auto"/>
              <w:jc w:val="right"/>
              <w:rPr>
                <w:rFonts w:cs="Calibri"/>
                <w:b/>
                <w:bCs/>
                <w:noProof/>
                <w:color w:val="FFFFFF"/>
                <w:lang w:val="en-US" w:eastAsia="zh-CN"/>
              </w:rPr>
            </w:pPr>
          </w:p>
        </w:tc>
        <w:tc>
          <w:tcPr>
            <w:tcW w:w="1435" w:type="dxa"/>
            <w:gridSpan w:val="2"/>
            <w:tcBorders>
              <w:top w:val="single" w:sz="6" w:space="0" w:color="auto"/>
              <w:left w:val="nil"/>
              <w:bottom w:val="single" w:sz="6" w:space="0" w:color="auto"/>
              <w:right w:val="nil"/>
            </w:tcBorders>
            <w:shd w:val="solid" w:color="003366" w:fill="auto"/>
          </w:tcPr>
          <w:p>
            <w:pPr>
              <w:autoSpaceDE w:val="0"/>
              <w:autoSpaceDN w:val="0"/>
              <w:adjustRightInd w:val="0"/>
              <w:spacing w:after="0" w:line="240" w:lineRule="auto"/>
              <w:jc w:val="right"/>
              <w:rPr>
                <w:rFonts w:cs="Calibri"/>
                <w:b/>
                <w:bCs/>
                <w:noProof/>
                <w:color w:val="FFFFFF"/>
                <w:lang w:val="en-US" w:eastAsia="zh-CN"/>
              </w:rPr>
            </w:pPr>
          </w:p>
        </w:tc>
        <w:tc>
          <w:tcPr>
            <w:tcW w:w="1436" w:type="dxa"/>
            <w:gridSpan w:val="2"/>
            <w:tcBorders>
              <w:top w:val="single" w:sz="6" w:space="0" w:color="auto"/>
              <w:left w:val="nil"/>
              <w:bottom w:val="single" w:sz="6" w:space="0" w:color="auto"/>
              <w:right w:val="nil"/>
            </w:tcBorders>
            <w:shd w:val="solid" w:color="003366" w:fill="auto"/>
          </w:tcPr>
          <w:p>
            <w:pPr>
              <w:autoSpaceDE w:val="0"/>
              <w:autoSpaceDN w:val="0"/>
              <w:adjustRightInd w:val="0"/>
              <w:spacing w:after="0" w:line="240" w:lineRule="auto"/>
              <w:jc w:val="right"/>
              <w:rPr>
                <w:rFonts w:cs="Calibri"/>
                <w:b/>
                <w:bCs/>
                <w:noProof/>
                <w:color w:val="FFFFFF"/>
                <w:lang w:val="en-US" w:eastAsia="zh-CN"/>
              </w:rPr>
            </w:pPr>
          </w:p>
        </w:tc>
        <w:tc>
          <w:tcPr>
            <w:tcW w:w="1435" w:type="dxa"/>
            <w:gridSpan w:val="2"/>
            <w:tcBorders>
              <w:top w:val="single" w:sz="6" w:space="0" w:color="auto"/>
              <w:left w:val="nil"/>
              <w:bottom w:val="single" w:sz="4" w:space="0" w:color="auto"/>
              <w:right w:val="nil"/>
            </w:tcBorders>
            <w:shd w:val="solid" w:color="003366" w:fill="auto"/>
          </w:tcPr>
          <w:p>
            <w:pPr>
              <w:autoSpaceDE w:val="0"/>
              <w:autoSpaceDN w:val="0"/>
              <w:adjustRightInd w:val="0"/>
              <w:spacing w:after="0" w:line="240" w:lineRule="auto"/>
              <w:jc w:val="right"/>
              <w:rPr>
                <w:rFonts w:cs="Calibri"/>
                <w:b/>
                <w:bCs/>
                <w:noProof/>
                <w:color w:val="FFFFFF"/>
                <w:lang w:val="en-US" w:eastAsia="zh-CN"/>
              </w:rPr>
            </w:pPr>
          </w:p>
        </w:tc>
        <w:tc>
          <w:tcPr>
            <w:tcW w:w="1171" w:type="dxa"/>
            <w:gridSpan w:val="2"/>
            <w:tcBorders>
              <w:top w:val="single" w:sz="6" w:space="0" w:color="auto"/>
              <w:left w:val="nil"/>
              <w:bottom w:val="single" w:sz="4" w:space="0" w:color="auto"/>
              <w:right w:val="single" w:sz="6" w:space="0" w:color="auto"/>
            </w:tcBorders>
            <w:shd w:val="solid" w:color="003366" w:fill="auto"/>
          </w:tcPr>
          <w:p>
            <w:pPr>
              <w:autoSpaceDE w:val="0"/>
              <w:autoSpaceDN w:val="0"/>
              <w:adjustRightInd w:val="0"/>
              <w:spacing w:after="0" w:line="240" w:lineRule="auto"/>
              <w:jc w:val="right"/>
              <w:rPr>
                <w:rFonts w:cs="Calibri"/>
                <w:b/>
                <w:bCs/>
                <w:noProof/>
                <w:color w:val="FFFFFF"/>
                <w:lang w:val="en-US" w:eastAsia="zh-CN"/>
              </w:rPr>
            </w:pPr>
          </w:p>
        </w:tc>
      </w:tr>
      <w:tr>
        <w:trPr>
          <w:gridAfter w:val="1"/>
          <w:wAfter w:w="67" w:type="dxa"/>
          <w:trHeight w:val="581"/>
        </w:trPr>
        <w:tc>
          <w:tcPr>
            <w:tcW w:w="3118" w:type="dxa"/>
            <w:tcBorders>
              <w:top w:val="single" w:sz="6" w:space="0" w:color="auto"/>
              <w:left w:val="single" w:sz="6" w:space="0" w:color="auto"/>
              <w:bottom w:val="nil"/>
              <w:right w:val="single" w:sz="6" w:space="0" w:color="auto"/>
            </w:tcBorders>
            <w:shd w:val="clear" w:color="auto" w:fill="F2F2F2" w:themeFill="background1" w:themeFillShade="F2"/>
          </w:tcPr>
          <w:p>
            <w:pPr>
              <w:autoSpaceDE w:val="0"/>
              <w:autoSpaceDN w:val="0"/>
              <w:adjustRightInd w:val="0"/>
              <w:spacing w:after="0" w:line="240" w:lineRule="auto"/>
              <w:rPr>
                <w:rFonts w:cs="Calibri"/>
                <w:noProof/>
                <w:color w:val="000000"/>
                <w:lang w:val="fr-BE" w:eastAsia="zh-CN"/>
              </w:rPr>
            </w:pPr>
            <w:r>
              <w:rPr>
                <w:rFonts w:cs="Calibri"/>
                <w:noProof/>
                <w:color w:val="000000"/>
                <w:lang w:val="fr-BE" w:eastAsia="zh-CN"/>
              </w:rPr>
              <w:t>Financial contributors</w:t>
            </w:r>
          </w:p>
        </w:tc>
        <w:tc>
          <w:tcPr>
            <w:tcW w:w="1435" w:type="dxa"/>
            <w:tcBorders>
              <w:top w:val="single" w:sz="6" w:space="0" w:color="auto"/>
              <w:left w:val="single" w:sz="6" w:space="0" w:color="auto"/>
              <w:bottom w:val="nil"/>
              <w:right w:val="dotted" w:sz="4" w:space="0" w:color="auto"/>
            </w:tcBorders>
            <w:shd w:val="clear" w:color="auto" w:fill="F2F2F2" w:themeFill="background1" w:themeFillShade="F2"/>
          </w:tcPr>
          <w:p>
            <w:pPr>
              <w:autoSpaceDE w:val="0"/>
              <w:autoSpaceDN w:val="0"/>
              <w:adjustRightInd w:val="0"/>
              <w:spacing w:after="0" w:line="240" w:lineRule="auto"/>
              <w:jc w:val="center"/>
              <w:rPr>
                <w:rFonts w:cs="Calibri"/>
                <w:b/>
                <w:bCs/>
                <w:noProof/>
                <w:color w:val="000000"/>
                <w:lang w:val="fr-BE" w:eastAsia="zh-CN"/>
              </w:rPr>
            </w:pPr>
            <w:r>
              <w:rPr>
                <w:rFonts w:cs="Calibri"/>
                <w:b/>
                <w:bCs/>
                <w:noProof/>
                <w:color w:val="000000"/>
                <w:lang w:val="fr-BE" w:eastAsia="zh-CN"/>
              </w:rPr>
              <w:t>Contribution 2018</w:t>
            </w:r>
          </w:p>
        </w:tc>
        <w:tc>
          <w:tcPr>
            <w:tcW w:w="1435" w:type="dxa"/>
            <w:gridSpan w:val="2"/>
            <w:tcBorders>
              <w:top w:val="single" w:sz="6" w:space="0" w:color="auto"/>
              <w:left w:val="dotted" w:sz="4" w:space="0" w:color="auto"/>
              <w:bottom w:val="nil"/>
              <w:right w:val="dotted" w:sz="4" w:space="0" w:color="auto"/>
            </w:tcBorders>
            <w:shd w:val="clear" w:color="auto" w:fill="F2F2F2" w:themeFill="background1" w:themeFillShade="F2"/>
          </w:tcPr>
          <w:p>
            <w:pPr>
              <w:autoSpaceDE w:val="0"/>
              <w:autoSpaceDN w:val="0"/>
              <w:adjustRightInd w:val="0"/>
              <w:spacing w:after="0" w:line="240" w:lineRule="auto"/>
              <w:jc w:val="center"/>
              <w:rPr>
                <w:rFonts w:cs="Calibri"/>
                <w:b/>
                <w:bCs/>
                <w:noProof/>
                <w:color w:val="000000"/>
                <w:lang w:val="fr-BE" w:eastAsia="zh-CN"/>
              </w:rPr>
            </w:pPr>
            <w:r>
              <w:rPr>
                <w:rFonts w:cs="Calibri"/>
                <w:b/>
                <w:bCs/>
                <w:noProof/>
                <w:color w:val="000000"/>
                <w:lang w:val="fr-BE" w:eastAsia="zh-CN"/>
              </w:rPr>
              <w:t>Contribution 2017</w:t>
            </w:r>
          </w:p>
        </w:tc>
        <w:tc>
          <w:tcPr>
            <w:tcW w:w="1435" w:type="dxa"/>
            <w:gridSpan w:val="2"/>
            <w:tcBorders>
              <w:top w:val="single" w:sz="6" w:space="0" w:color="auto"/>
              <w:left w:val="dotted" w:sz="4" w:space="0" w:color="auto"/>
              <w:bottom w:val="nil"/>
              <w:right w:val="single" w:sz="6" w:space="0" w:color="auto"/>
            </w:tcBorders>
            <w:shd w:val="clear" w:color="auto" w:fill="F2F2F2" w:themeFill="background1" w:themeFillShade="F2"/>
          </w:tcPr>
          <w:p>
            <w:pPr>
              <w:autoSpaceDE w:val="0"/>
              <w:autoSpaceDN w:val="0"/>
              <w:adjustRightInd w:val="0"/>
              <w:spacing w:after="0" w:line="240" w:lineRule="auto"/>
              <w:jc w:val="center"/>
              <w:rPr>
                <w:rFonts w:cs="Calibri"/>
                <w:b/>
                <w:bCs/>
                <w:noProof/>
                <w:color w:val="000000"/>
                <w:lang w:val="fr-BE" w:eastAsia="zh-CN"/>
              </w:rPr>
            </w:pPr>
            <w:r>
              <w:rPr>
                <w:rFonts w:cs="Calibri"/>
                <w:b/>
                <w:bCs/>
                <w:noProof/>
                <w:color w:val="000000"/>
                <w:lang w:val="fr-BE" w:eastAsia="zh-CN"/>
              </w:rPr>
              <w:t>Contribution 2016</w:t>
            </w:r>
          </w:p>
        </w:tc>
        <w:tc>
          <w:tcPr>
            <w:tcW w:w="1436" w:type="dxa"/>
            <w:gridSpan w:val="2"/>
            <w:tcBorders>
              <w:top w:val="nil"/>
              <w:left w:val="nil"/>
              <w:bottom w:val="nil"/>
              <w:right w:val="single" w:sz="4" w:space="0" w:color="auto"/>
            </w:tcBorders>
            <w:shd w:val="clear" w:color="auto" w:fill="F2F2F2" w:themeFill="background1" w:themeFillShade="F2"/>
          </w:tcPr>
          <w:p>
            <w:pPr>
              <w:autoSpaceDE w:val="0"/>
              <w:autoSpaceDN w:val="0"/>
              <w:adjustRightInd w:val="0"/>
              <w:spacing w:after="0" w:line="240" w:lineRule="auto"/>
              <w:jc w:val="center"/>
              <w:rPr>
                <w:rFonts w:cs="Calibri"/>
                <w:b/>
                <w:bCs/>
                <w:noProof/>
                <w:color w:val="000000"/>
                <w:lang w:val="fr-BE" w:eastAsia="zh-CN"/>
              </w:rPr>
            </w:pPr>
            <w:r>
              <w:rPr>
                <w:rFonts w:cs="Calibri"/>
                <w:b/>
                <w:bCs/>
                <w:noProof/>
                <w:color w:val="000000"/>
                <w:lang w:val="fr-BE" w:eastAsia="zh-CN"/>
              </w:rPr>
              <w:t>Number of trustees</w:t>
            </w:r>
          </w:p>
        </w:tc>
        <w:tc>
          <w:tcPr>
            <w:tcW w:w="287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autoSpaceDE w:val="0"/>
              <w:autoSpaceDN w:val="0"/>
              <w:adjustRightInd w:val="0"/>
              <w:spacing w:after="0" w:line="240" w:lineRule="auto"/>
              <w:jc w:val="center"/>
              <w:rPr>
                <w:rFonts w:cs="Calibri"/>
                <w:b/>
                <w:bCs/>
                <w:noProof/>
                <w:color w:val="000000"/>
                <w:lang w:val="en-US" w:eastAsia="zh-CN"/>
              </w:rPr>
            </w:pPr>
            <w:r>
              <w:rPr>
                <w:rFonts w:cs="Calibri"/>
                <w:b/>
                <w:bCs/>
                <w:noProof/>
                <w:color w:val="000000"/>
                <w:lang w:val="en-US" w:eastAsia="zh-CN"/>
              </w:rPr>
              <w:t>Evolution at constant exchange rate</w:t>
            </w:r>
          </w:p>
        </w:tc>
      </w:tr>
      <w:tr>
        <w:trPr>
          <w:gridAfter w:val="1"/>
          <w:wAfter w:w="67" w:type="dxa"/>
          <w:trHeight w:val="290"/>
        </w:trPr>
        <w:tc>
          <w:tcPr>
            <w:tcW w:w="3118" w:type="dxa"/>
            <w:tcBorders>
              <w:top w:val="nil"/>
              <w:left w:val="single" w:sz="6" w:space="0" w:color="auto"/>
              <w:bottom w:val="single" w:sz="6" w:space="0" w:color="auto"/>
              <w:right w:val="single" w:sz="6" w:space="0" w:color="auto"/>
            </w:tcBorders>
            <w:shd w:val="clear" w:color="auto" w:fill="F2F2F2" w:themeFill="background1" w:themeFillShade="F2"/>
          </w:tcPr>
          <w:p>
            <w:pPr>
              <w:autoSpaceDE w:val="0"/>
              <w:autoSpaceDN w:val="0"/>
              <w:adjustRightInd w:val="0"/>
              <w:spacing w:after="0" w:line="240" w:lineRule="auto"/>
              <w:jc w:val="right"/>
              <w:rPr>
                <w:rFonts w:cs="Calibri"/>
                <w:noProof/>
                <w:color w:val="000000"/>
                <w:lang w:val="en-US" w:eastAsia="zh-CN"/>
              </w:rPr>
            </w:pPr>
          </w:p>
        </w:tc>
        <w:tc>
          <w:tcPr>
            <w:tcW w:w="1435" w:type="dxa"/>
            <w:tcBorders>
              <w:top w:val="nil"/>
              <w:left w:val="single" w:sz="6" w:space="0" w:color="auto"/>
              <w:bottom w:val="single" w:sz="6" w:space="0" w:color="auto"/>
              <w:right w:val="dotted" w:sz="4" w:space="0" w:color="auto"/>
            </w:tcBorders>
            <w:shd w:val="clear" w:color="auto" w:fill="F2F2F2" w:themeFill="background1" w:themeFillShade="F2"/>
          </w:tcPr>
          <w:p>
            <w:pPr>
              <w:autoSpaceDE w:val="0"/>
              <w:autoSpaceDN w:val="0"/>
              <w:adjustRightInd w:val="0"/>
              <w:spacing w:after="0" w:line="240" w:lineRule="auto"/>
              <w:jc w:val="center"/>
              <w:rPr>
                <w:rFonts w:cs="Calibri"/>
                <w:noProof/>
                <w:color w:val="000000"/>
                <w:lang w:val="en-US" w:eastAsia="zh-CN"/>
              </w:rPr>
            </w:pPr>
          </w:p>
        </w:tc>
        <w:tc>
          <w:tcPr>
            <w:tcW w:w="1435" w:type="dxa"/>
            <w:gridSpan w:val="2"/>
            <w:tcBorders>
              <w:top w:val="nil"/>
              <w:left w:val="dotted" w:sz="4" w:space="0" w:color="auto"/>
              <w:bottom w:val="single" w:sz="6" w:space="0" w:color="auto"/>
              <w:right w:val="dotted" w:sz="4" w:space="0" w:color="auto"/>
            </w:tcBorders>
            <w:shd w:val="clear" w:color="auto" w:fill="F2F2F2" w:themeFill="background1" w:themeFillShade="F2"/>
          </w:tcPr>
          <w:p>
            <w:pPr>
              <w:autoSpaceDE w:val="0"/>
              <w:autoSpaceDN w:val="0"/>
              <w:adjustRightInd w:val="0"/>
              <w:spacing w:after="0" w:line="240" w:lineRule="auto"/>
              <w:jc w:val="center"/>
              <w:rPr>
                <w:rFonts w:cs="Calibri"/>
                <w:noProof/>
                <w:color w:val="000000"/>
                <w:lang w:val="en-US" w:eastAsia="zh-CN"/>
              </w:rPr>
            </w:pPr>
          </w:p>
        </w:tc>
        <w:tc>
          <w:tcPr>
            <w:tcW w:w="1435" w:type="dxa"/>
            <w:gridSpan w:val="2"/>
            <w:tcBorders>
              <w:top w:val="nil"/>
              <w:left w:val="dotted" w:sz="4" w:space="0" w:color="auto"/>
              <w:bottom w:val="single" w:sz="6" w:space="0" w:color="auto"/>
              <w:right w:val="single" w:sz="6" w:space="0" w:color="auto"/>
            </w:tcBorders>
            <w:shd w:val="clear" w:color="auto" w:fill="F2F2F2" w:themeFill="background1" w:themeFillShade="F2"/>
          </w:tcPr>
          <w:p>
            <w:pPr>
              <w:autoSpaceDE w:val="0"/>
              <w:autoSpaceDN w:val="0"/>
              <w:adjustRightInd w:val="0"/>
              <w:spacing w:after="0" w:line="240" w:lineRule="auto"/>
              <w:jc w:val="center"/>
              <w:rPr>
                <w:rFonts w:cs="Calibri"/>
                <w:noProof/>
                <w:color w:val="000000"/>
                <w:lang w:val="en-US" w:eastAsia="zh-CN"/>
              </w:rPr>
            </w:pPr>
          </w:p>
        </w:tc>
        <w:tc>
          <w:tcPr>
            <w:tcW w:w="1436" w:type="dxa"/>
            <w:gridSpan w:val="2"/>
            <w:tcBorders>
              <w:top w:val="nil"/>
              <w:left w:val="nil"/>
              <w:bottom w:val="nil"/>
              <w:right w:val="single" w:sz="4" w:space="0" w:color="auto"/>
            </w:tcBorders>
            <w:shd w:val="clear" w:color="auto" w:fill="F2F2F2" w:themeFill="background1" w:themeFillShade="F2"/>
          </w:tcPr>
          <w:p>
            <w:pPr>
              <w:autoSpaceDE w:val="0"/>
              <w:autoSpaceDN w:val="0"/>
              <w:adjustRightInd w:val="0"/>
              <w:spacing w:after="0" w:line="240" w:lineRule="auto"/>
              <w:jc w:val="center"/>
              <w:rPr>
                <w:rFonts w:cs="Calibri"/>
                <w:b/>
                <w:bCs/>
                <w:noProof/>
                <w:color w:val="000000"/>
                <w:lang w:val="en-US" w:eastAsia="zh-CN"/>
              </w:rPr>
            </w:pPr>
          </w:p>
        </w:tc>
        <w:tc>
          <w:tcPr>
            <w:tcW w:w="1435" w:type="dxa"/>
            <w:gridSpan w:val="2"/>
            <w:tcBorders>
              <w:top w:val="single" w:sz="4" w:space="0" w:color="auto"/>
              <w:left w:val="single" w:sz="4" w:space="0" w:color="auto"/>
              <w:bottom w:val="single" w:sz="4" w:space="0" w:color="auto"/>
              <w:right w:val="dotted" w:sz="4" w:space="0" w:color="auto"/>
            </w:tcBorders>
            <w:shd w:val="clear" w:color="auto" w:fill="F2F2F2" w:themeFill="background1" w:themeFillShade="F2"/>
          </w:tcPr>
          <w:p>
            <w:pPr>
              <w:autoSpaceDE w:val="0"/>
              <w:autoSpaceDN w:val="0"/>
              <w:adjustRightInd w:val="0"/>
              <w:spacing w:after="0" w:line="240" w:lineRule="auto"/>
              <w:jc w:val="center"/>
              <w:rPr>
                <w:rFonts w:cs="Calibri"/>
                <w:b/>
                <w:bCs/>
                <w:noProof/>
                <w:color w:val="000000"/>
                <w:lang w:val="fr-BE" w:eastAsia="zh-CN"/>
              </w:rPr>
            </w:pPr>
            <w:r>
              <w:rPr>
                <w:rFonts w:cs="Calibri"/>
                <w:b/>
                <w:bCs/>
                <w:noProof/>
                <w:color w:val="000000"/>
                <w:lang w:val="fr-BE" w:eastAsia="zh-CN"/>
              </w:rPr>
              <w:t>2018/2017</w:t>
            </w:r>
          </w:p>
        </w:tc>
        <w:tc>
          <w:tcPr>
            <w:tcW w:w="1435" w:type="dxa"/>
            <w:gridSpan w:val="2"/>
            <w:tcBorders>
              <w:top w:val="single" w:sz="4" w:space="0" w:color="auto"/>
              <w:left w:val="dotted" w:sz="4" w:space="0" w:color="auto"/>
              <w:bottom w:val="single" w:sz="4" w:space="0" w:color="auto"/>
              <w:right w:val="single" w:sz="4" w:space="0" w:color="auto"/>
            </w:tcBorders>
            <w:shd w:val="clear" w:color="auto" w:fill="F2F2F2" w:themeFill="background1" w:themeFillShade="F2"/>
          </w:tcPr>
          <w:p>
            <w:pPr>
              <w:autoSpaceDE w:val="0"/>
              <w:autoSpaceDN w:val="0"/>
              <w:adjustRightInd w:val="0"/>
              <w:spacing w:after="0" w:line="240" w:lineRule="auto"/>
              <w:jc w:val="center"/>
              <w:rPr>
                <w:rFonts w:cs="Calibri"/>
                <w:b/>
                <w:bCs/>
                <w:noProof/>
                <w:color w:val="000000"/>
                <w:lang w:val="fr-BE" w:eastAsia="zh-CN"/>
              </w:rPr>
            </w:pPr>
            <w:r>
              <w:rPr>
                <w:rFonts w:cs="Calibri"/>
                <w:b/>
                <w:bCs/>
                <w:noProof/>
                <w:color w:val="000000"/>
                <w:lang w:val="fr-BE" w:eastAsia="zh-CN"/>
              </w:rPr>
              <w:t>2017/2016</w:t>
            </w:r>
          </w:p>
        </w:tc>
      </w:tr>
      <w:tr>
        <w:trPr>
          <w:gridAfter w:val="1"/>
          <w:wAfter w:w="67" w:type="dxa"/>
          <w:trHeight w:val="290"/>
        </w:trPr>
        <w:tc>
          <w:tcPr>
            <w:tcW w:w="3118" w:type="dxa"/>
            <w:tcBorders>
              <w:top w:val="single" w:sz="6" w:space="0" w:color="auto"/>
              <w:left w:val="single" w:sz="6" w:space="0" w:color="auto"/>
              <w:bottom w:val="dotted" w:sz="4" w:space="0" w:color="auto"/>
              <w:right w:val="single" w:sz="6" w:space="0" w:color="auto"/>
            </w:tcBorders>
          </w:tcPr>
          <w:p>
            <w:pPr>
              <w:autoSpaceDE w:val="0"/>
              <w:autoSpaceDN w:val="0"/>
              <w:adjustRightInd w:val="0"/>
              <w:spacing w:after="0" w:line="240" w:lineRule="auto"/>
              <w:rPr>
                <w:rFonts w:cs="Calibri"/>
                <w:noProof/>
                <w:color w:val="000000"/>
                <w:lang w:val="fr-BE" w:eastAsia="zh-CN"/>
              </w:rPr>
            </w:pPr>
            <w:r>
              <w:rPr>
                <w:rFonts w:cs="Calibri"/>
                <w:noProof/>
                <w:color w:val="000000"/>
                <w:lang w:val="fr-BE" w:eastAsia="zh-CN"/>
              </w:rPr>
              <w:t>International Auditing Firms</w:t>
            </w:r>
          </w:p>
        </w:tc>
        <w:tc>
          <w:tcPr>
            <w:tcW w:w="1435" w:type="dxa"/>
            <w:tcBorders>
              <w:top w:val="single" w:sz="6" w:space="0" w:color="auto"/>
              <w:left w:val="single" w:sz="6" w:space="0" w:color="auto"/>
              <w:bottom w:val="dotted" w:sz="4" w:space="0" w:color="auto"/>
              <w:right w:val="dotted" w:sz="4" w:space="0" w:color="auto"/>
            </w:tcBorders>
          </w:tcPr>
          <w:p>
            <w:pPr>
              <w:autoSpaceDE w:val="0"/>
              <w:autoSpaceDN w:val="0"/>
              <w:adjustRightInd w:val="0"/>
              <w:spacing w:after="0" w:line="240" w:lineRule="auto"/>
              <w:jc w:val="right"/>
              <w:rPr>
                <w:rFonts w:cs="Calibri"/>
                <w:noProof/>
                <w:color w:val="000000"/>
                <w:lang w:val="fr-BE" w:eastAsia="zh-CN"/>
              </w:rPr>
            </w:pPr>
            <w:r>
              <w:rPr>
                <w:rFonts w:cs="Calibri"/>
                <w:noProof/>
                <w:color w:val="000000"/>
                <w:lang w:val="fr-BE" w:eastAsia="zh-CN"/>
              </w:rPr>
              <w:t>24.0%</w:t>
            </w:r>
          </w:p>
        </w:tc>
        <w:tc>
          <w:tcPr>
            <w:tcW w:w="1435" w:type="dxa"/>
            <w:gridSpan w:val="2"/>
            <w:tcBorders>
              <w:top w:val="single" w:sz="6" w:space="0" w:color="auto"/>
              <w:left w:val="dotted" w:sz="4" w:space="0" w:color="auto"/>
              <w:bottom w:val="dotted" w:sz="4" w:space="0" w:color="auto"/>
              <w:right w:val="dotted" w:sz="4" w:space="0" w:color="auto"/>
            </w:tcBorders>
          </w:tcPr>
          <w:p>
            <w:pPr>
              <w:autoSpaceDE w:val="0"/>
              <w:autoSpaceDN w:val="0"/>
              <w:adjustRightInd w:val="0"/>
              <w:spacing w:after="0" w:line="240" w:lineRule="auto"/>
              <w:jc w:val="right"/>
              <w:rPr>
                <w:rFonts w:cs="Calibri"/>
                <w:noProof/>
                <w:color w:val="000000"/>
                <w:lang w:val="fr-BE" w:eastAsia="zh-CN"/>
              </w:rPr>
            </w:pPr>
            <w:r>
              <w:rPr>
                <w:rFonts w:cs="Calibri"/>
                <w:noProof/>
                <w:color w:val="000000"/>
                <w:lang w:val="fr-BE" w:eastAsia="zh-CN"/>
              </w:rPr>
              <w:t>34.7%</w:t>
            </w:r>
          </w:p>
        </w:tc>
        <w:tc>
          <w:tcPr>
            <w:tcW w:w="1435" w:type="dxa"/>
            <w:gridSpan w:val="2"/>
            <w:tcBorders>
              <w:top w:val="single" w:sz="6" w:space="0" w:color="auto"/>
              <w:left w:val="dotted" w:sz="4" w:space="0" w:color="auto"/>
              <w:bottom w:val="dotted" w:sz="4" w:space="0" w:color="auto"/>
              <w:right w:val="single" w:sz="6" w:space="0" w:color="auto"/>
            </w:tcBorders>
          </w:tcPr>
          <w:p>
            <w:pPr>
              <w:autoSpaceDE w:val="0"/>
              <w:autoSpaceDN w:val="0"/>
              <w:adjustRightInd w:val="0"/>
              <w:spacing w:after="0" w:line="240" w:lineRule="auto"/>
              <w:jc w:val="right"/>
              <w:rPr>
                <w:rFonts w:cs="Calibri"/>
                <w:noProof/>
                <w:color w:val="000000"/>
                <w:lang w:val="fr-BE" w:eastAsia="zh-CN"/>
              </w:rPr>
            </w:pPr>
            <w:r>
              <w:rPr>
                <w:rFonts w:cs="Calibri"/>
                <w:noProof/>
                <w:color w:val="000000"/>
                <w:lang w:val="fr-BE" w:eastAsia="zh-CN"/>
              </w:rPr>
              <w:t>31.3%</w:t>
            </w:r>
          </w:p>
        </w:tc>
        <w:tc>
          <w:tcPr>
            <w:tcW w:w="1436" w:type="dxa"/>
            <w:gridSpan w:val="2"/>
            <w:tcBorders>
              <w:top w:val="single" w:sz="6" w:space="0" w:color="auto"/>
              <w:left w:val="nil"/>
              <w:bottom w:val="dotted" w:sz="4" w:space="0" w:color="auto"/>
              <w:right w:val="single" w:sz="2" w:space="0" w:color="auto"/>
            </w:tcBorders>
            <w:shd w:val="clear" w:color="auto" w:fill="D9D9D9" w:themeFill="background1" w:themeFillShade="D9"/>
          </w:tcPr>
          <w:p>
            <w:pPr>
              <w:autoSpaceDE w:val="0"/>
              <w:autoSpaceDN w:val="0"/>
              <w:adjustRightInd w:val="0"/>
              <w:spacing w:after="0" w:line="240" w:lineRule="auto"/>
              <w:jc w:val="right"/>
              <w:rPr>
                <w:rFonts w:cs="Calibri"/>
                <w:noProof/>
                <w:color w:val="000000"/>
                <w:lang w:val="fr-BE" w:eastAsia="zh-CN"/>
              </w:rPr>
            </w:pPr>
          </w:p>
        </w:tc>
        <w:tc>
          <w:tcPr>
            <w:tcW w:w="1435" w:type="dxa"/>
            <w:gridSpan w:val="2"/>
            <w:tcBorders>
              <w:top w:val="single" w:sz="4" w:space="0" w:color="auto"/>
              <w:left w:val="nil"/>
              <w:bottom w:val="dotted" w:sz="4" w:space="0" w:color="auto"/>
              <w:right w:val="dotted" w:sz="4" w:space="0" w:color="auto"/>
            </w:tcBorders>
          </w:tcPr>
          <w:p>
            <w:pPr>
              <w:autoSpaceDE w:val="0"/>
              <w:autoSpaceDN w:val="0"/>
              <w:adjustRightInd w:val="0"/>
              <w:spacing w:after="0" w:line="240" w:lineRule="auto"/>
              <w:jc w:val="right"/>
              <w:rPr>
                <w:rFonts w:cs="Calibri"/>
                <w:noProof/>
                <w:color w:val="000000"/>
                <w:lang w:val="fr-BE" w:eastAsia="zh-CN"/>
              </w:rPr>
            </w:pPr>
            <w:r>
              <w:rPr>
                <w:rFonts w:cs="Calibri"/>
                <w:noProof/>
                <w:color w:val="000000"/>
                <w:lang w:val="fr-BE" w:eastAsia="zh-CN"/>
              </w:rPr>
              <w:t>-31.8%</w:t>
            </w:r>
          </w:p>
        </w:tc>
        <w:tc>
          <w:tcPr>
            <w:tcW w:w="1435" w:type="dxa"/>
            <w:gridSpan w:val="2"/>
            <w:tcBorders>
              <w:top w:val="single" w:sz="4" w:space="0" w:color="auto"/>
              <w:left w:val="dotted" w:sz="4" w:space="0" w:color="auto"/>
              <w:bottom w:val="dotted" w:sz="4" w:space="0" w:color="auto"/>
              <w:right w:val="single" w:sz="6" w:space="0" w:color="auto"/>
            </w:tcBorders>
          </w:tcPr>
          <w:p>
            <w:pPr>
              <w:autoSpaceDE w:val="0"/>
              <w:autoSpaceDN w:val="0"/>
              <w:adjustRightInd w:val="0"/>
              <w:spacing w:after="0" w:line="240" w:lineRule="auto"/>
              <w:jc w:val="right"/>
              <w:rPr>
                <w:rFonts w:cs="Calibri"/>
                <w:noProof/>
                <w:color w:val="000000"/>
                <w:lang w:val="fr-BE" w:eastAsia="zh-CN"/>
              </w:rPr>
            </w:pPr>
            <w:r>
              <w:rPr>
                <w:rFonts w:cs="Calibri"/>
                <w:noProof/>
                <w:color w:val="000000"/>
                <w:lang w:val="fr-BE" w:eastAsia="zh-CN"/>
              </w:rPr>
              <w:t>-0.3%</w:t>
            </w:r>
          </w:p>
        </w:tc>
      </w:tr>
      <w:tr>
        <w:trPr>
          <w:gridAfter w:val="1"/>
          <w:wAfter w:w="67" w:type="dxa"/>
          <w:trHeight w:val="290"/>
        </w:trPr>
        <w:tc>
          <w:tcPr>
            <w:tcW w:w="3118" w:type="dxa"/>
            <w:tcBorders>
              <w:top w:val="dotted" w:sz="4" w:space="0" w:color="auto"/>
              <w:left w:val="single" w:sz="6" w:space="0" w:color="auto"/>
              <w:bottom w:val="dotted" w:sz="4" w:space="0" w:color="auto"/>
              <w:right w:val="single" w:sz="6" w:space="0" w:color="auto"/>
            </w:tcBorders>
          </w:tcPr>
          <w:p>
            <w:pPr>
              <w:autoSpaceDE w:val="0"/>
              <w:autoSpaceDN w:val="0"/>
              <w:adjustRightInd w:val="0"/>
              <w:spacing w:after="0" w:line="240" w:lineRule="auto"/>
              <w:rPr>
                <w:rFonts w:cs="Calibri"/>
                <w:noProof/>
                <w:color w:val="000000"/>
                <w:lang w:val="fr-BE" w:eastAsia="zh-CN"/>
              </w:rPr>
            </w:pPr>
            <w:r>
              <w:rPr>
                <w:rFonts w:cs="Calibri"/>
                <w:noProof/>
                <w:color w:val="000000"/>
                <w:lang w:val="fr-BE" w:eastAsia="zh-CN"/>
              </w:rPr>
              <w:t>European Commission</w:t>
            </w:r>
          </w:p>
        </w:tc>
        <w:tc>
          <w:tcPr>
            <w:tcW w:w="1435" w:type="dxa"/>
            <w:tcBorders>
              <w:top w:val="dotted" w:sz="4" w:space="0" w:color="auto"/>
              <w:left w:val="single" w:sz="6" w:space="0" w:color="auto"/>
              <w:bottom w:val="dotted" w:sz="4" w:space="0" w:color="auto"/>
              <w:right w:val="dotted" w:sz="4" w:space="0" w:color="auto"/>
            </w:tcBorders>
          </w:tcPr>
          <w:p>
            <w:pPr>
              <w:autoSpaceDE w:val="0"/>
              <w:autoSpaceDN w:val="0"/>
              <w:adjustRightInd w:val="0"/>
              <w:spacing w:after="0" w:line="240" w:lineRule="auto"/>
              <w:jc w:val="right"/>
              <w:rPr>
                <w:rFonts w:cs="Calibri"/>
                <w:noProof/>
                <w:color w:val="000000"/>
                <w:lang w:val="fr-BE" w:eastAsia="zh-CN"/>
              </w:rPr>
            </w:pPr>
            <w:r>
              <w:rPr>
                <w:rFonts w:cs="Calibri"/>
                <w:noProof/>
                <w:color w:val="000000"/>
                <w:lang w:val="fr-BE" w:eastAsia="zh-CN"/>
              </w:rPr>
              <w:t>18.5%</w:t>
            </w:r>
          </w:p>
        </w:tc>
        <w:tc>
          <w:tcPr>
            <w:tcW w:w="1435" w:type="dxa"/>
            <w:gridSpan w:val="2"/>
            <w:tcBorders>
              <w:top w:val="dotted" w:sz="4" w:space="0" w:color="auto"/>
              <w:left w:val="dotted" w:sz="4" w:space="0" w:color="auto"/>
              <w:bottom w:val="dotted" w:sz="4" w:space="0" w:color="auto"/>
              <w:right w:val="dotted" w:sz="4" w:space="0" w:color="auto"/>
            </w:tcBorders>
          </w:tcPr>
          <w:p>
            <w:pPr>
              <w:autoSpaceDE w:val="0"/>
              <w:autoSpaceDN w:val="0"/>
              <w:adjustRightInd w:val="0"/>
              <w:spacing w:after="0" w:line="240" w:lineRule="auto"/>
              <w:jc w:val="right"/>
              <w:rPr>
                <w:rFonts w:cs="Calibri"/>
                <w:noProof/>
                <w:color w:val="000000"/>
                <w:lang w:val="fr-BE" w:eastAsia="zh-CN"/>
              </w:rPr>
            </w:pPr>
            <w:r>
              <w:rPr>
                <w:rFonts w:cs="Calibri"/>
                <w:noProof/>
                <w:color w:val="000000"/>
                <w:lang w:val="fr-BE" w:eastAsia="zh-CN"/>
              </w:rPr>
              <w:t>16.5%</w:t>
            </w:r>
          </w:p>
        </w:tc>
        <w:tc>
          <w:tcPr>
            <w:tcW w:w="1435" w:type="dxa"/>
            <w:gridSpan w:val="2"/>
            <w:tcBorders>
              <w:top w:val="dotted" w:sz="4" w:space="0" w:color="auto"/>
              <w:left w:val="dotted" w:sz="4" w:space="0" w:color="auto"/>
              <w:bottom w:val="dotted" w:sz="4" w:space="0" w:color="auto"/>
              <w:right w:val="single" w:sz="6" w:space="0" w:color="auto"/>
            </w:tcBorders>
          </w:tcPr>
          <w:p>
            <w:pPr>
              <w:autoSpaceDE w:val="0"/>
              <w:autoSpaceDN w:val="0"/>
              <w:adjustRightInd w:val="0"/>
              <w:spacing w:after="0" w:line="240" w:lineRule="auto"/>
              <w:jc w:val="right"/>
              <w:rPr>
                <w:rFonts w:cs="Calibri"/>
                <w:noProof/>
                <w:color w:val="000000"/>
                <w:lang w:val="fr-BE" w:eastAsia="zh-CN"/>
              </w:rPr>
            </w:pPr>
            <w:r>
              <w:rPr>
                <w:rFonts w:cs="Calibri"/>
                <w:noProof/>
                <w:color w:val="000000"/>
                <w:lang w:val="fr-BE" w:eastAsia="zh-CN"/>
              </w:rPr>
              <w:t>15.6%</w:t>
            </w:r>
          </w:p>
        </w:tc>
        <w:tc>
          <w:tcPr>
            <w:tcW w:w="1436" w:type="dxa"/>
            <w:gridSpan w:val="2"/>
            <w:tcBorders>
              <w:top w:val="dotted" w:sz="4" w:space="0" w:color="auto"/>
              <w:left w:val="nil"/>
              <w:bottom w:val="dotted" w:sz="4" w:space="0" w:color="auto"/>
              <w:right w:val="single" w:sz="2" w:space="0" w:color="auto"/>
            </w:tcBorders>
            <w:shd w:val="clear" w:color="auto" w:fill="D9D9D9" w:themeFill="background1" w:themeFillShade="D9"/>
          </w:tcPr>
          <w:p>
            <w:pPr>
              <w:autoSpaceDE w:val="0"/>
              <w:autoSpaceDN w:val="0"/>
              <w:adjustRightInd w:val="0"/>
              <w:spacing w:after="0" w:line="240" w:lineRule="auto"/>
              <w:jc w:val="right"/>
              <w:rPr>
                <w:rFonts w:cs="Calibri"/>
                <w:noProof/>
                <w:color w:val="000000"/>
                <w:lang w:val="fr-BE" w:eastAsia="zh-CN"/>
              </w:rPr>
            </w:pPr>
          </w:p>
        </w:tc>
        <w:tc>
          <w:tcPr>
            <w:tcW w:w="1435" w:type="dxa"/>
            <w:gridSpan w:val="2"/>
            <w:tcBorders>
              <w:top w:val="dotted" w:sz="4" w:space="0" w:color="auto"/>
              <w:left w:val="nil"/>
              <w:bottom w:val="dotted" w:sz="4" w:space="0" w:color="auto"/>
              <w:right w:val="dotted" w:sz="4" w:space="0" w:color="auto"/>
            </w:tcBorders>
          </w:tcPr>
          <w:p>
            <w:pPr>
              <w:autoSpaceDE w:val="0"/>
              <w:autoSpaceDN w:val="0"/>
              <w:adjustRightInd w:val="0"/>
              <w:spacing w:after="0" w:line="240" w:lineRule="auto"/>
              <w:jc w:val="right"/>
              <w:rPr>
                <w:rFonts w:cs="Calibri"/>
                <w:noProof/>
                <w:color w:val="000000"/>
                <w:lang w:val="fr-BE" w:eastAsia="zh-CN"/>
              </w:rPr>
            </w:pPr>
            <w:r>
              <w:rPr>
                <w:rFonts w:cs="Calibri"/>
                <w:noProof/>
                <w:color w:val="000000"/>
                <w:lang w:val="fr-BE" w:eastAsia="zh-CN"/>
              </w:rPr>
              <w:t>2.0%</w:t>
            </w:r>
          </w:p>
        </w:tc>
        <w:tc>
          <w:tcPr>
            <w:tcW w:w="1435" w:type="dxa"/>
            <w:gridSpan w:val="2"/>
            <w:tcBorders>
              <w:top w:val="dotted" w:sz="4" w:space="0" w:color="auto"/>
              <w:left w:val="dotted" w:sz="4" w:space="0" w:color="auto"/>
              <w:bottom w:val="dotted" w:sz="4" w:space="0" w:color="auto"/>
              <w:right w:val="single" w:sz="6" w:space="0" w:color="auto"/>
            </w:tcBorders>
          </w:tcPr>
          <w:p>
            <w:pPr>
              <w:autoSpaceDE w:val="0"/>
              <w:autoSpaceDN w:val="0"/>
              <w:adjustRightInd w:val="0"/>
              <w:spacing w:after="0" w:line="240" w:lineRule="auto"/>
              <w:jc w:val="right"/>
              <w:rPr>
                <w:rFonts w:cs="Calibri"/>
                <w:noProof/>
                <w:color w:val="000000"/>
                <w:lang w:val="fr-BE" w:eastAsia="zh-CN"/>
              </w:rPr>
            </w:pPr>
            <w:r>
              <w:rPr>
                <w:rFonts w:cs="Calibri"/>
                <w:noProof/>
                <w:color w:val="000000"/>
                <w:lang w:val="fr-BE" w:eastAsia="zh-CN"/>
              </w:rPr>
              <w:t>2.0%</w:t>
            </w:r>
          </w:p>
        </w:tc>
      </w:tr>
      <w:tr>
        <w:trPr>
          <w:gridAfter w:val="1"/>
          <w:wAfter w:w="67" w:type="dxa"/>
          <w:trHeight w:val="290"/>
        </w:trPr>
        <w:tc>
          <w:tcPr>
            <w:tcW w:w="3118" w:type="dxa"/>
            <w:tcBorders>
              <w:top w:val="dotted" w:sz="4" w:space="0" w:color="auto"/>
              <w:left w:val="single" w:sz="6" w:space="0" w:color="auto"/>
              <w:bottom w:val="dotted" w:sz="4" w:space="0" w:color="auto"/>
              <w:right w:val="single" w:sz="6" w:space="0" w:color="auto"/>
            </w:tcBorders>
          </w:tcPr>
          <w:p>
            <w:pPr>
              <w:autoSpaceDE w:val="0"/>
              <w:autoSpaceDN w:val="0"/>
              <w:adjustRightInd w:val="0"/>
              <w:spacing w:after="0" w:line="240" w:lineRule="auto"/>
              <w:rPr>
                <w:rFonts w:cs="Calibri"/>
                <w:noProof/>
                <w:color w:val="000000"/>
                <w:lang w:val="en-US" w:eastAsia="zh-CN"/>
              </w:rPr>
            </w:pPr>
            <w:r>
              <w:rPr>
                <w:rFonts w:cs="Calibri"/>
                <w:noProof/>
                <w:color w:val="000000"/>
                <w:lang w:val="en-US" w:eastAsia="zh-CN"/>
              </w:rPr>
              <w:t xml:space="preserve">EU Member States </w:t>
            </w:r>
          </w:p>
        </w:tc>
        <w:tc>
          <w:tcPr>
            <w:tcW w:w="1435" w:type="dxa"/>
            <w:tcBorders>
              <w:top w:val="dotted" w:sz="4" w:space="0" w:color="auto"/>
              <w:left w:val="single" w:sz="6" w:space="0" w:color="auto"/>
              <w:bottom w:val="dotted" w:sz="4" w:space="0" w:color="auto"/>
              <w:right w:val="dotted" w:sz="4" w:space="0" w:color="auto"/>
            </w:tcBorders>
          </w:tcPr>
          <w:p>
            <w:pPr>
              <w:autoSpaceDE w:val="0"/>
              <w:autoSpaceDN w:val="0"/>
              <w:adjustRightInd w:val="0"/>
              <w:spacing w:after="0" w:line="240" w:lineRule="auto"/>
              <w:jc w:val="right"/>
              <w:rPr>
                <w:rFonts w:cs="Calibri"/>
                <w:noProof/>
                <w:color w:val="000000"/>
                <w:lang w:val="fr-BE" w:eastAsia="zh-CN"/>
              </w:rPr>
            </w:pPr>
            <w:r>
              <w:rPr>
                <w:rFonts w:cs="Calibri"/>
                <w:noProof/>
                <w:color w:val="000000"/>
                <w:lang w:val="fr-BE" w:eastAsia="zh-CN"/>
              </w:rPr>
              <w:t>17.3%</w:t>
            </w:r>
          </w:p>
        </w:tc>
        <w:tc>
          <w:tcPr>
            <w:tcW w:w="1435" w:type="dxa"/>
            <w:gridSpan w:val="2"/>
            <w:tcBorders>
              <w:top w:val="dotted" w:sz="4" w:space="0" w:color="auto"/>
              <w:left w:val="dotted" w:sz="4" w:space="0" w:color="auto"/>
              <w:bottom w:val="dotted" w:sz="4" w:space="0" w:color="auto"/>
              <w:right w:val="dotted" w:sz="4" w:space="0" w:color="auto"/>
            </w:tcBorders>
          </w:tcPr>
          <w:p>
            <w:pPr>
              <w:autoSpaceDE w:val="0"/>
              <w:autoSpaceDN w:val="0"/>
              <w:adjustRightInd w:val="0"/>
              <w:spacing w:after="0" w:line="240" w:lineRule="auto"/>
              <w:jc w:val="right"/>
              <w:rPr>
                <w:rFonts w:cs="Calibri"/>
                <w:noProof/>
                <w:color w:val="000000"/>
                <w:lang w:val="fr-BE" w:eastAsia="zh-CN"/>
              </w:rPr>
            </w:pPr>
            <w:r>
              <w:rPr>
                <w:rFonts w:cs="Calibri"/>
                <w:noProof/>
                <w:color w:val="000000"/>
                <w:lang w:val="fr-BE" w:eastAsia="zh-CN"/>
              </w:rPr>
              <w:t>15.9%</w:t>
            </w:r>
          </w:p>
        </w:tc>
        <w:tc>
          <w:tcPr>
            <w:tcW w:w="1435" w:type="dxa"/>
            <w:gridSpan w:val="2"/>
            <w:tcBorders>
              <w:top w:val="dotted" w:sz="4" w:space="0" w:color="auto"/>
              <w:left w:val="dotted" w:sz="4" w:space="0" w:color="auto"/>
              <w:bottom w:val="dotted" w:sz="4" w:space="0" w:color="auto"/>
              <w:right w:val="single" w:sz="6" w:space="0" w:color="auto"/>
            </w:tcBorders>
          </w:tcPr>
          <w:p>
            <w:pPr>
              <w:autoSpaceDE w:val="0"/>
              <w:autoSpaceDN w:val="0"/>
              <w:adjustRightInd w:val="0"/>
              <w:spacing w:after="0" w:line="240" w:lineRule="auto"/>
              <w:jc w:val="right"/>
              <w:rPr>
                <w:rFonts w:cs="Calibri"/>
                <w:noProof/>
                <w:color w:val="000000"/>
                <w:lang w:val="fr-BE" w:eastAsia="zh-CN"/>
              </w:rPr>
            </w:pPr>
            <w:r>
              <w:rPr>
                <w:rFonts w:cs="Calibri"/>
                <w:noProof/>
                <w:color w:val="000000"/>
                <w:lang w:val="fr-BE" w:eastAsia="zh-CN"/>
              </w:rPr>
              <w:t>15.4%</w:t>
            </w:r>
          </w:p>
        </w:tc>
        <w:tc>
          <w:tcPr>
            <w:tcW w:w="1436" w:type="dxa"/>
            <w:gridSpan w:val="2"/>
            <w:tcBorders>
              <w:top w:val="dotted" w:sz="4" w:space="0" w:color="auto"/>
              <w:left w:val="nil"/>
              <w:bottom w:val="dotted" w:sz="4" w:space="0" w:color="auto"/>
              <w:right w:val="single" w:sz="2" w:space="0" w:color="auto"/>
            </w:tcBorders>
          </w:tcPr>
          <w:p>
            <w:pPr>
              <w:autoSpaceDE w:val="0"/>
              <w:autoSpaceDN w:val="0"/>
              <w:adjustRightInd w:val="0"/>
              <w:spacing w:after="0" w:line="240" w:lineRule="auto"/>
              <w:jc w:val="right"/>
              <w:rPr>
                <w:rFonts w:cs="Calibri"/>
                <w:noProof/>
                <w:color w:val="000000"/>
                <w:lang w:val="fr-BE" w:eastAsia="zh-CN"/>
              </w:rPr>
            </w:pPr>
            <w:r>
              <w:rPr>
                <w:rFonts w:cs="Calibri"/>
                <w:noProof/>
                <w:color w:val="000000"/>
                <w:lang w:val="fr-BE" w:eastAsia="zh-CN"/>
              </w:rPr>
              <w:t>7</w:t>
            </w:r>
          </w:p>
        </w:tc>
        <w:tc>
          <w:tcPr>
            <w:tcW w:w="1435" w:type="dxa"/>
            <w:gridSpan w:val="2"/>
            <w:tcBorders>
              <w:top w:val="dotted" w:sz="4" w:space="0" w:color="auto"/>
              <w:left w:val="nil"/>
              <w:bottom w:val="dotted" w:sz="4" w:space="0" w:color="auto"/>
              <w:right w:val="dotted" w:sz="4" w:space="0" w:color="auto"/>
            </w:tcBorders>
          </w:tcPr>
          <w:p>
            <w:pPr>
              <w:autoSpaceDE w:val="0"/>
              <w:autoSpaceDN w:val="0"/>
              <w:adjustRightInd w:val="0"/>
              <w:spacing w:after="0" w:line="240" w:lineRule="auto"/>
              <w:jc w:val="right"/>
              <w:rPr>
                <w:rFonts w:cs="Calibri"/>
                <w:noProof/>
                <w:color w:val="000000"/>
                <w:lang w:val="fr-BE" w:eastAsia="zh-CN"/>
              </w:rPr>
            </w:pPr>
            <w:r>
              <w:rPr>
                <w:rFonts w:cs="Calibri"/>
                <w:noProof/>
                <w:color w:val="000000"/>
                <w:lang w:val="fr-BE" w:eastAsia="zh-CN"/>
              </w:rPr>
              <w:t>-4.0%</w:t>
            </w:r>
          </w:p>
        </w:tc>
        <w:tc>
          <w:tcPr>
            <w:tcW w:w="1435" w:type="dxa"/>
            <w:gridSpan w:val="2"/>
            <w:tcBorders>
              <w:top w:val="dotted" w:sz="4" w:space="0" w:color="auto"/>
              <w:left w:val="dotted" w:sz="4" w:space="0" w:color="auto"/>
              <w:bottom w:val="dotted" w:sz="4" w:space="0" w:color="auto"/>
              <w:right w:val="single" w:sz="6" w:space="0" w:color="auto"/>
            </w:tcBorders>
          </w:tcPr>
          <w:p>
            <w:pPr>
              <w:autoSpaceDE w:val="0"/>
              <w:autoSpaceDN w:val="0"/>
              <w:adjustRightInd w:val="0"/>
              <w:spacing w:after="0" w:line="240" w:lineRule="auto"/>
              <w:jc w:val="right"/>
              <w:rPr>
                <w:rFonts w:cs="Calibri"/>
                <w:noProof/>
                <w:color w:val="000000"/>
                <w:lang w:val="fr-BE" w:eastAsia="zh-CN"/>
              </w:rPr>
            </w:pPr>
            <w:r>
              <w:rPr>
                <w:rFonts w:cs="Calibri"/>
                <w:noProof/>
                <w:color w:val="000000"/>
                <w:lang w:val="fr-BE" w:eastAsia="zh-CN"/>
              </w:rPr>
              <w:t>1.0%</w:t>
            </w:r>
          </w:p>
        </w:tc>
      </w:tr>
      <w:tr>
        <w:trPr>
          <w:gridAfter w:val="1"/>
          <w:wAfter w:w="67" w:type="dxa"/>
          <w:trHeight w:val="290"/>
        </w:trPr>
        <w:tc>
          <w:tcPr>
            <w:tcW w:w="3118" w:type="dxa"/>
            <w:tcBorders>
              <w:top w:val="dotted" w:sz="4" w:space="0" w:color="auto"/>
              <w:left w:val="single" w:sz="6" w:space="0" w:color="auto"/>
              <w:bottom w:val="dotted" w:sz="4" w:space="0" w:color="auto"/>
              <w:right w:val="single" w:sz="6" w:space="0" w:color="auto"/>
            </w:tcBorders>
          </w:tcPr>
          <w:p>
            <w:pPr>
              <w:autoSpaceDE w:val="0"/>
              <w:autoSpaceDN w:val="0"/>
              <w:adjustRightInd w:val="0"/>
              <w:spacing w:after="0" w:line="240" w:lineRule="auto"/>
              <w:rPr>
                <w:rFonts w:cs="Calibri"/>
                <w:noProof/>
                <w:color w:val="000000"/>
                <w:lang w:val="fr-BE" w:eastAsia="zh-CN"/>
              </w:rPr>
            </w:pPr>
            <w:r>
              <w:rPr>
                <w:rFonts w:cs="Calibri"/>
                <w:noProof/>
                <w:color w:val="000000"/>
                <w:lang w:val="fr-BE" w:eastAsia="zh-CN"/>
              </w:rPr>
              <w:t>Asia/ Oceania</w:t>
            </w:r>
          </w:p>
        </w:tc>
        <w:tc>
          <w:tcPr>
            <w:tcW w:w="1435" w:type="dxa"/>
            <w:tcBorders>
              <w:top w:val="dotted" w:sz="4" w:space="0" w:color="auto"/>
              <w:left w:val="single" w:sz="6" w:space="0" w:color="auto"/>
              <w:bottom w:val="dotted" w:sz="4" w:space="0" w:color="auto"/>
              <w:right w:val="dotted" w:sz="4" w:space="0" w:color="auto"/>
            </w:tcBorders>
          </w:tcPr>
          <w:p>
            <w:pPr>
              <w:autoSpaceDE w:val="0"/>
              <w:autoSpaceDN w:val="0"/>
              <w:adjustRightInd w:val="0"/>
              <w:spacing w:after="0" w:line="240" w:lineRule="auto"/>
              <w:jc w:val="right"/>
              <w:rPr>
                <w:rFonts w:cs="Calibri"/>
                <w:noProof/>
                <w:color w:val="000000"/>
                <w:lang w:val="fr-BE" w:eastAsia="zh-CN"/>
              </w:rPr>
            </w:pPr>
            <w:r>
              <w:rPr>
                <w:rFonts w:cs="Calibri"/>
                <w:noProof/>
                <w:color w:val="000000"/>
                <w:lang w:val="fr-BE" w:eastAsia="zh-CN"/>
              </w:rPr>
              <w:t>32.7%</w:t>
            </w:r>
          </w:p>
        </w:tc>
        <w:tc>
          <w:tcPr>
            <w:tcW w:w="1435" w:type="dxa"/>
            <w:gridSpan w:val="2"/>
            <w:tcBorders>
              <w:top w:val="dotted" w:sz="4" w:space="0" w:color="auto"/>
              <w:left w:val="dotted" w:sz="4" w:space="0" w:color="auto"/>
              <w:bottom w:val="dotted" w:sz="4" w:space="0" w:color="auto"/>
              <w:right w:val="dotted" w:sz="4" w:space="0" w:color="auto"/>
            </w:tcBorders>
          </w:tcPr>
          <w:p>
            <w:pPr>
              <w:autoSpaceDE w:val="0"/>
              <w:autoSpaceDN w:val="0"/>
              <w:adjustRightInd w:val="0"/>
              <w:spacing w:after="0" w:line="240" w:lineRule="auto"/>
              <w:jc w:val="right"/>
              <w:rPr>
                <w:rFonts w:cs="Calibri"/>
                <w:noProof/>
                <w:color w:val="000000"/>
                <w:lang w:val="fr-BE" w:eastAsia="zh-CN"/>
              </w:rPr>
            </w:pPr>
            <w:r>
              <w:rPr>
                <w:rFonts w:cs="Calibri"/>
                <w:noProof/>
                <w:color w:val="000000"/>
                <w:lang w:val="fr-BE" w:eastAsia="zh-CN"/>
              </w:rPr>
              <w:t>25.6%</w:t>
            </w:r>
          </w:p>
        </w:tc>
        <w:tc>
          <w:tcPr>
            <w:tcW w:w="1435" w:type="dxa"/>
            <w:gridSpan w:val="2"/>
            <w:tcBorders>
              <w:top w:val="dotted" w:sz="4" w:space="0" w:color="auto"/>
              <w:left w:val="dotted" w:sz="4" w:space="0" w:color="auto"/>
              <w:bottom w:val="dotted" w:sz="4" w:space="0" w:color="auto"/>
              <w:right w:val="single" w:sz="6" w:space="0" w:color="auto"/>
            </w:tcBorders>
          </w:tcPr>
          <w:p>
            <w:pPr>
              <w:autoSpaceDE w:val="0"/>
              <w:autoSpaceDN w:val="0"/>
              <w:adjustRightInd w:val="0"/>
              <w:spacing w:after="0" w:line="240" w:lineRule="auto"/>
              <w:jc w:val="right"/>
              <w:rPr>
                <w:rFonts w:cs="Calibri"/>
                <w:noProof/>
                <w:color w:val="000000"/>
                <w:lang w:val="fr-BE" w:eastAsia="zh-CN"/>
              </w:rPr>
            </w:pPr>
            <w:r>
              <w:rPr>
                <w:rFonts w:cs="Calibri"/>
                <w:noProof/>
                <w:color w:val="000000"/>
                <w:lang w:val="fr-BE" w:eastAsia="zh-CN"/>
              </w:rPr>
              <w:t>29.0%</w:t>
            </w:r>
          </w:p>
        </w:tc>
        <w:tc>
          <w:tcPr>
            <w:tcW w:w="1436" w:type="dxa"/>
            <w:gridSpan w:val="2"/>
            <w:tcBorders>
              <w:top w:val="dotted" w:sz="4" w:space="0" w:color="auto"/>
              <w:left w:val="nil"/>
              <w:bottom w:val="dotted" w:sz="4" w:space="0" w:color="auto"/>
              <w:right w:val="single" w:sz="2" w:space="0" w:color="auto"/>
            </w:tcBorders>
          </w:tcPr>
          <w:p>
            <w:pPr>
              <w:autoSpaceDE w:val="0"/>
              <w:autoSpaceDN w:val="0"/>
              <w:adjustRightInd w:val="0"/>
              <w:spacing w:after="0" w:line="240" w:lineRule="auto"/>
              <w:jc w:val="right"/>
              <w:rPr>
                <w:rFonts w:cs="Calibri"/>
                <w:noProof/>
                <w:color w:val="000000"/>
                <w:lang w:val="fr-BE" w:eastAsia="zh-CN"/>
              </w:rPr>
            </w:pPr>
            <w:r>
              <w:rPr>
                <w:rFonts w:cs="Calibri"/>
                <w:noProof/>
                <w:color w:val="000000"/>
                <w:lang w:val="fr-BE" w:eastAsia="zh-CN"/>
              </w:rPr>
              <w:t>8</w:t>
            </w:r>
          </w:p>
        </w:tc>
        <w:tc>
          <w:tcPr>
            <w:tcW w:w="1435" w:type="dxa"/>
            <w:gridSpan w:val="2"/>
            <w:tcBorders>
              <w:top w:val="dotted" w:sz="4" w:space="0" w:color="auto"/>
              <w:left w:val="nil"/>
              <w:bottom w:val="dotted" w:sz="4" w:space="0" w:color="auto"/>
              <w:right w:val="dotted" w:sz="4" w:space="0" w:color="auto"/>
            </w:tcBorders>
          </w:tcPr>
          <w:p>
            <w:pPr>
              <w:autoSpaceDE w:val="0"/>
              <w:autoSpaceDN w:val="0"/>
              <w:adjustRightInd w:val="0"/>
              <w:spacing w:after="0" w:line="240" w:lineRule="auto"/>
              <w:jc w:val="right"/>
              <w:rPr>
                <w:rFonts w:cs="Calibri"/>
                <w:noProof/>
                <w:color w:val="000000"/>
                <w:lang w:val="fr-BE" w:eastAsia="zh-CN"/>
              </w:rPr>
            </w:pPr>
            <w:r>
              <w:rPr>
                <w:rFonts w:cs="Calibri"/>
                <w:noProof/>
                <w:color w:val="000000"/>
                <w:lang w:val="fr-BE" w:eastAsia="zh-CN"/>
              </w:rPr>
              <w:t>7.4%</w:t>
            </w:r>
          </w:p>
        </w:tc>
        <w:tc>
          <w:tcPr>
            <w:tcW w:w="1435" w:type="dxa"/>
            <w:gridSpan w:val="2"/>
            <w:tcBorders>
              <w:top w:val="dotted" w:sz="4" w:space="0" w:color="auto"/>
              <w:left w:val="dotted" w:sz="4" w:space="0" w:color="auto"/>
              <w:bottom w:val="dotted" w:sz="4" w:space="0" w:color="auto"/>
              <w:right w:val="single" w:sz="6" w:space="0" w:color="auto"/>
            </w:tcBorders>
          </w:tcPr>
          <w:p>
            <w:pPr>
              <w:autoSpaceDE w:val="0"/>
              <w:autoSpaceDN w:val="0"/>
              <w:adjustRightInd w:val="0"/>
              <w:spacing w:after="0" w:line="240" w:lineRule="auto"/>
              <w:jc w:val="right"/>
              <w:rPr>
                <w:rFonts w:cs="Calibri"/>
                <w:noProof/>
                <w:color w:val="000000"/>
                <w:lang w:val="fr-BE" w:eastAsia="zh-CN"/>
              </w:rPr>
            </w:pPr>
            <w:r>
              <w:rPr>
                <w:rFonts w:cs="Calibri"/>
                <w:noProof/>
                <w:color w:val="000000"/>
                <w:lang w:val="fr-BE" w:eastAsia="zh-CN"/>
              </w:rPr>
              <w:t>-2.4%</w:t>
            </w:r>
          </w:p>
        </w:tc>
      </w:tr>
      <w:tr>
        <w:trPr>
          <w:gridAfter w:val="1"/>
          <w:wAfter w:w="67" w:type="dxa"/>
          <w:trHeight w:val="290"/>
        </w:trPr>
        <w:tc>
          <w:tcPr>
            <w:tcW w:w="3118" w:type="dxa"/>
            <w:tcBorders>
              <w:top w:val="dotted" w:sz="4" w:space="0" w:color="auto"/>
              <w:left w:val="single" w:sz="6" w:space="0" w:color="auto"/>
              <w:bottom w:val="dotted" w:sz="4" w:space="0" w:color="auto"/>
              <w:right w:val="single" w:sz="6" w:space="0" w:color="auto"/>
            </w:tcBorders>
          </w:tcPr>
          <w:p>
            <w:pPr>
              <w:autoSpaceDE w:val="0"/>
              <w:autoSpaceDN w:val="0"/>
              <w:adjustRightInd w:val="0"/>
              <w:spacing w:after="0" w:line="240" w:lineRule="auto"/>
              <w:rPr>
                <w:rFonts w:cs="Calibri"/>
                <w:noProof/>
                <w:color w:val="000000"/>
                <w:lang w:val="fr-BE" w:eastAsia="zh-CN"/>
              </w:rPr>
            </w:pPr>
            <w:r>
              <w:rPr>
                <w:rFonts w:cs="Calibri"/>
                <w:noProof/>
                <w:color w:val="000000"/>
                <w:lang w:val="fr-BE" w:eastAsia="zh-CN"/>
              </w:rPr>
              <w:t>Americas</w:t>
            </w:r>
          </w:p>
        </w:tc>
        <w:tc>
          <w:tcPr>
            <w:tcW w:w="1435" w:type="dxa"/>
            <w:tcBorders>
              <w:top w:val="dotted" w:sz="4" w:space="0" w:color="auto"/>
              <w:left w:val="single" w:sz="6" w:space="0" w:color="auto"/>
              <w:bottom w:val="dotted" w:sz="4" w:space="0" w:color="auto"/>
              <w:right w:val="dotted" w:sz="4" w:space="0" w:color="auto"/>
            </w:tcBorders>
          </w:tcPr>
          <w:p>
            <w:pPr>
              <w:autoSpaceDE w:val="0"/>
              <w:autoSpaceDN w:val="0"/>
              <w:adjustRightInd w:val="0"/>
              <w:spacing w:after="0" w:line="240" w:lineRule="auto"/>
              <w:jc w:val="right"/>
              <w:rPr>
                <w:rFonts w:cs="Calibri"/>
                <w:noProof/>
                <w:color w:val="000000"/>
                <w:lang w:val="fr-BE" w:eastAsia="zh-CN"/>
              </w:rPr>
            </w:pPr>
            <w:r>
              <w:rPr>
                <w:rFonts w:cs="Calibri"/>
                <w:noProof/>
                <w:color w:val="000000"/>
                <w:lang w:val="fr-BE" w:eastAsia="zh-CN"/>
              </w:rPr>
              <w:t>6.1%</w:t>
            </w:r>
          </w:p>
        </w:tc>
        <w:tc>
          <w:tcPr>
            <w:tcW w:w="1435" w:type="dxa"/>
            <w:gridSpan w:val="2"/>
            <w:tcBorders>
              <w:top w:val="dotted" w:sz="4" w:space="0" w:color="auto"/>
              <w:left w:val="dotted" w:sz="4" w:space="0" w:color="auto"/>
              <w:bottom w:val="dotted" w:sz="4" w:space="0" w:color="auto"/>
              <w:right w:val="dotted" w:sz="4" w:space="0" w:color="auto"/>
            </w:tcBorders>
          </w:tcPr>
          <w:p>
            <w:pPr>
              <w:autoSpaceDE w:val="0"/>
              <w:autoSpaceDN w:val="0"/>
              <w:adjustRightInd w:val="0"/>
              <w:spacing w:after="0" w:line="240" w:lineRule="auto"/>
              <w:jc w:val="right"/>
              <w:rPr>
                <w:rFonts w:cs="Calibri"/>
                <w:noProof/>
                <w:color w:val="000000"/>
                <w:lang w:val="fr-BE" w:eastAsia="zh-CN"/>
              </w:rPr>
            </w:pPr>
            <w:r>
              <w:rPr>
                <w:rFonts w:cs="Calibri"/>
                <w:noProof/>
                <w:color w:val="000000"/>
                <w:lang w:val="fr-BE" w:eastAsia="zh-CN"/>
              </w:rPr>
              <w:t>5.8%</w:t>
            </w:r>
          </w:p>
        </w:tc>
        <w:tc>
          <w:tcPr>
            <w:tcW w:w="1435" w:type="dxa"/>
            <w:gridSpan w:val="2"/>
            <w:tcBorders>
              <w:top w:val="dotted" w:sz="4" w:space="0" w:color="auto"/>
              <w:left w:val="dotted" w:sz="4" w:space="0" w:color="auto"/>
              <w:bottom w:val="dotted" w:sz="4" w:space="0" w:color="auto"/>
              <w:right w:val="single" w:sz="6" w:space="0" w:color="auto"/>
            </w:tcBorders>
          </w:tcPr>
          <w:p>
            <w:pPr>
              <w:autoSpaceDE w:val="0"/>
              <w:autoSpaceDN w:val="0"/>
              <w:adjustRightInd w:val="0"/>
              <w:spacing w:after="0" w:line="240" w:lineRule="auto"/>
              <w:jc w:val="right"/>
              <w:rPr>
                <w:rFonts w:cs="Calibri"/>
                <w:noProof/>
                <w:color w:val="000000"/>
                <w:lang w:val="fr-BE" w:eastAsia="zh-CN"/>
              </w:rPr>
            </w:pPr>
            <w:r>
              <w:rPr>
                <w:rFonts w:cs="Calibri"/>
                <w:noProof/>
                <w:color w:val="000000"/>
                <w:lang w:val="fr-BE" w:eastAsia="zh-CN"/>
              </w:rPr>
              <w:t>6.6%</w:t>
            </w:r>
          </w:p>
        </w:tc>
        <w:tc>
          <w:tcPr>
            <w:tcW w:w="1436" w:type="dxa"/>
            <w:gridSpan w:val="2"/>
            <w:tcBorders>
              <w:top w:val="dotted" w:sz="4" w:space="0" w:color="auto"/>
              <w:left w:val="nil"/>
              <w:bottom w:val="dotted" w:sz="4" w:space="0" w:color="auto"/>
              <w:right w:val="single" w:sz="2" w:space="0" w:color="auto"/>
            </w:tcBorders>
          </w:tcPr>
          <w:p>
            <w:pPr>
              <w:autoSpaceDE w:val="0"/>
              <w:autoSpaceDN w:val="0"/>
              <w:adjustRightInd w:val="0"/>
              <w:spacing w:after="0" w:line="240" w:lineRule="auto"/>
              <w:jc w:val="right"/>
              <w:rPr>
                <w:rFonts w:cs="Calibri"/>
                <w:noProof/>
                <w:color w:val="000000"/>
                <w:lang w:val="fr-BE" w:eastAsia="zh-CN"/>
              </w:rPr>
            </w:pPr>
            <w:r>
              <w:rPr>
                <w:rFonts w:cs="Calibri"/>
                <w:noProof/>
                <w:color w:val="000000"/>
                <w:lang w:val="fr-BE" w:eastAsia="zh-CN"/>
              </w:rPr>
              <w:t>6</w:t>
            </w:r>
          </w:p>
        </w:tc>
        <w:tc>
          <w:tcPr>
            <w:tcW w:w="1435" w:type="dxa"/>
            <w:gridSpan w:val="2"/>
            <w:tcBorders>
              <w:top w:val="dotted" w:sz="4" w:space="0" w:color="auto"/>
              <w:left w:val="nil"/>
              <w:bottom w:val="dotted" w:sz="4" w:space="0" w:color="auto"/>
              <w:right w:val="dotted" w:sz="4" w:space="0" w:color="auto"/>
            </w:tcBorders>
          </w:tcPr>
          <w:p>
            <w:pPr>
              <w:autoSpaceDE w:val="0"/>
              <w:autoSpaceDN w:val="0"/>
              <w:adjustRightInd w:val="0"/>
              <w:spacing w:after="0" w:line="240" w:lineRule="auto"/>
              <w:jc w:val="right"/>
              <w:rPr>
                <w:rFonts w:cs="Calibri"/>
                <w:noProof/>
                <w:color w:val="000000"/>
                <w:lang w:val="fr-BE" w:eastAsia="zh-CN"/>
              </w:rPr>
            </w:pPr>
            <w:r>
              <w:rPr>
                <w:rFonts w:cs="Calibri"/>
                <w:noProof/>
                <w:color w:val="000000"/>
                <w:lang w:val="fr-BE" w:eastAsia="zh-CN"/>
              </w:rPr>
              <w:t>-10.8%</w:t>
            </w:r>
          </w:p>
        </w:tc>
        <w:tc>
          <w:tcPr>
            <w:tcW w:w="1435" w:type="dxa"/>
            <w:gridSpan w:val="2"/>
            <w:tcBorders>
              <w:top w:val="dotted" w:sz="4" w:space="0" w:color="auto"/>
              <w:left w:val="dotted" w:sz="4" w:space="0" w:color="auto"/>
              <w:bottom w:val="dotted" w:sz="4" w:space="0" w:color="auto"/>
              <w:right w:val="single" w:sz="6" w:space="0" w:color="auto"/>
            </w:tcBorders>
          </w:tcPr>
          <w:p>
            <w:pPr>
              <w:autoSpaceDE w:val="0"/>
              <w:autoSpaceDN w:val="0"/>
              <w:adjustRightInd w:val="0"/>
              <w:spacing w:after="0" w:line="240" w:lineRule="auto"/>
              <w:jc w:val="right"/>
              <w:rPr>
                <w:rFonts w:cs="Calibri"/>
                <w:noProof/>
                <w:color w:val="000000"/>
                <w:lang w:val="fr-BE" w:eastAsia="zh-CN"/>
              </w:rPr>
            </w:pPr>
            <w:r>
              <w:rPr>
                <w:rFonts w:cs="Calibri"/>
                <w:noProof/>
                <w:color w:val="000000"/>
                <w:lang w:val="fr-BE" w:eastAsia="zh-CN"/>
              </w:rPr>
              <w:t>-17.0%</w:t>
            </w:r>
          </w:p>
        </w:tc>
      </w:tr>
      <w:tr>
        <w:trPr>
          <w:gridAfter w:val="1"/>
          <w:wAfter w:w="67" w:type="dxa"/>
          <w:trHeight w:val="290"/>
        </w:trPr>
        <w:tc>
          <w:tcPr>
            <w:tcW w:w="3118" w:type="dxa"/>
            <w:tcBorders>
              <w:top w:val="dotted" w:sz="4" w:space="0" w:color="auto"/>
              <w:left w:val="single" w:sz="6" w:space="0" w:color="auto"/>
              <w:bottom w:val="dotted" w:sz="4" w:space="0" w:color="auto"/>
              <w:right w:val="single" w:sz="6" w:space="0" w:color="auto"/>
            </w:tcBorders>
          </w:tcPr>
          <w:p>
            <w:pPr>
              <w:autoSpaceDE w:val="0"/>
              <w:autoSpaceDN w:val="0"/>
              <w:adjustRightInd w:val="0"/>
              <w:spacing w:after="0" w:line="240" w:lineRule="auto"/>
              <w:rPr>
                <w:rFonts w:cs="Calibri"/>
                <w:noProof/>
                <w:color w:val="000000"/>
                <w:lang w:val="fr-BE" w:eastAsia="zh-CN"/>
              </w:rPr>
            </w:pPr>
            <w:r>
              <w:rPr>
                <w:rFonts w:cs="Calibri"/>
                <w:noProof/>
                <w:color w:val="000000"/>
                <w:lang w:val="fr-BE" w:eastAsia="zh-CN"/>
              </w:rPr>
              <w:t>Africa</w:t>
            </w:r>
          </w:p>
        </w:tc>
        <w:tc>
          <w:tcPr>
            <w:tcW w:w="1435" w:type="dxa"/>
            <w:tcBorders>
              <w:top w:val="dotted" w:sz="4" w:space="0" w:color="auto"/>
              <w:left w:val="single" w:sz="6" w:space="0" w:color="auto"/>
              <w:bottom w:val="dotted" w:sz="4" w:space="0" w:color="auto"/>
              <w:right w:val="dotted" w:sz="4" w:space="0" w:color="auto"/>
            </w:tcBorders>
          </w:tcPr>
          <w:p>
            <w:pPr>
              <w:autoSpaceDE w:val="0"/>
              <w:autoSpaceDN w:val="0"/>
              <w:adjustRightInd w:val="0"/>
              <w:spacing w:after="0" w:line="240" w:lineRule="auto"/>
              <w:jc w:val="right"/>
              <w:rPr>
                <w:rFonts w:cs="Calibri"/>
                <w:noProof/>
                <w:color w:val="000000"/>
                <w:lang w:val="fr-BE" w:eastAsia="zh-CN"/>
              </w:rPr>
            </w:pPr>
            <w:r>
              <w:rPr>
                <w:rFonts w:cs="Calibri"/>
                <w:noProof/>
                <w:color w:val="000000"/>
                <w:lang w:val="fr-BE" w:eastAsia="zh-CN"/>
              </w:rPr>
              <w:t>0.6%</w:t>
            </w:r>
          </w:p>
        </w:tc>
        <w:tc>
          <w:tcPr>
            <w:tcW w:w="1435" w:type="dxa"/>
            <w:gridSpan w:val="2"/>
            <w:tcBorders>
              <w:top w:val="dotted" w:sz="4" w:space="0" w:color="auto"/>
              <w:left w:val="dotted" w:sz="4" w:space="0" w:color="auto"/>
              <w:bottom w:val="dotted" w:sz="4" w:space="0" w:color="auto"/>
              <w:right w:val="dotted" w:sz="4" w:space="0" w:color="auto"/>
            </w:tcBorders>
          </w:tcPr>
          <w:p>
            <w:pPr>
              <w:autoSpaceDE w:val="0"/>
              <w:autoSpaceDN w:val="0"/>
              <w:adjustRightInd w:val="0"/>
              <w:spacing w:after="0" w:line="240" w:lineRule="auto"/>
              <w:jc w:val="right"/>
              <w:rPr>
                <w:rFonts w:cs="Calibri"/>
                <w:noProof/>
                <w:color w:val="000000"/>
                <w:lang w:val="fr-BE" w:eastAsia="zh-CN"/>
              </w:rPr>
            </w:pPr>
            <w:r>
              <w:rPr>
                <w:rFonts w:cs="Calibri"/>
                <w:noProof/>
                <w:color w:val="000000"/>
                <w:lang w:val="fr-BE" w:eastAsia="zh-CN"/>
              </w:rPr>
              <w:t>0.5%</w:t>
            </w:r>
          </w:p>
        </w:tc>
        <w:tc>
          <w:tcPr>
            <w:tcW w:w="1435" w:type="dxa"/>
            <w:gridSpan w:val="2"/>
            <w:tcBorders>
              <w:top w:val="dotted" w:sz="4" w:space="0" w:color="auto"/>
              <w:left w:val="dotted" w:sz="4" w:space="0" w:color="auto"/>
              <w:bottom w:val="dotted" w:sz="4" w:space="0" w:color="auto"/>
              <w:right w:val="single" w:sz="6" w:space="0" w:color="auto"/>
            </w:tcBorders>
          </w:tcPr>
          <w:p>
            <w:pPr>
              <w:autoSpaceDE w:val="0"/>
              <w:autoSpaceDN w:val="0"/>
              <w:adjustRightInd w:val="0"/>
              <w:spacing w:after="0" w:line="240" w:lineRule="auto"/>
              <w:jc w:val="right"/>
              <w:rPr>
                <w:rFonts w:cs="Calibri"/>
                <w:noProof/>
                <w:color w:val="000000"/>
                <w:lang w:val="fr-BE" w:eastAsia="zh-CN"/>
              </w:rPr>
            </w:pPr>
            <w:r>
              <w:rPr>
                <w:rFonts w:cs="Calibri"/>
                <w:noProof/>
                <w:color w:val="000000"/>
                <w:lang w:val="fr-BE" w:eastAsia="zh-CN"/>
              </w:rPr>
              <w:t>1.2%</w:t>
            </w:r>
          </w:p>
        </w:tc>
        <w:tc>
          <w:tcPr>
            <w:tcW w:w="1436" w:type="dxa"/>
            <w:gridSpan w:val="2"/>
            <w:tcBorders>
              <w:top w:val="dotted" w:sz="4" w:space="0" w:color="auto"/>
              <w:left w:val="nil"/>
              <w:bottom w:val="dotted" w:sz="4" w:space="0" w:color="auto"/>
              <w:right w:val="single" w:sz="2" w:space="0" w:color="auto"/>
            </w:tcBorders>
          </w:tcPr>
          <w:p>
            <w:pPr>
              <w:autoSpaceDE w:val="0"/>
              <w:autoSpaceDN w:val="0"/>
              <w:adjustRightInd w:val="0"/>
              <w:spacing w:after="0" w:line="240" w:lineRule="auto"/>
              <w:jc w:val="right"/>
              <w:rPr>
                <w:rFonts w:cs="Calibri"/>
                <w:noProof/>
                <w:color w:val="000000"/>
                <w:lang w:val="fr-BE" w:eastAsia="zh-CN"/>
              </w:rPr>
            </w:pPr>
            <w:r>
              <w:rPr>
                <w:rFonts w:cs="Calibri"/>
                <w:noProof/>
                <w:color w:val="000000"/>
                <w:lang w:val="fr-BE" w:eastAsia="zh-CN"/>
              </w:rPr>
              <w:t>1</w:t>
            </w:r>
          </w:p>
        </w:tc>
        <w:tc>
          <w:tcPr>
            <w:tcW w:w="1435" w:type="dxa"/>
            <w:gridSpan w:val="2"/>
            <w:tcBorders>
              <w:top w:val="dotted" w:sz="4" w:space="0" w:color="auto"/>
              <w:left w:val="nil"/>
              <w:bottom w:val="dotted" w:sz="4" w:space="0" w:color="auto"/>
              <w:right w:val="dotted" w:sz="4" w:space="0" w:color="auto"/>
            </w:tcBorders>
          </w:tcPr>
          <w:p>
            <w:pPr>
              <w:autoSpaceDE w:val="0"/>
              <w:autoSpaceDN w:val="0"/>
              <w:adjustRightInd w:val="0"/>
              <w:spacing w:after="0" w:line="240" w:lineRule="auto"/>
              <w:jc w:val="right"/>
              <w:rPr>
                <w:rFonts w:cs="Calibri"/>
                <w:noProof/>
                <w:color w:val="000000"/>
                <w:lang w:val="fr-BE" w:eastAsia="zh-CN"/>
              </w:rPr>
            </w:pPr>
            <w:r>
              <w:rPr>
                <w:rFonts w:cs="Calibri"/>
                <w:noProof/>
                <w:color w:val="000000"/>
                <w:lang w:val="fr-BE" w:eastAsia="zh-CN"/>
              </w:rPr>
              <w:t>0.0%</w:t>
            </w:r>
          </w:p>
        </w:tc>
        <w:tc>
          <w:tcPr>
            <w:tcW w:w="1435" w:type="dxa"/>
            <w:gridSpan w:val="2"/>
            <w:tcBorders>
              <w:top w:val="dotted" w:sz="4" w:space="0" w:color="auto"/>
              <w:left w:val="dotted" w:sz="4" w:space="0" w:color="auto"/>
              <w:bottom w:val="dotted" w:sz="4" w:space="0" w:color="auto"/>
              <w:right w:val="single" w:sz="6" w:space="0" w:color="auto"/>
            </w:tcBorders>
          </w:tcPr>
          <w:p>
            <w:pPr>
              <w:autoSpaceDE w:val="0"/>
              <w:autoSpaceDN w:val="0"/>
              <w:adjustRightInd w:val="0"/>
              <w:spacing w:after="0" w:line="240" w:lineRule="auto"/>
              <w:jc w:val="right"/>
              <w:rPr>
                <w:rFonts w:cs="Calibri"/>
                <w:noProof/>
                <w:color w:val="000000"/>
                <w:lang w:val="fr-BE" w:eastAsia="zh-CN"/>
              </w:rPr>
            </w:pPr>
            <w:r>
              <w:rPr>
                <w:rFonts w:cs="Calibri"/>
                <w:noProof/>
                <w:color w:val="000000"/>
                <w:lang w:val="fr-BE" w:eastAsia="zh-CN"/>
              </w:rPr>
              <w:t>-53.3%</w:t>
            </w:r>
          </w:p>
        </w:tc>
      </w:tr>
      <w:tr>
        <w:trPr>
          <w:gridAfter w:val="1"/>
          <w:wAfter w:w="67" w:type="dxa"/>
          <w:trHeight w:val="290"/>
        </w:trPr>
        <w:tc>
          <w:tcPr>
            <w:tcW w:w="3118" w:type="dxa"/>
            <w:tcBorders>
              <w:top w:val="dotted" w:sz="4" w:space="0" w:color="auto"/>
              <w:left w:val="single" w:sz="6" w:space="0" w:color="auto"/>
              <w:bottom w:val="single" w:sz="6" w:space="0" w:color="auto"/>
              <w:right w:val="single" w:sz="6" w:space="0" w:color="auto"/>
            </w:tcBorders>
          </w:tcPr>
          <w:p>
            <w:pPr>
              <w:autoSpaceDE w:val="0"/>
              <w:autoSpaceDN w:val="0"/>
              <w:adjustRightInd w:val="0"/>
              <w:spacing w:after="0" w:line="240" w:lineRule="auto"/>
              <w:rPr>
                <w:rFonts w:cs="Calibri"/>
                <w:noProof/>
                <w:color w:val="000000"/>
                <w:lang w:val="fr-BE" w:eastAsia="zh-CN"/>
              </w:rPr>
            </w:pPr>
            <w:r>
              <w:rPr>
                <w:rFonts w:cs="Calibri"/>
                <w:noProof/>
                <w:color w:val="000000"/>
                <w:lang w:val="fr-BE" w:eastAsia="zh-CN"/>
              </w:rPr>
              <w:t>Other</w:t>
            </w:r>
          </w:p>
        </w:tc>
        <w:tc>
          <w:tcPr>
            <w:tcW w:w="1435" w:type="dxa"/>
            <w:tcBorders>
              <w:top w:val="dotted" w:sz="4" w:space="0" w:color="auto"/>
              <w:left w:val="single" w:sz="6" w:space="0" w:color="auto"/>
              <w:bottom w:val="single" w:sz="6" w:space="0" w:color="auto"/>
              <w:right w:val="dotted" w:sz="4" w:space="0" w:color="auto"/>
            </w:tcBorders>
          </w:tcPr>
          <w:p>
            <w:pPr>
              <w:autoSpaceDE w:val="0"/>
              <w:autoSpaceDN w:val="0"/>
              <w:adjustRightInd w:val="0"/>
              <w:spacing w:after="0" w:line="240" w:lineRule="auto"/>
              <w:jc w:val="right"/>
              <w:rPr>
                <w:rFonts w:cs="Calibri"/>
                <w:noProof/>
                <w:color w:val="000000"/>
                <w:lang w:val="fr-BE" w:eastAsia="zh-CN"/>
              </w:rPr>
            </w:pPr>
            <w:r>
              <w:rPr>
                <w:rFonts w:cs="Calibri"/>
                <w:noProof/>
                <w:color w:val="000000"/>
                <w:lang w:val="fr-BE" w:eastAsia="zh-CN"/>
              </w:rPr>
              <w:t>0.8%</w:t>
            </w:r>
          </w:p>
        </w:tc>
        <w:tc>
          <w:tcPr>
            <w:tcW w:w="1435" w:type="dxa"/>
            <w:gridSpan w:val="2"/>
            <w:tcBorders>
              <w:top w:val="dotted" w:sz="4" w:space="0" w:color="auto"/>
              <w:left w:val="dotted" w:sz="4" w:space="0" w:color="auto"/>
              <w:bottom w:val="single" w:sz="6" w:space="0" w:color="auto"/>
              <w:right w:val="dotted" w:sz="4" w:space="0" w:color="auto"/>
            </w:tcBorders>
          </w:tcPr>
          <w:p>
            <w:pPr>
              <w:autoSpaceDE w:val="0"/>
              <w:autoSpaceDN w:val="0"/>
              <w:adjustRightInd w:val="0"/>
              <w:spacing w:after="0" w:line="240" w:lineRule="auto"/>
              <w:jc w:val="right"/>
              <w:rPr>
                <w:rFonts w:cs="Calibri"/>
                <w:noProof/>
                <w:color w:val="000000"/>
                <w:lang w:val="fr-BE" w:eastAsia="zh-CN"/>
              </w:rPr>
            </w:pPr>
            <w:r>
              <w:rPr>
                <w:rFonts w:cs="Calibri"/>
                <w:noProof/>
                <w:color w:val="000000"/>
                <w:lang w:val="fr-BE" w:eastAsia="zh-CN"/>
              </w:rPr>
              <w:t>0.9%</w:t>
            </w:r>
          </w:p>
        </w:tc>
        <w:tc>
          <w:tcPr>
            <w:tcW w:w="1435" w:type="dxa"/>
            <w:gridSpan w:val="2"/>
            <w:tcBorders>
              <w:top w:val="dotted" w:sz="4" w:space="0" w:color="auto"/>
              <w:left w:val="dotted" w:sz="4" w:space="0" w:color="auto"/>
              <w:bottom w:val="single" w:sz="6" w:space="0" w:color="auto"/>
              <w:right w:val="single" w:sz="6" w:space="0" w:color="auto"/>
            </w:tcBorders>
          </w:tcPr>
          <w:p>
            <w:pPr>
              <w:autoSpaceDE w:val="0"/>
              <w:autoSpaceDN w:val="0"/>
              <w:adjustRightInd w:val="0"/>
              <w:spacing w:after="0" w:line="240" w:lineRule="auto"/>
              <w:jc w:val="right"/>
              <w:rPr>
                <w:rFonts w:cs="Calibri"/>
                <w:noProof/>
                <w:color w:val="000000"/>
                <w:lang w:val="fr-BE" w:eastAsia="zh-CN"/>
              </w:rPr>
            </w:pPr>
            <w:r>
              <w:rPr>
                <w:rFonts w:cs="Calibri"/>
                <w:noProof/>
                <w:color w:val="000000"/>
                <w:lang w:val="fr-BE" w:eastAsia="zh-CN"/>
              </w:rPr>
              <w:t>0.9%</w:t>
            </w:r>
          </w:p>
        </w:tc>
        <w:tc>
          <w:tcPr>
            <w:tcW w:w="1436" w:type="dxa"/>
            <w:gridSpan w:val="2"/>
            <w:tcBorders>
              <w:top w:val="dotted" w:sz="4" w:space="0" w:color="auto"/>
              <w:left w:val="nil"/>
              <w:bottom w:val="single" w:sz="6" w:space="0" w:color="auto"/>
              <w:right w:val="single" w:sz="2" w:space="0" w:color="auto"/>
            </w:tcBorders>
          </w:tcPr>
          <w:p>
            <w:pPr>
              <w:autoSpaceDE w:val="0"/>
              <w:autoSpaceDN w:val="0"/>
              <w:adjustRightInd w:val="0"/>
              <w:spacing w:after="0" w:line="240" w:lineRule="auto"/>
              <w:jc w:val="right"/>
              <w:rPr>
                <w:rFonts w:cs="Calibri"/>
                <w:noProof/>
                <w:color w:val="000000"/>
                <w:lang w:val="fr-BE" w:eastAsia="zh-CN"/>
              </w:rPr>
            </w:pPr>
            <w:r>
              <w:rPr>
                <w:rFonts w:cs="Calibri"/>
                <w:noProof/>
                <w:color w:val="000000"/>
                <w:lang w:val="fr-BE" w:eastAsia="zh-CN"/>
              </w:rPr>
              <w:t>0</w:t>
            </w:r>
          </w:p>
        </w:tc>
        <w:tc>
          <w:tcPr>
            <w:tcW w:w="1435" w:type="dxa"/>
            <w:gridSpan w:val="2"/>
            <w:tcBorders>
              <w:top w:val="dotted" w:sz="4" w:space="0" w:color="auto"/>
              <w:left w:val="nil"/>
              <w:bottom w:val="single" w:sz="6" w:space="0" w:color="auto"/>
              <w:right w:val="dotted" w:sz="4" w:space="0" w:color="auto"/>
            </w:tcBorders>
          </w:tcPr>
          <w:p>
            <w:pPr>
              <w:autoSpaceDE w:val="0"/>
              <w:autoSpaceDN w:val="0"/>
              <w:adjustRightInd w:val="0"/>
              <w:spacing w:after="0" w:line="240" w:lineRule="auto"/>
              <w:jc w:val="right"/>
              <w:rPr>
                <w:rFonts w:cs="Calibri"/>
                <w:noProof/>
                <w:color w:val="000000"/>
                <w:lang w:val="fr-BE" w:eastAsia="zh-CN"/>
              </w:rPr>
            </w:pPr>
            <w:r>
              <w:rPr>
                <w:rFonts w:cs="Calibri"/>
                <w:noProof/>
                <w:color w:val="000000"/>
                <w:lang w:val="fr-BE" w:eastAsia="zh-CN"/>
              </w:rPr>
              <w:t>-15.7%</w:t>
            </w:r>
          </w:p>
        </w:tc>
        <w:tc>
          <w:tcPr>
            <w:tcW w:w="1435" w:type="dxa"/>
            <w:gridSpan w:val="2"/>
            <w:tcBorders>
              <w:top w:val="dotted" w:sz="4" w:space="0" w:color="auto"/>
              <w:left w:val="dotted" w:sz="4" w:space="0" w:color="auto"/>
              <w:bottom w:val="single" w:sz="6" w:space="0" w:color="auto"/>
              <w:right w:val="single" w:sz="6" w:space="0" w:color="auto"/>
            </w:tcBorders>
          </w:tcPr>
          <w:p>
            <w:pPr>
              <w:autoSpaceDE w:val="0"/>
              <w:autoSpaceDN w:val="0"/>
              <w:adjustRightInd w:val="0"/>
              <w:spacing w:after="0" w:line="240" w:lineRule="auto"/>
              <w:jc w:val="right"/>
              <w:rPr>
                <w:rFonts w:cs="Calibri"/>
                <w:noProof/>
                <w:color w:val="000000"/>
                <w:lang w:val="fr-BE" w:eastAsia="zh-CN"/>
              </w:rPr>
            </w:pPr>
            <w:r>
              <w:rPr>
                <w:rFonts w:cs="Calibri"/>
                <w:noProof/>
                <w:color w:val="000000"/>
                <w:lang w:val="fr-BE" w:eastAsia="zh-CN"/>
              </w:rPr>
              <w:t>-2.4%</w:t>
            </w:r>
          </w:p>
        </w:tc>
      </w:tr>
      <w:tr>
        <w:trPr>
          <w:gridAfter w:val="1"/>
          <w:wAfter w:w="67" w:type="dxa"/>
          <w:trHeight w:val="290"/>
        </w:trPr>
        <w:tc>
          <w:tcPr>
            <w:tcW w:w="3118"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line="240" w:lineRule="auto"/>
              <w:rPr>
                <w:rFonts w:cs="Calibri"/>
                <w:b/>
                <w:bCs/>
                <w:noProof/>
                <w:color w:val="000000"/>
                <w:lang w:val="fr-BE" w:eastAsia="zh-CN"/>
              </w:rPr>
            </w:pPr>
            <w:r>
              <w:rPr>
                <w:rFonts w:cs="Calibri"/>
                <w:b/>
                <w:bCs/>
                <w:noProof/>
                <w:color w:val="000000"/>
                <w:lang w:val="fr-BE" w:eastAsia="zh-CN"/>
              </w:rPr>
              <w:t xml:space="preserve">Total </w:t>
            </w:r>
          </w:p>
        </w:tc>
        <w:tc>
          <w:tcPr>
            <w:tcW w:w="1435" w:type="dxa"/>
            <w:tcBorders>
              <w:top w:val="single" w:sz="6" w:space="0" w:color="auto"/>
              <w:left w:val="single" w:sz="6" w:space="0" w:color="auto"/>
              <w:bottom w:val="single" w:sz="6" w:space="0" w:color="auto"/>
              <w:right w:val="dotted" w:sz="4" w:space="0" w:color="auto"/>
            </w:tcBorders>
            <w:shd w:val="solid" w:color="C0C0C0" w:fill="auto"/>
          </w:tcPr>
          <w:p>
            <w:pPr>
              <w:autoSpaceDE w:val="0"/>
              <w:autoSpaceDN w:val="0"/>
              <w:adjustRightInd w:val="0"/>
              <w:spacing w:after="0" w:line="240" w:lineRule="auto"/>
              <w:jc w:val="right"/>
              <w:rPr>
                <w:rFonts w:cs="Calibri"/>
                <w:b/>
                <w:bCs/>
                <w:noProof/>
                <w:color w:val="000000"/>
                <w:lang w:val="fr-BE" w:eastAsia="zh-CN"/>
              </w:rPr>
            </w:pPr>
          </w:p>
        </w:tc>
        <w:tc>
          <w:tcPr>
            <w:tcW w:w="1435" w:type="dxa"/>
            <w:gridSpan w:val="2"/>
            <w:tcBorders>
              <w:top w:val="single" w:sz="6" w:space="0" w:color="auto"/>
              <w:left w:val="dotted" w:sz="4" w:space="0" w:color="auto"/>
              <w:bottom w:val="single" w:sz="6" w:space="0" w:color="auto"/>
              <w:right w:val="dotted" w:sz="4" w:space="0" w:color="auto"/>
            </w:tcBorders>
            <w:shd w:val="solid" w:color="C0C0C0" w:fill="auto"/>
          </w:tcPr>
          <w:p>
            <w:pPr>
              <w:autoSpaceDE w:val="0"/>
              <w:autoSpaceDN w:val="0"/>
              <w:adjustRightInd w:val="0"/>
              <w:spacing w:after="0" w:line="240" w:lineRule="auto"/>
              <w:jc w:val="right"/>
              <w:rPr>
                <w:rFonts w:cs="Calibri"/>
                <w:noProof/>
                <w:color w:val="000000"/>
                <w:lang w:val="fr-BE" w:eastAsia="zh-CN"/>
              </w:rPr>
            </w:pPr>
          </w:p>
        </w:tc>
        <w:tc>
          <w:tcPr>
            <w:tcW w:w="1435" w:type="dxa"/>
            <w:gridSpan w:val="2"/>
            <w:tcBorders>
              <w:top w:val="single" w:sz="6" w:space="0" w:color="auto"/>
              <w:left w:val="dotted" w:sz="4" w:space="0" w:color="auto"/>
              <w:bottom w:val="single" w:sz="6" w:space="0" w:color="auto"/>
              <w:right w:val="single" w:sz="6" w:space="0" w:color="auto"/>
            </w:tcBorders>
            <w:shd w:val="solid" w:color="C0C0C0" w:fill="auto"/>
          </w:tcPr>
          <w:p>
            <w:pPr>
              <w:autoSpaceDE w:val="0"/>
              <w:autoSpaceDN w:val="0"/>
              <w:adjustRightInd w:val="0"/>
              <w:spacing w:after="0" w:line="240" w:lineRule="auto"/>
              <w:jc w:val="right"/>
              <w:rPr>
                <w:rFonts w:cs="Calibri"/>
                <w:noProof/>
                <w:color w:val="000000"/>
                <w:lang w:val="fr-BE" w:eastAsia="zh-CN"/>
              </w:rPr>
            </w:pPr>
          </w:p>
        </w:tc>
        <w:tc>
          <w:tcPr>
            <w:tcW w:w="1436" w:type="dxa"/>
            <w:gridSpan w:val="2"/>
            <w:tcBorders>
              <w:top w:val="single" w:sz="6" w:space="0" w:color="auto"/>
              <w:left w:val="nil"/>
              <w:bottom w:val="single" w:sz="6" w:space="0" w:color="auto"/>
              <w:right w:val="single" w:sz="2" w:space="0" w:color="auto"/>
            </w:tcBorders>
          </w:tcPr>
          <w:p>
            <w:pPr>
              <w:autoSpaceDE w:val="0"/>
              <w:autoSpaceDN w:val="0"/>
              <w:adjustRightInd w:val="0"/>
              <w:spacing w:after="0" w:line="240" w:lineRule="auto"/>
              <w:jc w:val="right"/>
              <w:rPr>
                <w:rFonts w:cs="Calibri"/>
                <w:b/>
                <w:bCs/>
                <w:noProof/>
                <w:color w:val="000000"/>
                <w:lang w:val="fr-BE" w:eastAsia="zh-CN"/>
              </w:rPr>
            </w:pPr>
            <w:r>
              <w:rPr>
                <w:rFonts w:cs="Calibri"/>
                <w:b/>
                <w:bCs/>
                <w:noProof/>
                <w:color w:val="000000"/>
                <w:lang w:val="fr-BE" w:eastAsia="zh-CN"/>
              </w:rPr>
              <w:t>22</w:t>
            </w:r>
          </w:p>
        </w:tc>
        <w:tc>
          <w:tcPr>
            <w:tcW w:w="1435" w:type="dxa"/>
            <w:gridSpan w:val="2"/>
            <w:tcBorders>
              <w:top w:val="single" w:sz="6" w:space="0" w:color="auto"/>
              <w:left w:val="nil"/>
              <w:bottom w:val="single" w:sz="6" w:space="0" w:color="auto"/>
              <w:right w:val="dotted" w:sz="4" w:space="0" w:color="auto"/>
            </w:tcBorders>
          </w:tcPr>
          <w:p>
            <w:pPr>
              <w:autoSpaceDE w:val="0"/>
              <w:autoSpaceDN w:val="0"/>
              <w:adjustRightInd w:val="0"/>
              <w:spacing w:after="0" w:line="240" w:lineRule="auto"/>
              <w:jc w:val="right"/>
              <w:rPr>
                <w:rFonts w:cs="Calibri"/>
                <w:b/>
                <w:bCs/>
                <w:noProof/>
                <w:color w:val="000000"/>
                <w:lang w:val="fr-BE" w:eastAsia="zh-CN"/>
              </w:rPr>
            </w:pPr>
            <w:r>
              <w:rPr>
                <w:rFonts w:cs="Calibri"/>
                <w:b/>
                <w:bCs/>
                <w:noProof/>
                <w:color w:val="000000"/>
                <w:lang w:val="fr-BE" w:eastAsia="zh-CN"/>
              </w:rPr>
              <w:t>-9.7%</w:t>
            </w:r>
          </w:p>
        </w:tc>
        <w:tc>
          <w:tcPr>
            <w:tcW w:w="1435" w:type="dxa"/>
            <w:gridSpan w:val="2"/>
            <w:tcBorders>
              <w:top w:val="single" w:sz="6" w:space="0" w:color="auto"/>
              <w:left w:val="dotted" w:sz="4" w:space="0" w:color="auto"/>
              <w:bottom w:val="single" w:sz="6" w:space="0" w:color="auto"/>
              <w:right w:val="single" w:sz="6" w:space="0" w:color="auto"/>
            </w:tcBorders>
          </w:tcPr>
          <w:p>
            <w:pPr>
              <w:autoSpaceDE w:val="0"/>
              <w:autoSpaceDN w:val="0"/>
              <w:adjustRightInd w:val="0"/>
              <w:spacing w:after="0" w:line="240" w:lineRule="auto"/>
              <w:jc w:val="right"/>
              <w:rPr>
                <w:rFonts w:cs="Calibri"/>
                <w:b/>
                <w:bCs/>
                <w:noProof/>
                <w:color w:val="000000"/>
                <w:lang w:val="fr-BE" w:eastAsia="zh-CN"/>
              </w:rPr>
            </w:pPr>
            <w:r>
              <w:rPr>
                <w:rFonts w:cs="Calibri"/>
                <w:b/>
                <w:bCs/>
                <w:noProof/>
                <w:color w:val="000000"/>
                <w:lang w:val="fr-BE" w:eastAsia="zh-CN"/>
              </w:rPr>
              <w:t>-2.1%</w:t>
            </w:r>
          </w:p>
        </w:tc>
      </w:tr>
    </w:tbl>
    <w:p>
      <w:pPr>
        <w:rPr>
          <w:rFonts w:ascii="Times New Roman" w:hAnsi="Times New Roman"/>
          <w:i/>
          <w:noProof/>
          <w:sz w:val="24"/>
          <w:szCs w:val="24"/>
          <w:lang w:eastAsia="en-GB"/>
        </w:rPr>
      </w:pPr>
      <w:r>
        <w:rPr>
          <w:rFonts w:ascii="Times New Roman" w:hAnsi="Times New Roman"/>
          <w:i/>
          <w:noProof/>
          <w:sz w:val="24"/>
          <w:szCs w:val="24"/>
          <w:lang w:eastAsia="en-GB"/>
        </w:rPr>
        <w:t>Source: IFRS Foundation</w:t>
      </w:r>
    </w:p>
    <w:p>
      <w:pPr>
        <w:rPr>
          <w:rFonts w:ascii="Times New Roman" w:hAnsi="Times New Roman"/>
          <w:i/>
          <w:noProof/>
          <w:sz w:val="24"/>
          <w:szCs w:val="24"/>
          <w:lang w:eastAsia="en-GB"/>
        </w:rPr>
      </w:pPr>
    </w:p>
    <w:p>
      <w:pPr>
        <w:rPr>
          <w:rFonts w:ascii="Times New Roman" w:hAnsi="Times New Roman"/>
          <w:i/>
          <w:noProof/>
          <w:sz w:val="24"/>
          <w:szCs w:val="24"/>
          <w:lang w:eastAsia="en-GB"/>
        </w:rPr>
        <w:sectPr>
          <w:headerReference w:type="even" r:id="rId26"/>
          <w:headerReference w:type="default" r:id="rId27"/>
          <w:footerReference w:type="even" r:id="rId28"/>
          <w:footerReference w:type="default" r:id="rId29"/>
          <w:headerReference w:type="first" r:id="rId30"/>
          <w:footerReference w:type="first" r:id="rId31"/>
          <w:pgSz w:w="16838" w:h="11906" w:orient="landscape"/>
          <w:pgMar w:top="1418" w:right="1418" w:bottom="1418" w:left="1418" w:header="709" w:footer="709" w:gutter="0"/>
          <w:cols w:space="708"/>
          <w:docGrid w:linePitch="360"/>
        </w:sectPr>
      </w:pPr>
    </w:p>
    <w:p>
      <w:pPr>
        <w:autoSpaceDE w:val="0"/>
        <w:autoSpaceDN w:val="0"/>
        <w:adjustRightInd w:val="0"/>
        <w:spacing w:after="0"/>
        <w:jc w:val="both"/>
        <w:rPr>
          <w:rFonts w:ascii="Times New Roman" w:eastAsia="Times New Roman" w:hAnsi="Times New Roman"/>
          <w:b/>
          <w:bCs/>
          <w:noProof/>
          <w:sz w:val="24"/>
          <w:szCs w:val="20"/>
          <w:lang w:eastAsia="en-GB"/>
        </w:rPr>
      </w:pPr>
      <w:r>
        <w:rPr>
          <w:rFonts w:ascii="Times New Roman" w:eastAsia="Times New Roman" w:hAnsi="Times New Roman"/>
          <w:b/>
          <w:bCs/>
          <w:noProof/>
          <w:sz w:val="24"/>
          <w:szCs w:val="20"/>
          <w:lang w:eastAsia="en-GB"/>
        </w:rPr>
        <w:t>Appendix 3 – Breakdown of the 2018 funding of EFRAG</w:t>
      </w:r>
    </w:p>
    <w:p>
      <w:pPr>
        <w:autoSpaceDE w:val="0"/>
        <w:autoSpaceDN w:val="0"/>
        <w:adjustRightInd w:val="0"/>
        <w:spacing w:after="0"/>
        <w:jc w:val="both"/>
        <w:rPr>
          <w:rFonts w:ascii="Times New Roman" w:eastAsia="Times New Roman" w:hAnsi="Times New Roman"/>
          <w:b/>
          <w:bCs/>
          <w:noProof/>
          <w:sz w:val="24"/>
          <w:szCs w:val="20"/>
          <w:lang w:eastAsia="en-GB"/>
        </w:rPr>
      </w:pPr>
    </w:p>
    <w:p>
      <w:pPr>
        <w:autoSpaceDE w:val="0"/>
        <w:autoSpaceDN w:val="0"/>
        <w:adjustRightInd w:val="0"/>
        <w:spacing w:after="0"/>
        <w:jc w:val="both"/>
        <w:rPr>
          <w:noProof/>
          <w:sz w:val="20"/>
          <w:szCs w:val="20"/>
          <w:lang w:eastAsia="zh-CN"/>
        </w:rPr>
      </w:pPr>
      <w:r>
        <w:rPr>
          <w:rFonts w:ascii="Times New Roman" w:eastAsia="Times New Roman" w:hAnsi="Times New Roman"/>
          <w:b/>
          <w:bCs/>
          <w:noProof/>
          <w:sz w:val="24"/>
          <w:szCs w:val="20"/>
          <w:lang w:eastAsia="en-GB"/>
        </w:rPr>
        <w:fldChar w:fldCharType="begin"/>
      </w:r>
      <w:r>
        <w:rPr>
          <w:rFonts w:ascii="Times New Roman" w:eastAsia="Times New Roman" w:hAnsi="Times New Roman"/>
          <w:b/>
          <w:bCs/>
          <w:noProof/>
          <w:sz w:val="24"/>
          <w:szCs w:val="20"/>
          <w:lang w:eastAsia="en-GB"/>
        </w:rPr>
        <w:instrText xml:space="preserve"> LINK Excel.Sheet.12 "\\\\net1.cec.eu.int\\FISMA\\C\\C1\\1.Accounting organisations\\1.10 Funding IASCF, EFRAG, PIOB 2014-2020\\ANNUAL REPORT 2019\\Back-up Doc\\From EFRAG\\contribution EFRAG 2019.xlsx" Sheet1!R29C1:R54C4 \a \f 5 \h  \* MERGEFORMAT </w:instrText>
      </w:r>
      <w:r>
        <w:rPr>
          <w:rFonts w:ascii="Times New Roman" w:eastAsia="Times New Roman" w:hAnsi="Times New Roman"/>
          <w:b/>
          <w:bCs/>
          <w:noProof/>
          <w:sz w:val="24"/>
          <w:szCs w:val="20"/>
          <w:lang w:eastAsia="en-GB"/>
        </w:rPr>
        <w:fldChar w:fldCharType="separate"/>
      </w:r>
      <w:bookmarkStart w:id="3" w:name="_1625926236"/>
      <w:bookmarkStart w:id="4" w:name="_1624968705"/>
      <w:bookmarkStart w:id="5" w:name="_1624968813"/>
      <w:bookmarkStart w:id="6" w:name="_1624969402"/>
      <w:bookmarkStart w:id="7" w:name="_1624969190"/>
      <w:bookmarkStart w:id="8" w:name="_1624968765"/>
      <w:bookmarkStart w:id="9" w:name="_1624880877"/>
      <w:bookmarkStart w:id="10" w:name="_1624881485"/>
      <w:bookmarkStart w:id="11" w:name="_1624881438"/>
      <w:bookmarkStart w:id="12" w:name="_1624866628"/>
      <w:bookmarkStart w:id="13" w:name="_1624869072"/>
      <w:bookmarkStart w:id="14" w:name="_1624870133"/>
      <w:bookmarkStart w:id="15" w:name="_1624872046"/>
      <w:bookmarkStart w:id="16" w:name="_1624872782"/>
      <w:bookmarkStart w:id="17" w:name="_1624873788"/>
      <w:bookmarkStart w:id="18" w:name="_1624872887"/>
      <w:bookmarkStart w:id="19" w:name="_1624872109"/>
      <w:bookmarkStart w:id="20" w:name="_1624870220"/>
      <w:bookmarkStart w:id="21" w:name="_1624869202"/>
      <w:bookmarkStart w:id="22" w:name="_1624867568"/>
      <w:bookmarkStart w:id="23" w:name="_1624797541"/>
      <w:bookmarkStart w:id="24" w:name="_1624801927"/>
      <w:bookmarkStart w:id="25" w:name="_1624798643"/>
      <w:bookmarkStart w:id="26" w:name="_1624882899"/>
      <w:bookmarkStart w:id="27" w:name="_1624883979"/>
      <w:bookmarkStart w:id="28" w:name="_1625400216"/>
      <w:bookmarkStart w:id="29" w:name="_1625405622"/>
      <w:bookmarkStart w:id="30" w:name="_1625399554"/>
      <w:bookmarkStart w:id="31" w:name="_1625492588"/>
      <w:bookmarkStart w:id="32" w:name="_1625494342"/>
      <w:bookmarkStart w:id="33" w:name="_1625494679"/>
      <w:bookmarkStart w:id="34" w:name="_1625494216"/>
      <w:bookmarkStart w:id="35" w:name="_1625492562"/>
      <w:bookmarkStart w:id="36" w:name="_162548880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bl>
      <w:tblPr>
        <w:tblStyle w:val="TableGrid"/>
        <w:tblW w:w="8472" w:type="dxa"/>
        <w:tblLook w:val="04A0" w:firstRow="1" w:lastRow="0" w:firstColumn="1" w:lastColumn="0" w:noHBand="0" w:noVBand="1"/>
      </w:tblPr>
      <w:tblGrid>
        <w:gridCol w:w="5495"/>
        <w:gridCol w:w="992"/>
        <w:gridCol w:w="992"/>
        <w:gridCol w:w="993"/>
      </w:tblGrid>
      <w:tr>
        <w:trPr>
          <w:divId w:val="1892500535"/>
          <w:trHeight w:val="300"/>
        </w:trPr>
        <w:tc>
          <w:tcPr>
            <w:tcW w:w="5495" w:type="dxa"/>
            <w:tcBorders>
              <w:top w:val="single" w:sz="4" w:space="0" w:color="auto"/>
              <w:left w:val="single" w:sz="4" w:space="0" w:color="auto"/>
              <w:bottom w:val="single" w:sz="4" w:space="0" w:color="auto"/>
              <w:right w:val="nil"/>
            </w:tcBorders>
            <w:shd w:val="clear" w:color="auto" w:fill="1F497D" w:themeFill="text2"/>
            <w:noWrap/>
            <w:hideMark/>
          </w:tcPr>
          <w:p>
            <w:pPr>
              <w:jc w:val="center"/>
              <w:rPr>
                <w:rFonts w:ascii="Times New Roman" w:hAnsi="Times New Roman"/>
                <w:b/>
                <w:noProof/>
                <w:sz w:val="24"/>
                <w:szCs w:val="24"/>
                <w:highlight w:val="darkBlue"/>
              </w:rPr>
            </w:pPr>
            <w:r>
              <w:rPr>
                <w:rFonts w:ascii="Times New Roman" w:hAnsi="Times New Roman"/>
                <w:b/>
                <w:noProof/>
                <w:color w:val="FFFFFF" w:themeColor="background1"/>
                <w:sz w:val="24"/>
                <w:szCs w:val="24"/>
              </w:rPr>
              <w:t>CONTRIBUTIONS                  000 EUR</w:t>
            </w:r>
          </w:p>
        </w:tc>
        <w:tc>
          <w:tcPr>
            <w:tcW w:w="992" w:type="dxa"/>
            <w:tcBorders>
              <w:top w:val="single" w:sz="4" w:space="0" w:color="auto"/>
              <w:left w:val="nil"/>
              <w:bottom w:val="single" w:sz="4" w:space="0" w:color="auto"/>
              <w:right w:val="nil"/>
            </w:tcBorders>
            <w:shd w:val="clear" w:color="auto" w:fill="1F497D" w:themeFill="text2"/>
            <w:noWrap/>
            <w:hideMark/>
          </w:tcPr>
          <w:p>
            <w:pPr>
              <w:jc w:val="center"/>
              <w:rPr>
                <w:rFonts w:ascii="Times New Roman" w:hAnsi="Times New Roman"/>
                <w:b/>
                <w:noProof/>
                <w:sz w:val="24"/>
                <w:szCs w:val="24"/>
              </w:rPr>
            </w:pPr>
            <w:r>
              <w:rPr>
                <w:rFonts w:ascii="Times New Roman" w:hAnsi="Times New Roman"/>
                <w:b/>
                <w:noProof/>
                <w:sz w:val="24"/>
                <w:szCs w:val="24"/>
              </w:rPr>
              <w:t> </w:t>
            </w:r>
          </w:p>
        </w:tc>
        <w:tc>
          <w:tcPr>
            <w:tcW w:w="992" w:type="dxa"/>
            <w:tcBorders>
              <w:top w:val="single" w:sz="4" w:space="0" w:color="auto"/>
              <w:left w:val="nil"/>
              <w:bottom w:val="single" w:sz="4" w:space="0" w:color="auto"/>
              <w:right w:val="nil"/>
            </w:tcBorders>
            <w:shd w:val="clear" w:color="auto" w:fill="1F497D" w:themeFill="text2"/>
            <w:noWrap/>
            <w:hideMark/>
          </w:tcPr>
          <w:p>
            <w:pPr>
              <w:jc w:val="center"/>
              <w:rPr>
                <w:rFonts w:ascii="Times New Roman" w:hAnsi="Times New Roman"/>
                <w:b/>
                <w:noProof/>
                <w:sz w:val="24"/>
                <w:szCs w:val="24"/>
              </w:rPr>
            </w:pPr>
            <w:r>
              <w:rPr>
                <w:rFonts w:ascii="Times New Roman" w:hAnsi="Times New Roman"/>
                <w:b/>
                <w:noProof/>
                <w:sz w:val="24"/>
                <w:szCs w:val="24"/>
              </w:rPr>
              <w:t> </w:t>
            </w:r>
          </w:p>
        </w:tc>
        <w:tc>
          <w:tcPr>
            <w:tcW w:w="993" w:type="dxa"/>
            <w:tcBorders>
              <w:top w:val="single" w:sz="4" w:space="0" w:color="auto"/>
              <w:left w:val="nil"/>
              <w:bottom w:val="single" w:sz="4" w:space="0" w:color="auto"/>
              <w:right w:val="single" w:sz="4" w:space="0" w:color="auto"/>
            </w:tcBorders>
            <w:shd w:val="clear" w:color="auto" w:fill="1F497D" w:themeFill="text2"/>
            <w:noWrap/>
            <w:hideMark/>
          </w:tcPr>
          <w:p>
            <w:pPr>
              <w:jc w:val="center"/>
              <w:rPr>
                <w:rFonts w:ascii="Times New Roman" w:hAnsi="Times New Roman"/>
                <w:b/>
                <w:noProof/>
                <w:sz w:val="24"/>
                <w:szCs w:val="24"/>
              </w:rPr>
            </w:pPr>
            <w:r>
              <w:rPr>
                <w:rFonts w:ascii="Times New Roman" w:hAnsi="Times New Roman"/>
                <w:b/>
                <w:noProof/>
                <w:sz w:val="24"/>
                <w:szCs w:val="24"/>
              </w:rPr>
              <w:t> </w:t>
            </w:r>
          </w:p>
        </w:tc>
      </w:tr>
      <w:tr>
        <w:trPr>
          <w:divId w:val="1892500535"/>
          <w:trHeight w:val="300"/>
        </w:trPr>
        <w:tc>
          <w:tcPr>
            <w:tcW w:w="5495" w:type="dxa"/>
            <w:tcBorders>
              <w:top w:val="single" w:sz="4" w:space="0" w:color="auto"/>
            </w:tcBorders>
            <w:noWrap/>
            <w:hideMark/>
          </w:tcPr>
          <w:p>
            <w:pPr>
              <w:autoSpaceDE w:val="0"/>
              <w:autoSpaceDN w:val="0"/>
              <w:adjustRightInd w:val="0"/>
              <w:spacing w:after="0"/>
              <w:jc w:val="both"/>
              <w:rPr>
                <w:rFonts w:ascii="Times New Roman" w:eastAsia="Times New Roman" w:hAnsi="Times New Roman"/>
                <w:b/>
                <w:bCs/>
                <w:noProof/>
                <w:sz w:val="24"/>
                <w:szCs w:val="20"/>
                <w:lang w:eastAsia="en-GB"/>
              </w:rPr>
            </w:pPr>
            <w:r>
              <w:rPr>
                <w:rFonts w:ascii="Times New Roman" w:eastAsia="Times New Roman" w:hAnsi="Times New Roman"/>
                <w:b/>
                <w:bCs/>
                <w:noProof/>
                <w:sz w:val="24"/>
                <w:szCs w:val="20"/>
                <w:lang w:val="en-US" w:eastAsia="en-GB"/>
              </w:rPr>
              <w:t> </w:t>
            </w:r>
          </w:p>
        </w:tc>
        <w:tc>
          <w:tcPr>
            <w:tcW w:w="992" w:type="dxa"/>
            <w:tcBorders>
              <w:top w:val="single" w:sz="4" w:space="0" w:color="auto"/>
            </w:tcBorders>
            <w:noWrap/>
            <w:hideMark/>
          </w:tcPr>
          <w:p>
            <w:pPr>
              <w:autoSpaceDE w:val="0"/>
              <w:autoSpaceDN w:val="0"/>
              <w:adjustRightInd w:val="0"/>
              <w:spacing w:after="0"/>
              <w:jc w:val="both"/>
              <w:rPr>
                <w:rFonts w:ascii="Times New Roman" w:eastAsia="Times New Roman" w:hAnsi="Times New Roman"/>
                <w:b/>
                <w:bCs/>
                <w:noProof/>
                <w:sz w:val="24"/>
                <w:szCs w:val="20"/>
                <w:lang w:eastAsia="en-GB"/>
              </w:rPr>
            </w:pPr>
            <w:r>
              <w:rPr>
                <w:rFonts w:ascii="Times New Roman" w:eastAsia="Times New Roman" w:hAnsi="Times New Roman"/>
                <w:b/>
                <w:bCs/>
                <w:noProof/>
                <w:sz w:val="24"/>
                <w:szCs w:val="20"/>
                <w:lang w:eastAsia="en-GB"/>
              </w:rPr>
              <w:t> </w:t>
            </w:r>
          </w:p>
        </w:tc>
        <w:tc>
          <w:tcPr>
            <w:tcW w:w="992" w:type="dxa"/>
            <w:tcBorders>
              <w:top w:val="single" w:sz="4" w:space="0" w:color="auto"/>
            </w:tcBorders>
            <w:noWrap/>
            <w:hideMark/>
          </w:tcPr>
          <w:p>
            <w:pPr>
              <w:autoSpaceDE w:val="0"/>
              <w:autoSpaceDN w:val="0"/>
              <w:adjustRightInd w:val="0"/>
              <w:spacing w:after="0"/>
              <w:jc w:val="both"/>
              <w:rPr>
                <w:rFonts w:ascii="Times New Roman" w:eastAsia="Times New Roman" w:hAnsi="Times New Roman"/>
                <w:b/>
                <w:bCs/>
                <w:noProof/>
                <w:sz w:val="24"/>
                <w:szCs w:val="20"/>
                <w:lang w:eastAsia="en-GB"/>
              </w:rPr>
            </w:pPr>
            <w:r>
              <w:rPr>
                <w:rFonts w:ascii="Times New Roman" w:eastAsia="Times New Roman" w:hAnsi="Times New Roman"/>
                <w:b/>
                <w:bCs/>
                <w:noProof/>
                <w:sz w:val="24"/>
                <w:szCs w:val="20"/>
                <w:lang w:eastAsia="en-GB"/>
              </w:rPr>
              <w:t> </w:t>
            </w:r>
          </w:p>
        </w:tc>
        <w:tc>
          <w:tcPr>
            <w:tcW w:w="993" w:type="dxa"/>
            <w:tcBorders>
              <w:top w:val="single" w:sz="4" w:space="0" w:color="auto"/>
            </w:tcBorders>
            <w:noWrap/>
            <w:hideMark/>
          </w:tcPr>
          <w:p>
            <w:pPr>
              <w:autoSpaceDE w:val="0"/>
              <w:autoSpaceDN w:val="0"/>
              <w:adjustRightInd w:val="0"/>
              <w:spacing w:after="0"/>
              <w:jc w:val="both"/>
              <w:rPr>
                <w:rFonts w:ascii="Times New Roman" w:eastAsia="Times New Roman" w:hAnsi="Times New Roman"/>
                <w:b/>
                <w:bCs/>
                <w:noProof/>
                <w:sz w:val="24"/>
                <w:szCs w:val="20"/>
                <w:lang w:eastAsia="en-GB"/>
              </w:rPr>
            </w:pPr>
            <w:r>
              <w:rPr>
                <w:rFonts w:ascii="Times New Roman" w:eastAsia="Times New Roman" w:hAnsi="Times New Roman"/>
                <w:b/>
                <w:bCs/>
                <w:noProof/>
                <w:sz w:val="24"/>
                <w:szCs w:val="20"/>
                <w:lang w:val="en-US" w:eastAsia="en-GB"/>
              </w:rPr>
              <w:t> </w:t>
            </w:r>
          </w:p>
        </w:tc>
      </w:tr>
      <w:tr>
        <w:trPr>
          <w:divId w:val="1892500535"/>
          <w:trHeight w:val="300"/>
        </w:trPr>
        <w:tc>
          <w:tcPr>
            <w:tcW w:w="5495" w:type="dxa"/>
            <w:noWrap/>
            <w:hideMark/>
          </w:tcPr>
          <w:p>
            <w:pPr>
              <w:autoSpaceDE w:val="0"/>
              <w:autoSpaceDN w:val="0"/>
              <w:adjustRightInd w:val="0"/>
              <w:spacing w:after="0"/>
              <w:jc w:val="both"/>
              <w:rPr>
                <w:rFonts w:ascii="Times New Roman" w:eastAsia="Times New Roman" w:hAnsi="Times New Roman"/>
                <w:b/>
                <w:bCs/>
                <w:noProof/>
                <w:sz w:val="24"/>
                <w:szCs w:val="20"/>
                <w:lang w:eastAsia="en-GB"/>
              </w:rPr>
            </w:pPr>
            <w:r>
              <w:rPr>
                <w:rFonts w:ascii="Times New Roman" w:eastAsia="Times New Roman" w:hAnsi="Times New Roman"/>
                <w:b/>
                <w:bCs/>
                <w:noProof/>
                <w:sz w:val="24"/>
                <w:szCs w:val="20"/>
                <w:lang w:val="en-US" w:eastAsia="en-GB"/>
              </w:rPr>
              <w:t> </w:t>
            </w:r>
          </w:p>
        </w:tc>
        <w:tc>
          <w:tcPr>
            <w:tcW w:w="992" w:type="dxa"/>
            <w:noWrap/>
            <w:hideMark/>
          </w:tcPr>
          <w:p>
            <w:pPr>
              <w:autoSpaceDE w:val="0"/>
              <w:autoSpaceDN w:val="0"/>
              <w:adjustRightInd w:val="0"/>
              <w:spacing w:after="0"/>
              <w:jc w:val="center"/>
              <w:rPr>
                <w:rFonts w:ascii="Times New Roman" w:eastAsia="Times New Roman" w:hAnsi="Times New Roman"/>
                <w:b/>
                <w:bCs/>
                <w:noProof/>
                <w:sz w:val="24"/>
                <w:szCs w:val="20"/>
                <w:lang w:eastAsia="en-GB"/>
              </w:rPr>
            </w:pPr>
            <w:r>
              <w:rPr>
                <w:rFonts w:ascii="Times New Roman" w:eastAsia="Times New Roman" w:hAnsi="Times New Roman"/>
                <w:b/>
                <w:bCs/>
                <w:noProof/>
                <w:sz w:val="24"/>
                <w:szCs w:val="20"/>
                <w:lang w:eastAsia="en-GB"/>
              </w:rPr>
              <w:t>2018</w:t>
            </w:r>
          </w:p>
        </w:tc>
        <w:tc>
          <w:tcPr>
            <w:tcW w:w="992" w:type="dxa"/>
            <w:noWrap/>
            <w:hideMark/>
          </w:tcPr>
          <w:p>
            <w:pPr>
              <w:autoSpaceDE w:val="0"/>
              <w:autoSpaceDN w:val="0"/>
              <w:adjustRightInd w:val="0"/>
              <w:spacing w:after="0"/>
              <w:jc w:val="center"/>
              <w:rPr>
                <w:rFonts w:ascii="Times New Roman" w:eastAsia="Times New Roman" w:hAnsi="Times New Roman"/>
                <w:b/>
                <w:bCs/>
                <w:noProof/>
                <w:sz w:val="24"/>
                <w:szCs w:val="20"/>
                <w:lang w:eastAsia="en-GB"/>
              </w:rPr>
            </w:pPr>
            <w:r>
              <w:rPr>
                <w:rFonts w:ascii="Times New Roman" w:eastAsia="Times New Roman" w:hAnsi="Times New Roman"/>
                <w:b/>
                <w:bCs/>
                <w:noProof/>
                <w:sz w:val="24"/>
                <w:szCs w:val="20"/>
                <w:lang w:val="en-US" w:eastAsia="en-GB"/>
              </w:rPr>
              <w:t>2017</w:t>
            </w:r>
          </w:p>
        </w:tc>
        <w:tc>
          <w:tcPr>
            <w:tcW w:w="993" w:type="dxa"/>
            <w:noWrap/>
            <w:hideMark/>
          </w:tcPr>
          <w:p>
            <w:pPr>
              <w:autoSpaceDE w:val="0"/>
              <w:autoSpaceDN w:val="0"/>
              <w:adjustRightInd w:val="0"/>
              <w:spacing w:after="0"/>
              <w:jc w:val="center"/>
              <w:rPr>
                <w:rFonts w:ascii="Times New Roman" w:eastAsia="Times New Roman" w:hAnsi="Times New Roman"/>
                <w:b/>
                <w:bCs/>
                <w:noProof/>
                <w:sz w:val="24"/>
                <w:szCs w:val="20"/>
                <w:lang w:eastAsia="en-GB"/>
              </w:rPr>
            </w:pPr>
            <w:r>
              <w:rPr>
                <w:rFonts w:ascii="Times New Roman" w:eastAsia="Times New Roman" w:hAnsi="Times New Roman"/>
                <w:b/>
                <w:bCs/>
                <w:noProof/>
                <w:sz w:val="24"/>
                <w:szCs w:val="20"/>
                <w:lang w:val="en-US" w:eastAsia="en-GB"/>
              </w:rPr>
              <w:t>2016</w:t>
            </w:r>
          </w:p>
        </w:tc>
      </w:tr>
      <w:tr>
        <w:trPr>
          <w:divId w:val="1892500535"/>
          <w:trHeight w:val="300"/>
        </w:trPr>
        <w:tc>
          <w:tcPr>
            <w:tcW w:w="5495" w:type="dxa"/>
            <w:noWrap/>
            <w:hideMark/>
          </w:tcPr>
          <w:p>
            <w:pPr>
              <w:autoSpaceDE w:val="0"/>
              <w:autoSpaceDN w:val="0"/>
              <w:adjustRightInd w:val="0"/>
              <w:spacing w:after="0"/>
              <w:jc w:val="both"/>
              <w:rPr>
                <w:rFonts w:ascii="Times New Roman" w:eastAsia="Times New Roman" w:hAnsi="Times New Roman"/>
                <w:b/>
                <w:bCs/>
                <w:noProof/>
                <w:sz w:val="24"/>
                <w:szCs w:val="20"/>
                <w:lang w:eastAsia="en-GB"/>
              </w:rPr>
            </w:pPr>
            <w:r>
              <w:rPr>
                <w:rFonts w:ascii="Times New Roman" w:eastAsia="Times New Roman" w:hAnsi="Times New Roman"/>
                <w:b/>
                <w:bCs/>
                <w:noProof/>
                <w:sz w:val="24"/>
                <w:szCs w:val="20"/>
                <w:lang w:val="en-US" w:eastAsia="en-GB"/>
              </w:rPr>
              <w:t>European Stakeholder Organisations</w:t>
            </w:r>
          </w:p>
        </w:tc>
        <w:tc>
          <w:tcPr>
            <w:tcW w:w="992" w:type="dxa"/>
            <w:noWrap/>
            <w:hideMark/>
          </w:tcPr>
          <w:p>
            <w:pPr>
              <w:autoSpaceDE w:val="0"/>
              <w:autoSpaceDN w:val="0"/>
              <w:adjustRightInd w:val="0"/>
              <w:spacing w:after="0"/>
              <w:jc w:val="center"/>
              <w:rPr>
                <w:noProof/>
                <w:sz w:val="20"/>
                <w:szCs w:val="20"/>
                <w:lang w:eastAsia="zh-CN"/>
              </w:rPr>
            </w:pPr>
            <w:r>
              <w:rPr>
                <w:rFonts w:ascii="Times New Roman" w:eastAsia="Times New Roman" w:hAnsi="Times New Roman"/>
                <w:b/>
                <w:bCs/>
                <w:noProof/>
                <w:sz w:val="24"/>
                <w:szCs w:val="20"/>
                <w:lang w:eastAsia="en-GB"/>
              </w:rPr>
              <w:t> </w:t>
            </w:r>
          </w:p>
        </w:tc>
        <w:tc>
          <w:tcPr>
            <w:tcW w:w="992" w:type="dxa"/>
            <w:noWrap/>
            <w:hideMark/>
          </w:tcPr>
          <w:p>
            <w:pPr>
              <w:autoSpaceDE w:val="0"/>
              <w:autoSpaceDN w:val="0"/>
              <w:adjustRightInd w:val="0"/>
              <w:spacing w:after="0"/>
              <w:jc w:val="center"/>
              <w:rPr>
                <w:noProof/>
                <w:sz w:val="20"/>
                <w:szCs w:val="20"/>
                <w:lang w:eastAsia="zh-CN"/>
              </w:rPr>
            </w:pPr>
            <w:r>
              <w:rPr>
                <w:rFonts w:ascii="Times New Roman" w:eastAsia="Times New Roman" w:hAnsi="Times New Roman"/>
                <w:b/>
                <w:bCs/>
                <w:noProof/>
                <w:sz w:val="24"/>
                <w:szCs w:val="20"/>
                <w:lang w:eastAsia="en-GB"/>
              </w:rPr>
              <w:t> </w:t>
            </w:r>
          </w:p>
        </w:tc>
        <w:tc>
          <w:tcPr>
            <w:tcW w:w="993" w:type="dxa"/>
            <w:noWrap/>
            <w:hideMark/>
          </w:tcPr>
          <w:p>
            <w:pPr>
              <w:autoSpaceDE w:val="0"/>
              <w:autoSpaceDN w:val="0"/>
              <w:adjustRightInd w:val="0"/>
              <w:spacing w:after="0"/>
              <w:jc w:val="center"/>
              <w:rPr>
                <w:noProof/>
                <w:sz w:val="20"/>
                <w:szCs w:val="20"/>
                <w:lang w:eastAsia="zh-CN"/>
              </w:rPr>
            </w:pPr>
            <w:r>
              <w:rPr>
                <w:rFonts w:ascii="Times New Roman" w:eastAsia="Times New Roman" w:hAnsi="Times New Roman"/>
                <w:b/>
                <w:bCs/>
                <w:noProof/>
                <w:sz w:val="24"/>
                <w:szCs w:val="20"/>
                <w:lang w:eastAsia="en-GB"/>
              </w:rPr>
              <w:t> </w:t>
            </w:r>
          </w:p>
        </w:tc>
      </w:tr>
      <w:tr>
        <w:trPr>
          <w:divId w:val="1892500535"/>
          <w:trHeight w:val="300"/>
        </w:trPr>
        <w:tc>
          <w:tcPr>
            <w:tcW w:w="5495" w:type="dxa"/>
            <w:noWrap/>
            <w:hideMark/>
          </w:tcPr>
          <w:p>
            <w:pPr>
              <w:autoSpaceDE w:val="0"/>
              <w:autoSpaceDN w:val="0"/>
              <w:adjustRightInd w:val="0"/>
              <w:spacing w:after="0"/>
              <w:jc w:val="both"/>
              <w:rPr>
                <w:rFonts w:ascii="Times New Roman" w:eastAsia="Times New Roman" w:hAnsi="Times New Roman"/>
                <w:bCs/>
                <w:noProof/>
                <w:sz w:val="24"/>
                <w:szCs w:val="20"/>
                <w:lang w:eastAsia="en-GB"/>
              </w:rPr>
            </w:pPr>
            <w:r>
              <w:rPr>
                <w:rFonts w:ascii="Times New Roman" w:eastAsia="Times New Roman" w:hAnsi="Times New Roman"/>
                <w:bCs/>
                <w:noProof/>
                <w:sz w:val="24"/>
                <w:szCs w:val="20"/>
                <w:lang w:val="en-US" w:eastAsia="en-GB"/>
              </w:rPr>
              <w:t>Accountancy Europe</w:t>
            </w:r>
          </w:p>
        </w:tc>
        <w:tc>
          <w:tcPr>
            <w:tcW w:w="992" w:type="dxa"/>
            <w:noWrap/>
            <w:hideMark/>
          </w:tcPr>
          <w:p>
            <w:pPr>
              <w:autoSpaceDE w:val="0"/>
              <w:autoSpaceDN w:val="0"/>
              <w:adjustRightInd w:val="0"/>
              <w:spacing w:after="0"/>
              <w:jc w:val="center"/>
              <w:rPr>
                <w:rFonts w:ascii="Times New Roman" w:eastAsia="Times New Roman" w:hAnsi="Times New Roman"/>
                <w:bCs/>
                <w:noProof/>
                <w:sz w:val="24"/>
                <w:szCs w:val="20"/>
                <w:lang w:eastAsia="en-GB"/>
              </w:rPr>
            </w:pPr>
            <w:r>
              <w:rPr>
                <w:rFonts w:ascii="Times New Roman" w:eastAsia="Times New Roman" w:hAnsi="Times New Roman"/>
                <w:bCs/>
                <w:noProof/>
                <w:sz w:val="24"/>
                <w:szCs w:val="20"/>
                <w:lang w:val="en-US" w:eastAsia="en-GB"/>
              </w:rPr>
              <w:t>300</w:t>
            </w:r>
          </w:p>
        </w:tc>
        <w:tc>
          <w:tcPr>
            <w:tcW w:w="992" w:type="dxa"/>
            <w:noWrap/>
            <w:hideMark/>
          </w:tcPr>
          <w:p>
            <w:pPr>
              <w:autoSpaceDE w:val="0"/>
              <w:autoSpaceDN w:val="0"/>
              <w:adjustRightInd w:val="0"/>
              <w:spacing w:after="0"/>
              <w:jc w:val="center"/>
              <w:rPr>
                <w:rFonts w:ascii="Times New Roman" w:eastAsia="Times New Roman" w:hAnsi="Times New Roman"/>
                <w:bCs/>
                <w:noProof/>
                <w:sz w:val="24"/>
                <w:szCs w:val="20"/>
                <w:lang w:eastAsia="en-GB"/>
              </w:rPr>
            </w:pPr>
            <w:r>
              <w:rPr>
                <w:rFonts w:ascii="Times New Roman" w:eastAsia="Times New Roman" w:hAnsi="Times New Roman"/>
                <w:bCs/>
                <w:noProof/>
                <w:sz w:val="24"/>
                <w:szCs w:val="20"/>
                <w:lang w:val="en-US" w:eastAsia="en-GB"/>
              </w:rPr>
              <w:t>300</w:t>
            </w:r>
          </w:p>
        </w:tc>
        <w:tc>
          <w:tcPr>
            <w:tcW w:w="993" w:type="dxa"/>
            <w:noWrap/>
            <w:hideMark/>
          </w:tcPr>
          <w:p>
            <w:pPr>
              <w:autoSpaceDE w:val="0"/>
              <w:autoSpaceDN w:val="0"/>
              <w:adjustRightInd w:val="0"/>
              <w:spacing w:after="0"/>
              <w:jc w:val="center"/>
              <w:rPr>
                <w:rFonts w:ascii="Times New Roman" w:eastAsia="Times New Roman" w:hAnsi="Times New Roman"/>
                <w:bCs/>
                <w:noProof/>
                <w:sz w:val="24"/>
                <w:szCs w:val="20"/>
                <w:lang w:eastAsia="en-GB"/>
              </w:rPr>
            </w:pPr>
            <w:r>
              <w:rPr>
                <w:rFonts w:ascii="Times New Roman" w:eastAsia="Times New Roman" w:hAnsi="Times New Roman"/>
                <w:bCs/>
                <w:noProof/>
                <w:sz w:val="24"/>
                <w:szCs w:val="20"/>
                <w:lang w:val="en-US" w:eastAsia="en-GB"/>
              </w:rPr>
              <w:t>300</w:t>
            </w:r>
          </w:p>
        </w:tc>
      </w:tr>
      <w:tr>
        <w:trPr>
          <w:divId w:val="1892500535"/>
          <w:trHeight w:val="300"/>
        </w:trPr>
        <w:tc>
          <w:tcPr>
            <w:tcW w:w="5495" w:type="dxa"/>
            <w:noWrap/>
            <w:hideMark/>
          </w:tcPr>
          <w:p>
            <w:pPr>
              <w:autoSpaceDE w:val="0"/>
              <w:autoSpaceDN w:val="0"/>
              <w:adjustRightInd w:val="0"/>
              <w:spacing w:after="0"/>
              <w:jc w:val="both"/>
              <w:rPr>
                <w:rFonts w:ascii="Times New Roman" w:eastAsia="Times New Roman" w:hAnsi="Times New Roman"/>
                <w:bCs/>
                <w:noProof/>
                <w:sz w:val="24"/>
                <w:szCs w:val="20"/>
                <w:lang w:eastAsia="en-GB"/>
              </w:rPr>
            </w:pPr>
            <w:r>
              <w:rPr>
                <w:rFonts w:ascii="Times New Roman" w:eastAsia="Times New Roman" w:hAnsi="Times New Roman"/>
                <w:bCs/>
                <w:noProof/>
                <w:sz w:val="24"/>
                <w:szCs w:val="20"/>
                <w:lang w:val="en-US" w:eastAsia="en-GB"/>
              </w:rPr>
              <w:t>BUSINESSEUROPE</w:t>
            </w:r>
          </w:p>
        </w:tc>
        <w:tc>
          <w:tcPr>
            <w:tcW w:w="992" w:type="dxa"/>
            <w:noWrap/>
            <w:hideMark/>
          </w:tcPr>
          <w:p>
            <w:pPr>
              <w:autoSpaceDE w:val="0"/>
              <w:autoSpaceDN w:val="0"/>
              <w:adjustRightInd w:val="0"/>
              <w:spacing w:after="0"/>
              <w:jc w:val="center"/>
              <w:rPr>
                <w:rFonts w:ascii="Times New Roman" w:eastAsia="Times New Roman" w:hAnsi="Times New Roman"/>
                <w:bCs/>
                <w:noProof/>
                <w:sz w:val="24"/>
                <w:szCs w:val="20"/>
                <w:lang w:eastAsia="en-GB"/>
              </w:rPr>
            </w:pPr>
            <w:r>
              <w:rPr>
                <w:rFonts w:ascii="Times New Roman" w:eastAsia="Times New Roman" w:hAnsi="Times New Roman"/>
                <w:bCs/>
                <w:noProof/>
                <w:sz w:val="24"/>
                <w:szCs w:val="20"/>
                <w:lang w:val="en-US" w:eastAsia="en-GB"/>
              </w:rPr>
              <w:t>125</w:t>
            </w:r>
          </w:p>
        </w:tc>
        <w:tc>
          <w:tcPr>
            <w:tcW w:w="992" w:type="dxa"/>
            <w:noWrap/>
            <w:hideMark/>
          </w:tcPr>
          <w:p>
            <w:pPr>
              <w:autoSpaceDE w:val="0"/>
              <w:autoSpaceDN w:val="0"/>
              <w:adjustRightInd w:val="0"/>
              <w:spacing w:after="0"/>
              <w:jc w:val="center"/>
              <w:rPr>
                <w:rFonts w:ascii="Times New Roman" w:eastAsia="Times New Roman" w:hAnsi="Times New Roman"/>
                <w:bCs/>
                <w:noProof/>
                <w:sz w:val="24"/>
                <w:szCs w:val="20"/>
                <w:lang w:eastAsia="en-GB"/>
              </w:rPr>
            </w:pPr>
            <w:r>
              <w:rPr>
                <w:rFonts w:ascii="Times New Roman" w:eastAsia="Times New Roman" w:hAnsi="Times New Roman"/>
                <w:bCs/>
                <w:noProof/>
                <w:sz w:val="24"/>
                <w:szCs w:val="20"/>
                <w:lang w:val="en-US" w:eastAsia="en-GB"/>
              </w:rPr>
              <w:t>125</w:t>
            </w:r>
          </w:p>
        </w:tc>
        <w:tc>
          <w:tcPr>
            <w:tcW w:w="993" w:type="dxa"/>
            <w:noWrap/>
            <w:hideMark/>
          </w:tcPr>
          <w:p>
            <w:pPr>
              <w:autoSpaceDE w:val="0"/>
              <w:autoSpaceDN w:val="0"/>
              <w:adjustRightInd w:val="0"/>
              <w:spacing w:after="0"/>
              <w:jc w:val="center"/>
              <w:rPr>
                <w:rFonts w:ascii="Times New Roman" w:eastAsia="Times New Roman" w:hAnsi="Times New Roman"/>
                <w:bCs/>
                <w:noProof/>
                <w:sz w:val="24"/>
                <w:szCs w:val="20"/>
                <w:lang w:eastAsia="en-GB"/>
              </w:rPr>
            </w:pPr>
            <w:r>
              <w:rPr>
                <w:rFonts w:ascii="Times New Roman" w:eastAsia="Times New Roman" w:hAnsi="Times New Roman"/>
                <w:bCs/>
                <w:noProof/>
                <w:sz w:val="24"/>
                <w:szCs w:val="20"/>
                <w:lang w:val="en-US" w:eastAsia="en-GB"/>
              </w:rPr>
              <w:t>125</w:t>
            </w:r>
          </w:p>
        </w:tc>
      </w:tr>
      <w:tr>
        <w:trPr>
          <w:divId w:val="1892500535"/>
          <w:trHeight w:val="300"/>
        </w:trPr>
        <w:tc>
          <w:tcPr>
            <w:tcW w:w="5495" w:type="dxa"/>
            <w:noWrap/>
            <w:hideMark/>
          </w:tcPr>
          <w:p>
            <w:pPr>
              <w:autoSpaceDE w:val="0"/>
              <w:autoSpaceDN w:val="0"/>
              <w:adjustRightInd w:val="0"/>
              <w:spacing w:after="0"/>
              <w:jc w:val="both"/>
              <w:rPr>
                <w:rFonts w:ascii="Times New Roman" w:eastAsia="Times New Roman" w:hAnsi="Times New Roman"/>
                <w:bCs/>
                <w:noProof/>
                <w:sz w:val="24"/>
                <w:szCs w:val="20"/>
                <w:lang w:eastAsia="en-GB"/>
              </w:rPr>
            </w:pPr>
            <w:r>
              <w:rPr>
                <w:rFonts w:ascii="Times New Roman" w:eastAsia="Times New Roman" w:hAnsi="Times New Roman"/>
                <w:bCs/>
                <w:noProof/>
                <w:sz w:val="24"/>
                <w:szCs w:val="20"/>
                <w:lang w:val="en-US" w:eastAsia="en-GB"/>
              </w:rPr>
              <w:t>INSURANCE EUROPE</w:t>
            </w:r>
          </w:p>
        </w:tc>
        <w:tc>
          <w:tcPr>
            <w:tcW w:w="992" w:type="dxa"/>
            <w:noWrap/>
            <w:hideMark/>
          </w:tcPr>
          <w:p>
            <w:pPr>
              <w:autoSpaceDE w:val="0"/>
              <w:autoSpaceDN w:val="0"/>
              <w:adjustRightInd w:val="0"/>
              <w:spacing w:after="0"/>
              <w:jc w:val="center"/>
              <w:rPr>
                <w:rFonts w:ascii="Times New Roman" w:eastAsia="Times New Roman" w:hAnsi="Times New Roman"/>
                <w:bCs/>
                <w:noProof/>
                <w:sz w:val="24"/>
                <w:szCs w:val="20"/>
                <w:lang w:eastAsia="en-GB"/>
              </w:rPr>
            </w:pPr>
            <w:r>
              <w:rPr>
                <w:rFonts w:ascii="Times New Roman" w:eastAsia="Times New Roman" w:hAnsi="Times New Roman"/>
                <w:bCs/>
                <w:noProof/>
                <w:sz w:val="24"/>
                <w:szCs w:val="20"/>
                <w:lang w:val="en-US" w:eastAsia="en-GB"/>
              </w:rPr>
              <w:t>75</w:t>
            </w:r>
          </w:p>
        </w:tc>
        <w:tc>
          <w:tcPr>
            <w:tcW w:w="992" w:type="dxa"/>
            <w:noWrap/>
            <w:hideMark/>
          </w:tcPr>
          <w:p>
            <w:pPr>
              <w:autoSpaceDE w:val="0"/>
              <w:autoSpaceDN w:val="0"/>
              <w:adjustRightInd w:val="0"/>
              <w:spacing w:after="0"/>
              <w:jc w:val="center"/>
              <w:rPr>
                <w:rFonts w:ascii="Times New Roman" w:eastAsia="Times New Roman" w:hAnsi="Times New Roman"/>
                <w:bCs/>
                <w:noProof/>
                <w:sz w:val="24"/>
                <w:szCs w:val="20"/>
                <w:lang w:eastAsia="en-GB"/>
              </w:rPr>
            </w:pPr>
            <w:r>
              <w:rPr>
                <w:rFonts w:ascii="Times New Roman" w:eastAsia="Times New Roman" w:hAnsi="Times New Roman"/>
                <w:bCs/>
                <w:noProof/>
                <w:sz w:val="24"/>
                <w:szCs w:val="20"/>
                <w:lang w:val="en-US" w:eastAsia="en-GB"/>
              </w:rPr>
              <w:t>75</w:t>
            </w:r>
          </w:p>
        </w:tc>
        <w:tc>
          <w:tcPr>
            <w:tcW w:w="993" w:type="dxa"/>
            <w:noWrap/>
            <w:hideMark/>
          </w:tcPr>
          <w:p>
            <w:pPr>
              <w:autoSpaceDE w:val="0"/>
              <w:autoSpaceDN w:val="0"/>
              <w:adjustRightInd w:val="0"/>
              <w:spacing w:after="0"/>
              <w:jc w:val="center"/>
              <w:rPr>
                <w:rFonts w:ascii="Times New Roman" w:eastAsia="Times New Roman" w:hAnsi="Times New Roman"/>
                <w:bCs/>
                <w:noProof/>
                <w:sz w:val="24"/>
                <w:szCs w:val="20"/>
                <w:lang w:eastAsia="en-GB"/>
              </w:rPr>
            </w:pPr>
            <w:r>
              <w:rPr>
                <w:rFonts w:ascii="Times New Roman" w:eastAsia="Times New Roman" w:hAnsi="Times New Roman"/>
                <w:bCs/>
                <w:noProof/>
                <w:sz w:val="24"/>
                <w:szCs w:val="20"/>
                <w:lang w:val="en-US" w:eastAsia="en-GB"/>
              </w:rPr>
              <w:t>75</w:t>
            </w:r>
          </w:p>
        </w:tc>
      </w:tr>
      <w:tr>
        <w:trPr>
          <w:divId w:val="1892500535"/>
          <w:trHeight w:val="300"/>
        </w:trPr>
        <w:tc>
          <w:tcPr>
            <w:tcW w:w="5495" w:type="dxa"/>
            <w:noWrap/>
            <w:hideMark/>
          </w:tcPr>
          <w:p>
            <w:pPr>
              <w:autoSpaceDE w:val="0"/>
              <w:autoSpaceDN w:val="0"/>
              <w:adjustRightInd w:val="0"/>
              <w:spacing w:after="0"/>
              <w:jc w:val="both"/>
              <w:rPr>
                <w:rFonts w:ascii="Times New Roman" w:eastAsia="Times New Roman" w:hAnsi="Times New Roman"/>
                <w:bCs/>
                <w:noProof/>
                <w:sz w:val="24"/>
                <w:szCs w:val="20"/>
                <w:lang w:eastAsia="en-GB"/>
              </w:rPr>
            </w:pPr>
            <w:r>
              <w:rPr>
                <w:rFonts w:ascii="Times New Roman" w:eastAsia="Times New Roman" w:hAnsi="Times New Roman"/>
                <w:bCs/>
                <w:noProof/>
                <w:sz w:val="24"/>
                <w:szCs w:val="20"/>
                <w:lang w:val="en-US" w:eastAsia="en-GB"/>
              </w:rPr>
              <w:t>European Banking Federation (EBF)</w:t>
            </w:r>
          </w:p>
        </w:tc>
        <w:tc>
          <w:tcPr>
            <w:tcW w:w="992" w:type="dxa"/>
            <w:noWrap/>
            <w:hideMark/>
          </w:tcPr>
          <w:p>
            <w:pPr>
              <w:autoSpaceDE w:val="0"/>
              <w:autoSpaceDN w:val="0"/>
              <w:adjustRightInd w:val="0"/>
              <w:spacing w:after="0"/>
              <w:jc w:val="center"/>
              <w:rPr>
                <w:rFonts w:ascii="Times New Roman" w:eastAsia="Times New Roman" w:hAnsi="Times New Roman"/>
                <w:bCs/>
                <w:noProof/>
                <w:sz w:val="24"/>
                <w:szCs w:val="20"/>
                <w:lang w:eastAsia="en-GB"/>
              </w:rPr>
            </w:pPr>
            <w:r>
              <w:rPr>
                <w:rFonts w:ascii="Times New Roman" w:eastAsia="Times New Roman" w:hAnsi="Times New Roman"/>
                <w:bCs/>
                <w:noProof/>
                <w:sz w:val="24"/>
                <w:szCs w:val="20"/>
                <w:lang w:val="en-US" w:eastAsia="en-GB"/>
              </w:rPr>
              <w:t>75</w:t>
            </w:r>
          </w:p>
        </w:tc>
        <w:tc>
          <w:tcPr>
            <w:tcW w:w="992" w:type="dxa"/>
            <w:noWrap/>
            <w:hideMark/>
          </w:tcPr>
          <w:p>
            <w:pPr>
              <w:autoSpaceDE w:val="0"/>
              <w:autoSpaceDN w:val="0"/>
              <w:adjustRightInd w:val="0"/>
              <w:spacing w:after="0"/>
              <w:jc w:val="center"/>
              <w:rPr>
                <w:rFonts w:ascii="Times New Roman" w:eastAsia="Times New Roman" w:hAnsi="Times New Roman"/>
                <w:bCs/>
                <w:noProof/>
                <w:sz w:val="24"/>
                <w:szCs w:val="20"/>
                <w:lang w:eastAsia="en-GB"/>
              </w:rPr>
            </w:pPr>
            <w:r>
              <w:rPr>
                <w:rFonts w:ascii="Times New Roman" w:eastAsia="Times New Roman" w:hAnsi="Times New Roman"/>
                <w:bCs/>
                <w:noProof/>
                <w:sz w:val="24"/>
                <w:szCs w:val="20"/>
                <w:lang w:val="en-US" w:eastAsia="en-GB"/>
              </w:rPr>
              <w:t>75</w:t>
            </w:r>
          </w:p>
        </w:tc>
        <w:tc>
          <w:tcPr>
            <w:tcW w:w="993" w:type="dxa"/>
            <w:noWrap/>
            <w:hideMark/>
          </w:tcPr>
          <w:p>
            <w:pPr>
              <w:autoSpaceDE w:val="0"/>
              <w:autoSpaceDN w:val="0"/>
              <w:adjustRightInd w:val="0"/>
              <w:spacing w:after="0"/>
              <w:jc w:val="center"/>
              <w:rPr>
                <w:rFonts w:ascii="Times New Roman" w:eastAsia="Times New Roman" w:hAnsi="Times New Roman"/>
                <w:bCs/>
                <w:noProof/>
                <w:sz w:val="24"/>
                <w:szCs w:val="20"/>
                <w:lang w:eastAsia="en-GB"/>
              </w:rPr>
            </w:pPr>
            <w:r>
              <w:rPr>
                <w:rFonts w:ascii="Times New Roman" w:eastAsia="Times New Roman" w:hAnsi="Times New Roman"/>
                <w:bCs/>
                <w:noProof/>
                <w:sz w:val="24"/>
                <w:szCs w:val="20"/>
                <w:lang w:val="en-US" w:eastAsia="en-GB"/>
              </w:rPr>
              <w:t>75</w:t>
            </w:r>
          </w:p>
        </w:tc>
      </w:tr>
      <w:tr>
        <w:trPr>
          <w:divId w:val="1892500535"/>
          <w:trHeight w:val="300"/>
        </w:trPr>
        <w:tc>
          <w:tcPr>
            <w:tcW w:w="5495" w:type="dxa"/>
            <w:noWrap/>
            <w:hideMark/>
          </w:tcPr>
          <w:p>
            <w:pPr>
              <w:autoSpaceDE w:val="0"/>
              <w:autoSpaceDN w:val="0"/>
              <w:adjustRightInd w:val="0"/>
              <w:spacing w:after="0"/>
              <w:jc w:val="both"/>
              <w:rPr>
                <w:rFonts w:ascii="Times New Roman" w:eastAsia="Times New Roman" w:hAnsi="Times New Roman"/>
                <w:bCs/>
                <w:noProof/>
                <w:sz w:val="24"/>
                <w:szCs w:val="20"/>
                <w:lang w:eastAsia="en-GB"/>
              </w:rPr>
            </w:pPr>
            <w:r>
              <w:rPr>
                <w:rFonts w:ascii="Times New Roman" w:eastAsia="Times New Roman" w:hAnsi="Times New Roman"/>
                <w:bCs/>
                <w:noProof/>
                <w:sz w:val="24"/>
                <w:szCs w:val="20"/>
                <w:lang w:val="en-US" w:eastAsia="en-GB"/>
              </w:rPr>
              <w:t>European Savings and Retail Banking Group (ESBG)</w:t>
            </w:r>
          </w:p>
        </w:tc>
        <w:tc>
          <w:tcPr>
            <w:tcW w:w="992" w:type="dxa"/>
            <w:noWrap/>
            <w:hideMark/>
          </w:tcPr>
          <w:p>
            <w:pPr>
              <w:autoSpaceDE w:val="0"/>
              <w:autoSpaceDN w:val="0"/>
              <w:adjustRightInd w:val="0"/>
              <w:spacing w:after="0"/>
              <w:jc w:val="center"/>
              <w:rPr>
                <w:rFonts w:ascii="Times New Roman" w:eastAsia="Times New Roman" w:hAnsi="Times New Roman"/>
                <w:bCs/>
                <w:noProof/>
                <w:sz w:val="24"/>
                <w:szCs w:val="20"/>
                <w:lang w:eastAsia="en-GB"/>
              </w:rPr>
            </w:pPr>
            <w:r>
              <w:rPr>
                <w:rFonts w:ascii="Times New Roman" w:eastAsia="Times New Roman" w:hAnsi="Times New Roman"/>
                <w:bCs/>
                <w:noProof/>
                <w:sz w:val="24"/>
                <w:szCs w:val="20"/>
                <w:lang w:val="en-US" w:eastAsia="en-GB"/>
              </w:rPr>
              <w:t>75</w:t>
            </w:r>
          </w:p>
        </w:tc>
        <w:tc>
          <w:tcPr>
            <w:tcW w:w="992" w:type="dxa"/>
            <w:noWrap/>
            <w:hideMark/>
          </w:tcPr>
          <w:p>
            <w:pPr>
              <w:autoSpaceDE w:val="0"/>
              <w:autoSpaceDN w:val="0"/>
              <w:adjustRightInd w:val="0"/>
              <w:spacing w:after="0"/>
              <w:jc w:val="center"/>
              <w:rPr>
                <w:rFonts w:ascii="Times New Roman" w:eastAsia="Times New Roman" w:hAnsi="Times New Roman"/>
                <w:bCs/>
                <w:noProof/>
                <w:sz w:val="24"/>
                <w:szCs w:val="20"/>
                <w:lang w:eastAsia="en-GB"/>
              </w:rPr>
            </w:pPr>
            <w:r>
              <w:rPr>
                <w:rFonts w:ascii="Times New Roman" w:eastAsia="Times New Roman" w:hAnsi="Times New Roman"/>
                <w:bCs/>
                <w:noProof/>
                <w:sz w:val="24"/>
                <w:szCs w:val="20"/>
                <w:lang w:val="en-US" w:eastAsia="en-GB"/>
              </w:rPr>
              <w:t>75</w:t>
            </w:r>
          </w:p>
        </w:tc>
        <w:tc>
          <w:tcPr>
            <w:tcW w:w="993" w:type="dxa"/>
            <w:noWrap/>
            <w:hideMark/>
          </w:tcPr>
          <w:p>
            <w:pPr>
              <w:autoSpaceDE w:val="0"/>
              <w:autoSpaceDN w:val="0"/>
              <w:adjustRightInd w:val="0"/>
              <w:spacing w:after="0"/>
              <w:jc w:val="center"/>
              <w:rPr>
                <w:rFonts w:ascii="Times New Roman" w:eastAsia="Times New Roman" w:hAnsi="Times New Roman"/>
                <w:bCs/>
                <w:noProof/>
                <w:sz w:val="24"/>
                <w:szCs w:val="20"/>
                <w:lang w:eastAsia="en-GB"/>
              </w:rPr>
            </w:pPr>
            <w:r>
              <w:rPr>
                <w:rFonts w:ascii="Times New Roman" w:eastAsia="Times New Roman" w:hAnsi="Times New Roman"/>
                <w:bCs/>
                <w:noProof/>
                <w:sz w:val="24"/>
                <w:szCs w:val="20"/>
                <w:lang w:val="en-US" w:eastAsia="en-GB"/>
              </w:rPr>
              <w:t>75</w:t>
            </w:r>
          </w:p>
        </w:tc>
      </w:tr>
      <w:tr>
        <w:trPr>
          <w:divId w:val="1892500535"/>
          <w:trHeight w:val="300"/>
        </w:trPr>
        <w:tc>
          <w:tcPr>
            <w:tcW w:w="5495" w:type="dxa"/>
            <w:noWrap/>
            <w:hideMark/>
          </w:tcPr>
          <w:p>
            <w:pPr>
              <w:autoSpaceDE w:val="0"/>
              <w:autoSpaceDN w:val="0"/>
              <w:adjustRightInd w:val="0"/>
              <w:spacing w:after="0"/>
              <w:jc w:val="both"/>
              <w:rPr>
                <w:rFonts w:ascii="Times New Roman" w:eastAsia="Times New Roman" w:hAnsi="Times New Roman"/>
                <w:bCs/>
                <w:noProof/>
                <w:sz w:val="24"/>
                <w:szCs w:val="20"/>
                <w:lang w:eastAsia="en-GB"/>
              </w:rPr>
            </w:pPr>
            <w:r>
              <w:rPr>
                <w:rFonts w:ascii="Times New Roman" w:eastAsia="Times New Roman" w:hAnsi="Times New Roman"/>
                <w:bCs/>
                <w:noProof/>
                <w:sz w:val="24"/>
                <w:szCs w:val="20"/>
                <w:lang w:val="en-US" w:eastAsia="en-GB"/>
              </w:rPr>
              <w:t>European Association  of Co-operative Banks (EACB)</w:t>
            </w:r>
          </w:p>
        </w:tc>
        <w:tc>
          <w:tcPr>
            <w:tcW w:w="992" w:type="dxa"/>
            <w:noWrap/>
            <w:hideMark/>
          </w:tcPr>
          <w:p>
            <w:pPr>
              <w:autoSpaceDE w:val="0"/>
              <w:autoSpaceDN w:val="0"/>
              <w:adjustRightInd w:val="0"/>
              <w:spacing w:after="0"/>
              <w:jc w:val="center"/>
              <w:rPr>
                <w:rFonts w:ascii="Times New Roman" w:eastAsia="Times New Roman" w:hAnsi="Times New Roman"/>
                <w:bCs/>
                <w:noProof/>
                <w:sz w:val="24"/>
                <w:szCs w:val="20"/>
                <w:lang w:eastAsia="en-GB"/>
              </w:rPr>
            </w:pPr>
            <w:r>
              <w:rPr>
                <w:rFonts w:ascii="Times New Roman" w:eastAsia="Times New Roman" w:hAnsi="Times New Roman"/>
                <w:bCs/>
                <w:noProof/>
                <w:sz w:val="24"/>
                <w:szCs w:val="20"/>
                <w:lang w:val="en-US" w:eastAsia="en-GB"/>
              </w:rPr>
              <w:t>75</w:t>
            </w:r>
          </w:p>
        </w:tc>
        <w:tc>
          <w:tcPr>
            <w:tcW w:w="992" w:type="dxa"/>
            <w:noWrap/>
            <w:hideMark/>
          </w:tcPr>
          <w:p>
            <w:pPr>
              <w:autoSpaceDE w:val="0"/>
              <w:autoSpaceDN w:val="0"/>
              <w:adjustRightInd w:val="0"/>
              <w:spacing w:after="0"/>
              <w:jc w:val="center"/>
              <w:rPr>
                <w:rFonts w:ascii="Times New Roman" w:eastAsia="Times New Roman" w:hAnsi="Times New Roman"/>
                <w:bCs/>
                <w:noProof/>
                <w:sz w:val="24"/>
                <w:szCs w:val="20"/>
                <w:lang w:eastAsia="en-GB"/>
              </w:rPr>
            </w:pPr>
            <w:r>
              <w:rPr>
                <w:rFonts w:ascii="Times New Roman" w:eastAsia="Times New Roman" w:hAnsi="Times New Roman"/>
                <w:bCs/>
                <w:noProof/>
                <w:sz w:val="24"/>
                <w:szCs w:val="20"/>
                <w:lang w:val="en-US" w:eastAsia="en-GB"/>
              </w:rPr>
              <w:t>75</w:t>
            </w:r>
          </w:p>
        </w:tc>
        <w:tc>
          <w:tcPr>
            <w:tcW w:w="993" w:type="dxa"/>
            <w:noWrap/>
            <w:hideMark/>
          </w:tcPr>
          <w:p>
            <w:pPr>
              <w:autoSpaceDE w:val="0"/>
              <w:autoSpaceDN w:val="0"/>
              <w:adjustRightInd w:val="0"/>
              <w:spacing w:after="0"/>
              <w:jc w:val="center"/>
              <w:rPr>
                <w:rFonts w:ascii="Times New Roman" w:eastAsia="Times New Roman" w:hAnsi="Times New Roman"/>
                <w:bCs/>
                <w:noProof/>
                <w:sz w:val="24"/>
                <w:szCs w:val="20"/>
                <w:lang w:eastAsia="en-GB"/>
              </w:rPr>
            </w:pPr>
            <w:r>
              <w:rPr>
                <w:rFonts w:ascii="Times New Roman" w:eastAsia="Times New Roman" w:hAnsi="Times New Roman"/>
                <w:bCs/>
                <w:noProof/>
                <w:sz w:val="24"/>
                <w:szCs w:val="20"/>
                <w:lang w:val="en-US" w:eastAsia="en-GB"/>
              </w:rPr>
              <w:t>75</w:t>
            </w:r>
          </w:p>
        </w:tc>
      </w:tr>
      <w:tr>
        <w:trPr>
          <w:divId w:val="1892500535"/>
          <w:trHeight w:val="300"/>
        </w:trPr>
        <w:tc>
          <w:tcPr>
            <w:tcW w:w="5495" w:type="dxa"/>
            <w:noWrap/>
            <w:hideMark/>
          </w:tcPr>
          <w:p>
            <w:pPr>
              <w:autoSpaceDE w:val="0"/>
              <w:autoSpaceDN w:val="0"/>
              <w:adjustRightInd w:val="0"/>
              <w:spacing w:after="0"/>
              <w:jc w:val="both"/>
              <w:rPr>
                <w:rFonts w:ascii="Times New Roman" w:eastAsia="Times New Roman" w:hAnsi="Times New Roman"/>
                <w:bCs/>
                <w:noProof/>
                <w:sz w:val="24"/>
                <w:szCs w:val="20"/>
                <w:lang w:eastAsia="en-GB"/>
              </w:rPr>
            </w:pPr>
            <w:r>
              <w:rPr>
                <w:rFonts w:ascii="Times New Roman" w:eastAsia="Times New Roman" w:hAnsi="Times New Roman"/>
                <w:bCs/>
                <w:noProof/>
                <w:sz w:val="24"/>
                <w:szCs w:val="20"/>
                <w:lang w:val="en-US" w:eastAsia="en-GB"/>
              </w:rPr>
              <w:t>European Federation of Accountants and Auditors  for SMEs (EFAA)</w:t>
            </w:r>
          </w:p>
        </w:tc>
        <w:tc>
          <w:tcPr>
            <w:tcW w:w="992" w:type="dxa"/>
            <w:noWrap/>
            <w:hideMark/>
          </w:tcPr>
          <w:p>
            <w:pPr>
              <w:autoSpaceDE w:val="0"/>
              <w:autoSpaceDN w:val="0"/>
              <w:adjustRightInd w:val="0"/>
              <w:spacing w:after="0"/>
              <w:jc w:val="center"/>
              <w:rPr>
                <w:rFonts w:ascii="Times New Roman" w:eastAsia="Times New Roman" w:hAnsi="Times New Roman"/>
                <w:bCs/>
                <w:noProof/>
                <w:sz w:val="24"/>
                <w:szCs w:val="20"/>
                <w:lang w:eastAsia="en-GB"/>
              </w:rPr>
            </w:pPr>
            <w:r>
              <w:rPr>
                <w:rFonts w:ascii="Times New Roman" w:eastAsia="Times New Roman" w:hAnsi="Times New Roman"/>
                <w:bCs/>
                <w:noProof/>
                <w:sz w:val="24"/>
                <w:szCs w:val="20"/>
                <w:lang w:val="en-US" w:eastAsia="en-GB"/>
              </w:rPr>
              <w:t>25</w:t>
            </w:r>
          </w:p>
        </w:tc>
        <w:tc>
          <w:tcPr>
            <w:tcW w:w="992" w:type="dxa"/>
            <w:noWrap/>
            <w:hideMark/>
          </w:tcPr>
          <w:p>
            <w:pPr>
              <w:autoSpaceDE w:val="0"/>
              <w:autoSpaceDN w:val="0"/>
              <w:adjustRightInd w:val="0"/>
              <w:spacing w:after="0"/>
              <w:jc w:val="center"/>
              <w:rPr>
                <w:rFonts w:ascii="Times New Roman" w:eastAsia="Times New Roman" w:hAnsi="Times New Roman"/>
                <w:bCs/>
                <w:noProof/>
                <w:sz w:val="24"/>
                <w:szCs w:val="20"/>
                <w:lang w:eastAsia="en-GB"/>
              </w:rPr>
            </w:pPr>
            <w:r>
              <w:rPr>
                <w:rFonts w:ascii="Times New Roman" w:eastAsia="Times New Roman" w:hAnsi="Times New Roman"/>
                <w:bCs/>
                <w:noProof/>
                <w:sz w:val="24"/>
                <w:szCs w:val="20"/>
                <w:lang w:val="en-US" w:eastAsia="en-GB"/>
              </w:rPr>
              <w:t>25</w:t>
            </w:r>
          </w:p>
        </w:tc>
        <w:tc>
          <w:tcPr>
            <w:tcW w:w="993" w:type="dxa"/>
            <w:noWrap/>
            <w:hideMark/>
          </w:tcPr>
          <w:p>
            <w:pPr>
              <w:autoSpaceDE w:val="0"/>
              <w:autoSpaceDN w:val="0"/>
              <w:adjustRightInd w:val="0"/>
              <w:spacing w:after="0"/>
              <w:jc w:val="center"/>
              <w:rPr>
                <w:rFonts w:ascii="Times New Roman" w:eastAsia="Times New Roman" w:hAnsi="Times New Roman"/>
                <w:bCs/>
                <w:noProof/>
                <w:sz w:val="24"/>
                <w:szCs w:val="20"/>
                <w:lang w:eastAsia="en-GB"/>
              </w:rPr>
            </w:pPr>
            <w:r>
              <w:rPr>
                <w:rFonts w:ascii="Times New Roman" w:eastAsia="Times New Roman" w:hAnsi="Times New Roman"/>
                <w:bCs/>
                <w:noProof/>
                <w:sz w:val="24"/>
                <w:szCs w:val="20"/>
                <w:lang w:val="en-US" w:eastAsia="en-GB"/>
              </w:rPr>
              <w:t>25</w:t>
            </w:r>
          </w:p>
        </w:tc>
      </w:tr>
      <w:tr>
        <w:trPr>
          <w:divId w:val="1892500535"/>
          <w:trHeight w:val="300"/>
        </w:trPr>
        <w:tc>
          <w:tcPr>
            <w:tcW w:w="5495" w:type="dxa"/>
            <w:noWrap/>
            <w:hideMark/>
          </w:tcPr>
          <w:p>
            <w:pPr>
              <w:autoSpaceDE w:val="0"/>
              <w:autoSpaceDN w:val="0"/>
              <w:adjustRightInd w:val="0"/>
              <w:spacing w:after="0"/>
              <w:jc w:val="both"/>
              <w:rPr>
                <w:rFonts w:ascii="Times New Roman" w:eastAsia="Times New Roman" w:hAnsi="Times New Roman"/>
                <w:bCs/>
                <w:noProof/>
                <w:sz w:val="24"/>
                <w:szCs w:val="20"/>
                <w:lang w:eastAsia="en-GB"/>
              </w:rPr>
            </w:pPr>
            <w:r>
              <w:rPr>
                <w:rFonts w:ascii="Times New Roman" w:eastAsia="Times New Roman" w:hAnsi="Times New Roman"/>
                <w:bCs/>
                <w:noProof/>
                <w:sz w:val="24"/>
                <w:szCs w:val="20"/>
                <w:lang w:val="en-US" w:eastAsia="en-GB"/>
              </w:rPr>
              <w:t>European Federation of Financial Analysts Societies (EFFAS)</w:t>
            </w:r>
          </w:p>
        </w:tc>
        <w:tc>
          <w:tcPr>
            <w:tcW w:w="992" w:type="dxa"/>
            <w:noWrap/>
            <w:hideMark/>
          </w:tcPr>
          <w:p>
            <w:pPr>
              <w:autoSpaceDE w:val="0"/>
              <w:autoSpaceDN w:val="0"/>
              <w:adjustRightInd w:val="0"/>
              <w:spacing w:after="0"/>
              <w:jc w:val="center"/>
              <w:rPr>
                <w:rFonts w:ascii="Times New Roman" w:eastAsia="Times New Roman" w:hAnsi="Times New Roman"/>
                <w:bCs/>
                <w:noProof/>
                <w:sz w:val="24"/>
                <w:szCs w:val="20"/>
                <w:lang w:eastAsia="en-GB"/>
              </w:rPr>
            </w:pPr>
            <w:r>
              <w:rPr>
                <w:rFonts w:ascii="Times New Roman" w:eastAsia="Times New Roman" w:hAnsi="Times New Roman"/>
                <w:bCs/>
                <w:noProof/>
                <w:sz w:val="24"/>
                <w:szCs w:val="20"/>
                <w:lang w:val="en-US" w:eastAsia="en-GB"/>
              </w:rPr>
              <w:t>15</w:t>
            </w:r>
          </w:p>
        </w:tc>
        <w:tc>
          <w:tcPr>
            <w:tcW w:w="992" w:type="dxa"/>
            <w:noWrap/>
            <w:hideMark/>
          </w:tcPr>
          <w:p>
            <w:pPr>
              <w:autoSpaceDE w:val="0"/>
              <w:autoSpaceDN w:val="0"/>
              <w:adjustRightInd w:val="0"/>
              <w:spacing w:after="0"/>
              <w:jc w:val="center"/>
              <w:rPr>
                <w:rFonts w:ascii="Times New Roman" w:eastAsia="Times New Roman" w:hAnsi="Times New Roman"/>
                <w:bCs/>
                <w:noProof/>
                <w:sz w:val="24"/>
                <w:szCs w:val="20"/>
                <w:lang w:eastAsia="en-GB"/>
              </w:rPr>
            </w:pPr>
            <w:r>
              <w:rPr>
                <w:rFonts w:ascii="Times New Roman" w:eastAsia="Times New Roman" w:hAnsi="Times New Roman"/>
                <w:bCs/>
                <w:noProof/>
                <w:sz w:val="24"/>
                <w:szCs w:val="20"/>
                <w:lang w:val="en-US" w:eastAsia="en-GB"/>
              </w:rPr>
              <w:t>15</w:t>
            </w:r>
          </w:p>
        </w:tc>
        <w:tc>
          <w:tcPr>
            <w:tcW w:w="993" w:type="dxa"/>
            <w:noWrap/>
            <w:hideMark/>
          </w:tcPr>
          <w:p>
            <w:pPr>
              <w:autoSpaceDE w:val="0"/>
              <w:autoSpaceDN w:val="0"/>
              <w:adjustRightInd w:val="0"/>
              <w:spacing w:after="0"/>
              <w:jc w:val="center"/>
              <w:rPr>
                <w:rFonts w:ascii="Times New Roman" w:eastAsia="Times New Roman" w:hAnsi="Times New Roman"/>
                <w:bCs/>
                <w:noProof/>
                <w:sz w:val="24"/>
                <w:szCs w:val="20"/>
                <w:lang w:eastAsia="en-GB"/>
              </w:rPr>
            </w:pPr>
            <w:r>
              <w:rPr>
                <w:rFonts w:ascii="Times New Roman" w:eastAsia="Times New Roman" w:hAnsi="Times New Roman"/>
                <w:bCs/>
                <w:noProof/>
                <w:sz w:val="24"/>
                <w:szCs w:val="20"/>
                <w:lang w:val="en-US" w:eastAsia="en-GB"/>
              </w:rPr>
              <w:t>15</w:t>
            </w:r>
          </w:p>
        </w:tc>
      </w:tr>
      <w:tr>
        <w:trPr>
          <w:divId w:val="1892500535"/>
          <w:trHeight w:val="300"/>
        </w:trPr>
        <w:tc>
          <w:tcPr>
            <w:tcW w:w="5495" w:type="dxa"/>
            <w:noWrap/>
            <w:hideMark/>
          </w:tcPr>
          <w:p>
            <w:pPr>
              <w:autoSpaceDE w:val="0"/>
              <w:autoSpaceDN w:val="0"/>
              <w:adjustRightInd w:val="0"/>
              <w:spacing w:after="0"/>
              <w:jc w:val="both"/>
              <w:rPr>
                <w:rFonts w:ascii="Times New Roman" w:eastAsia="Times New Roman" w:hAnsi="Times New Roman"/>
                <w:b/>
                <w:bCs/>
                <w:noProof/>
                <w:sz w:val="24"/>
                <w:szCs w:val="20"/>
                <w:lang w:eastAsia="en-GB"/>
              </w:rPr>
            </w:pPr>
            <w:r>
              <w:rPr>
                <w:rFonts w:ascii="Times New Roman" w:eastAsia="Times New Roman" w:hAnsi="Times New Roman"/>
                <w:b/>
                <w:bCs/>
                <w:noProof/>
                <w:sz w:val="24"/>
                <w:szCs w:val="20"/>
                <w:lang w:val="en-US" w:eastAsia="en-GB"/>
              </w:rPr>
              <w:t xml:space="preserve">Total </w:t>
            </w:r>
          </w:p>
        </w:tc>
        <w:tc>
          <w:tcPr>
            <w:tcW w:w="992" w:type="dxa"/>
            <w:noWrap/>
            <w:hideMark/>
          </w:tcPr>
          <w:p>
            <w:pPr>
              <w:autoSpaceDE w:val="0"/>
              <w:autoSpaceDN w:val="0"/>
              <w:adjustRightInd w:val="0"/>
              <w:spacing w:after="0"/>
              <w:jc w:val="center"/>
              <w:rPr>
                <w:rFonts w:ascii="Times New Roman" w:eastAsia="Times New Roman" w:hAnsi="Times New Roman"/>
                <w:b/>
                <w:bCs/>
                <w:noProof/>
                <w:sz w:val="24"/>
                <w:szCs w:val="20"/>
                <w:lang w:eastAsia="en-GB"/>
              </w:rPr>
            </w:pPr>
            <w:r>
              <w:rPr>
                <w:rFonts w:ascii="Times New Roman" w:eastAsia="Times New Roman" w:hAnsi="Times New Roman"/>
                <w:b/>
                <w:bCs/>
                <w:noProof/>
                <w:sz w:val="24"/>
                <w:szCs w:val="20"/>
                <w:lang w:val="en-US" w:eastAsia="en-GB"/>
              </w:rPr>
              <w:t>765</w:t>
            </w:r>
          </w:p>
        </w:tc>
        <w:tc>
          <w:tcPr>
            <w:tcW w:w="992" w:type="dxa"/>
            <w:noWrap/>
            <w:hideMark/>
          </w:tcPr>
          <w:p>
            <w:pPr>
              <w:autoSpaceDE w:val="0"/>
              <w:autoSpaceDN w:val="0"/>
              <w:adjustRightInd w:val="0"/>
              <w:spacing w:after="0"/>
              <w:jc w:val="center"/>
              <w:rPr>
                <w:rFonts w:ascii="Times New Roman" w:eastAsia="Times New Roman" w:hAnsi="Times New Roman"/>
                <w:b/>
                <w:bCs/>
                <w:noProof/>
                <w:sz w:val="24"/>
                <w:szCs w:val="20"/>
                <w:lang w:eastAsia="en-GB"/>
              </w:rPr>
            </w:pPr>
            <w:r>
              <w:rPr>
                <w:rFonts w:ascii="Times New Roman" w:eastAsia="Times New Roman" w:hAnsi="Times New Roman"/>
                <w:b/>
                <w:bCs/>
                <w:noProof/>
                <w:sz w:val="24"/>
                <w:szCs w:val="20"/>
                <w:lang w:val="en-US" w:eastAsia="en-GB"/>
              </w:rPr>
              <w:t>765</w:t>
            </w:r>
          </w:p>
        </w:tc>
        <w:tc>
          <w:tcPr>
            <w:tcW w:w="993" w:type="dxa"/>
            <w:noWrap/>
            <w:hideMark/>
          </w:tcPr>
          <w:p>
            <w:pPr>
              <w:autoSpaceDE w:val="0"/>
              <w:autoSpaceDN w:val="0"/>
              <w:adjustRightInd w:val="0"/>
              <w:spacing w:after="0"/>
              <w:jc w:val="center"/>
              <w:rPr>
                <w:rFonts w:ascii="Times New Roman" w:eastAsia="Times New Roman" w:hAnsi="Times New Roman"/>
                <w:b/>
                <w:bCs/>
                <w:noProof/>
                <w:sz w:val="24"/>
                <w:szCs w:val="20"/>
                <w:lang w:eastAsia="en-GB"/>
              </w:rPr>
            </w:pPr>
            <w:r>
              <w:rPr>
                <w:rFonts w:ascii="Times New Roman" w:eastAsia="Times New Roman" w:hAnsi="Times New Roman"/>
                <w:b/>
                <w:bCs/>
                <w:noProof/>
                <w:sz w:val="24"/>
                <w:szCs w:val="20"/>
                <w:lang w:val="en-US" w:eastAsia="en-GB"/>
              </w:rPr>
              <w:t>765</w:t>
            </w:r>
          </w:p>
        </w:tc>
      </w:tr>
      <w:tr>
        <w:trPr>
          <w:divId w:val="1892500535"/>
          <w:trHeight w:val="300"/>
        </w:trPr>
        <w:tc>
          <w:tcPr>
            <w:tcW w:w="5495" w:type="dxa"/>
            <w:noWrap/>
            <w:hideMark/>
          </w:tcPr>
          <w:p>
            <w:pPr>
              <w:autoSpaceDE w:val="0"/>
              <w:autoSpaceDN w:val="0"/>
              <w:adjustRightInd w:val="0"/>
              <w:spacing w:after="0"/>
              <w:jc w:val="both"/>
              <w:rPr>
                <w:rFonts w:ascii="Times New Roman" w:eastAsia="Times New Roman" w:hAnsi="Times New Roman"/>
                <w:b/>
                <w:bCs/>
                <w:noProof/>
                <w:sz w:val="24"/>
                <w:szCs w:val="20"/>
                <w:lang w:eastAsia="en-GB"/>
              </w:rPr>
            </w:pPr>
            <w:r>
              <w:rPr>
                <w:rFonts w:ascii="Times New Roman" w:eastAsia="Times New Roman" w:hAnsi="Times New Roman"/>
                <w:b/>
                <w:bCs/>
                <w:noProof/>
                <w:sz w:val="24"/>
                <w:szCs w:val="20"/>
                <w:lang w:val="en-US" w:eastAsia="en-GB"/>
              </w:rPr>
              <w:t>National Organisations</w:t>
            </w:r>
          </w:p>
        </w:tc>
        <w:tc>
          <w:tcPr>
            <w:tcW w:w="992" w:type="dxa"/>
            <w:noWrap/>
            <w:hideMark/>
          </w:tcPr>
          <w:p>
            <w:pPr>
              <w:autoSpaceDE w:val="0"/>
              <w:autoSpaceDN w:val="0"/>
              <w:adjustRightInd w:val="0"/>
              <w:spacing w:after="0"/>
              <w:jc w:val="center"/>
              <w:rPr>
                <w:noProof/>
                <w:sz w:val="20"/>
                <w:szCs w:val="20"/>
                <w:lang w:eastAsia="zh-CN"/>
              </w:rPr>
            </w:pPr>
            <w:r>
              <w:rPr>
                <w:rFonts w:ascii="Times New Roman" w:eastAsia="Times New Roman" w:hAnsi="Times New Roman"/>
                <w:bCs/>
                <w:noProof/>
                <w:sz w:val="24"/>
                <w:szCs w:val="20"/>
                <w:lang w:eastAsia="en-GB"/>
              </w:rPr>
              <w:t> </w:t>
            </w:r>
          </w:p>
        </w:tc>
        <w:tc>
          <w:tcPr>
            <w:tcW w:w="992" w:type="dxa"/>
            <w:noWrap/>
            <w:hideMark/>
          </w:tcPr>
          <w:p>
            <w:pPr>
              <w:autoSpaceDE w:val="0"/>
              <w:autoSpaceDN w:val="0"/>
              <w:adjustRightInd w:val="0"/>
              <w:spacing w:after="0"/>
              <w:jc w:val="center"/>
              <w:rPr>
                <w:noProof/>
                <w:sz w:val="20"/>
                <w:szCs w:val="20"/>
                <w:lang w:eastAsia="zh-CN"/>
              </w:rPr>
            </w:pPr>
            <w:r>
              <w:rPr>
                <w:rFonts w:ascii="Times New Roman" w:eastAsia="Times New Roman" w:hAnsi="Times New Roman"/>
                <w:bCs/>
                <w:noProof/>
                <w:sz w:val="24"/>
                <w:szCs w:val="20"/>
                <w:lang w:eastAsia="en-GB"/>
              </w:rPr>
              <w:t> </w:t>
            </w:r>
          </w:p>
        </w:tc>
        <w:tc>
          <w:tcPr>
            <w:tcW w:w="993" w:type="dxa"/>
            <w:noWrap/>
            <w:hideMark/>
          </w:tcPr>
          <w:p>
            <w:pPr>
              <w:autoSpaceDE w:val="0"/>
              <w:autoSpaceDN w:val="0"/>
              <w:adjustRightInd w:val="0"/>
              <w:spacing w:after="0"/>
              <w:jc w:val="center"/>
              <w:rPr>
                <w:noProof/>
                <w:sz w:val="20"/>
                <w:szCs w:val="20"/>
                <w:lang w:eastAsia="zh-CN"/>
              </w:rPr>
            </w:pPr>
            <w:r>
              <w:rPr>
                <w:rFonts w:ascii="Times New Roman" w:eastAsia="Times New Roman" w:hAnsi="Times New Roman"/>
                <w:bCs/>
                <w:noProof/>
                <w:sz w:val="24"/>
                <w:szCs w:val="20"/>
                <w:lang w:eastAsia="en-GB"/>
              </w:rPr>
              <w:t> </w:t>
            </w:r>
          </w:p>
        </w:tc>
      </w:tr>
      <w:tr>
        <w:trPr>
          <w:divId w:val="1892500535"/>
          <w:trHeight w:val="300"/>
        </w:trPr>
        <w:tc>
          <w:tcPr>
            <w:tcW w:w="5495" w:type="dxa"/>
            <w:noWrap/>
            <w:hideMark/>
          </w:tcPr>
          <w:p>
            <w:pPr>
              <w:autoSpaceDE w:val="0"/>
              <w:autoSpaceDN w:val="0"/>
              <w:adjustRightInd w:val="0"/>
              <w:spacing w:after="0"/>
              <w:jc w:val="both"/>
              <w:rPr>
                <w:rFonts w:ascii="Times New Roman" w:eastAsia="Times New Roman" w:hAnsi="Times New Roman"/>
                <w:bCs/>
                <w:noProof/>
                <w:sz w:val="24"/>
                <w:szCs w:val="20"/>
                <w:lang w:eastAsia="en-GB"/>
              </w:rPr>
            </w:pPr>
            <w:r>
              <w:rPr>
                <w:rFonts w:ascii="Times New Roman" w:eastAsia="Times New Roman" w:hAnsi="Times New Roman"/>
                <w:bCs/>
                <w:noProof/>
                <w:sz w:val="24"/>
                <w:szCs w:val="20"/>
                <w:lang w:val="en-US" w:eastAsia="en-GB"/>
              </w:rPr>
              <w:t>France</w:t>
            </w:r>
          </w:p>
        </w:tc>
        <w:tc>
          <w:tcPr>
            <w:tcW w:w="992" w:type="dxa"/>
            <w:noWrap/>
            <w:hideMark/>
          </w:tcPr>
          <w:p>
            <w:pPr>
              <w:autoSpaceDE w:val="0"/>
              <w:autoSpaceDN w:val="0"/>
              <w:adjustRightInd w:val="0"/>
              <w:spacing w:after="0"/>
              <w:jc w:val="center"/>
              <w:rPr>
                <w:rFonts w:ascii="Times New Roman" w:eastAsia="Times New Roman" w:hAnsi="Times New Roman"/>
                <w:bCs/>
                <w:noProof/>
                <w:sz w:val="24"/>
                <w:szCs w:val="20"/>
                <w:lang w:eastAsia="en-GB"/>
              </w:rPr>
            </w:pPr>
            <w:r>
              <w:rPr>
                <w:rFonts w:ascii="Times New Roman" w:eastAsia="Times New Roman" w:hAnsi="Times New Roman"/>
                <w:bCs/>
                <w:noProof/>
                <w:sz w:val="24"/>
                <w:szCs w:val="20"/>
                <w:lang w:val="en-US" w:eastAsia="en-GB"/>
              </w:rPr>
              <w:t>350</w:t>
            </w:r>
          </w:p>
        </w:tc>
        <w:tc>
          <w:tcPr>
            <w:tcW w:w="992" w:type="dxa"/>
            <w:noWrap/>
            <w:hideMark/>
          </w:tcPr>
          <w:p>
            <w:pPr>
              <w:autoSpaceDE w:val="0"/>
              <w:autoSpaceDN w:val="0"/>
              <w:adjustRightInd w:val="0"/>
              <w:spacing w:after="0"/>
              <w:jc w:val="center"/>
              <w:rPr>
                <w:rFonts w:ascii="Times New Roman" w:eastAsia="Times New Roman" w:hAnsi="Times New Roman"/>
                <w:bCs/>
                <w:noProof/>
                <w:sz w:val="24"/>
                <w:szCs w:val="20"/>
                <w:lang w:eastAsia="en-GB"/>
              </w:rPr>
            </w:pPr>
            <w:r>
              <w:rPr>
                <w:rFonts w:ascii="Times New Roman" w:eastAsia="Times New Roman" w:hAnsi="Times New Roman"/>
                <w:bCs/>
                <w:noProof/>
                <w:sz w:val="24"/>
                <w:szCs w:val="20"/>
                <w:lang w:val="en-US" w:eastAsia="en-GB"/>
              </w:rPr>
              <w:t>350</w:t>
            </w:r>
          </w:p>
        </w:tc>
        <w:tc>
          <w:tcPr>
            <w:tcW w:w="993" w:type="dxa"/>
            <w:noWrap/>
            <w:hideMark/>
          </w:tcPr>
          <w:p>
            <w:pPr>
              <w:autoSpaceDE w:val="0"/>
              <w:autoSpaceDN w:val="0"/>
              <w:adjustRightInd w:val="0"/>
              <w:spacing w:after="0"/>
              <w:jc w:val="center"/>
              <w:rPr>
                <w:rFonts w:ascii="Times New Roman" w:eastAsia="Times New Roman" w:hAnsi="Times New Roman"/>
                <w:bCs/>
                <w:noProof/>
                <w:sz w:val="24"/>
                <w:szCs w:val="20"/>
                <w:lang w:eastAsia="en-GB"/>
              </w:rPr>
            </w:pPr>
            <w:r>
              <w:rPr>
                <w:rFonts w:ascii="Times New Roman" w:eastAsia="Times New Roman" w:hAnsi="Times New Roman"/>
                <w:bCs/>
                <w:noProof/>
                <w:sz w:val="24"/>
                <w:szCs w:val="20"/>
                <w:lang w:val="en-US" w:eastAsia="en-GB"/>
              </w:rPr>
              <w:t>350</w:t>
            </w:r>
          </w:p>
        </w:tc>
      </w:tr>
      <w:tr>
        <w:trPr>
          <w:divId w:val="1892500535"/>
          <w:trHeight w:val="300"/>
        </w:trPr>
        <w:tc>
          <w:tcPr>
            <w:tcW w:w="5495" w:type="dxa"/>
            <w:noWrap/>
            <w:hideMark/>
          </w:tcPr>
          <w:p>
            <w:pPr>
              <w:autoSpaceDE w:val="0"/>
              <w:autoSpaceDN w:val="0"/>
              <w:adjustRightInd w:val="0"/>
              <w:spacing w:after="0"/>
              <w:jc w:val="both"/>
              <w:rPr>
                <w:rFonts w:ascii="Times New Roman" w:eastAsia="Times New Roman" w:hAnsi="Times New Roman"/>
                <w:bCs/>
                <w:noProof/>
                <w:sz w:val="24"/>
                <w:szCs w:val="20"/>
                <w:lang w:eastAsia="en-GB"/>
              </w:rPr>
            </w:pPr>
            <w:r>
              <w:rPr>
                <w:rFonts w:ascii="Times New Roman" w:eastAsia="Times New Roman" w:hAnsi="Times New Roman"/>
                <w:bCs/>
                <w:noProof/>
                <w:sz w:val="24"/>
                <w:szCs w:val="20"/>
                <w:lang w:val="en-US" w:eastAsia="en-GB"/>
              </w:rPr>
              <w:t>Germany</w:t>
            </w:r>
          </w:p>
        </w:tc>
        <w:tc>
          <w:tcPr>
            <w:tcW w:w="992" w:type="dxa"/>
            <w:noWrap/>
            <w:hideMark/>
          </w:tcPr>
          <w:p>
            <w:pPr>
              <w:autoSpaceDE w:val="0"/>
              <w:autoSpaceDN w:val="0"/>
              <w:adjustRightInd w:val="0"/>
              <w:spacing w:after="0"/>
              <w:jc w:val="center"/>
              <w:rPr>
                <w:rFonts w:ascii="Times New Roman" w:eastAsia="Times New Roman" w:hAnsi="Times New Roman"/>
                <w:bCs/>
                <w:noProof/>
                <w:sz w:val="24"/>
                <w:szCs w:val="20"/>
                <w:lang w:eastAsia="en-GB"/>
              </w:rPr>
            </w:pPr>
            <w:r>
              <w:rPr>
                <w:rFonts w:ascii="Times New Roman" w:eastAsia="Times New Roman" w:hAnsi="Times New Roman"/>
                <w:bCs/>
                <w:noProof/>
                <w:sz w:val="24"/>
                <w:szCs w:val="20"/>
                <w:lang w:val="en-US" w:eastAsia="en-GB"/>
              </w:rPr>
              <w:t>350</w:t>
            </w:r>
          </w:p>
        </w:tc>
        <w:tc>
          <w:tcPr>
            <w:tcW w:w="992" w:type="dxa"/>
            <w:noWrap/>
            <w:hideMark/>
          </w:tcPr>
          <w:p>
            <w:pPr>
              <w:autoSpaceDE w:val="0"/>
              <w:autoSpaceDN w:val="0"/>
              <w:adjustRightInd w:val="0"/>
              <w:spacing w:after="0"/>
              <w:jc w:val="center"/>
              <w:rPr>
                <w:rFonts w:ascii="Times New Roman" w:eastAsia="Times New Roman" w:hAnsi="Times New Roman"/>
                <w:bCs/>
                <w:noProof/>
                <w:sz w:val="24"/>
                <w:szCs w:val="20"/>
                <w:lang w:eastAsia="en-GB"/>
              </w:rPr>
            </w:pPr>
            <w:r>
              <w:rPr>
                <w:rFonts w:ascii="Times New Roman" w:eastAsia="Times New Roman" w:hAnsi="Times New Roman"/>
                <w:bCs/>
                <w:noProof/>
                <w:sz w:val="24"/>
                <w:szCs w:val="20"/>
                <w:lang w:val="en-US" w:eastAsia="en-GB"/>
              </w:rPr>
              <w:t>350</w:t>
            </w:r>
          </w:p>
        </w:tc>
        <w:tc>
          <w:tcPr>
            <w:tcW w:w="993" w:type="dxa"/>
            <w:noWrap/>
            <w:hideMark/>
          </w:tcPr>
          <w:p>
            <w:pPr>
              <w:autoSpaceDE w:val="0"/>
              <w:autoSpaceDN w:val="0"/>
              <w:adjustRightInd w:val="0"/>
              <w:spacing w:after="0"/>
              <w:jc w:val="center"/>
              <w:rPr>
                <w:rFonts w:ascii="Times New Roman" w:eastAsia="Times New Roman" w:hAnsi="Times New Roman"/>
                <w:bCs/>
                <w:noProof/>
                <w:sz w:val="24"/>
                <w:szCs w:val="20"/>
                <w:lang w:eastAsia="en-GB"/>
              </w:rPr>
            </w:pPr>
            <w:r>
              <w:rPr>
                <w:rFonts w:ascii="Times New Roman" w:eastAsia="Times New Roman" w:hAnsi="Times New Roman"/>
                <w:bCs/>
                <w:noProof/>
                <w:sz w:val="24"/>
                <w:szCs w:val="20"/>
                <w:lang w:val="en-US" w:eastAsia="en-GB"/>
              </w:rPr>
              <w:t>350</w:t>
            </w:r>
          </w:p>
        </w:tc>
      </w:tr>
      <w:tr>
        <w:trPr>
          <w:divId w:val="1892500535"/>
          <w:trHeight w:val="300"/>
        </w:trPr>
        <w:tc>
          <w:tcPr>
            <w:tcW w:w="5495" w:type="dxa"/>
            <w:noWrap/>
            <w:hideMark/>
          </w:tcPr>
          <w:p>
            <w:pPr>
              <w:autoSpaceDE w:val="0"/>
              <w:autoSpaceDN w:val="0"/>
              <w:adjustRightInd w:val="0"/>
              <w:spacing w:after="0"/>
              <w:jc w:val="both"/>
              <w:rPr>
                <w:rFonts w:ascii="Times New Roman" w:eastAsia="Times New Roman" w:hAnsi="Times New Roman"/>
                <w:bCs/>
                <w:noProof/>
                <w:sz w:val="24"/>
                <w:szCs w:val="20"/>
                <w:lang w:eastAsia="en-GB"/>
              </w:rPr>
            </w:pPr>
            <w:r>
              <w:rPr>
                <w:rFonts w:ascii="Times New Roman" w:eastAsia="Times New Roman" w:hAnsi="Times New Roman"/>
                <w:bCs/>
                <w:noProof/>
                <w:sz w:val="24"/>
                <w:szCs w:val="20"/>
                <w:lang w:val="en-US" w:eastAsia="en-GB"/>
              </w:rPr>
              <w:t>UK</w:t>
            </w:r>
          </w:p>
        </w:tc>
        <w:tc>
          <w:tcPr>
            <w:tcW w:w="992" w:type="dxa"/>
            <w:noWrap/>
            <w:hideMark/>
          </w:tcPr>
          <w:p>
            <w:pPr>
              <w:autoSpaceDE w:val="0"/>
              <w:autoSpaceDN w:val="0"/>
              <w:adjustRightInd w:val="0"/>
              <w:spacing w:after="0"/>
              <w:jc w:val="center"/>
              <w:rPr>
                <w:rFonts w:ascii="Times New Roman" w:eastAsia="Times New Roman" w:hAnsi="Times New Roman"/>
                <w:bCs/>
                <w:noProof/>
                <w:sz w:val="24"/>
                <w:szCs w:val="20"/>
                <w:lang w:eastAsia="en-GB"/>
              </w:rPr>
            </w:pPr>
            <w:r>
              <w:rPr>
                <w:rFonts w:ascii="Times New Roman" w:eastAsia="Times New Roman" w:hAnsi="Times New Roman"/>
                <w:bCs/>
                <w:noProof/>
                <w:sz w:val="24"/>
                <w:szCs w:val="20"/>
                <w:lang w:val="en-US" w:eastAsia="en-GB"/>
              </w:rPr>
              <w:t>350</w:t>
            </w:r>
          </w:p>
        </w:tc>
        <w:tc>
          <w:tcPr>
            <w:tcW w:w="992" w:type="dxa"/>
            <w:noWrap/>
            <w:hideMark/>
          </w:tcPr>
          <w:p>
            <w:pPr>
              <w:autoSpaceDE w:val="0"/>
              <w:autoSpaceDN w:val="0"/>
              <w:adjustRightInd w:val="0"/>
              <w:spacing w:after="0"/>
              <w:jc w:val="center"/>
              <w:rPr>
                <w:rFonts w:ascii="Times New Roman" w:eastAsia="Times New Roman" w:hAnsi="Times New Roman"/>
                <w:bCs/>
                <w:noProof/>
                <w:sz w:val="24"/>
                <w:szCs w:val="20"/>
                <w:lang w:eastAsia="en-GB"/>
              </w:rPr>
            </w:pPr>
            <w:r>
              <w:rPr>
                <w:rFonts w:ascii="Times New Roman" w:eastAsia="Times New Roman" w:hAnsi="Times New Roman"/>
                <w:bCs/>
                <w:noProof/>
                <w:sz w:val="24"/>
                <w:szCs w:val="20"/>
                <w:lang w:val="en-US" w:eastAsia="en-GB"/>
              </w:rPr>
              <w:t>350</w:t>
            </w:r>
          </w:p>
        </w:tc>
        <w:tc>
          <w:tcPr>
            <w:tcW w:w="993" w:type="dxa"/>
            <w:noWrap/>
            <w:hideMark/>
          </w:tcPr>
          <w:p>
            <w:pPr>
              <w:autoSpaceDE w:val="0"/>
              <w:autoSpaceDN w:val="0"/>
              <w:adjustRightInd w:val="0"/>
              <w:spacing w:after="0"/>
              <w:jc w:val="center"/>
              <w:rPr>
                <w:rFonts w:ascii="Times New Roman" w:eastAsia="Times New Roman" w:hAnsi="Times New Roman"/>
                <w:bCs/>
                <w:noProof/>
                <w:sz w:val="24"/>
                <w:szCs w:val="20"/>
                <w:lang w:eastAsia="en-GB"/>
              </w:rPr>
            </w:pPr>
            <w:r>
              <w:rPr>
                <w:rFonts w:ascii="Times New Roman" w:eastAsia="Times New Roman" w:hAnsi="Times New Roman"/>
                <w:bCs/>
                <w:noProof/>
                <w:sz w:val="24"/>
                <w:szCs w:val="20"/>
                <w:lang w:val="en-US" w:eastAsia="en-GB"/>
              </w:rPr>
              <w:t>350</w:t>
            </w:r>
          </w:p>
        </w:tc>
      </w:tr>
      <w:tr>
        <w:trPr>
          <w:divId w:val="1892500535"/>
          <w:trHeight w:val="300"/>
        </w:trPr>
        <w:tc>
          <w:tcPr>
            <w:tcW w:w="5495" w:type="dxa"/>
            <w:noWrap/>
            <w:hideMark/>
          </w:tcPr>
          <w:p>
            <w:pPr>
              <w:autoSpaceDE w:val="0"/>
              <w:autoSpaceDN w:val="0"/>
              <w:adjustRightInd w:val="0"/>
              <w:spacing w:after="0"/>
              <w:jc w:val="both"/>
              <w:rPr>
                <w:rStyle w:val="FootnoteReference"/>
                <w:rFonts w:ascii="Times New Roman" w:eastAsia="Times New Roman" w:hAnsi="Times New Roman"/>
                <w:bCs/>
                <w:noProof/>
                <w:sz w:val="24"/>
                <w:lang w:val="en-US" w:eastAsia="en-GB"/>
              </w:rPr>
            </w:pPr>
            <w:r>
              <w:rPr>
                <w:rFonts w:ascii="Times New Roman" w:eastAsia="Times New Roman" w:hAnsi="Times New Roman"/>
                <w:bCs/>
                <w:noProof/>
                <w:sz w:val="24"/>
                <w:szCs w:val="20"/>
                <w:lang w:val="en-US" w:eastAsia="en-GB"/>
              </w:rPr>
              <w:t>Italy</w:t>
            </w:r>
          </w:p>
        </w:tc>
        <w:tc>
          <w:tcPr>
            <w:tcW w:w="992" w:type="dxa"/>
            <w:noWrap/>
            <w:hideMark/>
          </w:tcPr>
          <w:p>
            <w:pPr>
              <w:autoSpaceDE w:val="0"/>
              <w:autoSpaceDN w:val="0"/>
              <w:adjustRightInd w:val="0"/>
              <w:spacing w:after="0"/>
              <w:jc w:val="center"/>
              <w:rPr>
                <w:rFonts w:ascii="Times New Roman" w:eastAsia="Times New Roman" w:hAnsi="Times New Roman"/>
                <w:bCs/>
                <w:noProof/>
                <w:sz w:val="24"/>
                <w:szCs w:val="20"/>
                <w:lang w:eastAsia="en-GB"/>
              </w:rPr>
            </w:pPr>
            <w:r>
              <w:rPr>
                <w:rFonts w:ascii="Times New Roman" w:eastAsia="Times New Roman" w:hAnsi="Times New Roman"/>
                <w:bCs/>
                <w:noProof/>
                <w:sz w:val="24"/>
                <w:szCs w:val="20"/>
                <w:lang w:val="en-US" w:eastAsia="en-GB"/>
              </w:rPr>
              <w:t>290</w:t>
            </w:r>
          </w:p>
        </w:tc>
        <w:tc>
          <w:tcPr>
            <w:tcW w:w="992" w:type="dxa"/>
            <w:noWrap/>
            <w:hideMark/>
          </w:tcPr>
          <w:p>
            <w:pPr>
              <w:autoSpaceDE w:val="0"/>
              <w:autoSpaceDN w:val="0"/>
              <w:adjustRightInd w:val="0"/>
              <w:spacing w:after="0"/>
              <w:jc w:val="center"/>
              <w:rPr>
                <w:rFonts w:ascii="Times New Roman" w:eastAsia="Times New Roman" w:hAnsi="Times New Roman"/>
                <w:bCs/>
                <w:noProof/>
                <w:sz w:val="24"/>
                <w:szCs w:val="20"/>
                <w:lang w:eastAsia="en-GB"/>
              </w:rPr>
            </w:pPr>
            <w:r>
              <w:rPr>
                <w:rFonts w:ascii="Times New Roman" w:eastAsia="Times New Roman" w:hAnsi="Times New Roman"/>
                <w:bCs/>
                <w:noProof/>
                <w:sz w:val="24"/>
                <w:szCs w:val="20"/>
                <w:lang w:val="en-US" w:eastAsia="en-GB"/>
              </w:rPr>
              <w:t>290</w:t>
            </w:r>
          </w:p>
        </w:tc>
        <w:tc>
          <w:tcPr>
            <w:tcW w:w="993" w:type="dxa"/>
            <w:noWrap/>
            <w:hideMark/>
          </w:tcPr>
          <w:p>
            <w:pPr>
              <w:autoSpaceDE w:val="0"/>
              <w:autoSpaceDN w:val="0"/>
              <w:adjustRightInd w:val="0"/>
              <w:spacing w:after="0"/>
              <w:jc w:val="center"/>
              <w:rPr>
                <w:rFonts w:ascii="Times New Roman" w:eastAsia="Times New Roman" w:hAnsi="Times New Roman"/>
                <w:bCs/>
                <w:noProof/>
                <w:sz w:val="24"/>
                <w:szCs w:val="20"/>
                <w:lang w:eastAsia="en-GB"/>
              </w:rPr>
            </w:pPr>
            <w:r>
              <w:rPr>
                <w:rFonts w:ascii="Times New Roman" w:eastAsia="Times New Roman" w:hAnsi="Times New Roman"/>
                <w:bCs/>
                <w:noProof/>
                <w:sz w:val="24"/>
                <w:szCs w:val="20"/>
                <w:lang w:val="en-US" w:eastAsia="en-GB"/>
              </w:rPr>
              <w:t>290</w:t>
            </w:r>
          </w:p>
        </w:tc>
      </w:tr>
      <w:tr>
        <w:trPr>
          <w:divId w:val="1892500535"/>
          <w:trHeight w:val="300"/>
        </w:trPr>
        <w:tc>
          <w:tcPr>
            <w:tcW w:w="5495" w:type="dxa"/>
            <w:noWrap/>
            <w:hideMark/>
          </w:tcPr>
          <w:p>
            <w:pPr>
              <w:autoSpaceDE w:val="0"/>
              <w:autoSpaceDN w:val="0"/>
              <w:adjustRightInd w:val="0"/>
              <w:spacing w:after="0"/>
              <w:jc w:val="both"/>
              <w:rPr>
                <w:rFonts w:ascii="Times New Roman" w:eastAsia="Times New Roman" w:hAnsi="Times New Roman"/>
                <w:bCs/>
                <w:noProof/>
                <w:sz w:val="24"/>
                <w:szCs w:val="20"/>
                <w:lang w:eastAsia="en-GB"/>
              </w:rPr>
            </w:pPr>
            <w:r>
              <w:rPr>
                <w:rFonts w:ascii="Times New Roman" w:eastAsia="Times New Roman" w:hAnsi="Times New Roman"/>
                <w:bCs/>
                <w:noProof/>
                <w:sz w:val="24"/>
                <w:szCs w:val="20"/>
                <w:lang w:val="en-US" w:eastAsia="en-GB"/>
              </w:rPr>
              <w:t>Sweden</w:t>
            </w:r>
          </w:p>
        </w:tc>
        <w:tc>
          <w:tcPr>
            <w:tcW w:w="992" w:type="dxa"/>
            <w:noWrap/>
            <w:hideMark/>
          </w:tcPr>
          <w:p>
            <w:pPr>
              <w:autoSpaceDE w:val="0"/>
              <w:autoSpaceDN w:val="0"/>
              <w:adjustRightInd w:val="0"/>
              <w:spacing w:after="0"/>
              <w:jc w:val="center"/>
              <w:rPr>
                <w:rFonts w:ascii="Times New Roman" w:eastAsia="Times New Roman" w:hAnsi="Times New Roman"/>
                <w:bCs/>
                <w:noProof/>
                <w:sz w:val="24"/>
                <w:szCs w:val="20"/>
                <w:lang w:eastAsia="en-GB"/>
              </w:rPr>
            </w:pPr>
            <w:r>
              <w:rPr>
                <w:rFonts w:ascii="Times New Roman" w:eastAsia="Times New Roman" w:hAnsi="Times New Roman"/>
                <w:bCs/>
                <w:noProof/>
                <w:sz w:val="24"/>
                <w:szCs w:val="20"/>
                <w:lang w:val="en-US" w:eastAsia="en-GB"/>
              </w:rPr>
              <w:t>100</w:t>
            </w:r>
          </w:p>
        </w:tc>
        <w:tc>
          <w:tcPr>
            <w:tcW w:w="992" w:type="dxa"/>
            <w:noWrap/>
            <w:hideMark/>
          </w:tcPr>
          <w:p>
            <w:pPr>
              <w:autoSpaceDE w:val="0"/>
              <w:autoSpaceDN w:val="0"/>
              <w:adjustRightInd w:val="0"/>
              <w:spacing w:after="0"/>
              <w:jc w:val="center"/>
              <w:rPr>
                <w:rFonts w:ascii="Times New Roman" w:eastAsia="Times New Roman" w:hAnsi="Times New Roman"/>
                <w:bCs/>
                <w:noProof/>
                <w:sz w:val="24"/>
                <w:szCs w:val="20"/>
                <w:lang w:eastAsia="en-GB"/>
              </w:rPr>
            </w:pPr>
            <w:r>
              <w:rPr>
                <w:rFonts w:ascii="Times New Roman" w:eastAsia="Times New Roman" w:hAnsi="Times New Roman"/>
                <w:bCs/>
                <w:noProof/>
                <w:sz w:val="24"/>
                <w:szCs w:val="20"/>
                <w:lang w:val="en-US" w:eastAsia="en-GB"/>
              </w:rPr>
              <w:t>100</w:t>
            </w:r>
          </w:p>
        </w:tc>
        <w:tc>
          <w:tcPr>
            <w:tcW w:w="993" w:type="dxa"/>
            <w:noWrap/>
            <w:hideMark/>
          </w:tcPr>
          <w:p>
            <w:pPr>
              <w:autoSpaceDE w:val="0"/>
              <w:autoSpaceDN w:val="0"/>
              <w:adjustRightInd w:val="0"/>
              <w:spacing w:after="0"/>
              <w:jc w:val="center"/>
              <w:rPr>
                <w:rFonts w:ascii="Times New Roman" w:eastAsia="Times New Roman" w:hAnsi="Times New Roman"/>
                <w:bCs/>
                <w:noProof/>
                <w:sz w:val="24"/>
                <w:szCs w:val="20"/>
                <w:lang w:eastAsia="en-GB"/>
              </w:rPr>
            </w:pPr>
            <w:r>
              <w:rPr>
                <w:rFonts w:ascii="Times New Roman" w:eastAsia="Times New Roman" w:hAnsi="Times New Roman"/>
                <w:bCs/>
                <w:noProof/>
                <w:sz w:val="24"/>
                <w:szCs w:val="20"/>
                <w:lang w:val="en-US" w:eastAsia="en-GB"/>
              </w:rPr>
              <w:t>100</w:t>
            </w:r>
          </w:p>
        </w:tc>
      </w:tr>
      <w:tr>
        <w:trPr>
          <w:divId w:val="1892500535"/>
          <w:trHeight w:val="300"/>
        </w:trPr>
        <w:tc>
          <w:tcPr>
            <w:tcW w:w="5495" w:type="dxa"/>
            <w:noWrap/>
            <w:hideMark/>
          </w:tcPr>
          <w:p>
            <w:pPr>
              <w:autoSpaceDE w:val="0"/>
              <w:autoSpaceDN w:val="0"/>
              <w:adjustRightInd w:val="0"/>
              <w:spacing w:after="0"/>
              <w:jc w:val="both"/>
              <w:rPr>
                <w:rFonts w:ascii="Times New Roman" w:eastAsia="Times New Roman" w:hAnsi="Times New Roman"/>
                <w:bCs/>
                <w:noProof/>
                <w:sz w:val="24"/>
                <w:szCs w:val="20"/>
                <w:lang w:eastAsia="en-GB"/>
              </w:rPr>
            </w:pPr>
            <w:r>
              <w:rPr>
                <w:rFonts w:ascii="Times New Roman" w:eastAsia="Times New Roman" w:hAnsi="Times New Roman"/>
                <w:bCs/>
                <w:noProof/>
                <w:sz w:val="24"/>
                <w:szCs w:val="20"/>
                <w:lang w:val="en-US" w:eastAsia="en-GB"/>
              </w:rPr>
              <w:t>Denmark</w:t>
            </w:r>
          </w:p>
        </w:tc>
        <w:tc>
          <w:tcPr>
            <w:tcW w:w="992" w:type="dxa"/>
            <w:noWrap/>
            <w:hideMark/>
          </w:tcPr>
          <w:p>
            <w:pPr>
              <w:autoSpaceDE w:val="0"/>
              <w:autoSpaceDN w:val="0"/>
              <w:adjustRightInd w:val="0"/>
              <w:spacing w:after="0"/>
              <w:jc w:val="center"/>
              <w:rPr>
                <w:rFonts w:ascii="Times New Roman" w:eastAsia="Times New Roman" w:hAnsi="Times New Roman"/>
                <w:bCs/>
                <w:noProof/>
                <w:sz w:val="24"/>
                <w:szCs w:val="20"/>
                <w:lang w:eastAsia="en-GB"/>
              </w:rPr>
            </w:pPr>
            <w:r>
              <w:rPr>
                <w:rFonts w:ascii="Times New Roman" w:eastAsia="Times New Roman" w:hAnsi="Times New Roman"/>
                <w:bCs/>
                <w:noProof/>
                <w:sz w:val="24"/>
                <w:szCs w:val="20"/>
                <w:lang w:val="en-US" w:eastAsia="en-GB"/>
              </w:rPr>
              <w:t>50</w:t>
            </w:r>
          </w:p>
        </w:tc>
        <w:tc>
          <w:tcPr>
            <w:tcW w:w="992" w:type="dxa"/>
            <w:noWrap/>
            <w:hideMark/>
          </w:tcPr>
          <w:p>
            <w:pPr>
              <w:autoSpaceDE w:val="0"/>
              <w:autoSpaceDN w:val="0"/>
              <w:adjustRightInd w:val="0"/>
              <w:spacing w:after="0"/>
              <w:jc w:val="center"/>
              <w:rPr>
                <w:rFonts w:ascii="Times New Roman" w:eastAsia="Times New Roman" w:hAnsi="Times New Roman"/>
                <w:bCs/>
                <w:noProof/>
                <w:sz w:val="24"/>
                <w:szCs w:val="20"/>
                <w:lang w:eastAsia="en-GB"/>
              </w:rPr>
            </w:pPr>
            <w:r>
              <w:rPr>
                <w:rFonts w:ascii="Times New Roman" w:eastAsia="Times New Roman" w:hAnsi="Times New Roman"/>
                <w:bCs/>
                <w:noProof/>
                <w:sz w:val="24"/>
                <w:szCs w:val="20"/>
                <w:lang w:val="en-US" w:eastAsia="en-GB"/>
              </w:rPr>
              <w:t>50</w:t>
            </w:r>
          </w:p>
        </w:tc>
        <w:tc>
          <w:tcPr>
            <w:tcW w:w="993" w:type="dxa"/>
            <w:noWrap/>
            <w:hideMark/>
          </w:tcPr>
          <w:p>
            <w:pPr>
              <w:autoSpaceDE w:val="0"/>
              <w:autoSpaceDN w:val="0"/>
              <w:adjustRightInd w:val="0"/>
              <w:spacing w:after="0"/>
              <w:jc w:val="center"/>
              <w:rPr>
                <w:rFonts w:ascii="Times New Roman" w:eastAsia="Times New Roman" w:hAnsi="Times New Roman"/>
                <w:bCs/>
                <w:noProof/>
                <w:sz w:val="24"/>
                <w:szCs w:val="20"/>
                <w:lang w:eastAsia="en-GB"/>
              </w:rPr>
            </w:pPr>
            <w:r>
              <w:rPr>
                <w:rFonts w:ascii="Times New Roman" w:eastAsia="Times New Roman" w:hAnsi="Times New Roman"/>
                <w:bCs/>
                <w:noProof/>
                <w:sz w:val="24"/>
                <w:szCs w:val="20"/>
                <w:lang w:val="en-US" w:eastAsia="en-GB"/>
              </w:rPr>
              <w:t>50</w:t>
            </w:r>
          </w:p>
        </w:tc>
      </w:tr>
      <w:tr>
        <w:trPr>
          <w:divId w:val="1892500535"/>
          <w:trHeight w:val="300"/>
        </w:trPr>
        <w:tc>
          <w:tcPr>
            <w:tcW w:w="5495" w:type="dxa"/>
            <w:noWrap/>
            <w:hideMark/>
          </w:tcPr>
          <w:p>
            <w:pPr>
              <w:autoSpaceDE w:val="0"/>
              <w:autoSpaceDN w:val="0"/>
              <w:adjustRightInd w:val="0"/>
              <w:spacing w:after="0"/>
              <w:jc w:val="both"/>
              <w:rPr>
                <w:rFonts w:ascii="Times New Roman" w:eastAsia="Times New Roman" w:hAnsi="Times New Roman"/>
                <w:bCs/>
                <w:noProof/>
                <w:sz w:val="24"/>
                <w:szCs w:val="20"/>
                <w:lang w:eastAsia="en-GB"/>
              </w:rPr>
            </w:pPr>
            <w:r>
              <w:rPr>
                <w:rFonts w:ascii="Times New Roman" w:eastAsia="Times New Roman" w:hAnsi="Times New Roman"/>
                <w:bCs/>
                <w:noProof/>
                <w:sz w:val="24"/>
                <w:szCs w:val="20"/>
                <w:lang w:val="en-US" w:eastAsia="en-GB"/>
              </w:rPr>
              <w:t>Netherlands</w:t>
            </w:r>
          </w:p>
        </w:tc>
        <w:tc>
          <w:tcPr>
            <w:tcW w:w="992" w:type="dxa"/>
            <w:noWrap/>
            <w:hideMark/>
          </w:tcPr>
          <w:p>
            <w:pPr>
              <w:autoSpaceDE w:val="0"/>
              <w:autoSpaceDN w:val="0"/>
              <w:adjustRightInd w:val="0"/>
              <w:spacing w:after="0"/>
              <w:jc w:val="center"/>
              <w:rPr>
                <w:rFonts w:ascii="Times New Roman" w:eastAsia="Times New Roman" w:hAnsi="Times New Roman"/>
                <w:bCs/>
                <w:noProof/>
                <w:sz w:val="24"/>
                <w:szCs w:val="20"/>
                <w:lang w:eastAsia="en-GB"/>
              </w:rPr>
            </w:pPr>
            <w:r>
              <w:rPr>
                <w:rFonts w:ascii="Times New Roman" w:eastAsia="Times New Roman" w:hAnsi="Times New Roman"/>
                <w:bCs/>
                <w:noProof/>
                <w:sz w:val="24"/>
                <w:szCs w:val="20"/>
                <w:lang w:val="en-US" w:eastAsia="en-GB"/>
              </w:rPr>
              <w:t>50</w:t>
            </w:r>
          </w:p>
        </w:tc>
        <w:tc>
          <w:tcPr>
            <w:tcW w:w="992" w:type="dxa"/>
            <w:noWrap/>
            <w:hideMark/>
          </w:tcPr>
          <w:p>
            <w:pPr>
              <w:autoSpaceDE w:val="0"/>
              <w:autoSpaceDN w:val="0"/>
              <w:adjustRightInd w:val="0"/>
              <w:spacing w:after="0"/>
              <w:jc w:val="center"/>
              <w:rPr>
                <w:rFonts w:ascii="Times New Roman" w:eastAsia="Times New Roman" w:hAnsi="Times New Roman"/>
                <w:bCs/>
                <w:noProof/>
                <w:sz w:val="24"/>
                <w:szCs w:val="20"/>
                <w:lang w:eastAsia="en-GB"/>
              </w:rPr>
            </w:pPr>
            <w:r>
              <w:rPr>
                <w:rFonts w:ascii="Times New Roman" w:eastAsia="Times New Roman" w:hAnsi="Times New Roman"/>
                <w:bCs/>
                <w:noProof/>
                <w:sz w:val="24"/>
                <w:szCs w:val="20"/>
                <w:lang w:val="en-US" w:eastAsia="en-GB"/>
              </w:rPr>
              <w:t>50</w:t>
            </w:r>
          </w:p>
        </w:tc>
        <w:tc>
          <w:tcPr>
            <w:tcW w:w="993" w:type="dxa"/>
            <w:noWrap/>
            <w:hideMark/>
          </w:tcPr>
          <w:p>
            <w:pPr>
              <w:autoSpaceDE w:val="0"/>
              <w:autoSpaceDN w:val="0"/>
              <w:adjustRightInd w:val="0"/>
              <w:spacing w:after="0"/>
              <w:jc w:val="center"/>
              <w:rPr>
                <w:rFonts w:ascii="Times New Roman" w:eastAsia="Times New Roman" w:hAnsi="Times New Roman"/>
                <w:bCs/>
                <w:noProof/>
                <w:sz w:val="24"/>
                <w:szCs w:val="20"/>
                <w:lang w:eastAsia="en-GB"/>
              </w:rPr>
            </w:pPr>
            <w:r>
              <w:rPr>
                <w:rFonts w:ascii="Times New Roman" w:eastAsia="Times New Roman" w:hAnsi="Times New Roman"/>
                <w:bCs/>
                <w:noProof/>
                <w:sz w:val="24"/>
                <w:szCs w:val="20"/>
                <w:lang w:val="en-US" w:eastAsia="en-GB"/>
              </w:rPr>
              <w:t>50</w:t>
            </w:r>
          </w:p>
        </w:tc>
      </w:tr>
      <w:tr>
        <w:trPr>
          <w:divId w:val="1892500535"/>
          <w:trHeight w:val="300"/>
        </w:trPr>
        <w:tc>
          <w:tcPr>
            <w:tcW w:w="5495" w:type="dxa"/>
            <w:noWrap/>
            <w:hideMark/>
          </w:tcPr>
          <w:p>
            <w:pPr>
              <w:autoSpaceDE w:val="0"/>
              <w:autoSpaceDN w:val="0"/>
              <w:adjustRightInd w:val="0"/>
              <w:spacing w:after="0"/>
              <w:jc w:val="both"/>
              <w:rPr>
                <w:rFonts w:ascii="Times New Roman" w:eastAsia="Times New Roman" w:hAnsi="Times New Roman"/>
                <w:bCs/>
                <w:noProof/>
                <w:sz w:val="24"/>
                <w:szCs w:val="20"/>
                <w:lang w:eastAsia="en-GB"/>
              </w:rPr>
            </w:pPr>
            <w:r>
              <w:rPr>
                <w:rFonts w:ascii="Times New Roman" w:eastAsia="Times New Roman" w:hAnsi="Times New Roman"/>
                <w:bCs/>
                <w:noProof/>
                <w:sz w:val="24"/>
                <w:szCs w:val="20"/>
                <w:lang w:val="en-US" w:eastAsia="en-GB"/>
              </w:rPr>
              <w:t>Spain</w:t>
            </w:r>
          </w:p>
        </w:tc>
        <w:tc>
          <w:tcPr>
            <w:tcW w:w="992" w:type="dxa"/>
            <w:noWrap/>
            <w:hideMark/>
          </w:tcPr>
          <w:p>
            <w:pPr>
              <w:autoSpaceDE w:val="0"/>
              <w:autoSpaceDN w:val="0"/>
              <w:adjustRightInd w:val="0"/>
              <w:spacing w:after="0"/>
              <w:jc w:val="center"/>
              <w:rPr>
                <w:rFonts w:ascii="Times New Roman" w:eastAsia="Times New Roman" w:hAnsi="Times New Roman"/>
                <w:bCs/>
                <w:noProof/>
                <w:sz w:val="24"/>
                <w:szCs w:val="20"/>
                <w:lang w:eastAsia="en-GB"/>
              </w:rPr>
            </w:pPr>
            <w:r>
              <w:rPr>
                <w:rFonts w:ascii="Times New Roman" w:eastAsia="Times New Roman" w:hAnsi="Times New Roman"/>
                <w:bCs/>
                <w:noProof/>
                <w:sz w:val="24"/>
                <w:szCs w:val="20"/>
                <w:lang w:val="en-US" w:eastAsia="en-GB"/>
              </w:rPr>
              <w:t>50</w:t>
            </w:r>
          </w:p>
        </w:tc>
        <w:tc>
          <w:tcPr>
            <w:tcW w:w="992" w:type="dxa"/>
            <w:noWrap/>
            <w:hideMark/>
          </w:tcPr>
          <w:p>
            <w:pPr>
              <w:autoSpaceDE w:val="0"/>
              <w:autoSpaceDN w:val="0"/>
              <w:adjustRightInd w:val="0"/>
              <w:spacing w:after="0"/>
              <w:jc w:val="center"/>
              <w:rPr>
                <w:rFonts w:ascii="Times New Roman" w:eastAsia="Times New Roman" w:hAnsi="Times New Roman"/>
                <w:bCs/>
                <w:noProof/>
                <w:sz w:val="24"/>
                <w:szCs w:val="20"/>
                <w:lang w:eastAsia="en-GB"/>
              </w:rPr>
            </w:pPr>
            <w:r>
              <w:rPr>
                <w:rFonts w:ascii="Times New Roman" w:eastAsia="Times New Roman" w:hAnsi="Times New Roman"/>
                <w:bCs/>
                <w:noProof/>
                <w:sz w:val="24"/>
                <w:szCs w:val="20"/>
                <w:lang w:val="en-US" w:eastAsia="en-GB"/>
              </w:rPr>
              <w:t>50</w:t>
            </w:r>
          </w:p>
        </w:tc>
        <w:tc>
          <w:tcPr>
            <w:tcW w:w="993" w:type="dxa"/>
            <w:noWrap/>
            <w:hideMark/>
          </w:tcPr>
          <w:p>
            <w:pPr>
              <w:autoSpaceDE w:val="0"/>
              <w:autoSpaceDN w:val="0"/>
              <w:adjustRightInd w:val="0"/>
              <w:spacing w:after="0"/>
              <w:jc w:val="center"/>
              <w:rPr>
                <w:rFonts w:ascii="Times New Roman" w:eastAsia="Times New Roman" w:hAnsi="Times New Roman"/>
                <w:bCs/>
                <w:noProof/>
                <w:sz w:val="24"/>
                <w:szCs w:val="20"/>
                <w:lang w:eastAsia="en-GB"/>
              </w:rPr>
            </w:pPr>
            <w:r>
              <w:rPr>
                <w:rFonts w:ascii="Times New Roman" w:eastAsia="Times New Roman" w:hAnsi="Times New Roman"/>
                <w:bCs/>
                <w:noProof/>
                <w:sz w:val="24"/>
                <w:szCs w:val="20"/>
                <w:lang w:val="en-US" w:eastAsia="en-GB"/>
              </w:rPr>
              <w:t>0</w:t>
            </w:r>
          </w:p>
        </w:tc>
      </w:tr>
      <w:tr>
        <w:trPr>
          <w:divId w:val="1892500535"/>
          <w:trHeight w:val="300"/>
        </w:trPr>
        <w:tc>
          <w:tcPr>
            <w:tcW w:w="5495" w:type="dxa"/>
            <w:noWrap/>
            <w:hideMark/>
          </w:tcPr>
          <w:p>
            <w:pPr>
              <w:autoSpaceDE w:val="0"/>
              <w:autoSpaceDN w:val="0"/>
              <w:adjustRightInd w:val="0"/>
              <w:spacing w:after="0"/>
              <w:jc w:val="both"/>
              <w:rPr>
                <w:rFonts w:ascii="Times New Roman" w:eastAsia="Times New Roman" w:hAnsi="Times New Roman"/>
                <w:bCs/>
                <w:noProof/>
                <w:sz w:val="24"/>
                <w:szCs w:val="20"/>
                <w:lang w:eastAsia="en-GB"/>
              </w:rPr>
            </w:pPr>
            <w:r>
              <w:rPr>
                <w:rFonts w:ascii="Times New Roman" w:eastAsia="Times New Roman" w:hAnsi="Times New Roman"/>
                <w:bCs/>
                <w:noProof/>
                <w:sz w:val="24"/>
                <w:szCs w:val="20"/>
                <w:lang w:val="en-US" w:eastAsia="en-GB"/>
              </w:rPr>
              <w:t>Luxembourg</w:t>
            </w:r>
          </w:p>
        </w:tc>
        <w:tc>
          <w:tcPr>
            <w:tcW w:w="992" w:type="dxa"/>
            <w:noWrap/>
            <w:hideMark/>
          </w:tcPr>
          <w:p>
            <w:pPr>
              <w:autoSpaceDE w:val="0"/>
              <w:autoSpaceDN w:val="0"/>
              <w:adjustRightInd w:val="0"/>
              <w:spacing w:after="0"/>
              <w:jc w:val="center"/>
              <w:rPr>
                <w:rFonts w:ascii="Times New Roman" w:eastAsia="Times New Roman" w:hAnsi="Times New Roman"/>
                <w:bCs/>
                <w:noProof/>
                <w:sz w:val="24"/>
                <w:szCs w:val="20"/>
                <w:lang w:eastAsia="en-GB"/>
              </w:rPr>
            </w:pPr>
            <w:r>
              <w:rPr>
                <w:rFonts w:ascii="Times New Roman" w:eastAsia="Times New Roman" w:hAnsi="Times New Roman"/>
                <w:bCs/>
                <w:noProof/>
                <w:sz w:val="24"/>
                <w:szCs w:val="20"/>
                <w:lang w:val="en-US" w:eastAsia="en-GB"/>
              </w:rPr>
              <w:t>10</w:t>
            </w:r>
          </w:p>
        </w:tc>
        <w:tc>
          <w:tcPr>
            <w:tcW w:w="992" w:type="dxa"/>
            <w:noWrap/>
            <w:hideMark/>
          </w:tcPr>
          <w:p>
            <w:pPr>
              <w:autoSpaceDE w:val="0"/>
              <w:autoSpaceDN w:val="0"/>
              <w:adjustRightInd w:val="0"/>
              <w:spacing w:after="0"/>
              <w:jc w:val="center"/>
              <w:rPr>
                <w:rFonts w:ascii="Times New Roman" w:eastAsia="Times New Roman" w:hAnsi="Times New Roman"/>
                <w:bCs/>
                <w:noProof/>
                <w:sz w:val="24"/>
                <w:szCs w:val="20"/>
                <w:lang w:eastAsia="en-GB"/>
              </w:rPr>
            </w:pPr>
            <w:r>
              <w:rPr>
                <w:rFonts w:ascii="Times New Roman" w:eastAsia="Times New Roman" w:hAnsi="Times New Roman"/>
                <w:bCs/>
                <w:noProof/>
                <w:sz w:val="24"/>
                <w:szCs w:val="20"/>
                <w:lang w:val="en-US" w:eastAsia="en-GB"/>
              </w:rPr>
              <w:t>15</w:t>
            </w:r>
          </w:p>
        </w:tc>
        <w:tc>
          <w:tcPr>
            <w:tcW w:w="993" w:type="dxa"/>
            <w:noWrap/>
            <w:hideMark/>
          </w:tcPr>
          <w:p>
            <w:pPr>
              <w:autoSpaceDE w:val="0"/>
              <w:autoSpaceDN w:val="0"/>
              <w:adjustRightInd w:val="0"/>
              <w:spacing w:after="0"/>
              <w:jc w:val="center"/>
              <w:rPr>
                <w:rFonts w:ascii="Times New Roman" w:eastAsia="Times New Roman" w:hAnsi="Times New Roman"/>
                <w:bCs/>
                <w:noProof/>
                <w:sz w:val="24"/>
                <w:szCs w:val="20"/>
                <w:lang w:eastAsia="en-GB"/>
              </w:rPr>
            </w:pPr>
            <w:r>
              <w:rPr>
                <w:rFonts w:ascii="Times New Roman" w:eastAsia="Times New Roman" w:hAnsi="Times New Roman"/>
                <w:bCs/>
                <w:noProof/>
                <w:sz w:val="24"/>
                <w:szCs w:val="20"/>
                <w:lang w:val="en-US" w:eastAsia="en-GB"/>
              </w:rPr>
              <w:t>15</w:t>
            </w:r>
          </w:p>
        </w:tc>
      </w:tr>
      <w:tr>
        <w:trPr>
          <w:divId w:val="1892500535"/>
          <w:trHeight w:val="300"/>
        </w:trPr>
        <w:tc>
          <w:tcPr>
            <w:tcW w:w="5495" w:type="dxa"/>
            <w:noWrap/>
            <w:hideMark/>
          </w:tcPr>
          <w:p>
            <w:pPr>
              <w:autoSpaceDE w:val="0"/>
              <w:autoSpaceDN w:val="0"/>
              <w:adjustRightInd w:val="0"/>
              <w:spacing w:after="0"/>
              <w:jc w:val="both"/>
              <w:rPr>
                <w:rFonts w:ascii="Times New Roman" w:eastAsia="Times New Roman" w:hAnsi="Times New Roman"/>
                <w:b/>
                <w:bCs/>
                <w:noProof/>
                <w:sz w:val="24"/>
                <w:szCs w:val="20"/>
                <w:lang w:eastAsia="en-GB"/>
              </w:rPr>
            </w:pPr>
            <w:r>
              <w:rPr>
                <w:rFonts w:ascii="Times New Roman" w:eastAsia="Times New Roman" w:hAnsi="Times New Roman"/>
                <w:b/>
                <w:bCs/>
                <w:noProof/>
                <w:sz w:val="24"/>
                <w:szCs w:val="20"/>
                <w:lang w:val="en-US" w:eastAsia="en-GB"/>
              </w:rPr>
              <w:t xml:space="preserve">Total </w:t>
            </w:r>
          </w:p>
        </w:tc>
        <w:tc>
          <w:tcPr>
            <w:tcW w:w="992" w:type="dxa"/>
            <w:noWrap/>
            <w:hideMark/>
          </w:tcPr>
          <w:p>
            <w:pPr>
              <w:autoSpaceDE w:val="0"/>
              <w:autoSpaceDN w:val="0"/>
              <w:adjustRightInd w:val="0"/>
              <w:spacing w:after="0"/>
              <w:jc w:val="center"/>
              <w:rPr>
                <w:rFonts w:ascii="Times New Roman" w:eastAsia="Times New Roman" w:hAnsi="Times New Roman"/>
                <w:b/>
                <w:bCs/>
                <w:noProof/>
                <w:sz w:val="24"/>
                <w:szCs w:val="20"/>
                <w:lang w:eastAsia="en-GB"/>
              </w:rPr>
            </w:pPr>
            <w:r>
              <w:rPr>
                <w:rFonts w:ascii="Times New Roman" w:eastAsia="Times New Roman" w:hAnsi="Times New Roman"/>
                <w:b/>
                <w:bCs/>
                <w:noProof/>
                <w:sz w:val="24"/>
                <w:szCs w:val="20"/>
                <w:lang w:val="en-US" w:eastAsia="en-GB"/>
              </w:rPr>
              <w:t>1600</w:t>
            </w:r>
          </w:p>
        </w:tc>
        <w:tc>
          <w:tcPr>
            <w:tcW w:w="992" w:type="dxa"/>
            <w:noWrap/>
            <w:hideMark/>
          </w:tcPr>
          <w:p>
            <w:pPr>
              <w:autoSpaceDE w:val="0"/>
              <w:autoSpaceDN w:val="0"/>
              <w:adjustRightInd w:val="0"/>
              <w:spacing w:after="0"/>
              <w:jc w:val="center"/>
              <w:rPr>
                <w:rFonts w:ascii="Times New Roman" w:eastAsia="Times New Roman" w:hAnsi="Times New Roman"/>
                <w:b/>
                <w:bCs/>
                <w:noProof/>
                <w:sz w:val="24"/>
                <w:szCs w:val="20"/>
                <w:lang w:eastAsia="en-GB"/>
              </w:rPr>
            </w:pPr>
            <w:r>
              <w:rPr>
                <w:rFonts w:ascii="Times New Roman" w:eastAsia="Times New Roman" w:hAnsi="Times New Roman"/>
                <w:b/>
                <w:bCs/>
                <w:noProof/>
                <w:sz w:val="24"/>
                <w:szCs w:val="20"/>
                <w:lang w:val="en-US" w:eastAsia="en-GB"/>
              </w:rPr>
              <w:t>1605</w:t>
            </w:r>
          </w:p>
        </w:tc>
        <w:tc>
          <w:tcPr>
            <w:tcW w:w="993" w:type="dxa"/>
            <w:noWrap/>
            <w:hideMark/>
          </w:tcPr>
          <w:p>
            <w:pPr>
              <w:autoSpaceDE w:val="0"/>
              <w:autoSpaceDN w:val="0"/>
              <w:adjustRightInd w:val="0"/>
              <w:spacing w:after="0"/>
              <w:jc w:val="center"/>
              <w:rPr>
                <w:rFonts w:ascii="Times New Roman" w:eastAsia="Times New Roman" w:hAnsi="Times New Roman"/>
                <w:b/>
                <w:bCs/>
                <w:noProof/>
                <w:sz w:val="24"/>
                <w:szCs w:val="20"/>
                <w:lang w:eastAsia="en-GB"/>
              </w:rPr>
            </w:pPr>
            <w:r>
              <w:rPr>
                <w:rFonts w:ascii="Times New Roman" w:eastAsia="Times New Roman" w:hAnsi="Times New Roman"/>
                <w:b/>
                <w:bCs/>
                <w:noProof/>
                <w:sz w:val="24"/>
                <w:szCs w:val="20"/>
                <w:lang w:val="en-US" w:eastAsia="en-GB"/>
              </w:rPr>
              <w:t>1555</w:t>
            </w:r>
          </w:p>
        </w:tc>
      </w:tr>
      <w:tr>
        <w:trPr>
          <w:divId w:val="1892500535"/>
          <w:trHeight w:val="300"/>
        </w:trPr>
        <w:tc>
          <w:tcPr>
            <w:tcW w:w="5495" w:type="dxa"/>
            <w:noWrap/>
            <w:hideMark/>
          </w:tcPr>
          <w:p>
            <w:pPr>
              <w:autoSpaceDE w:val="0"/>
              <w:autoSpaceDN w:val="0"/>
              <w:adjustRightInd w:val="0"/>
              <w:spacing w:after="0"/>
              <w:jc w:val="both"/>
              <w:rPr>
                <w:rFonts w:ascii="Times New Roman" w:eastAsia="Times New Roman" w:hAnsi="Times New Roman"/>
                <w:b/>
                <w:bCs/>
                <w:noProof/>
                <w:sz w:val="24"/>
                <w:szCs w:val="20"/>
                <w:lang w:eastAsia="en-GB"/>
              </w:rPr>
            </w:pPr>
            <w:r>
              <w:rPr>
                <w:rFonts w:ascii="Times New Roman" w:eastAsia="Times New Roman" w:hAnsi="Times New Roman"/>
                <w:b/>
                <w:bCs/>
                <w:noProof/>
                <w:sz w:val="24"/>
                <w:szCs w:val="20"/>
                <w:lang w:val="en-US" w:eastAsia="en-GB"/>
              </w:rPr>
              <w:t xml:space="preserve">European Commission </w:t>
            </w:r>
            <w:r>
              <w:rPr>
                <w:rStyle w:val="FootnoteReference"/>
                <w:rFonts w:ascii="Times New Roman" w:eastAsia="Times New Roman" w:hAnsi="Times New Roman"/>
                <w:b/>
                <w:bCs/>
                <w:noProof/>
                <w:sz w:val="24"/>
                <w:szCs w:val="20"/>
                <w:lang w:val="en-US" w:eastAsia="en-GB"/>
              </w:rPr>
              <w:footnoteReference w:id="17"/>
            </w:r>
          </w:p>
        </w:tc>
        <w:tc>
          <w:tcPr>
            <w:tcW w:w="992" w:type="dxa"/>
            <w:noWrap/>
            <w:hideMark/>
          </w:tcPr>
          <w:p>
            <w:pPr>
              <w:autoSpaceDE w:val="0"/>
              <w:autoSpaceDN w:val="0"/>
              <w:adjustRightInd w:val="0"/>
              <w:spacing w:after="0"/>
              <w:jc w:val="center"/>
              <w:rPr>
                <w:noProof/>
                <w:sz w:val="20"/>
                <w:szCs w:val="20"/>
                <w:lang w:eastAsia="zh-CN"/>
              </w:rPr>
            </w:pPr>
            <w:r>
              <w:rPr>
                <w:rFonts w:ascii="Times New Roman" w:eastAsia="Times New Roman" w:hAnsi="Times New Roman"/>
                <w:b/>
                <w:bCs/>
                <w:noProof/>
                <w:sz w:val="24"/>
                <w:szCs w:val="20"/>
                <w:lang w:val="en-US" w:eastAsia="en-GB"/>
              </w:rPr>
              <w:t>2885</w:t>
            </w:r>
          </w:p>
        </w:tc>
        <w:tc>
          <w:tcPr>
            <w:tcW w:w="992" w:type="dxa"/>
            <w:noWrap/>
            <w:hideMark/>
          </w:tcPr>
          <w:p>
            <w:pPr>
              <w:autoSpaceDE w:val="0"/>
              <w:autoSpaceDN w:val="0"/>
              <w:adjustRightInd w:val="0"/>
              <w:spacing w:after="0"/>
              <w:jc w:val="center"/>
              <w:rPr>
                <w:rFonts w:ascii="Times New Roman" w:eastAsia="Times New Roman" w:hAnsi="Times New Roman"/>
                <w:b/>
                <w:bCs/>
                <w:noProof/>
                <w:sz w:val="24"/>
                <w:szCs w:val="20"/>
                <w:lang w:eastAsia="en-GB"/>
              </w:rPr>
            </w:pPr>
            <w:r>
              <w:rPr>
                <w:rFonts w:ascii="Times New Roman" w:eastAsia="Times New Roman" w:hAnsi="Times New Roman"/>
                <w:b/>
                <w:bCs/>
                <w:noProof/>
                <w:sz w:val="24"/>
                <w:szCs w:val="20"/>
                <w:lang w:val="en-US" w:eastAsia="en-GB"/>
              </w:rPr>
              <w:t>2593</w:t>
            </w:r>
          </w:p>
        </w:tc>
        <w:tc>
          <w:tcPr>
            <w:tcW w:w="993" w:type="dxa"/>
            <w:noWrap/>
            <w:hideMark/>
          </w:tcPr>
          <w:p>
            <w:pPr>
              <w:autoSpaceDE w:val="0"/>
              <w:autoSpaceDN w:val="0"/>
              <w:adjustRightInd w:val="0"/>
              <w:spacing w:after="0"/>
              <w:jc w:val="center"/>
              <w:rPr>
                <w:rFonts w:ascii="Times New Roman" w:eastAsia="Times New Roman" w:hAnsi="Times New Roman"/>
                <w:b/>
                <w:bCs/>
                <w:noProof/>
                <w:sz w:val="24"/>
                <w:szCs w:val="20"/>
                <w:lang w:eastAsia="en-GB"/>
              </w:rPr>
            </w:pPr>
            <w:r>
              <w:rPr>
                <w:rFonts w:ascii="Times New Roman" w:eastAsia="Times New Roman" w:hAnsi="Times New Roman"/>
                <w:b/>
                <w:bCs/>
                <w:noProof/>
                <w:sz w:val="24"/>
                <w:szCs w:val="20"/>
                <w:lang w:val="en-US" w:eastAsia="en-GB"/>
              </w:rPr>
              <w:t>2432</w:t>
            </w:r>
          </w:p>
        </w:tc>
      </w:tr>
      <w:tr>
        <w:trPr>
          <w:divId w:val="1892500535"/>
          <w:trHeight w:val="300"/>
        </w:trPr>
        <w:tc>
          <w:tcPr>
            <w:tcW w:w="5495" w:type="dxa"/>
            <w:noWrap/>
            <w:hideMark/>
          </w:tcPr>
          <w:p>
            <w:pPr>
              <w:autoSpaceDE w:val="0"/>
              <w:autoSpaceDN w:val="0"/>
              <w:adjustRightInd w:val="0"/>
              <w:spacing w:after="0"/>
              <w:jc w:val="both"/>
              <w:rPr>
                <w:rFonts w:ascii="Times New Roman" w:eastAsia="Times New Roman" w:hAnsi="Times New Roman"/>
                <w:b/>
                <w:bCs/>
                <w:noProof/>
                <w:sz w:val="24"/>
                <w:szCs w:val="20"/>
                <w:lang w:eastAsia="en-GB"/>
              </w:rPr>
            </w:pPr>
            <w:r>
              <w:rPr>
                <w:rFonts w:ascii="Times New Roman" w:eastAsia="Times New Roman" w:hAnsi="Times New Roman"/>
                <w:b/>
                <w:bCs/>
                <w:noProof/>
                <w:sz w:val="24"/>
                <w:szCs w:val="20"/>
                <w:lang w:val="en-US" w:eastAsia="en-GB"/>
              </w:rPr>
              <w:t>TOTAL CONTRIBUTIONS</w:t>
            </w:r>
          </w:p>
        </w:tc>
        <w:tc>
          <w:tcPr>
            <w:tcW w:w="992" w:type="dxa"/>
            <w:noWrap/>
            <w:hideMark/>
          </w:tcPr>
          <w:p>
            <w:pPr>
              <w:autoSpaceDE w:val="0"/>
              <w:autoSpaceDN w:val="0"/>
              <w:adjustRightInd w:val="0"/>
              <w:spacing w:after="0"/>
              <w:jc w:val="center"/>
              <w:rPr>
                <w:noProof/>
                <w:sz w:val="20"/>
                <w:szCs w:val="20"/>
                <w:lang w:eastAsia="zh-CN"/>
              </w:rPr>
            </w:pPr>
            <w:r>
              <w:rPr>
                <w:rFonts w:ascii="Times New Roman" w:eastAsia="Times New Roman" w:hAnsi="Times New Roman"/>
                <w:b/>
                <w:bCs/>
                <w:noProof/>
                <w:sz w:val="24"/>
                <w:szCs w:val="20"/>
                <w:lang w:eastAsia="en-GB"/>
              </w:rPr>
              <w:t> 5250</w:t>
            </w:r>
          </w:p>
        </w:tc>
        <w:tc>
          <w:tcPr>
            <w:tcW w:w="992" w:type="dxa"/>
            <w:noWrap/>
            <w:hideMark/>
          </w:tcPr>
          <w:p>
            <w:pPr>
              <w:autoSpaceDE w:val="0"/>
              <w:autoSpaceDN w:val="0"/>
              <w:adjustRightInd w:val="0"/>
              <w:spacing w:after="0"/>
              <w:jc w:val="center"/>
              <w:rPr>
                <w:rFonts w:ascii="Times New Roman" w:eastAsia="Times New Roman" w:hAnsi="Times New Roman"/>
                <w:b/>
                <w:bCs/>
                <w:noProof/>
                <w:sz w:val="24"/>
                <w:szCs w:val="20"/>
                <w:lang w:eastAsia="en-GB"/>
              </w:rPr>
            </w:pPr>
            <w:r>
              <w:rPr>
                <w:rFonts w:ascii="Times New Roman" w:eastAsia="Times New Roman" w:hAnsi="Times New Roman"/>
                <w:b/>
                <w:bCs/>
                <w:noProof/>
                <w:sz w:val="24"/>
                <w:szCs w:val="20"/>
                <w:lang w:val="en-US" w:eastAsia="en-GB"/>
              </w:rPr>
              <w:t>4963</w:t>
            </w:r>
          </w:p>
        </w:tc>
        <w:tc>
          <w:tcPr>
            <w:tcW w:w="993" w:type="dxa"/>
            <w:noWrap/>
            <w:hideMark/>
          </w:tcPr>
          <w:p>
            <w:pPr>
              <w:autoSpaceDE w:val="0"/>
              <w:autoSpaceDN w:val="0"/>
              <w:adjustRightInd w:val="0"/>
              <w:spacing w:after="0"/>
              <w:jc w:val="center"/>
              <w:rPr>
                <w:rFonts w:ascii="Times New Roman" w:eastAsia="Times New Roman" w:hAnsi="Times New Roman"/>
                <w:b/>
                <w:bCs/>
                <w:noProof/>
                <w:sz w:val="24"/>
                <w:szCs w:val="20"/>
                <w:lang w:eastAsia="en-GB"/>
              </w:rPr>
            </w:pPr>
            <w:r>
              <w:rPr>
                <w:rFonts w:ascii="Times New Roman" w:eastAsia="Times New Roman" w:hAnsi="Times New Roman"/>
                <w:b/>
                <w:bCs/>
                <w:noProof/>
                <w:sz w:val="24"/>
                <w:szCs w:val="20"/>
                <w:lang w:val="en-US" w:eastAsia="en-GB"/>
              </w:rPr>
              <w:t>4752</w:t>
            </w:r>
          </w:p>
        </w:tc>
      </w:tr>
    </w:tbl>
    <w:p>
      <w:pPr>
        <w:rPr>
          <w:rFonts w:ascii="Times New Roman" w:hAnsi="Times New Roman"/>
          <w:i/>
          <w:noProof/>
          <w:sz w:val="24"/>
          <w:szCs w:val="24"/>
          <w:lang w:eastAsia="en-GB"/>
        </w:rPr>
      </w:pPr>
      <w:r>
        <w:rPr>
          <w:rFonts w:ascii="Times New Roman" w:eastAsia="Times New Roman" w:hAnsi="Times New Roman"/>
          <w:b/>
          <w:bCs/>
          <w:noProof/>
          <w:sz w:val="24"/>
          <w:szCs w:val="20"/>
          <w:lang w:eastAsia="en-GB"/>
        </w:rPr>
        <w:fldChar w:fldCharType="end"/>
      </w:r>
      <w:r>
        <w:rPr>
          <w:rFonts w:ascii="Times New Roman" w:hAnsi="Times New Roman"/>
          <w:i/>
          <w:noProof/>
          <w:sz w:val="24"/>
          <w:szCs w:val="24"/>
          <w:lang w:eastAsia="en-GB"/>
        </w:rPr>
        <w:t>Source: EFRAG</w:t>
      </w:r>
    </w:p>
    <w:p>
      <w:pPr>
        <w:autoSpaceDE w:val="0"/>
        <w:autoSpaceDN w:val="0"/>
        <w:adjustRightInd w:val="0"/>
        <w:spacing w:after="0"/>
        <w:jc w:val="both"/>
        <w:rPr>
          <w:noProof/>
          <w:lang w:eastAsia="en-GB"/>
        </w:rPr>
      </w:pPr>
      <w:r>
        <w:rPr>
          <w:noProof/>
          <w:lang w:eastAsia="en-GB"/>
        </w:rPr>
        <w:br w:type="page"/>
      </w:r>
    </w:p>
    <w:p>
      <w:pPr>
        <w:autoSpaceDE w:val="0"/>
        <w:autoSpaceDN w:val="0"/>
        <w:adjustRightInd w:val="0"/>
        <w:spacing w:after="0"/>
        <w:jc w:val="both"/>
        <w:rPr>
          <w:rFonts w:ascii="Times New Roman" w:eastAsia="Times New Roman" w:hAnsi="Times New Roman"/>
          <w:b/>
          <w:bCs/>
          <w:noProof/>
          <w:sz w:val="24"/>
          <w:szCs w:val="20"/>
          <w:lang w:eastAsia="en-GB"/>
        </w:rPr>
      </w:pPr>
      <w:r>
        <w:rPr>
          <w:rFonts w:ascii="Times New Roman" w:eastAsia="Times New Roman" w:hAnsi="Times New Roman"/>
          <w:b/>
          <w:bCs/>
          <w:noProof/>
          <w:sz w:val="24"/>
          <w:szCs w:val="20"/>
          <w:lang w:eastAsia="en-GB"/>
        </w:rPr>
        <w:t>Appendix 4 : Gender balance information in EFRAG per 31 December 2018</w:t>
      </w:r>
    </w:p>
    <w:p>
      <w:pPr>
        <w:autoSpaceDE w:val="0"/>
        <w:autoSpaceDN w:val="0"/>
        <w:adjustRightInd w:val="0"/>
        <w:spacing w:after="0"/>
        <w:jc w:val="both"/>
        <w:rPr>
          <w:rFonts w:ascii="Times New Roman" w:eastAsia="Times New Roman" w:hAnsi="Times New Roman"/>
          <w:b/>
          <w:bCs/>
          <w:noProof/>
          <w:sz w:val="24"/>
          <w:szCs w:val="20"/>
          <w:lang w:eastAsia="en-GB"/>
        </w:rPr>
      </w:pPr>
    </w:p>
    <w:p>
      <w:pPr>
        <w:autoSpaceDE w:val="0"/>
        <w:autoSpaceDN w:val="0"/>
        <w:adjustRightInd w:val="0"/>
        <w:spacing w:after="0"/>
        <w:jc w:val="both"/>
        <w:rPr>
          <w:noProof/>
          <w:lang w:eastAsia="en-GB"/>
        </w:rPr>
      </w:pPr>
    </w:p>
    <w:tbl>
      <w:tblPr>
        <w:tblStyle w:val="GridTable4-Accent51"/>
        <w:tblW w:w="0" w:type="auto"/>
        <w:tblInd w:w="250" w:type="dxa"/>
        <w:tblLook w:val="04A0" w:firstRow="1" w:lastRow="0" w:firstColumn="1" w:lastColumn="0" w:noHBand="0" w:noVBand="1"/>
      </w:tblPr>
      <w:tblGrid>
        <w:gridCol w:w="2013"/>
        <w:gridCol w:w="1343"/>
        <w:gridCol w:w="1351"/>
        <w:gridCol w:w="1984"/>
        <w:gridCol w:w="2075"/>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3" w:type="dxa"/>
          </w:tcPr>
          <w:p>
            <w:pPr>
              <w:spacing w:after="160" w:line="259" w:lineRule="auto"/>
              <w:rPr>
                <w:noProof/>
              </w:rPr>
            </w:pPr>
            <w:r>
              <w:rPr>
                <w:noProof/>
              </w:rPr>
              <w:t>Group</w:t>
            </w:r>
          </w:p>
        </w:tc>
        <w:tc>
          <w:tcPr>
            <w:tcW w:w="1343" w:type="dxa"/>
          </w:tcPr>
          <w:p>
            <w:pPr>
              <w:spacing w:after="160" w:line="259" w:lineRule="auto"/>
              <w:cnfStyle w:val="100000000000" w:firstRow="1" w:lastRow="0" w:firstColumn="0" w:lastColumn="0" w:oddVBand="0" w:evenVBand="0" w:oddHBand="0" w:evenHBand="0" w:firstRowFirstColumn="0" w:firstRowLastColumn="0" w:lastRowFirstColumn="0" w:lastRowLastColumn="0"/>
              <w:rPr>
                <w:noProof/>
              </w:rPr>
            </w:pPr>
            <w:r>
              <w:rPr>
                <w:noProof/>
              </w:rPr>
              <w:t>Percentage male</w:t>
            </w:r>
          </w:p>
        </w:tc>
        <w:tc>
          <w:tcPr>
            <w:tcW w:w="1351" w:type="dxa"/>
          </w:tcPr>
          <w:p>
            <w:pPr>
              <w:spacing w:after="160" w:line="259" w:lineRule="auto"/>
              <w:cnfStyle w:val="100000000000" w:firstRow="1" w:lastRow="0" w:firstColumn="0" w:lastColumn="0" w:oddVBand="0" w:evenVBand="0" w:oddHBand="0" w:evenHBand="0" w:firstRowFirstColumn="0" w:firstRowLastColumn="0" w:lastRowFirstColumn="0" w:lastRowLastColumn="0"/>
              <w:rPr>
                <w:noProof/>
              </w:rPr>
            </w:pPr>
            <w:r>
              <w:rPr>
                <w:noProof/>
              </w:rPr>
              <w:t>Percentage female</w:t>
            </w:r>
          </w:p>
        </w:tc>
        <w:tc>
          <w:tcPr>
            <w:tcW w:w="1984" w:type="dxa"/>
          </w:tcPr>
          <w:p>
            <w:pPr>
              <w:spacing w:after="160" w:line="259" w:lineRule="auto"/>
              <w:cnfStyle w:val="100000000000" w:firstRow="1" w:lastRow="0" w:firstColumn="0" w:lastColumn="0" w:oddVBand="0" w:evenVBand="0" w:oddHBand="0" w:evenHBand="0" w:firstRowFirstColumn="0" w:firstRowLastColumn="0" w:lastRowFirstColumn="0" w:lastRowLastColumn="0"/>
              <w:rPr>
                <w:noProof/>
              </w:rPr>
            </w:pPr>
            <w:r>
              <w:rPr>
                <w:noProof/>
              </w:rPr>
              <w:t>Percentage Central and Eastern Europe</w:t>
            </w:r>
          </w:p>
        </w:tc>
        <w:tc>
          <w:tcPr>
            <w:tcW w:w="2075" w:type="dxa"/>
          </w:tcPr>
          <w:p>
            <w:pPr>
              <w:spacing w:after="160" w:line="259" w:lineRule="auto"/>
              <w:cnfStyle w:val="100000000000" w:firstRow="1" w:lastRow="0" w:firstColumn="0" w:lastColumn="0" w:oddVBand="0" w:evenVBand="0" w:oddHBand="0" w:evenHBand="0" w:firstRowFirstColumn="0" w:firstRowLastColumn="0" w:lastRowFirstColumn="0" w:lastRowLastColumn="0"/>
              <w:rPr>
                <w:noProof/>
              </w:rPr>
            </w:pPr>
            <w:r>
              <w:rPr>
                <w:noProof/>
              </w:rPr>
              <w:t>Number of nationalities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3" w:type="dxa"/>
          </w:tcPr>
          <w:p>
            <w:pPr>
              <w:spacing w:after="160" w:line="259" w:lineRule="auto"/>
              <w:jc w:val="both"/>
              <w:rPr>
                <w:noProof/>
              </w:rPr>
            </w:pPr>
            <w:r>
              <w:rPr>
                <w:noProof/>
              </w:rPr>
              <w:t>EFRAG Board</w:t>
            </w:r>
          </w:p>
        </w:tc>
        <w:tc>
          <w:tcPr>
            <w:tcW w:w="1343" w:type="dxa"/>
          </w:tcPr>
          <w:p>
            <w:pPr>
              <w:spacing w:after="160" w:line="259" w:lineRule="auto"/>
              <w:jc w:val="both"/>
              <w:cnfStyle w:val="000000100000" w:firstRow="0" w:lastRow="0" w:firstColumn="0" w:lastColumn="0" w:oddVBand="0" w:evenVBand="0" w:oddHBand="1" w:evenHBand="0" w:firstRowFirstColumn="0" w:firstRowLastColumn="0" w:lastRowFirstColumn="0" w:lastRowLastColumn="0"/>
              <w:rPr>
                <w:noProof/>
              </w:rPr>
            </w:pPr>
            <w:r>
              <w:rPr>
                <w:noProof/>
              </w:rPr>
              <w:t>76%</w:t>
            </w:r>
          </w:p>
        </w:tc>
        <w:tc>
          <w:tcPr>
            <w:tcW w:w="1351" w:type="dxa"/>
          </w:tcPr>
          <w:p>
            <w:pPr>
              <w:spacing w:after="160" w:line="259" w:lineRule="auto"/>
              <w:jc w:val="both"/>
              <w:cnfStyle w:val="000000100000" w:firstRow="0" w:lastRow="0" w:firstColumn="0" w:lastColumn="0" w:oddVBand="0" w:evenVBand="0" w:oddHBand="1" w:evenHBand="0" w:firstRowFirstColumn="0" w:firstRowLastColumn="0" w:lastRowFirstColumn="0" w:lastRowLastColumn="0"/>
              <w:rPr>
                <w:noProof/>
              </w:rPr>
            </w:pPr>
            <w:r>
              <w:rPr>
                <w:noProof/>
              </w:rPr>
              <w:t>24%</w:t>
            </w:r>
          </w:p>
        </w:tc>
        <w:tc>
          <w:tcPr>
            <w:tcW w:w="1984" w:type="dxa"/>
          </w:tcPr>
          <w:p>
            <w:pPr>
              <w:spacing w:after="160" w:line="259" w:lineRule="auto"/>
              <w:jc w:val="both"/>
              <w:cnfStyle w:val="000000100000" w:firstRow="0" w:lastRow="0" w:firstColumn="0" w:lastColumn="0" w:oddVBand="0" w:evenVBand="0" w:oddHBand="1" w:evenHBand="0" w:firstRowFirstColumn="0" w:firstRowLastColumn="0" w:lastRowFirstColumn="0" w:lastRowLastColumn="0"/>
              <w:rPr>
                <w:noProof/>
              </w:rPr>
            </w:pPr>
            <w:r>
              <w:rPr>
                <w:noProof/>
              </w:rPr>
              <w:t>0%</w:t>
            </w:r>
          </w:p>
        </w:tc>
        <w:tc>
          <w:tcPr>
            <w:tcW w:w="2075" w:type="dxa"/>
          </w:tcPr>
          <w:p>
            <w:pPr>
              <w:spacing w:after="160" w:line="259" w:lineRule="auto"/>
              <w:jc w:val="both"/>
              <w:cnfStyle w:val="000000100000" w:firstRow="0" w:lastRow="0" w:firstColumn="0" w:lastColumn="0" w:oddVBand="0" w:evenVBand="0" w:oddHBand="1" w:evenHBand="0" w:firstRowFirstColumn="0" w:firstRowLastColumn="0" w:lastRowFirstColumn="0" w:lastRowLastColumn="0"/>
              <w:rPr>
                <w:noProof/>
              </w:rPr>
            </w:pPr>
          </w:p>
        </w:tc>
      </w:tr>
      <w:tr>
        <w:tc>
          <w:tcPr>
            <w:cnfStyle w:val="001000000000" w:firstRow="0" w:lastRow="0" w:firstColumn="1" w:lastColumn="0" w:oddVBand="0" w:evenVBand="0" w:oddHBand="0" w:evenHBand="0" w:firstRowFirstColumn="0" w:firstRowLastColumn="0" w:lastRowFirstColumn="0" w:lastRowLastColumn="0"/>
            <w:tcW w:w="2013" w:type="dxa"/>
          </w:tcPr>
          <w:p>
            <w:pPr>
              <w:spacing w:after="160" w:line="259" w:lineRule="auto"/>
              <w:jc w:val="both"/>
              <w:rPr>
                <w:noProof/>
              </w:rPr>
            </w:pPr>
            <w:r>
              <w:rPr>
                <w:noProof/>
              </w:rPr>
              <w:t>EFRAG TEG</w:t>
            </w:r>
          </w:p>
        </w:tc>
        <w:tc>
          <w:tcPr>
            <w:tcW w:w="1343" w:type="dxa"/>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noProof/>
              </w:rPr>
            </w:pPr>
            <w:r>
              <w:rPr>
                <w:noProof/>
              </w:rPr>
              <w:t xml:space="preserve">87% </w:t>
            </w:r>
            <w:r>
              <w:rPr>
                <w:noProof/>
                <w:sz w:val="20"/>
                <w:szCs w:val="20"/>
              </w:rPr>
              <w:t>(from 1 April 2019 81%)</w:t>
            </w:r>
          </w:p>
        </w:tc>
        <w:tc>
          <w:tcPr>
            <w:tcW w:w="1351" w:type="dxa"/>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noProof/>
              </w:rPr>
            </w:pPr>
            <w:r>
              <w:rPr>
                <w:noProof/>
              </w:rPr>
              <w:t xml:space="preserve">13% </w:t>
            </w:r>
            <w:r>
              <w:rPr>
                <w:noProof/>
                <w:sz w:val="20"/>
                <w:szCs w:val="20"/>
              </w:rPr>
              <w:t>(from 1 April 2019 19%)</w:t>
            </w:r>
          </w:p>
        </w:tc>
        <w:tc>
          <w:tcPr>
            <w:tcW w:w="1984" w:type="dxa"/>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noProof/>
              </w:rPr>
            </w:pPr>
            <w:r>
              <w:rPr>
                <w:noProof/>
              </w:rPr>
              <w:t xml:space="preserve">6% </w:t>
            </w:r>
            <w:r>
              <w:rPr>
                <w:noProof/>
                <w:sz w:val="20"/>
                <w:szCs w:val="20"/>
              </w:rPr>
              <w:t>(from 1 April 2019 0%)</w:t>
            </w:r>
          </w:p>
        </w:tc>
        <w:tc>
          <w:tcPr>
            <w:tcW w:w="2075" w:type="dxa"/>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noProof/>
              </w:rPr>
            </w:pPr>
            <w:r>
              <w:rPr>
                <w:noProof/>
              </w:rPr>
              <w:t xml:space="preserve">10 </w:t>
            </w:r>
            <w:r>
              <w:rPr>
                <w:noProof/>
                <w:sz w:val="20"/>
                <w:szCs w:val="20"/>
              </w:rPr>
              <w:t>(from 1 April 2019 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3" w:type="dxa"/>
          </w:tcPr>
          <w:p>
            <w:pPr>
              <w:spacing w:after="160" w:line="259" w:lineRule="auto"/>
              <w:rPr>
                <w:noProof/>
              </w:rPr>
            </w:pPr>
            <w:r>
              <w:rPr>
                <w:noProof/>
              </w:rPr>
              <w:t>EFRAG TEG working groups and Advisory Panels</w:t>
            </w:r>
          </w:p>
        </w:tc>
        <w:tc>
          <w:tcPr>
            <w:tcW w:w="1343" w:type="dxa"/>
          </w:tcPr>
          <w:p>
            <w:pPr>
              <w:spacing w:after="160" w:line="259" w:lineRule="auto"/>
              <w:jc w:val="both"/>
              <w:cnfStyle w:val="000000100000" w:firstRow="0" w:lastRow="0" w:firstColumn="0" w:lastColumn="0" w:oddVBand="0" w:evenVBand="0" w:oddHBand="1" w:evenHBand="0" w:firstRowFirstColumn="0" w:firstRowLastColumn="0" w:lastRowFirstColumn="0" w:lastRowLastColumn="0"/>
              <w:rPr>
                <w:noProof/>
              </w:rPr>
            </w:pPr>
            <w:r>
              <w:rPr>
                <w:noProof/>
              </w:rPr>
              <w:t>79%</w:t>
            </w:r>
          </w:p>
        </w:tc>
        <w:tc>
          <w:tcPr>
            <w:tcW w:w="1351" w:type="dxa"/>
          </w:tcPr>
          <w:p>
            <w:pPr>
              <w:spacing w:after="160" w:line="259" w:lineRule="auto"/>
              <w:jc w:val="both"/>
              <w:cnfStyle w:val="000000100000" w:firstRow="0" w:lastRow="0" w:firstColumn="0" w:lastColumn="0" w:oddVBand="0" w:evenVBand="0" w:oddHBand="1" w:evenHBand="0" w:firstRowFirstColumn="0" w:firstRowLastColumn="0" w:lastRowFirstColumn="0" w:lastRowLastColumn="0"/>
              <w:rPr>
                <w:noProof/>
              </w:rPr>
            </w:pPr>
            <w:r>
              <w:rPr>
                <w:noProof/>
              </w:rPr>
              <w:t>21%</w:t>
            </w:r>
          </w:p>
        </w:tc>
        <w:tc>
          <w:tcPr>
            <w:tcW w:w="1984" w:type="dxa"/>
          </w:tcPr>
          <w:p>
            <w:pPr>
              <w:spacing w:after="160" w:line="259" w:lineRule="auto"/>
              <w:jc w:val="both"/>
              <w:cnfStyle w:val="000000100000" w:firstRow="0" w:lastRow="0" w:firstColumn="0" w:lastColumn="0" w:oddVBand="0" w:evenVBand="0" w:oddHBand="1" w:evenHBand="0" w:firstRowFirstColumn="0" w:firstRowLastColumn="0" w:lastRowFirstColumn="0" w:lastRowLastColumn="0"/>
              <w:rPr>
                <w:noProof/>
              </w:rPr>
            </w:pPr>
            <w:r>
              <w:rPr>
                <w:noProof/>
              </w:rPr>
              <w:t>2%</w:t>
            </w:r>
          </w:p>
        </w:tc>
        <w:tc>
          <w:tcPr>
            <w:tcW w:w="2075" w:type="dxa"/>
          </w:tcPr>
          <w:p>
            <w:pPr>
              <w:spacing w:after="160" w:line="259" w:lineRule="auto"/>
              <w:jc w:val="both"/>
              <w:cnfStyle w:val="000000100000" w:firstRow="0" w:lastRow="0" w:firstColumn="0" w:lastColumn="0" w:oddVBand="0" w:evenVBand="0" w:oddHBand="1" w:evenHBand="0" w:firstRowFirstColumn="0" w:firstRowLastColumn="0" w:lastRowFirstColumn="0" w:lastRowLastColumn="0"/>
              <w:rPr>
                <w:noProof/>
              </w:rPr>
            </w:pPr>
            <w:r>
              <w:rPr>
                <w:noProof/>
              </w:rPr>
              <w:t>Between 6 and 14</w:t>
            </w:r>
          </w:p>
        </w:tc>
      </w:tr>
      <w:tr>
        <w:tc>
          <w:tcPr>
            <w:cnfStyle w:val="001000000000" w:firstRow="0" w:lastRow="0" w:firstColumn="1" w:lastColumn="0" w:oddVBand="0" w:evenVBand="0" w:oddHBand="0" w:evenHBand="0" w:firstRowFirstColumn="0" w:firstRowLastColumn="0" w:lastRowFirstColumn="0" w:lastRowLastColumn="0"/>
            <w:tcW w:w="2013" w:type="dxa"/>
          </w:tcPr>
          <w:p>
            <w:pPr>
              <w:spacing w:after="160" w:line="259" w:lineRule="auto"/>
              <w:rPr>
                <w:noProof/>
              </w:rPr>
            </w:pPr>
            <w:r>
              <w:rPr>
                <w:noProof/>
              </w:rPr>
              <w:t>European Lab Steering Group</w:t>
            </w:r>
          </w:p>
        </w:tc>
        <w:tc>
          <w:tcPr>
            <w:tcW w:w="1343" w:type="dxa"/>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noProof/>
              </w:rPr>
            </w:pPr>
            <w:r>
              <w:rPr>
                <w:noProof/>
              </w:rPr>
              <w:t>59%</w:t>
            </w:r>
          </w:p>
        </w:tc>
        <w:tc>
          <w:tcPr>
            <w:tcW w:w="1351" w:type="dxa"/>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noProof/>
              </w:rPr>
            </w:pPr>
            <w:r>
              <w:rPr>
                <w:noProof/>
              </w:rPr>
              <w:t>41%</w:t>
            </w:r>
          </w:p>
        </w:tc>
        <w:tc>
          <w:tcPr>
            <w:tcW w:w="1984" w:type="dxa"/>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noProof/>
              </w:rPr>
            </w:pPr>
            <w:r>
              <w:rPr>
                <w:noProof/>
              </w:rPr>
              <w:t>12%</w:t>
            </w:r>
          </w:p>
        </w:tc>
        <w:tc>
          <w:tcPr>
            <w:tcW w:w="2075" w:type="dxa"/>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noProof/>
              </w:rPr>
            </w:pPr>
            <w:r>
              <w:rPr>
                <w:noProof/>
              </w:rPr>
              <w:t>13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3" w:type="dxa"/>
          </w:tcPr>
          <w:p>
            <w:pPr>
              <w:spacing w:after="160" w:line="259" w:lineRule="auto"/>
              <w:rPr>
                <w:noProof/>
              </w:rPr>
            </w:pPr>
            <w:r>
              <w:rPr>
                <w:noProof/>
              </w:rPr>
              <w:t>European Lab Project Task Force</w:t>
            </w:r>
          </w:p>
        </w:tc>
        <w:tc>
          <w:tcPr>
            <w:tcW w:w="1343" w:type="dxa"/>
          </w:tcPr>
          <w:p>
            <w:pPr>
              <w:spacing w:after="160" w:line="259" w:lineRule="auto"/>
              <w:jc w:val="both"/>
              <w:cnfStyle w:val="000000100000" w:firstRow="0" w:lastRow="0" w:firstColumn="0" w:lastColumn="0" w:oddVBand="0" w:evenVBand="0" w:oddHBand="1" w:evenHBand="0" w:firstRowFirstColumn="0" w:firstRowLastColumn="0" w:lastRowFirstColumn="0" w:lastRowLastColumn="0"/>
              <w:rPr>
                <w:noProof/>
              </w:rPr>
            </w:pPr>
            <w:r>
              <w:rPr>
                <w:noProof/>
              </w:rPr>
              <w:t>52%</w:t>
            </w:r>
          </w:p>
        </w:tc>
        <w:tc>
          <w:tcPr>
            <w:tcW w:w="1351" w:type="dxa"/>
          </w:tcPr>
          <w:p>
            <w:pPr>
              <w:spacing w:after="160" w:line="259" w:lineRule="auto"/>
              <w:jc w:val="both"/>
              <w:cnfStyle w:val="000000100000" w:firstRow="0" w:lastRow="0" w:firstColumn="0" w:lastColumn="0" w:oddVBand="0" w:evenVBand="0" w:oddHBand="1" w:evenHBand="0" w:firstRowFirstColumn="0" w:firstRowLastColumn="0" w:lastRowFirstColumn="0" w:lastRowLastColumn="0"/>
              <w:rPr>
                <w:noProof/>
              </w:rPr>
            </w:pPr>
            <w:r>
              <w:rPr>
                <w:noProof/>
              </w:rPr>
              <w:t>48%</w:t>
            </w:r>
          </w:p>
        </w:tc>
        <w:tc>
          <w:tcPr>
            <w:tcW w:w="1984" w:type="dxa"/>
          </w:tcPr>
          <w:p>
            <w:pPr>
              <w:spacing w:after="160" w:line="259" w:lineRule="auto"/>
              <w:jc w:val="both"/>
              <w:cnfStyle w:val="000000100000" w:firstRow="0" w:lastRow="0" w:firstColumn="0" w:lastColumn="0" w:oddVBand="0" w:evenVBand="0" w:oddHBand="1" w:evenHBand="0" w:firstRowFirstColumn="0" w:firstRowLastColumn="0" w:lastRowFirstColumn="0" w:lastRowLastColumn="0"/>
              <w:rPr>
                <w:noProof/>
              </w:rPr>
            </w:pPr>
            <w:r>
              <w:rPr>
                <w:noProof/>
              </w:rPr>
              <w:t>13%</w:t>
            </w:r>
          </w:p>
        </w:tc>
        <w:tc>
          <w:tcPr>
            <w:tcW w:w="2075" w:type="dxa"/>
          </w:tcPr>
          <w:p>
            <w:pPr>
              <w:spacing w:after="160" w:line="259" w:lineRule="auto"/>
              <w:jc w:val="both"/>
              <w:cnfStyle w:val="000000100000" w:firstRow="0" w:lastRow="0" w:firstColumn="0" w:lastColumn="0" w:oddVBand="0" w:evenVBand="0" w:oddHBand="1" w:evenHBand="0" w:firstRowFirstColumn="0" w:firstRowLastColumn="0" w:lastRowFirstColumn="0" w:lastRowLastColumn="0"/>
              <w:rPr>
                <w:noProof/>
              </w:rPr>
            </w:pPr>
            <w:r>
              <w:rPr>
                <w:noProof/>
              </w:rPr>
              <w:t>13</w:t>
            </w:r>
          </w:p>
        </w:tc>
      </w:tr>
    </w:tbl>
    <w:p>
      <w:pPr>
        <w:autoSpaceDE w:val="0"/>
        <w:autoSpaceDN w:val="0"/>
        <w:adjustRightInd w:val="0"/>
        <w:spacing w:after="0"/>
        <w:ind w:left="142"/>
        <w:jc w:val="both"/>
        <w:rPr>
          <w:noProof/>
          <w:lang w:val="fr-BE" w:eastAsia="en-GB"/>
        </w:rPr>
      </w:pPr>
      <w:r>
        <w:rPr>
          <w:rFonts w:ascii="Times New Roman" w:hAnsi="Times New Roman"/>
          <w:i/>
          <w:noProof/>
          <w:sz w:val="24"/>
          <w:szCs w:val="24"/>
          <w:lang w:eastAsia="en-GB"/>
        </w:rPr>
        <w:t>Source: EFRAG</w:t>
      </w:r>
    </w:p>
    <w:p>
      <w:pPr>
        <w:autoSpaceDE w:val="0"/>
        <w:autoSpaceDN w:val="0"/>
        <w:adjustRightInd w:val="0"/>
        <w:spacing w:after="0"/>
        <w:jc w:val="both"/>
        <w:rPr>
          <w:noProof/>
          <w:lang w:eastAsia="en-GB"/>
        </w:rPr>
      </w:pPr>
    </w:p>
    <w:p>
      <w:pPr>
        <w:autoSpaceDE w:val="0"/>
        <w:autoSpaceDN w:val="0"/>
        <w:adjustRightInd w:val="0"/>
        <w:spacing w:after="0"/>
        <w:jc w:val="both"/>
        <w:rPr>
          <w:noProof/>
          <w:lang w:eastAsia="en-GB"/>
        </w:rPr>
      </w:pPr>
    </w:p>
    <w:p>
      <w:pPr>
        <w:autoSpaceDE w:val="0"/>
        <w:autoSpaceDN w:val="0"/>
        <w:adjustRightInd w:val="0"/>
        <w:spacing w:after="0"/>
        <w:jc w:val="both"/>
        <w:rPr>
          <w:noProof/>
          <w:lang w:eastAsia="en-GB"/>
        </w:rPr>
      </w:pPr>
    </w:p>
    <w:p>
      <w:pPr>
        <w:autoSpaceDE w:val="0"/>
        <w:autoSpaceDN w:val="0"/>
        <w:adjustRightInd w:val="0"/>
        <w:spacing w:after="0"/>
        <w:jc w:val="both"/>
        <w:rPr>
          <w:noProof/>
          <w:lang w:eastAsia="en-GB"/>
        </w:rPr>
      </w:pPr>
    </w:p>
    <w:p>
      <w:pPr>
        <w:autoSpaceDE w:val="0"/>
        <w:autoSpaceDN w:val="0"/>
        <w:adjustRightInd w:val="0"/>
        <w:spacing w:after="0"/>
        <w:jc w:val="both"/>
        <w:rPr>
          <w:noProof/>
          <w:lang w:eastAsia="en-GB"/>
        </w:rPr>
      </w:pPr>
    </w:p>
    <w:p>
      <w:pPr>
        <w:autoSpaceDE w:val="0"/>
        <w:autoSpaceDN w:val="0"/>
        <w:adjustRightInd w:val="0"/>
        <w:spacing w:after="0"/>
        <w:jc w:val="both"/>
        <w:rPr>
          <w:noProof/>
          <w:lang w:eastAsia="en-GB"/>
        </w:rPr>
      </w:pPr>
    </w:p>
    <w:p>
      <w:pPr>
        <w:autoSpaceDE w:val="0"/>
        <w:autoSpaceDN w:val="0"/>
        <w:adjustRightInd w:val="0"/>
        <w:spacing w:after="0"/>
        <w:jc w:val="both"/>
        <w:rPr>
          <w:noProof/>
          <w:lang w:eastAsia="en-GB"/>
        </w:rPr>
      </w:pPr>
    </w:p>
    <w:p>
      <w:pPr>
        <w:autoSpaceDE w:val="0"/>
        <w:autoSpaceDN w:val="0"/>
        <w:adjustRightInd w:val="0"/>
        <w:spacing w:after="0"/>
        <w:jc w:val="both"/>
        <w:rPr>
          <w:noProof/>
          <w:lang w:eastAsia="en-GB"/>
        </w:rPr>
      </w:pPr>
    </w:p>
    <w:p>
      <w:pPr>
        <w:autoSpaceDE w:val="0"/>
        <w:autoSpaceDN w:val="0"/>
        <w:adjustRightInd w:val="0"/>
        <w:spacing w:after="0"/>
        <w:jc w:val="both"/>
        <w:rPr>
          <w:noProof/>
          <w:lang w:eastAsia="en-GB"/>
        </w:rPr>
      </w:pPr>
    </w:p>
    <w:p>
      <w:pPr>
        <w:autoSpaceDE w:val="0"/>
        <w:autoSpaceDN w:val="0"/>
        <w:adjustRightInd w:val="0"/>
        <w:spacing w:after="0"/>
        <w:jc w:val="both"/>
        <w:rPr>
          <w:noProof/>
          <w:lang w:eastAsia="en-GB"/>
        </w:rPr>
      </w:pPr>
    </w:p>
    <w:p>
      <w:pPr>
        <w:autoSpaceDE w:val="0"/>
        <w:autoSpaceDN w:val="0"/>
        <w:adjustRightInd w:val="0"/>
        <w:spacing w:after="0"/>
        <w:jc w:val="both"/>
        <w:rPr>
          <w:noProof/>
          <w:lang w:eastAsia="en-GB"/>
        </w:rPr>
      </w:pPr>
    </w:p>
    <w:p>
      <w:pPr>
        <w:autoSpaceDE w:val="0"/>
        <w:autoSpaceDN w:val="0"/>
        <w:adjustRightInd w:val="0"/>
        <w:spacing w:after="0"/>
        <w:jc w:val="both"/>
        <w:rPr>
          <w:noProof/>
          <w:lang w:eastAsia="en-GB"/>
        </w:rPr>
      </w:pPr>
    </w:p>
    <w:p>
      <w:pPr>
        <w:autoSpaceDE w:val="0"/>
        <w:autoSpaceDN w:val="0"/>
        <w:adjustRightInd w:val="0"/>
        <w:spacing w:after="0"/>
        <w:jc w:val="both"/>
        <w:rPr>
          <w:noProof/>
          <w:lang w:eastAsia="en-GB"/>
        </w:rPr>
      </w:pPr>
    </w:p>
    <w:p>
      <w:pPr>
        <w:autoSpaceDE w:val="0"/>
        <w:autoSpaceDN w:val="0"/>
        <w:adjustRightInd w:val="0"/>
        <w:spacing w:after="0"/>
        <w:jc w:val="both"/>
        <w:rPr>
          <w:noProof/>
          <w:lang w:eastAsia="en-GB"/>
        </w:rPr>
      </w:pPr>
    </w:p>
    <w:p>
      <w:pPr>
        <w:autoSpaceDE w:val="0"/>
        <w:autoSpaceDN w:val="0"/>
        <w:adjustRightInd w:val="0"/>
        <w:spacing w:after="0"/>
        <w:jc w:val="both"/>
        <w:rPr>
          <w:noProof/>
          <w:lang w:eastAsia="en-GB"/>
        </w:rPr>
      </w:pPr>
    </w:p>
    <w:p>
      <w:pPr>
        <w:autoSpaceDE w:val="0"/>
        <w:autoSpaceDN w:val="0"/>
        <w:adjustRightInd w:val="0"/>
        <w:spacing w:after="0"/>
        <w:jc w:val="both"/>
        <w:rPr>
          <w:noProof/>
          <w:lang w:eastAsia="en-GB"/>
        </w:rPr>
      </w:pPr>
    </w:p>
    <w:p>
      <w:pPr>
        <w:autoSpaceDE w:val="0"/>
        <w:autoSpaceDN w:val="0"/>
        <w:adjustRightInd w:val="0"/>
        <w:spacing w:after="0"/>
        <w:jc w:val="both"/>
        <w:rPr>
          <w:noProof/>
          <w:lang w:eastAsia="en-GB"/>
        </w:rPr>
      </w:pPr>
    </w:p>
    <w:p>
      <w:pPr>
        <w:autoSpaceDE w:val="0"/>
        <w:autoSpaceDN w:val="0"/>
        <w:adjustRightInd w:val="0"/>
        <w:spacing w:after="0"/>
        <w:jc w:val="both"/>
        <w:rPr>
          <w:noProof/>
          <w:lang w:eastAsia="en-GB"/>
        </w:rPr>
      </w:pPr>
    </w:p>
    <w:p>
      <w:pPr>
        <w:autoSpaceDE w:val="0"/>
        <w:autoSpaceDN w:val="0"/>
        <w:adjustRightInd w:val="0"/>
        <w:spacing w:after="0"/>
        <w:jc w:val="both"/>
        <w:rPr>
          <w:noProof/>
          <w:lang w:eastAsia="en-GB"/>
        </w:rPr>
      </w:pPr>
    </w:p>
    <w:p>
      <w:pPr>
        <w:autoSpaceDE w:val="0"/>
        <w:autoSpaceDN w:val="0"/>
        <w:adjustRightInd w:val="0"/>
        <w:spacing w:after="0"/>
        <w:jc w:val="both"/>
        <w:rPr>
          <w:noProof/>
          <w:lang w:eastAsia="en-GB"/>
        </w:rPr>
      </w:pPr>
    </w:p>
    <w:p>
      <w:pPr>
        <w:autoSpaceDE w:val="0"/>
        <w:autoSpaceDN w:val="0"/>
        <w:adjustRightInd w:val="0"/>
        <w:spacing w:after="0"/>
        <w:jc w:val="both"/>
        <w:rPr>
          <w:noProof/>
          <w:lang w:eastAsia="en-GB"/>
        </w:rPr>
      </w:pPr>
    </w:p>
    <w:p>
      <w:pPr>
        <w:autoSpaceDE w:val="0"/>
        <w:autoSpaceDN w:val="0"/>
        <w:adjustRightInd w:val="0"/>
        <w:spacing w:after="0"/>
        <w:jc w:val="both"/>
        <w:rPr>
          <w:noProof/>
          <w:lang w:eastAsia="en-GB"/>
        </w:rPr>
      </w:pPr>
    </w:p>
    <w:p>
      <w:pPr>
        <w:autoSpaceDE w:val="0"/>
        <w:autoSpaceDN w:val="0"/>
        <w:adjustRightInd w:val="0"/>
        <w:spacing w:after="0"/>
        <w:jc w:val="both"/>
        <w:rPr>
          <w:rFonts w:ascii="Times New Roman" w:eastAsia="Times New Roman" w:hAnsi="Times New Roman"/>
          <w:b/>
          <w:bCs/>
          <w:noProof/>
          <w:sz w:val="24"/>
          <w:szCs w:val="20"/>
          <w:lang w:eastAsia="en-GB"/>
        </w:rPr>
      </w:pPr>
      <w:r>
        <w:rPr>
          <w:rFonts w:ascii="Times New Roman" w:eastAsia="Times New Roman" w:hAnsi="Times New Roman"/>
          <w:b/>
          <w:bCs/>
          <w:noProof/>
          <w:sz w:val="24"/>
          <w:szCs w:val="20"/>
          <w:lang w:eastAsia="en-GB"/>
        </w:rPr>
        <w:t xml:space="preserve">Appendix 5 </w:t>
      </w:r>
    </w:p>
    <w:p>
      <w:pPr>
        <w:autoSpaceDE w:val="0"/>
        <w:autoSpaceDN w:val="0"/>
        <w:adjustRightInd w:val="0"/>
        <w:spacing w:after="0"/>
        <w:jc w:val="both"/>
        <w:rPr>
          <w:rFonts w:ascii="Times New Roman" w:eastAsia="Times New Roman" w:hAnsi="Times New Roman"/>
          <w:b/>
          <w:bCs/>
          <w:noProof/>
          <w:sz w:val="24"/>
          <w:szCs w:val="20"/>
          <w:lang w:eastAsia="en-GB"/>
        </w:rPr>
      </w:pPr>
    </w:p>
    <w:p>
      <w:pPr>
        <w:autoSpaceDE w:val="0"/>
        <w:autoSpaceDN w:val="0"/>
        <w:adjustRightInd w:val="0"/>
        <w:spacing w:after="0"/>
        <w:jc w:val="both"/>
        <w:rPr>
          <w:rFonts w:ascii="Times New Roman" w:eastAsia="Times New Roman" w:hAnsi="Times New Roman"/>
          <w:b/>
          <w:bCs/>
          <w:noProof/>
          <w:sz w:val="28"/>
          <w:szCs w:val="20"/>
          <w:lang w:eastAsia="en-GB"/>
        </w:rPr>
      </w:pPr>
      <w:r>
        <w:rPr>
          <w:rFonts w:ascii="Times New Roman" w:eastAsia="Times New Roman" w:hAnsi="Times New Roman"/>
          <w:b/>
          <w:bCs/>
          <w:noProof/>
          <w:sz w:val="28"/>
          <w:szCs w:val="20"/>
          <w:lang w:eastAsia="en-GB"/>
        </w:rPr>
        <w:t>PIOB Budget Diversification</w:t>
      </w:r>
    </w:p>
    <w:p>
      <w:pPr>
        <w:spacing w:after="0" w:line="240" w:lineRule="auto"/>
        <w:rPr>
          <w:rFonts w:eastAsia="Times New Roman"/>
          <w:noProof/>
        </w:rPr>
      </w:pPr>
    </w:p>
    <w:p>
      <w:pPr>
        <w:spacing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 2012, the PIOB conducted a fundraising exercise in close coordination with the MG and IFAC. As a consequence, in the following years the PIOB achieved a diversified funding base that includes sources other than IFAC. In 2018, the PIOB received contributions that amounted to EUR 1,636,302 from the following contributors:</w:t>
      </w:r>
    </w:p>
    <w:p>
      <w:pPr>
        <w:spacing w:after="0" w:line="240" w:lineRule="auto"/>
        <w:rPr>
          <w:rFonts w:ascii="Times New Roman" w:eastAsia="Times New Roman" w:hAnsi="Times New Roman"/>
          <w:noProof/>
          <w:sz w:val="24"/>
          <w:szCs w:val="24"/>
        </w:rPr>
      </w:pPr>
    </w:p>
    <w:p>
      <w:pPr>
        <w:spacing w:after="0" w:line="240" w:lineRule="auto"/>
        <w:rPr>
          <w:rFonts w:ascii="Times New Roman" w:eastAsia="Times New Roman" w:hAnsi="Times New Roman"/>
          <w:noProof/>
          <w:sz w:val="24"/>
          <w:szCs w:val="24"/>
        </w:rPr>
      </w:pPr>
    </w:p>
    <w:p>
      <w:pPr>
        <w:numPr>
          <w:ilvl w:val="0"/>
          <w:numId w:val="5"/>
        </w:numPr>
        <w:spacing w:before="120" w:after="0" w:line="240" w:lineRule="auto"/>
        <w:rPr>
          <w:rFonts w:ascii="Times New Roman" w:eastAsia="Times New Roman" w:hAnsi="Times New Roman"/>
          <w:noProof/>
          <w:sz w:val="24"/>
          <w:szCs w:val="24"/>
          <w:lang w:val="en-US"/>
        </w:rPr>
      </w:pPr>
      <w:r>
        <w:rPr>
          <w:rFonts w:ascii="Times New Roman" w:eastAsia="Times New Roman" w:hAnsi="Times New Roman"/>
          <w:noProof/>
          <w:sz w:val="24"/>
          <w:szCs w:val="24"/>
          <w:lang w:val="en-US"/>
        </w:rPr>
        <w:t xml:space="preserve">International Federation of Accountants: EUR 1,135,302 </w:t>
      </w:r>
    </w:p>
    <w:p>
      <w:pPr>
        <w:numPr>
          <w:ilvl w:val="0"/>
          <w:numId w:val="5"/>
        </w:numPr>
        <w:spacing w:before="120" w:after="0" w:line="240" w:lineRule="auto"/>
        <w:rPr>
          <w:rFonts w:ascii="Times New Roman" w:eastAsia="Times New Roman" w:hAnsi="Times New Roman"/>
          <w:noProof/>
          <w:sz w:val="24"/>
          <w:szCs w:val="24"/>
          <w:lang w:val="en-US"/>
        </w:rPr>
      </w:pPr>
      <w:r>
        <w:rPr>
          <w:rFonts w:ascii="Times New Roman" w:eastAsia="Times New Roman" w:hAnsi="Times New Roman"/>
          <w:noProof/>
          <w:sz w:val="24"/>
          <w:szCs w:val="24"/>
          <w:lang w:val="en-US"/>
        </w:rPr>
        <w:t xml:space="preserve">European Commission: EUR 331,000 </w:t>
      </w:r>
    </w:p>
    <w:p>
      <w:pPr>
        <w:numPr>
          <w:ilvl w:val="0"/>
          <w:numId w:val="5"/>
        </w:numPr>
        <w:spacing w:before="120" w:after="0" w:line="240" w:lineRule="auto"/>
        <w:rPr>
          <w:rFonts w:ascii="Times New Roman" w:eastAsia="Times New Roman" w:hAnsi="Times New Roman"/>
          <w:noProof/>
          <w:sz w:val="24"/>
          <w:szCs w:val="24"/>
          <w:lang w:val="en-US"/>
        </w:rPr>
      </w:pPr>
      <w:r>
        <w:rPr>
          <w:rFonts w:ascii="Times New Roman" w:eastAsia="Times New Roman" w:hAnsi="Times New Roman"/>
          <w:noProof/>
          <w:sz w:val="24"/>
          <w:szCs w:val="24"/>
          <w:lang w:val="en-US"/>
        </w:rPr>
        <w:t xml:space="preserve">International Organization of Securities Commissions (IOSCO): EUR 100,000 </w:t>
      </w:r>
    </w:p>
    <w:p>
      <w:pPr>
        <w:numPr>
          <w:ilvl w:val="0"/>
          <w:numId w:val="5"/>
        </w:numPr>
        <w:spacing w:before="120" w:after="0" w:line="240" w:lineRule="auto"/>
        <w:rPr>
          <w:rFonts w:ascii="Times New Roman" w:eastAsia="Times New Roman" w:hAnsi="Times New Roman"/>
          <w:noProof/>
          <w:sz w:val="24"/>
          <w:szCs w:val="24"/>
          <w:lang w:val="en-US"/>
        </w:rPr>
      </w:pPr>
      <w:r>
        <w:rPr>
          <w:rFonts w:ascii="Times New Roman" w:eastAsia="Times New Roman" w:hAnsi="Times New Roman"/>
          <w:noProof/>
          <w:sz w:val="24"/>
          <w:szCs w:val="24"/>
          <w:lang w:val="en-US"/>
        </w:rPr>
        <w:t xml:space="preserve">Financial Reporting Council: EUR 40,000 </w:t>
      </w:r>
    </w:p>
    <w:p>
      <w:pPr>
        <w:numPr>
          <w:ilvl w:val="0"/>
          <w:numId w:val="5"/>
        </w:numPr>
        <w:spacing w:before="120" w:after="0" w:line="240" w:lineRule="auto"/>
        <w:rPr>
          <w:rFonts w:ascii="Times New Roman" w:eastAsia="Times New Roman" w:hAnsi="Times New Roman"/>
          <w:noProof/>
          <w:sz w:val="24"/>
          <w:szCs w:val="24"/>
          <w:lang w:val="en-US"/>
        </w:rPr>
      </w:pPr>
      <w:r>
        <w:rPr>
          <w:rFonts w:ascii="Times New Roman" w:eastAsia="Times New Roman" w:hAnsi="Times New Roman"/>
          <w:noProof/>
          <w:sz w:val="24"/>
          <w:szCs w:val="24"/>
          <w:lang w:val="en-US"/>
        </w:rPr>
        <w:t xml:space="preserve">Bank for International Settlements: EUR 30,000 </w:t>
      </w:r>
    </w:p>
    <w:p>
      <w:pPr>
        <w:spacing w:before="120" w:after="0" w:line="240" w:lineRule="auto"/>
        <w:ind w:left="720"/>
        <w:rPr>
          <w:rFonts w:ascii="Times New Roman" w:eastAsia="Times New Roman" w:hAnsi="Times New Roman"/>
          <w:b/>
          <w:noProof/>
          <w:color w:val="1F497D"/>
          <w:sz w:val="24"/>
          <w:szCs w:val="24"/>
          <w:lang w:val="en-US"/>
        </w:rPr>
      </w:pPr>
    </w:p>
    <w:p>
      <w:pPr>
        <w:autoSpaceDE w:val="0"/>
        <w:autoSpaceDN w:val="0"/>
        <w:adjustRightInd w:val="0"/>
        <w:spacing w:after="0"/>
        <w:jc w:val="both"/>
        <w:rPr>
          <w:rFonts w:ascii="Times New Roman" w:eastAsia="Times New Roman" w:hAnsi="Times New Roman"/>
          <w:b/>
          <w:bCs/>
          <w:noProof/>
          <w:sz w:val="24"/>
          <w:szCs w:val="20"/>
          <w:lang w:eastAsia="en-GB"/>
        </w:rPr>
      </w:pPr>
      <w:r>
        <w:rPr>
          <w:rFonts w:eastAsia="Times New Roman"/>
          <w:b/>
          <w:noProof/>
          <w:color w:val="1F497D"/>
          <w:sz w:val="36"/>
        </w:rPr>
        <w:tab/>
      </w:r>
    </w:p>
    <w:p>
      <w:pPr>
        <w:autoSpaceDE w:val="0"/>
        <w:autoSpaceDN w:val="0"/>
        <w:adjustRightInd w:val="0"/>
        <w:spacing w:after="0"/>
        <w:jc w:val="both"/>
        <w:rPr>
          <w:rFonts w:ascii="Times New Roman" w:eastAsia="Times New Roman" w:hAnsi="Times New Roman"/>
          <w:b/>
          <w:bCs/>
          <w:noProof/>
          <w:sz w:val="24"/>
          <w:szCs w:val="20"/>
          <w:lang w:eastAsia="en-GB"/>
        </w:rPr>
      </w:pPr>
      <w:r>
        <w:rPr>
          <w:noProof/>
          <w:lang w:eastAsia="en-GB"/>
        </w:rPr>
        <w:drawing>
          <wp:inline distT="0" distB="0" distL="0" distR="0">
            <wp:extent cx="5184250" cy="3705307"/>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pPr>
        <w:autoSpaceDE w:val="0"/>
        <w:autoSpaceDN w:val="0"/>
        <w:adjustRightInd w:val="0"/>
        <w:spacing w:after="0"/>
        <w:jc w:val="both"/>
        <w:rPr>
          <w:rFonts w:ascii="Times New Roman" w:eastAsia="Times New Roman" w:hAnsi="Times New Roman"/>
          <w:b/>
          <w:bCs/>
          <w:noProof/>
          <w:sz w:val="24"/>
          <w:szCs w:val="20"/>
          <w:lang w:eastAsia="en-GB"/>
        </w:rPr>
      </w:pPr>
    </w:p>
    <w:p>
      <w:pPr>
        <w:autoSpaceDE w:val="0"/>
        <w:autoSpaceDN w:val="0"/>
        <w:adjustRightInd w:val="0"/>
        <w:spacing w:after="0"/>
        <w:jc w:val="both"/>
        <w:rPr>
          <w:rFonts w:ascii="Times New Roman" w:eastAsia="Times New Roman" w:hAnsi="Times New Roman"/>
          <w:b/>
          <w:bCs/>
          <w:noProof/>
          <w:sz w:val="24"/>
          <w:szCs w:val="20"/>
          <w:lang w:eastAsia="en-GB"/>
        </w:rPr>
      </w:pPr>
    </w:p>
    <w:p>
      <w:pPr>
        <w:autoSpaceDE w:val="0"/>
        <w:autoSpaceDN w:val="0"/>
        <w:adjustRightInd w:val="0"/>
        <w:spacing w:after="0"/>
        <w:jc w:val="both"/>
        <w:rPr>
          <w:rFonts w:ascii="Times New Roman" w:eastAsia="Times New Roman" w:hAnsi="Times New Roman"/>
          <w:noProof/>
          <w:sz w:val="24"/>
          <w:szCs w:val="20"/>
          <w:lang w:eastAsia="en-GB"/>
        </w:rPr>
      </w:pPr>
    </w:p>
    <w:p>
      <w:pPr>
        <w:autoSpaceDE w:val="0"/>
        <w:autoSpaceDN w:val="0"/>
        <w:adjustRightInd w:val="0"/>
        <w:spacing w:after="0"/>
        <w:jc w:val="both"/>
        <w:rPr>
          <w:rFonts w:ascii="Times New Roman" w:eastAsia="Times New Roman" w:hAnsi="Times New Roman"/>
          <w:noProof/>
          <w:sz w:val="24"/>
          <w:szCs w:val="20"/>
          <w:lang w:eastAsia="en-GB"/>
        </w:rPr>
      </w:pPr>
    </w:p>
    <w:p>
      <w:pPr>
        <w:autoSpaceDE w:val="0"/>
        <w:autoSpaceDN w:val="0"/>
        <w:adjustRightInd w:val="0"/>
        <w:spacing w:after="0"/>
        <w:jc w:val="both"/>
        <w:rPr>
          <w:rFonts w:ascii="Times New Roman" w:eastAsia="Times New Roman" w:hAnsi="Times New Roman"/>
          <w:noProof/>
          <w:sz w:val="24"/>
          <w:szCs w:val="20"/>
          <w:lang w:eastAsia="en-GB"/>
        </w:rPr>
      </w:pPr>
    </w:p>
    <w:p>
      <w:pPr>
        <w:autoSpaceDE w:val="0"/>
        <w:autoSpaceDN w:val="0"/>
        <w:adjustRightInd w:val="0"/>
        <w:spacing w:after="0"/>
        <w:jc w:val="center"/>
        <w:rPr>
          <w:rFonts w:ascii="Times New Roman" w:eastAsia="Times New Roman" w:hAnsi="Times New Roman"/>
          <w:b/>
          <w:noProof/>
          <w:sz w:val="28"/>
          <w:szCs w:val="28"/>
          <w:lang w:eastAsia="en-GB"/>
        </w:rPr>
      </w:pPr>
      <w:r>
        <w:rPr>
          <w:rFonts w:ascii="Times New Roman" w:eastAsia="Times New Roman" w:hAnsi="Times New Roman"/>
          <w:b/>
          <w:noProof/>
          <w:sz w:val="28"/>
          <w:szCs w:val="28"/>
          <w:lang w:eastAsia="en-GB"/>
        </w:rPr>
        <w:t>Annex</w:t>
      </w:r>
    </w:p>
    <w:p>
      <w:pPr>
        <w:autoSpaceDE w:val="0"/>
        <w:autoSpaceDN w:val="0"/>
        <w:adjustRightInd w:val="0"/>
        <w:spacing w:after="0"/>
        <w:jc w:val="center"/>
        <w:rPr>
          <w:rFonts w:ascii="Times New Roman" w:eastAsia="Times New Roman" w:hAnsi="Times New Roman"/>
          <w:noProof/>
          <w:sz w:val="24"/>
          <w:szCs w:val="20"/>
          <w:lang w:eastAsia="en-GB"/>
        </w:rPr>
      </w:pPr>
    </w:p>
    <w:p>
      <w:pPr>
        <w:autoSpaceDE w:val="0"/>
        <w:autoSpaceDN w:val="0"/>
        <w:adjustRightInd w:val="0"/>
        <w:spacing w:after="0"/>
        <w:jc w:val="center"/>
        <w:rPr>
          <w:rFonts w:ascii="Times New Roman" w:eastAsia="Times New Roman" w:hAnsi="Times New Roman"/>
          <w:noProof/>
          <w:sz w:val="28"/>
          <w:szCs w:val="20"/>
          <w:lang w:eastAsia="en-GB"/>
        </w:rPr>
      </w:pPr>
      <w:r>
        <w:rPr>
          <w:rFonts w:ascii="Times New Roman" w:eastAsia="Times New Roman" w:hAnsi="Times New Roman"/>
          <w:noProof/>
          <w:sz w:val="28"/>
          <w:szCs w:val="20"/>
          <w:lang w:eastAsia="en-GB"/>
        </w:rPr>
        <w:t xml:space="preserve">Interim appraisal of the programme </w:t>
      </w:r>
    </w:p>
    <w:p>
      <w:pPr>
        <w:autoSpaceDE w:val="0"/>
        <w:autoSpaceDN w:val="0"/>
        <w:adjustRightInd w:val="0"/>
        <w:spacing w:after="0"/>
        <w:jc w:val="center"/>
        <w:rPr>
          <w:rFonts w:ascii="Times New Roman" w:eastAsia="Times New Roman" w:hAnsi="Times New Roman"/>
          <w:noProof/>
          <w:sz w:val="24"/>
          <w:szCs w:val="20"/>
          <w:lang w:eastAsia="en-GB"/>
        </w:rPr>
      </w:pPr>
    </w:p>
    <w:p>
      <w:pPr>
        <w:pStyle w:val="ManualHeading1"/>
        <w:rPr>
          <w:noProof/>
        </w:rPr>
      </w:pPr>
      <w:r>
        <w:rPr>
          <w:noProof/>
        </w:rPr>
        <w:t>1.</w:t>
      </w:r>
      <w:r>
        <w:rPr>
          <w:noProof/>
        </w:rPr>
        <w:tab/>
        <w:t>Executive summary</w:t>
      </w:r>
    </w:p>
    <w:p>
      <w:pPr>
        <w:spacing w:before="120" w:after="120"/>
        <w:jc w:val="both"/>
        <w:rPr>
          <w:rFonts w:ascii="Times New Roman" w:eastAsia="Times New Roman" w:hAnsi="Times New Roman"/>
          <w:noProof/>
          <w:sz w:val="24"/>
          <w:szCs w:val="20"/>
          <w:lang w:eastAsia="en-GB"/>
        </w:rPr>
      </w:pPr>
      <w:r>
        <w:rPr>
          <w:rFonts w:ascii="Times New Roman" w:eastAsia="Times New Roman" w:hAnsi="Times New Roman"/>
          <w:noProof/>
          <w:sz w:val="24"/>
          <w:szCs w:val="20"/>
          <w:lang w:eastAsia="en-GB"/>
        </w:rPr>
        <w:t xml:space="preserve">This annex represents an interim appraisal of the funding programme to support specific activities in the field of financial reporting and auditing. It assesses the progress of the programme towards its objectives over the period 2014-2019. </w:t>
      </w:r>
    </w:p>
    <w:p>
      <w:pPr>
        <w:autoSpaceDE w:val="0"/>
        <w:autoSpaceDN w:val="0"/>
        <w:adjustRightInd w:val="0"/>
        <w:spacing w:after="0"/>
        <w:jc w:val="both"/>
        <w:rPr>
          <w:rFonts w:ascii="Times New Roman" w:eastAsia="Times New Roman" w:hAnsi="Times New Roman"/>
          <w:noProof/>
          <w:sz w:val="24"/>
          <w:szCs w:val="20"/>
          <w:lang w:eastAsia="en-GB"/>
        </w:rPr>
      </w:pPr>
      <w:r>
        <w:rPr>
          <w:rFonts w:ascii="Times New Roman" w:eastAsia="Times New Roman" w:hAnsi="Times New Roman"/>
          <w:noProof/>
          <w:sz w:val="24"/>
          <w:szCs w:val="20"/>
          <w:lang w:eastAsia="en-GB"/>
        </w:rPr>
        <w:t>It appraises the overall pertinence and coherence of the Programme, the effectiveness of its execution and the overall and individual effectiveness of the beneficiaries’ work programme in terms of achieving the objective referred to in Article 2 of Regulation 258/2014 to improve the conditions for an efficient functioning of the internal market by supporting the transparent and independent development of international financial reporting and auditing standards.</w:t>
      </w:r>
    </w:p>
    <w:p>
      <w:pPr>
        <w:spacing w:before="120" w:after="120"/>
        <w:jc w:val="both"/>
        <w:rPr>
          <w:rFonts w:ascii="Times New Roman" w:eastAsia="Times New Roman" w:hAnsi="Times New Roman"/>
          <w:noProof/>
          <w:sz w:val="24"/>
          <w:szCs w:val="20"/>
          <w:lang w:eastAsia="en-GB"/>
        </w:rPr>
      </w:pPr>
      <w:r>
        <w:rPr>
          <w:rFonts w:ascii="Times New Roman" w:eastAsia="Times New Roman" w:hAnsi="Times New Roman"/>
          <w:noProof/>
          <w:sz w:val="24"/>
          <w:szCs w:val="20"/>
          <w:lang w:eastAsia="en-GB"/>
        </w:rPr>
        <w:t xml:space="preserve">The assessment finds that the funding programme contributed to the intended objective during the period under review and remains both relevant in light of the changes in the European framework for corporate reporting and consistent with other political priorities pursued by the European Union. </w:t>
      </w:r>
    </w:p>
    <w:p>
      <w:pPr>
        <w:spacing w:before="120" w:after="120"/>
        <w:jc w:val="both"/>
        <w:rPr>
          <w:rFonts w:ascii="Times New Roman" w:eastAsia="Times New Roman" w:hAnsi="Times New Roman"/>
          <w:noProof/>
          <w:sz w:val="24"/>
          <w:szCs w:val="20"/>
          <w:lang w:eastAsia="en-GB"/>
        </w:rPr>
      </w:pPr>
      <w:r>
        <w:rPr>
          <w:rFonts w:ascii="Times New Roman" w:eastAsia="Times New Roman" w:hAnsi="Times New Roman"/>
          <w:noProof/>
          <w:sz w:val="24"/>
          <w:szCs w:val="20"/>
          <w:lang w:eastAsia="en-GB"/>
        </w:rPr>
        <w:t>However, the interim appraisal also identifies new challenges that have emerged as part of the European Action Plan on Financing Sustainable Growth, which will require stricter scrutiny of sustainability impacts as part of the endorsement activities of EFRAG. This to compensate the fact that the IFRS Foundation limits its considerations on IFRS standard setting to reporting financial performance without a mandatory assessment of the broader impact of IFRS on the economy, or sustainability.</w:t>
      </w:r>
    </w:p>
    <w:p>
      <w:pPr>
        <w:spacing w:before="120" w:after="120"/>
        <w:jc w:val="both"/>
        <w:rPr>
          <w:rFonts w:ascii="Times New Roman" w:eastAsia="Times New Roman" w:hAnsi="Times New Roman"/>
          <w:noProof/>
          <w:sz w:val="24"/>
          <w:szCs w:val="20"/>
          <w:lang w:eastAsia="en-GB"/>
        </w:rPr>
      </w:pPr>
      <w:r>
        <w:rPr>
          <w:rFonts w:ascii="Times New Roman" w:eastAsia="Times New Roman" w:hAnsi="Times New Roman"/>
          <w:noProof/>
          <w:sz w:val="24"/>
          <w:szCs w:val="20"/>
          <w:lang w:eastAsia="en-GB"/>
        </w:rPr>
        <w:t>The interim appraisal observes that this new policy objective has already widened the scope of the endorsement and research activities of EFRAG which recently undertook two major ad hoc projects upon the request of the Commission in order to assess the consequences of IFRS standards on long term equity investements and identify possible improvements in order to foster long-termism in investment behaviour. As regards the PIOB, the Commission services evoke the need to arrive at a more diversified fund base.</w:t>
      </w:r>
    </w:p>
    <w:p>
      <w:pPr>
        <w:autoSpaceDE w:val="0"/>
        <w:autoSpaceDN w:val="0"/>
        <w:adjustRightInd w:val="0"/>
        <w:spacing w:after="0"/>
        <w:jc w:val="both"/>
        <w:rPr>
          <w:rFonts w:ascii="Times New Roman" w:eastAsia="Times New Roman" w:hAnsi="Times New Roman"/>
          <w:noProof/>
          <w:sz w:val="24"/>
          <w:szCs w:val="20"/>
          <w:lang w:eastAsia="en-GB"/>
        </w:rPr>
      </w:pPr>
      <w:r>
        <w:rPr>
          <w:rFonts w:ascii="Times New Roman" w:eastAsia="Times New Roman" w:hAnsi="Times New Roman"/>
          <w:noProof/>
          <w:sz w:val="24"/>
          <w:szCs w:val="20"/>
          <w:lang w:eastAsia="en-GB"/>
        </w:rPr>
        <w:t xml:space="preserve">In conclusion, the Commission Services found that the current EU co-financing has, so far, met the expectations and should be continued in the next multiannual financial framework of 2021-2027. It should especially secure appropriate funding to enable EFRAG to carry out its new additional mission on sustainability.   </w:t>
      </w:r>
    </w:p>
    <w:p>
      <w:pPr>
        <w:pStyle w:val="ManualHeading1"/>
        <w:rPr>
          <w:noProof/>
        </w:rPr>
      </w:pPr>
      <w:bookmarkStart w:id="37" w:name="_Toc536199103"/>
      <w:r>
        <w:rPr>
          <w:noProof/>
        </w:rPr>
        <w:t>2.</w:t>
      </w:r>
      <w:r>
        <w:rPr>
          <w:noProof/>
        </w:rPr>
        <w:tab/>
        <w:t>Introduction</w:t>
      </w:r>
      <w:bookmarkEnd w:id="37"/>
    </w:p>
    <w:p>
      <w:pPr>
        <w:pStyle w:val="ManualHeading1"/>
        <w:rPr>
          <w:noProof/>
        </w:rPr>
      </w:pPr>
      <w:r>
        <w:rPr>
          <w:noProof/>
        </w:rPr>
        <w:t>2.1.</w:t>
      </w:r>
      <w:r>
        <w:rPr>
          <w:noProof/>
        </w:rPr>
        <w:tab/>
        <w:t>Purpose of the interim assessment</w:t>
      </w:r>
    </w:p>
    <w:p>
      <w:pPr>
        <w:pStyle w:val="Heading2"/>
        <w:tabs>
          <w:tab w:val="clear" w:pos="850"/>
        </w:tabs>
        <w:ind w:left="0" w:firstLine="0"/>
        <w:jc w:val="both"/>
        <w:rPr>
          <w:rFonts w:ascii="Times New Roman" w:hAnsi="Times New Roman"/>
          <w:noProof/>
          <w:color w:val="000000"/>
          <w:sz w:val="24"/>
          <w:lang w:val="en-IE" w:eastAsia="fr-BE"/>
        </w:rPr>
      </w:pPr>
      <w:r>
        <w:rPr>
          <w:rFonts w:ascii="Times New Roman" w:hAnsi="Times New Roman"/>
          <w:b w:val="0"/>
          <w:i w:val="0"/>
          <w:noProof/>
          <w:color w:val="000000"/>
          <w:sz w:val="24"/>
          <w:lang w:val="en-IE" w:eastAsia="fr-BE"/>
        </w:rPr>
        <w:t xml:space="preserve">Article 9, paragraph 8 of Regulation 258/2014 requires the Commission to submit to the European Parliament and to the Council a report on the achievements of the Union Program to support specific activities in the field of financial reporting and auditing for the period 2014-2020. The report shall appraise at least the </w:t>
      </w:r>
      <w:r>
        <w:rPr>
          <w:rFonts w:ascii="Times New Roman" w:hAnsi="Times New Roman"/>
          <w:b w:val="0"/>
          <w:noProof/>
          <w:color w:val="000000"/>
          <w:sz w:val="24"/>
          <w:lang w:val="en-IE" w:eastAsia="fr-BE"/>
        </w:rPr>
        <w:t>overall pertinence</w:t>
      </w:r>
      <w:r>
        <w:rPr>
          <w:rFonts w:ascii="Times New Roman" w:hAnsi="Times New Roman"/>
          <w:b w:val="0"/>
          <w:i w:val="0"/>
          <w:noProof/>
          <w:color w:val="000000"/>
          <w:sz w:val="24"/>
          <w:lang w:val="en-IE" w:eastAsia="fr-BE"/>
        </w:rPr>
        <w:t xml:space="preserve"> and </w:t>
      </w:r>
      <w:r>
        <w:rPr>
          <w:rFonts w:ascii="Times New Roman" w:hAnsi="Times New Roman"/>
          <w:b w:val="0"/>
          <w:noProof/>
          <w:color w:val="000000"/>
          <w:sz w:val="24"/>
          <w:lang w:val="en-IE" w:eastAsia="fr-BE"/>
        </w:rPr>
        <w:t>coherence</w:t>
      </w:r>
      <w:r>
        <w:rPr>
          <w:rFonts w:ascii="Times New Roman" w:hAnsi="Times New Roman"/>
          <w:b w:val="0"/>
          <w:i w:val="0"/>
          <w:noProof/>
          <w:color w:val="000000"/>
          <w:sz w:val="24"/>
          <w:lang w:val="en-IE" w:eastAsia="fr-BE"/>
        </w:rPr>
        <w:t xml:space="preserve"> of the programme, the </w:t>
      </w:r>
      <w:r>
        <w:rPr>
          <w:rFonts w:ascii="Times New Roman" w:hAnsi="Times New Roman"/>
          <w:b w:val="0"/>
          <w:noProof/>
          <w:color w:val="000000"/>
          <w:sz w:val="24"/>
          <w:lang w:val="en-IE" w:eastAsia="fr-BE"/>
        </w:rPr>
        <w:t>effectiveness</w:t>
      </w:r>
      <w:r>
        <w:rPr>
          <w:rFonts w:ascii="Times New Roman" w:hAnsi="Times New Roman"/>
          <w:b w:val="0"/>
          <w:i w:val="0"/>
          <w:noProof/>
          <w:color w:val="000000"/>
          <w:sz w:val="24"/>
          <w:lang w:val="en-IE" w:eastAsia="fr-BE"/>
        </w:rPr>
        <w:t xml:space="preserve"> of its execution and the overall and </w:t>
      </w:r>
      <w:r>
        <w:rPr>
          <w:rFonts w:ascii="Times New Roman" w:hAnsi="Times New Roman"/>
          <w:b w:val="0"/>
          <w:noProof/>
          <w:color w:val="000000"/>
          <w:sz w:val="24"/>
          <w:lang w:val="en-IE" w:eastAsia="fr-BE"/>
        </w:rPr>
        <w:t>individual effectiveness</w:t>
      </w:r>
      <w:r>
        <w:rPr>
          <w:rFonts w:ascii="Times New Roman" w:hAnsi="Times New Roman"/>
          <w:b w:val="0"/>
          <w:i w:val="0"/>
          <w:noProof/>
          <w:color w:val="000000"/>
          <w:sz w:val="24"/>
          <w:lang w:val="en-IE" w:eastAsia="fr-BE"/>
        </w:rPr>
        <w:t xml:space="preserve"> of the beneficiaries’ work programmes in supporting the transparent and independent development of international financial reporting and auditing standards. </w:t>
      </w:r>
    </w:p>
    <w:p>
      <w:pPr>
        <w:pStyle w:val="ManualHeading1"/>
        <w:rPr>
          <w:noProof/>
        </w:rPr>
      </w:pPr>
      <w:bookmarkStart w:id="38" w:name="_Toc536199104"/>
      <w:r>
        <w:rPr>
          <w:noProof/>
        </w:rPr>
        <w:t>2.2.</w:t>
      </w:r>
      <w:r>
        <w:rPr>
          <w:noProof/>
        </w:rPr>
        <w:tab/>
        <w:t>The European Union Programme to support specific activities in the field of auditing and financial reporting</w:t>
      </w:r>
      <w:bookmarkEnd w:id="38"/>
    </w:p>
    <w:p>
      <w:pPr>
        <w:pStyle w:val="Heading2"/>
        <w:tabs>
          <w:tab w:val="clear" w:pos="850"/>
        </w:tabs>
        <w:ind w:left="0" w:firstLine="0"/>
        <w:jc w:val="both"/>
        <w:rPr>
          <w:rFonts w:ascii="Times New Roman" w:hAnsi="Times New Roman"/>
          <w:b w:val="0"/>
          <w:i w:val="0"/>
          <w:noProof/>
          <w:color w:val="000000"/>
          <w:sz w:val="24"/>
          <w:lang w:val="en-IE" w:eastAsia="fr-BE"/>
        </w:rPr>
      </w:pPr>
      <w:r>
        <w:rPr>
          <w:rFonts w:ascii="Times New Roman" w:hAnsi="Times New Roman"/>
          <w:b w:val="0"/>
          <w:i w:val="0"/>
          <w:noProof/>
          <w:color w:val="000000"/>
          <w:sz w:val="24"/>
          <w:lang w:val="en-IE" w:eastAsia="fr-BE"/>
        </w:rPr>
        <w:t xml:space="preserve">The programme is co-financing the activities of three organisations: the International Financial Reporting Standards Foundation (IFRS Foundation), the European Financial Reporting Advisory Group (EFRAG) and the Public Interest Oversight Board (PIOB). It contributes to the achievement of the policy objectives of the Union in relation to financial reporting and auditing. The IFRS Foundation develops international financial reporting standards (IFRSs) via its International Accounting Standards Board (IASB), while EFRAG provides the European Commission with endorsement advice on new or modified standards and monitors the standard setting activities undertaken by the IASB to ensure that European interests are safeguarded. The PIOB conducts oversight of three Standard Setting Boards supported by the International Federation of Accountants (IFAC) in the areas of audit and assurance, education, and ethics. </w:t>
      </w:r>
    </w:p>
    <w:p>
      <w:pPr>
        <w:jc w:val="both"/>
        <w:rPr>
          <w:noProof/>
          <w:lang w:val="en-IE" w:eastAsia="fr-BE"/>
        </w:rPr>
      </w:pPr>
      <w:r>
        <w:rPr>
          <w:rFonts w:ascii="Times New Roman" w:eastAsia="Times New Roman" w:hAnsi="Times New Roman"/>
          <w:bCs/>
          <w:iCs/>
          <w:noProof/>
          <w:color w:val="000000"/>
          <w:sz w:val="24"/>
          <w:szCs w:val="28"/>
          <w:lang w:val="en-IE" w:eastAsia="fr-BE"/>
        </w:rPr>
        <w:t>In the field of financial reporting, the programme complements the IAS Regulation, which requires companies with securities listed on an EU regulated market to prepare their consolidated financial statements according to International Financial Reporting Standards.</w:t>
      </w:r>
    </w:p>
    <w:p>
      <w:pPr>
        <w:pStyle w:val="Heading2"/>
        <w:tabs>
          <w:tab w:val="clear" w:pos="850"/>
        </w:tabs>
        <w:ind w:left="0" w:firstLine="0"/>
        <w:jc w:val="both"/>
        <w:rPr>
          <w:rFonts w:ascii="Times New Roman" w:hAnsi="Times New Roman"/>
          <w:noProof/>
          <w:color w:val="000000"/>
          <w:sz w:val="24"/>
          <w:lang w:val="en-IE" w:eastAsia="fr-BE"/>
        </w:rPr>
      </w:pPr>
      <w:r>
        <w:rPr>
          <w:rFonts w:ascii="Times New Roman" w:hAnsi="Times New Roman"/>
          <w:b w:val="0"/>
          <w:i w:val="0"/>
          <w:noProof/>
          <w:color w:val="000000"/>
          <w:sz w:val="24"/>
          <w:lang w:val="en-IE" w:eastAsia="fr-BE"/>
        </w:rPr>
        <w:t>The programme has a financial envelope EUR 57 007 000 for the period 2014-2020, broken down as follows:</w:t>
      </w:r>
    </w:p>
    <w:p>
      <w:pPr>
        <w:pStyle w:val="ListParagraph"/>
        <w:numPr>
          <w:ilvl w:val="0"/>
          <w:numId w:val="13"/>
        </w:numPr>
        <w:rPr>
          <w:rFonts w:ascii="Times New Roman" w:hAnsi="Times New Roman"/>
          <w:noProof/>
          <w:sz w:val="24"/>
          <w:szCs w:val="24"/>
          <w:lang w:val="en-GB" w:eastAsia="en-GB"/>
        </w:rPr>
      </w:pPr>
      <w:r>
        <w:rPr>
          <w:rFonts w:ascii="Times New Roman" w:hAnsi="Times New Roman"/>
          <w:noProof/>
          <w:sz w:val="24"/>
          <w:szCs w:val="24"/>
          <w:lang w:val="en-GB" w:eastAsia="en-GB"/>
        </w:rPr>
        <w:t xml:space="preserve">IFRS Foundation: </w:t>
      </w:r>
      <w:r>
        <w:rPr>
          <w:rFonts w:ascii="Times New Roman" w:hAnsi="Times New Roman"/>
          <w:noProof/>
          <w:sz w:val="24"/>
          <w:szCs w:val="24"/>
          <w:lang w:val="en-GB" w:eastAsia="en-GB"/>
        </w:rPr>
        <w:tab/>
        <w:t>EUR 31 632 000</w:t>
      </w:r>
    </w:p>
    <w:p>
      <w:pPr>
        <w:pStyle w:val="ListParagraph"/>
        <w:numPr>
          <w:ilvl w:val="0"/>
          <w:numId w:val="13"/>
        </w:numPr>
        <w:rPr>
          <w:rFonts w:ascii="Times New Roman" w:hAnsi="Times New Roman"/>
          <w:noProof/>
          <w:sz w:val="24"/>
          <w:szCs w:val="24"/>
          <w:lang w:val="en-GB" w:eastAsia="en-GB"/>
        </w:rPr>
      </w:pPr>
      <w:r>
        <w:rPr>
          <w:rFonts w:ascii="Times New Roman" w:hAnsi="Times New Roman"/>
          <w:noProof/>
          <w:sz w:val="24"/>
          <w:szCs w:val="24"/>
          <w:lang w:val="en-GB" w:eastAsia="en-GB"/>
        </w:rPr>
        <w:t xml:space="preserve">EFRAG: </w:t>
      </w:r>
      <w:r>
        <w:rPr>
          <w:rFonts w:ascii="Times New Roman" w:hAnsi="Times New Roman"/>
          <w:noProof/>
          <w:sz w:val="24"/>
          <w:szCs w:val="24"/>
          <w:lang w:val="en-GB" w:eastAsia="en-GB"/>
        </w:rPr>
        <w:tab/>
      </w:r>
      <w:r>
        <w:rPr>
          <w:rFonts w:ascii="Times New Roman" w:hAnsi="Times New Roman"/>
          <w:noProof/>
          <w:sz w:val="24"/>
          <w:szCs w:val="24"/>
          <w:lang w:val="en-GB" w:eastAsia="en-GB"/>
        </w:rPr>
        <w:tab/>
        <w:t>EUR 23 134 000</w:t>
      </w:r>
    </w:p>
    <w:p>
      <w:pPr>
        <w:pStyle w:val="ListParagraph"/>
        <w:numPr>
          <w:ilvl w:val="0"/>
          <w:numId w:val="13"/>
        </w:numPr>
        <w:rPr>
          <w:rFonts w:ascii="Times New Roman" w:hAnsi="Times New Roman"/>
          <w:noProof/>
          <w:sz w:val="24"/>
          <w:szCs w:val="24"/>
          <w:lang w:val="en-GB" w:eastAsia="en-GB"/>
        </w:rPr>
      </w:pPr>
      <w:r>
        <w:rPr>
          <w:rFonts w:ascii="Times New Roman" w:hAnsi="Times New Roman"/>
          <w:noProof/>
          <w:sz w:val="24"/>
          <w:szCs w:val="24"/>
          <w:lang w:val="en-GB" w:eastAsia="en-GB"/>
        </w:rPr>
        <w:t xml:space="preserve">PIOB: </w:t>
      </w:r>
      <w:r>
        <w:rPr>
          <w:rFonts w:ascii="Times New Roman" w:hAnsi="Times New Roman"/>
          <w:noProof/>
          <w:sz w:val="24"/>
          <w:szCs w:val="24"/>
          <w:lang w:val="en-GB" w:eastAsia="en-GB"/>
        </w:rPr>
        <w:tab/>
      </w:r>
      <w:r>
        <w:rPr>
          <w:rFonts w:ascii="Times New Roman" w:hAnsi="Times New Roman"/>
          <w:noProof/>
          <w:sz w:val="24"/>
          <w:szCs w:val="24"/>
          <w:lang w:val="en-GB" w:eastAsia="en-GB"/>
        </w:rPr>
        <w:tab/>
      </w:r>
      <w:r>
        <w:rPr>
          <w:rFonts w:ascii="Times New Roman" w:hAnsi="Times New Roman"/>
          <w:noProof/>
          <w:sz w:val="24"/>
          <w:szCs w:val="24"/>
          <w:lang w:val="en-GB" w:eastAsia="en-GB"/>
        </w:rPr>
        <w:tab/>
        <w:t>EUR   2 241 000</w:t>
      </w:r>
    </w:p>
    <w:p>
      <w:pPr>
        <w:pStyle w:val="Heading2"/>
        <w:tabs>
          <w:tab w:val="clear" w:pos="850"/>
        </w:tabs>
        <w:ind w:left="0" w:firstLine="0"/>
        <w:jc w:val="both"/>
        <w:rPr>
          <w:rFonts w:ascii="Times New Roman" w:hAnsi="Times New Roman"/>
          <w:noProof/>
          <w:color w:val="000000"/>
          <w:sz w:val="24"/>
          <w:lang w:val="en-IE" w:eastAsia="fr-BE"/>
        </w:rPr>
      </w:pPr>
      <w:r>
        <w:rPr>
          <w:rFonts w:ascii="Times New Roman" w:hAnsi="Times New Roman"/>
          <w:b w:val="0"/>
          <w:i w:val="0"/>
          <w:noProof/>
          <w:color w:val="000000"/>
          <w:sz w:val="24"/>
          <w:lang w:val="en-IE" w:eastAsia="fr-BE"/>
        </w:rPr>
        <w:t xml:space="preserve">Funding is provided to the three beneficiaries by means of operating grants which are implemented through direct management with annual work programmes.  </w:t>
      </w:r>
    </w:p>
    <w:p>
      <w:pPr>
        <w:pStyle w:val="ManualHeading1"/>
        <w:rPr>
          <w:noProof/>
          <w:lang w:val="en-US"/>
        </w:rPr>
      </w:pPr>
      <w:bookmarkStart w:id="39" w:name="_Toc536199105"/>
      <w:r>
        <w:rPr>
          <w:noProof/>
        </w:rPr>
        <w:t>2.3.</w:t>
      </w:r>
      <w:r>
        <w:rPr>
          <w:noProof/>
        </w:rPr>
        <w:tab/>
      </w:r>
      <w:r>
        <w:rPr>
          <w:noProof/>
          <w:lang w:val="en-US"/>
        </w:rPr>
        <w:t>Objectives of the</w:t>
      </w:r>
      <w:r>
        <w:rPr>
          <w:noProof/>
        </w:rPr>
        <w:t xml:space="preserve"> programme</w:t>
      </w:r>
      <w:bookmarkEnd w:id="39"/>
    </w:p>
    <w:p>
      <w:pPr>
        <w:pStyle w:val="Heading2"/>
        <w:tabs>
          <w:tab w:val="clear" w:pos="850"/>
        </w:tabs>
        <w:ind w:left="0" w:firstLine="0"/>
        <w:jc w:val="both"/>
        <w:rPr>
          <w:rFonts w:ascii="Times New Roman" w:hAnsi="Times New Roman"/>
          <w:noProof/>
          <w:color w:val="000000"/>
          <w:sz w:val="24"/>
          <w:lang w:val="en-IE" w:eastAsia="fr-BE"/>
        </w:rPr>
      </w:pPr>
      <w:r>
        <w:rPr>
          <w:rFonts w:ascii="Times New Roman" w:hAnsi="Times New Roman"/>
          <w:b w:val="0"/>
          <w:i w:val="0"/>
          <w:noProof/>
          <w:color w:val="000000"/>
          <w:sz w:val="24"/>
          <w:lang w:val="en-IE" w:eastAsia="fr-BE"/>
        </w:rPr>
        <w:t>In the field of financial reporting, the main operational objectives outlined in the recitals of Regulation 258/2014 establishing the programme include:</w:t>
      </w:r>
    </w:p>
    <w:p>
      <w:pPr>
        <w:numPr>
          <w:ilvl w:val="0"/>
          <w:numId w:val="9"/>
        </w:numPr>
        <w:spacing w:before="120" w:after="120" w:line="247" w:lineRule="auto"/>
        <w:ind w:left="360"/>
        <w:contextualSpacing/>
        <w:jc w:val="both"/>
        <w:rPr>
          <w:rFonts w:ascii="Times New Roman" w:eastAsia="Times New Roman" w:hAnsi="Times New Roman"/>
          <w:noProof/>
          <w:color w:val="000000"/>
          <w:sz w:val="24"/>
          <w:lang w:val="en-IE" w:eastAsia="fr-BE"/>
        </w:rPr>
      </w:pPr>
      <w:r>
        <w:rPr>
          <w:rFonts w:ascii="Times New Roman" w:eastAsia="Times New Roman" w:hAnsi="Times New Roman"/>
          <w:noProof/>
          <w:color w:val="000000"/>
          <w:sz w:val="24"/>
          <w:lang w:val="en-IE" w:eastAsia="fr-BE"/>
        </w:rPr>
        <w:t>Ensuring comparability and transparency of company accounts throughout the Union;</w:t>
      </w:r>
    </w:p>
    <w:p>
      <w:pPr>
        <w:numPr>
          <w:ilvl w:val="0"/>
          <w:numId w:val="9"/>
        </w:numPr>
        <w:spacing w:before="120" w:after="120" w:line="247" w:lineRule="auto"/>
        <w:ind w:left="360"/>
        <w:contextualSpacing/>
        <w:jc w:val="both"/>
        <w:rPr>
          <w:rFonts w:ascii="Times New Roman" w:eastAsia="Times New Roman" w:hAnsi="Times New Roman"/>
          <w:noProof/>
          <w:color w:val="000000"/>
          <w:sz w:val="24"/>
          <w:lang w:val="en-IE" w:eastAsia="fr-BE"/>
        </w:rPr>
      </w:pPr>
      <w:r>
        <w:rPr>
          <w:rFonts w:ascii="Times New Roman" w:eastAsia="Times New Roman" w:hAnsi="Times New Roman"/>
          <w:noProof/>
          <w:color w:val="000000"/>
          <w:sz w:val="24"/>
          <w:lang w:val="en-IE" w:eastAsia="fr-BE"/>
        </w:rPr>
        <w:t>Fostering the convergence of accounting standards used internationally with the ultimate objective of achieving a single set of accounting standards;</w:t>
      </w:r>
    </w:p>
    <w:p>
      <w:pPr>
        <w:numPr>
          <w:ilvl w:val="0"/>
          <w:numId w:val="9"/>
        </w:numPr>
        <w:spacing w:before="120" w:after="120" w:line="247" w:lineRule="auto"/>
        <w:ind w:left="360"/>
        <w:contextualSpacing/>
        <w:jc w:val="both"/>
        <w:rPr>
          <w:rFonts w:ascii="Times New Roman" w:eastAsia="Times New Roman" w:hAnsi="Times New Roman"/>
          <w:noProof/>
          <w:color w:val="000000"/>
          <w:sz w:val="24"/>
          <w:lang w:val="en-IE" w:eastAsia="fr-BE"/>
        </w:rPr>
      </w:pPr>
      <w:r>
        <w:rPr>
          <w:rFonts w:ascii="Times New Roman" w:eastAsia="Times New Roman" w:hAnsi="Times New Roman"/>
          <w:noProof/>
          <w:color w:val="000000"/>
          <w:sz w:val="24"/>
          <w:lang w:val="en-IE" w:eastAsia="fr-BE"/>
        </w:rPr>
        <w:t xml:space="preserve">Ensuring that the interests of the Union are adequately taken into account in the international standard-setting process. Those interests should include the notion of prudence, the maintenance of the requirement of a true and fair view and take into account the impact of standards on financial stability and the economy. </w:t>
      </w:r>
    </w:p>
    <w:p>
      <w:pPr>
        <w:numPr>
          <w:ilvl w:val="0"/>
          <w:numId w:val="9"/>
        </w:numPr>
        <w:spacing w:before="120" w:after="120" w:line="247" w:lineRule="auto"/>
        <w:ind w:left="360"/>
        <w:contextualSpacing/>
        <w:jc w:val="both"/>
        <w:rPr>
          <w:rFonts w:ascii="Times New Roman" w:eastAsia="Times New Roman" w:hAnsi="Times New Roman"/>
          <w:noProof/>
          <w:color w:val="000000"/>
          <w:sz w:val="24"/>
          <w:lang w:val="en-IE" w:eastAsia="fr-BE"/>
        </w:rPr>
      </w:pPr>
      <w:r>
        <w:rPr>
          <w:rFonts w:ascii="Times New Roman" w:eastAsia="Times New Roman" w:hAnsi="Times New Roman"/>
          <w:noProof/>
          <w:color w:val="000000"/>
          <w:sz w:val="24"/>
          <w:lang w:val="en-IE" w:eastAsia="fr-BE"/>
        </w:rPr>
        <w:t>Increasing the financial independence of the beneficiaries from the private sector and ad hoc sources, thereby raising their capacity and credibility.</w:t>
      </w:r>
    </w:p>
    <w:p>
      <w:pPr>
        <w:numPr>
          <w:ilvl w:val="0"/>
          <w:numId w:val="9"/>
        </w:numPr>
        <w:spacing w:before="120" w:after="120" w:line="247" w:lineRule="auto"/>
        <w:ind w:left="360"/>
        <w:contextualSpacing/>
        <w:jc w:val="both"/>
        <w:rPr>
          <w:rFonts w:ascii="Times New Roman" w:eastAsia="Times New Roman" w:hAnsi="Times New Roman"/>
          <w:noProof/>
          <w:color w:val="000000"/>
          <w:sz w:val="24"/>
          <w:lang w:val="en-IE" w:eastAsia="fr-BE"/>
        </w:rPr>
      </w:pPr>
      <w:r>
        <w:rPr>
          <w:rFonts w:ascii="Times New Roman" w:eastAsia="Times New Roman" w:hAnsi="Times New Roman"/>
          <w:noProof/>
          <w:color w:val="000000"/>
          <w:sz w:val="24"/>
          <w:lang w:val="en-IE" w:eastAsia="fr-BE"/>
        </w:rPr>
        <w:t>Overseeing the process leading to the adoption of International Auditing Standards and other public interest activities of the International Federation of Accountants.</w:t>
      </w:r>
    </w:p>
    <w:p>
      <w:pPr>
        <w:numPr>
          <w:ilvl w:val="0"/>
          <w:numId w:val="9"/>
        </w:numPr>
        <w:spacing w:before="120" w:after="120" w:line="247" w:lineRule="auto"/>
        <w:ind w:left="360"/>
        <w:contextualSpacing/>
        <w:jc w:val="both"/>
        <w:rPr>
          <w:rFonts w:ascii="Times New Roman" w:eastAsia="Times New Roman" w:hAnsi="Times New Roman"/>
          <w:noProof/>
          <w:color w:val="000000"/>
          <w:sz w:val="24"/>
          <w:lang w:val="en-IE" w:eastAsia="fr-BE"/>
        </w:rPr>
      </w:pPr>
      <w:r>
        <w:rPr>
          <w:rFonts w:ascii="Times New Roman" w:eastAsia="Times New Roman" w:hAnsi="Times New Roman"/>
          <w:noProof/>
          <w:color w:val="000000"/>
          <w:sz w:val="24"/>
          <w:lang w:val="en-IE" w:eastAsia="fr-BE"/>
        </w:rPr>
        <w:t>Fostering transparency and the involvement of stakeholders in the standard setting and endorsement process</w:t>
      </w:r>
      <w:r>
        <w:rPr>
          <w:rFonts w:ascii="Times New Roman" w:eastAsia="Times New Roman" w:hAnsi="Times New Roman"/>
          <w:noProof/>
          <w:color w:val="000000"/>
          <w:sz w:val="24"/>
          <w:vertAlign w:val="superscript"/>
          <w:lang w:val="en-IE" w:eastAsia="fr-BE"/>
        </w:rPr>
        <w:footnoteReference w:id="18"/>
      </w:r>
      <w:r>
        <w:rPr>
          <w:rFonts w:ascii="Times New Roman" w:eastAsia="Times New Roman" w:hAnsi="Times New Roman"/>
          <w:noProof/>
          <w:color w:val="000000"/>
          <w:sz w:val="24"/>
          <w:lang w:val="en-IE" w:eastAsia="fr-BE"/>
        </w:rPr>
        <w:t>.</w:t>
      </w:r>
    </w:p>
    <w:p>
      <w:pPr>
        <w:pStyle w:val="ManualHeading1"/>
        <w:rPr>
          <w:noProof/>
          <w:lang w:val="en-US"/>
        </w:rPr>
      </w:pPr>
      <w:r>
        <w:rPr>
          <w:noProof/>
        </w:rPr>
        <w:t>2.4.</w:t>
      </w:r>
      <w:r>
        <w:rPr>
          <w:noProof/>
        </w:rPr>
        <w:tab/>
      </w:r>
      <w:r>
        <w:rPr>
          <w:noProof/>
          <w:lang w:val="en-US"/>
        </w:rPr>
        <w:t>Implementation of the Union programme</w:t>
      </w:r>
    </w:p>
    <w:p>
      <w:pPr>
        <w:jc w:val="both"/>
        <w:rPr>
          <w:rFonts w:ascii="Times New Roman" w:hAnsi="Times New Roman"/>
          <w:noProof/>
          <w:color w:val="000000"/>
          <w:sz w:val="24"/>
          <w:lang w:val="en-IE" w:eastAsia="fr-BE"/>
        </w:rPr>
      </w:pPr>
      <w:r>
        <w:rPr>
          <w:rFonts w:ascii="Times New Roman" w:hAnsi="Times New Roman"/>
          <w:noProof/>
          <w:color w:val="000000"/>
          <w:sz w:val="24"/>
          <w:lang w:val="en-IE" w:eastAsia="fr-BE"/>
        </w:rPr>
        <w:t xml:space="preserve">The Commission is responsible for the content of the work programmes of the European Union Programme to support specific activities in the field of auditing and financial reporting.  </w:t>
      </w:r>
    </w:p>
    <w:p>
      <w:pPr>
        <w:jc w:val="both"/>
        <w:rPr>
          <w:rFonts w:ascii="Times New Roman" w:hAnsi="Times New Roman"/>
          <w:noProof/>
          <w:color w:val="000000"/>
          <w:sz w:val="24"/>
          <w:lang w:val="en-IE" w:eastAsia="fr-BE"/>
        </w:rPr>
      </w:pPr>
      <w:r>
        <w:rPr>
          <w:rFonts w:ascii="Times New Roman" w:hAnsi="Times New Roman"/>
          <w:noProof/>
          <w:color w:val="000000"/>
          <w:sz w:val="24"/>
          <w:lang w:val="en-IE" w:eastAsia="fr-BE"/>
        </w:rPr>
        <w:t xml:space="preserve">However, according to the constitution of the IFRS Foundation, the International Accounting Standard Board has full discretion in developing and pursuing its technical agenda subject to consulting the Trustees and the Advisory Council of the Foundation and carrying out a public consultation every five years. This implies that the European Commission can only follow the work programme determined by the IASB.  </w:t>
      </w:r>
    </w:p>
    <w:p>
      <w:pPr>
        <w:jc w:val="both"/>
        <w:rPr>
          <w:rFonts w:ascii="Times New Roman" w:hAnsi="Times New Roman"/>
          <w:noProof/>
          <w:color w:val="000000"/>
          <w:sz w:val="24"/>
          <w:lang w:val="en-IE" w:eastAsia="fr-BE"/>
        </w:rPr>
      </w:pPr>
      <w:r>
        <w:rPr>
          <w:rFonts w:ascii="Times New Roman" w:hAnsi="Times New Roman"/>
          <w:noProof/>
          <w:color w:val="000000"/>
          <w:sz w:val="24"/>
          <w:lang w:val="en-IE" w:eastAsia="fr-BE"/>
        </w:rPr>
        <w:t>Each year, the Commission monitors the implementation of the Union programme as well as the use of the grants</w:t>
      </w:r>
      <w:r>
        <w:rPr>
          <w:noProof/>
        </w:rPr>
        <w:t xml:space="preserve"> </w:t>
      </w:r>
      <w:r>
        <w:rPr>
          <w:rFonts w:ascii="Times New Roman" w:hAnsi="Times New Roman"/>
          <w:noProof/>
          <w:color w:val="000000"/>
          <w:sz w:val="24"/>
          <w:lang w:val="en-IE" w:eastAsia="fr-BE"/>
        </w:rPr>
        <w:t>awarded, through:</w:t>
      </w:r>
    </w:p>
    <w:p>
      <w:pPr>
        <w:pStyle w:val="ListParagraph"/>
        <w:numPr>
          <w:ilvl w:val="0"/>
          <w:numId w:val="20"/>
        </w:numPr>
        <w:jc w:val="both"/>
        <w:rPr>
          <w:rFonts w:ascii="Times New Roman" w:hAnsi="Times New Roman"/>
          <w:noProof/>
          <w:color w:val="000000"/>
          <w:sz w:val="24"/>
          <w:lang w:val="en-IE" w:eastAsia="fr-BE"/>
        </w:rPr>
      </w:pPr>
      <w:r>
        <w:rPr>
          <w:rFonts w:ascii="Times New Roman" w:hAnsi="Times New Roman"/>
          <w:noProof/>
          <w:color w:val="000000"/>
          <w:sz w:val="24"/>
          <w:lang w:val="en-IE" w:eastAsia="fr-BE"/>
        </w:rPr>
        <w:t>Preparing annual reports on the activities of the beneficiaries IFRS Foundation, EFRAG and the PIOB and</w:t>
      </w:r>
    </w:p>
    <w:p>
      <w:pPr>
        <w:pStyle w:val="ListParagraph"/>
        <w:numPr>
          <w:ilvl w:val="0"/>
          <w:numId w:val="20"/>
        </w:numPr>
        <w:jc w:val="both"/>
        <w:rPr>
          <w:rFonts w:ascii="Times New Roman" w:hAnsi="Times New Roman"/>
          <w:noProof/>
          <w:color w:val="000000"/>
          <w:sz w:val="24"/>
          <w:lang w:val="en-IE" w:eastAsia="fr-BE"/>
        </w:rPr>
      </w:pPr>
      <w:r>
        <w:rPr>
          <w:rFonts w:ascii="Times New Roman" w:hAnsi="Times New Roman"/>
          <w:noProof/>
          <w:color w:val="000000"/>
          <w:sz w:val="24"/>
          <w:lang w:val="en-IE" w:eastAsia="fr-BE"/>
        </w:rPr>
        <w:t xml:space="preserve">Taking annual financing decisions, which provides an assessment of the work programmes of the beneficiaries based on the detailed rules set by Article 110 of Regulation (EU, Euratom) 2018/1046 ('the Financial Regulation'), </w:t>
      </w:r>
    </w:p>
    <w:p>
      <w:pPr>
        <w:pStyle w:val="ManualHeading1"/>
        <w:rPr>
          <w:noProof/>
        </w:rPr>
      </w:pPr>
      <w:r>
        <w:rPr>
          <w:noProof/>
        </w:rPr>
        <w:t>3.</w:t>
      </w:r>
      <w:r>
        <w:rPr>
          <w:noProof/>
        </w:rPr>
        <w:tab/>
        <w:t xml:space="preserve">Scope of the interim appraisal </w:t>
      </w:r>
    </w:p>
    <w:p>
      <w:pPr>
        <w:jc w:val="both"/>
        <w:rPr>
          <w:rFonts w:ascii="Times New Roman" w:hAnsi="Times New Roman"/>
          <w:noProof/>
          <w:sz w:val="24"/>
          <w:szCs w:val="24"/>
          <w:lang w:eastAsia="en-GB"/>
        </w:rPr>
      </w:pPr>
      <w:r>
        <w:rPr>
          <w:rFonts w:ascii="Times New Roman" w:hAnsi="Times New Roman"/>
          <w:noProof/>
          <w:sz w:val="24"/>
          <w:szCs w:val="24"/>
          <w:lang w:eastAsia="en-GB"/>
        </w:rPr>
        <w:t>The interim appraisal addresses the following questions in accordance with Article 9.8 of Regulation 258/2014:</w:t>
      </w:r>
    </w:p>
    <w:p>
      <w:pPr>
        <w:numPr>
          <w:ilvl w:val="0"/>
          <w:numId w:val="11"/>
        </w:numPr>
        <w:jc w:val="both"/>
        <w:rPr>
          <w:rFonts w:ascii="Times New Roman" w:hAnsi="Times New Roman"/>
          <w:noProof/>
          <w:sz w:val="24"/>
          <w:szCs w:val="24"/>
          <w:lang w:val="en-US" w:eastAsia="en-GB"/>
        </w:rPr>
      </w:pPr>
      <w:r>
        <w:rPr>
          <w:rFonts w:ascii="Times New Roman" w:hAnsi="Times New Roman"/>
          <w:b/>
          <w:noProof/>
          <w:sz w:val="24"/>
          <w:szCs w:val="24"/>
          <w:lang w:val="en-US" w:eastAsia="en-GB"/>
        </w:rPr>
        <w:t>Effectivenes</w:t>
      </w:r>
      <w:r>
        <w:rPr>
          <w:rFonts w:ascii="Times New Roman" w:hAnsi="Times New Roman"/>
          <w:noProof/>
          <w:sz w:val="24"/>
          <w:szCs w:val="24"/>
          <w:lang w:val="en-US" w:eastAsia="en-GB"/>
        </w:rPr>
        <w:t>s: how successful the overall</w:t>
      </w:r>
      <w:r>
        <w:rPr>
          <w:rFonts w:ascii="Times New Roman" w:hAnsi="Times New Roman"/>
          <w:noProof/>
          <w:sz w:val="24"/>
          <w:szCs w:val="24"/>
          <w:lang w:eastAsia="en-GB"/>
        </w:rPr>
        <w:t xml:space="preserve"> programme</w:t>
      </w:r>
      <w:r>
        <w:rPr>
          <w:rFonts w:ascii="Times New Roman" w:hAnsi="Times New Roman"/>
          <w:noProof/>
          <w:sz w:val="24"/>
          <w:szCs w:val="24"/>
          <w:lang w:val="en-US" w:eastAsia="en-GB"/>
        </w:rPr>
        <w:t xml:space="preserve"> </w:t>
      </w:r>
      <w:r>
        <w:rPr>
          <w:rFonts w:ascii="Times New Roman" w:hAnsi="Times New Roman"/>
          <w:noProof/>
          <w:sz w:val="24"/>
          <w:szCs w:val="24"/>
          <w:u w:val="single"/>
          <w:lang w:val="en-US" w:eastAsia="en-GB"/>
        </w:rPr>
        <w:t>and</w:t>
      </w:r>
      <w:r>
        <w:rPr>
          <w:rFonts w:ascii="Times New Roman" w:hAnsi="Times New Roman"/>
          <w:noProof/>
          <w:sz w:val="24"/>
          <w:szCs w:val="24"/>
          <w:lang w:val="en-US" w:eastAsia="en-GB"/>
        </w:rPr>
        <w:t xml:space="preserve"> the work</w:t>
      </w:r>
      <w:r>
        <w:rPr>
          <w:rFonts w:ascii="Times New Roman" w:hAnsi="Times New Roman"/>
          <w:noProof/>
          <w:sz w:val="24"/>
          <w:szCs w:val="24"/>
          <w:lang w:eastAsia="en-GB"/>
        </w:rPr>
        <w:t xml:space="preserve"> programme</w:t>
      </w:r>
      <w:r>
        <w:rPr>
          <w:rFonts w:ascii="Times New Roman" w:hAnsi="Times New Roman"/>
          <w:noProof/>
          <w:sz w:val="24"/>
          <w:szCs w:val="24"/>
          <w:lang w:val="en-US" w:eastAsia="en-GB"/>
        </w:rPr>
        <w:t xml:space="preserve"> of each individual</w:t>
      </w:r>
      <w:r>
        <w:rPr>
          <w:rFonts w:ascii="Times New Roman" w:hAnsi="Times New Roman"/>
          <w:noProof/>
          <w:sz w:val="24"/>
          <w:szCs w:val="24"/>
          <w:lang w:eastAsia="en-GB"/>
        </w:rPr>
        <w:t xml:space="preserve"> beneficiary</w:t>
      </w:r>
      <w:r>
        <w:rPr>
          <w:rFonts w:ascii="Times New Roman" w:hAnsi="Times New Roman"/>
          <w:noProof/>
          <w:sz w:val="24"/>
          <w:szCs w:val="24"/>
          <w:lang w:val="en-US" w:eastAsia="en-GB"/>
        </w:rPr>
        <w:t xml:space="preserve"> have been in achieving or progressing towards their objectives?</w:t>
      </w:r>
    </w:p>
    <w:p>
      <w:pPr>
        <w:numPr>
          <w:ilvl w:val="0"/>
          <w:numId w:val="11"/>
        </w:numPr>
        <w:jc w:val="both"/>
        <w:rPr>
          <w:rFonts w:ascii="Times New Roman" w:hAnsi="Times New Roman"/>
          <w:noProof/>
          <w:sz w:val="24"/>
          <w:szCs w:val="24"/>
          <w:lang w:val="en-US" w:eastAsia="en-GB"/>
        </w:rPr>
      </w:pPr>
      <w:r>
        <w:rPr>
          <w:rFonts w:ascii="Times New Roman" w:hAnsi="Times New Roman"/>
          <w:b/>
          <w:noProof/>
          <w:sz w:val="24"/>
          <w:szCs w:val="24"/>
          <w:lang w:val="en-US" w:eastAsia="en-GB"/>
        </w:rPr>
        <w:t>Pertinence</w:t>
      </w:r>
      <w:r>
        <w:rPr>
          <w:rFonts w:ascii="Times New Roman" w:hAnsi="Times New Roman"/>
          <w:noProof/>
          <w:sz w:val="24"/>
          <w:szCs w:val="24"/>
          <w:lang w:val="en-US" w:eastAsia="en-GB"/>
        </w:rPr>
        <w:t>: are the objectives of the programme still relevant, whether in terms of completeness (new needs), or accuracy (changes in, or disappearance of needs)?</w:t>
      </w:r>
    </w:p>
    <w:p>
      <w:pPr>
        <w:numPr>
          <w:ilvl w:val="0"/>
          <w:numId w:val="11"/>
        </w:numPr>
        <w:jc w:val="both"/>
        <w:rPr>
          <w:rFonts w:ascii="Times New Roman" w:hAnsi="Times New Roman"/>
          <w:noProof/>
          <w:sz w:val="24"/>
          <w:szCs w:val="24"/>
          <w:lang w:val="en-US" w:eastAsia="en-GB"/>
        </w:rPr>
      </w:pPr>
      <w:r>
        <w:rPr>
          <w:rFonts w:ascii="Times New Roman" w:hAnsi="Times New Roman"/>
          <w:b/>
          <w:noProof/>
          <w:sz w:val="24"/>
          <w:szCs w:val="24"/>
          <w:lang w:val="en-US" w:eastAsia="en-GB"/>
        </w:rPr>
        <w:t>Coherence</w:t>
      </w:r>
      <w:r>
        <w:rPr>
          <w:rFonts w:ascii="Times New Roman" w:hAnsi="Times New Roman"/>
          <w:noProof/>
          <w:sz w:val="24"/>
          <w:szCs w:val="24"/>
          <w:lang w:val="en-US" w:eastAsia="en-GB"/>
        </w:rPr>
        <w:t>: to what extent is the</w:t>
      </w:r>
      <w:r>
        <w:rPr>
          <w:rFonts w:ascii="Times New Roman" w:hAnsi="Times New Roman"/>
          <w:noProof/>
          <w:sz w:val="24"/>
          <w:szCs w:val="24"/>
          <w:lang w:eastAsia="en-GB"/>
        </w:rPr>
        <w:t xml:space="preserve"> programme</w:t>
      </w:r>
      <w:r>
        <w:rPr>
          <w:rFonts w:ascii="Times New Roman" w:hAnsi="Times New Roman"/>
          <w:noProof/>
          <w:sz w:val="24"/>
          <w:szCs w:val="24"/>
          <w:lang w:val="en-US" w:eastAsia="en-GB"/>
        </w:rPr>
        <w:t xml:space="preserve"> consistent with other EU policies, or are there inconsistencies between the activities undertaken by the beneficiaries?</w:t>
      </w:r>
    </w:p>
    <w:p>
      <w:pPr>
        <w:jc w:val="both"/>
        <w:rPr>
          <w:rFonts w:ascii="Times New Roman" w:hAnsi="Times New Roman"/>
          <w:noProof/>
          <w:sz w:val="24"/>
          <w:szCs w:val="24"/>
          <w:lang w:eastAsia="en-GB"/>
        </w:rPr>
      </w:pPr>
      <w:r>
        <w:rPr>
          <w:rFonts w:ascii="Times New Roman" w:hAnsi="Times New Roman"/>
          <w:noProof/>
          <w:sz w:val="24"/>
          <w:szCs w:val="24"/>
          <w:lang w:eastAsia="en-GB"/>
        </w:rPr>
        <w:t>The assessment has been based on the following data sources:</w:t>
      </w:r>
    </w:p>
    <w:p>
      <w:pPr>
        <w:pStyle w:val="ListParagraph"/>
        <w:numPr>
          <w:ilvl w:val="0"/>
          <w:numId w:val="10"/>
        </w:numPr>
        <w:jc w:val="both"/>
        <w:rPr>
          <w:rFonts w:ascii="Times New Roman" w:hAnsi="Times New Roman"/>
          <w:noProof/>
          <w:sz w:val="24"/>
          <w:szCs w:val="24"/>
          <w:lang w:eastAsia="en-GB"/>
        </w:rPr>
      </w:pPr>
      <w:r>
        <w:rPr>
          <w:rFonts w:ascii="Times New Roman" w:hAnsi="Times New Roman"/>
          <w:noProof/>
          <w:sz w:val="24"/>
          <w:szCs w:val="24"/>
          <w:lang w:eastAsia="en-GB"/>
        </w:rPr>
        <w:t>annual reports as well as supporting documents that the beneficiaries provide to the European Commission on a yearly basis;</w:t>
      </w:r>
    </w:p>
    <w:p>
      <w:pPr>
        <w:pStyle w:val="ListParagraph"/>
        <w:numPr>
          <w:ilvl w:val="0"/>
          <w:numId w:val="10"/>
        </w:numPr>
        <w:jc w:val="both"/>
        <w:rPr>
          <w:rFonts w:ascii="Times New Roman" w:hAnsi="Times New Roman"/>
          <w:noProof/>
          <w:sz w:val="24"/>
          <w:szCs w:val="24"/>
          <w:lang w:eastAsia="en-GB"/>
        </w:rPr>
      </w:pPr>
      <w:r>
        <w:rPr>
          <w:rFonts w:ascii="Times New Roman" w:hAnsi="Times New Roman"/>
          <w:noProof/>
          <w:sz w:val="24"/>
          <w:szCs w:val="24"/>
          <w:lang w:eastAsia="en-GB"/>
        </w:rPr>
        <w:t>data and input collected by the Commission in the various Supervisory Board meetings, in which it participates as an observer, to discuss and clarify funding issues;</w:t>
      </w:r>
    </w:p>
    <w:p>
      <w:pPr>
        <w:pStyle w:val="ListParagraph"/>
        <w:numPr>
          <w:ilvl w:val="0"/>
          <w:numId w:val="10"/>
        </w:numPr>
        <w:jc w:val="both"/>
        <w:rPr>
          <w:rFonts w:ascii="Times New Roman" w:hAnsi="Times New Roman"/>
          <w:noProof/>
          <w:sz w:val="24"/>
          <w:szCs w:val="24"/>
          <w:lang w:eastAsia="en-GB"/>
        </w:rPr>
      </w:pPr>
      <w:r>
        <w:rPr>
          <w:rFonts w:ascii="Times New Roman" w:hAnsi="Times New Roman"/>
          <w:noProof/>
          <w:sz w:val="24"/>
          <w:szCs w:val="24"/>
          <w:lang w:eastAsia="en-GB"/>
        </w:rPr>
        <w:t>financial statements and the auditor's reports of the beneficiaries;</w:t>
      </w:r>
    </w:p>
    <w:p>
      <w:pPr>
        <w:pStyle w:val="ListParagraph"/>
        <w:numPr>
          <w:ilvl w:val="0"/>
          <w:numId w:val="10"/>
        </w:numPr>
        <w:rPr>
          <w:rFonts w:ascii="Times New Roman" w:hAnsi="Times New Roman"/>
          <w:noProof/>
          <w:sz w:val="24"/>
          <w:szCs w:val="24"/>
          <w:lang w:eastAsia="en-GB"/>
        </w:rPr>
      </w:pPr>
      <w:r>
        <w:rPr>
          <w:rFonts w:ascii="Times New Roman" w:hAnsi="Times New Roman"/>
          <w:noProof/>
          <w:sz w:val="24"/>
          <w:szCs w:val="24"/>
          <w:lang w:val="en-GB" w:eastAsia="en-GB"/>
        </w:rPr>
        <w:t>visits arranged to the three beneficiaries' premises to verify the financial systems and controls.</w:t>
      </w:r>
    </w:p>
    <w:p>
      <w:pPr>
        <w:pStyle w:val="ListParagraph"/>
        <w:numPr>
          <w:ilvl w:val="0"/>
          <w:numId w:val="10"/>
        </w:numPr>
        <w:rPr>
          <w:rFonts w:ascii="Times New Roman" w:hAnsi="Times New Roman"/>
          <w:noProof/>
          <w:sz w:val="24"/>
          <w:szCs w:val="24"/>
          <w:lang w:eastAsia="en-GB"/>
        </w:rPr>
      </w:pPr>
      <w:r>
        <w:rPr>
          <w:rFonts w:ascii="Times New Roman" w:hAnsi="Times New Roman"/>
          <w:noProof/>
          <w:sz w:val="24"/>
          <w:szCs w:val="24"/>
          <w:lang w:eastAsia="en-GB"/>
        </w:rPr>
        <w:t>forthcoming fitness check on the EU framework for public reporting by companies in 2019</w:t>
      </w:r>
    </w:p>
    <w:p>
      <w:pPr>
        <w:pStyle w:val="ListParagraph"/>
        <w:numPr>
          <w:ilvl w:val="0"/>
          <w:numId w:val="10"/>
        </w:numPr>
        <w:rPr>
          <w:rFonts w:ascii="Times New Roman" w:hAnsi="Times New Roman"/>
          <w:noProof/>
          <w:sz w:val="24"/>
          <w:szCs w:val="24"/>
          <w:lang w:eastAsia="en-GB"/>
        </w:rPr>
      </w:pPr>
      <w:r>
        <w:rPr>
          <w:rFonts w:ascii="Times New Roman" w:hAnsi="Times New Roman"/>
          <w:noProof/>
          <w:sz w:val="24"/>
          <w:szCs w:val="24"/>
          <w:lang w:eastAsia="en-GB"/>
        </w:rPr>
        <w:t xml:space="preserve">evaluation of </w:t>
      </w:r>
      <w:r>
        <w:rPr>
          <w:noProof/>
        </w:rPr>
        <w:t xml:space="preserve"> </w:t>
      </w:r>
      <w:r>
        <w:rPr>
          <w:rFonts w:ascii="Times New Roman" w:hAnsi="Times New Roman"/>
          <w:noProof/>
          <w:sz w:val="24"/>
          <w:szCs w:val="24"/>
          <w:lang w:eastAsia="en-GB"/>
        </w:rPr>
        <w:t>Regulation 1606/2002 (‘IAS Regulation’) in 2015</w:t>
      </w:r>
      <w:r>
        <w:rPr>
          <w:rStyle w:val="FootnoteReference"/>
          <w:rFonts w:ascii="Times New Roman" w:hAnsi="Times New Roman"/>
          <w:noProof/>
          <w:sz w:val="24"/>
          <w:szCs w:val="24"/>
          <w:lang w:eastAsia="en-GB"/>
        </w:rPr>
        <w:footnoteReference w:id="19"/>
      </w:r>
    </w:p>
    <w:p>
      <w:pPr>
        <w:pStyle w:val="ListParagraph"/>
        <w:numPr>
          <w:ilvl w:val="0"/>
          <w:numId w:val="10"/>
        </w:numPr>
        <w:rPr>
          <w:rFonts w:ascii="Times New Roman" w:hAnsi="Times New Roman"/>
          <w:noProof/>
          <w:sz w:val="24"/>
          <w:szCs w:val="24"/>
          <w:lang w:eastAsia="en-GB"/>
        </w:rPr>
      </w:pPr>
      <w:r>
        <w:rPr>
          <w:rFonts w:ascii="Times New Roman" w:hAnsi="Times New Roman"/>
          <w:noProof/>
          <w:sz w:val="24"/>
          <w:szCs w:val="24"/>
          <w:lang w:eastAsia="en-GB"/>
        </w:rPr>
        <w:t>ex-ante evaluation of the Union</w:t>
      </w:r>
      <w:r>
        <w:rPr>
          <w:rFonts w:ascii="Times New Roman" w:hAnsi="Times New Roman"/>
          <w:noProof/>
          <w:sz w:val="24"/>
          <w:szCs w:val="24"/>
          <w:lang w:val="en-GB" w:eastAsia="en-GB"/>
        </w:rPr>
        <w:t xml:space="preserve"> Programme</w:t>
      </w:r>
      <w:r>
        <w:rPr>
          <w:rFonts w:ascii="Times New Roman" w:hAnsi="Times New Roman"/>
          <w:noProof/>
          <w:sz w:val="24"/>
          <w:szCs w:val="24"/>
          <w:lang w:eastAsia="en-GB"/>
        </w:rPr>
        <w:t xml:space="preserve"> in 2012</w:t>
      </w:r>
      <w:r>
        <w:rPr>
          <w:rStyle w:val="FootnoteReference"/>
          <w:rFonts w:ascii="Times New Roman" w:hAnsi="Times New Roman"/>
          <w:noProof/>
          <w:sz w:val="24"/>
          <w:szCs w:val="24"/>
          <w:lang w:eastAsia="en-GB"/>
        </w:rPr>
        <w:footnoteReference w:id="20"/>
      </w:r>
      <w:r>
        <w:rPr>
          <w:rFonts w:ascii="Times New Roman" w:hAnsi="Times New Roman"/>
          <w:noProof/>
          <w:sz w:val="24"/>
          <w:szCs w:val="24"/>
          <w:lang w:eastAsia="en-GB"/>
        </w:rPr>
        <w:t>.</w:t>
      </w:r>
    </w:p>
    <w:p>
      <w:pPr>
        <w:jc w:val="both"/>
        <w:rPr>
          <w:rFonts w:ascii="Times New Roman" w:hAnsi="Times New Roman"/>
          <w:noProof/>
          <w:sz w:val="24"/>
          <w:szCs w:val="24"/>
          <w:lang w:eastAsia="en-GB"/>
        </w:rPr>
      </w:pPr>
      <w:r>
        <w:rPr>
          <w:rFonts w:ascii="Times New Roman" w:hAnsi="Times New Roman"/>
          <w:b/>
          <w:noProof/>
          <w:sz w:val="24"/>
          <w:szCs w:val="24"/>
          <w:lang w:eastAsia="en-GB"/>
        </w:rPr>
        <w:t xml:space="preserve">Approach </w:t>
      </w:r>
    </w:p>
    <w:p>
      <w:pPr>
        <w:jc w:val="both"/>
        <w:rPr>
          <w:rFonts w:ascii="Times New Roman" w:hAnsi="Times New Roman"/>
          <w:noProof/>
          <w:sz w:val="24"/>
          <w:szCs w:val="24"/>
          <w:lang w:eastAsia="en-GB"/>
        </w:rPr>
      </w:pPr>
      <w:r>
        <w:rPr>
          <w:rFonts w:ascii="Times New Roman" w:hAnsi="Times New Roman"/>
          <w:noProof/>
          <w:sz w:val="24"/>
          <w:szCs w:val="24"/>
          <w:lang w:eastAsia="en-GB"/>
        </w:rPr>
        <w:t xml:space="preserve">This appraisal follows the requirements of Article 9.8 of Regulation 258/2014. It covers the period 2014 until 2019, but not the remaining period (i.e. until end 2020).  </w:t>
      </w:r>
    </w:p>
    <w:p>
      <w:pPr>
        <w:jc w:val="both"/>
        <w:rPr>
          <w:rFonts w:ascii="Times New Roman" w:hAnsi="Times New Roman"/>
          <w:noProof/>
          <w:sz w:val="24"/>
          <w:szCs w:val="24"/>
          <w:lang w:val="en-US" w:eastAsia="en-GB"/>
        </w:rPr>
      </w:pPr>
      <w:r>
        <w:rPr>
          <w:rFonts w:ascii="Times New Roman" w:hAnsi="Times New Roman"/>
          <w:noProof/>
          <w:sz w:val="24"/>
          <w:szCs w:val="24"/>
          <w:lang w:val="en-US" w:eastAsia="en-GB"/>
        </w:rPr>
        <w:t>The report adopts a retrospective approach. It does not consider possible policy alternatives. That was done as part of the impact assessment supporting the Commission Proposal for a Single Market Programme 2021-2027</w:t>
      </w:r>
      <w:r>
        <w:rPr>
          <w:rStyle w:val="FootnoteReference"/>
          <w:rFonts w:ascii="Times New Roman" w:hAnsi="Times New Roman"/>
          <w:noProof/>
          <w:sz w:val="24"/>
          <w:szCs w:val="24"/>
          <w:lang w:val="en-US" w:eastAsia="en-GB"/>
        </w:rPr>
        <w:footnoteReference w:id="21"/>
      </w:r>
      <w:r>
        <w:rPr>
          <w:rFonts w:ascii="Times New Roman" w:hAnsi="Times New Roman"/>
          <w:noProof/>
          <w:sz w:val="24"/>
          <w:szCs w:val="24"/>
          <w:lang w:val="en-US" w:eastAsia="en-GB"/>
        </w:rPr>
        <w:t>.</w:t>
      </w:r>
    </w:p>
    <w:p>
      <w:pPr>
        <w:pStyle w:val="ManualHeading1"/>
        <w:rPr>
          <w:noProof/>
        </w:rPr>
      </w:pPr>
      <w:r>
        <w:rPr>
          <w:noProof/>
        </w:rPr>
        <w:t>4.</w:t>
      </w:r>
      <w:r>
        <w:rPr>
          <w:noProof/>
        </w:rPr>
        <w:tab/>
        <w:t>Results of the appraisal</w:t>
      </w:r>
    </w:p>
    <w:p>
      <w:pPr>
        <w:pStyle w:val="ManualHeading1"/>
        <w:rPr>
          <w:noProof/>
        </w:rPr>
      </w:pPr>
      <w:r>
        <w:rPr>
          <w:noProof/>
        </w:rPr>
        <w:t>4.1.</w:t>
      </w:r>
      <w:r>
        <w:rPr>
          <w:noProof/>
        </w:rPr>
        <w:tab/>
        <w:t>Effectiveness of the overall programme</w:t>
      </w:r>
    </w:p>
    <w:p>
      <w:pPr>
        <w:pStyle w:val="ListParagraph"/>
        <w:spacing w:before="120" w:after="120"/>
        <w:ind w:left="0"/>
        <w:contextualSpacing w:val="0"/>
        <w:jc w:val="both"/>
        <w:rPr>
          <w:rFonts w:ascii="Times New Roman" w:hAnsi="Times New Roman"/>
          <w:noProof/>
          <w:sz w:val="24"/>
          <w:szCs w:val="24"/>
          <w:lang w:eastAsia="en-GB"/>
        </w:rPr>
      </w:pPr>
      <w:r>
        <w:rPr>
          <w:rFonts w:ascii="Times New Roman" w:hAnsi="Times New Roman"/>
          <w:noProof/>
          <w:sz w:val="24"/>
          <w:szCs w:val="24"/>
          <w:lang w:eastAsia="en-GB"/>
        </w:rPr>
        <w:t xml:space="preserve">Whereas detailed assessments of progress are provided in the Commission annual reports, this section aims at providing insights about whether the activities of the IFRS Foundation, EFRAG and the PIOB continued to contribute to meeting the objectives of the programme during the period evaluated. </w:t>
      </w:r>
    </w:p>
    <w:p>
      <w:pPr>
        <w:spacing w:before="100" w:beforeAutospacing="1"/>
        <w:rPr>
          <w:rFonts w:ascii="Times New Roman" w:hAnsi="Times New Roman"/>
          <w:b/>
          <w:noProof/>
          <w:sz w:val="24"/>
          <w:szCs w:val="24"/>
          <w:lang w:eastAsia="en-GB"/>
        </w:rPr>
      </w:pPr>
      <w:r>
        <w:rPr>
          <w:rFonts w:ascii="Times New Roman" w:hAnsi="Times New Roman"/>
          <w:b/>
          <w:noProof/>
          <w:sz w:val="24"/>
          <w:szCs w:val="24"/>
          <w:lang w:eastAsia="en-GB"/>
        </w:rPr>
        <w:t>Key findings</w:t>
      </w:r>
    </w:p>
    <w:p>
      <w:pPr>
        <w:jc w:val="both"/>
        <w:rPr>
          <w:rFonts w:ascii="Times New Roman" w:hAnsi="Times New Roman"/>
          <w:noProof/>
          <w:color w:val="000000"/>
          <w:sz w:val="24"/>
          <w:lang w:val="en-IE" w:eastAsia="fr-BE"/>
        </w:rPr>
      </w:pPr>
      <w:r>
        <w:rPr>
          <w:rFonts w:ascii="Times New Roman" w:hAnsi="Times New Roman"/>
          <w:noProof/>
          <w:color w:val="000000"/>
          <w:sz w:val="24"/>
          <w:lang w:val="en-IE" w:eastAsia="fr-BE"/>
        </w:rPr>
        <w:t>The funding programme has enabled the three beneficiaries to develop standards which enhance the transparency and comparability of financial information about financial instruments, revenue recognition, and lease contracts. The ongoing “Better Communication” project of the IFRS Foundation is an example to further improve comparability by strengthening consistency in the definition of key performance indicators and in the presentation of financial statements.</w:t>
      </w:r>
    </w:p>
    <w:p>
      <w:pPr>
        <w:jc w:val="both"/>
        <w:rPr>
          <w:rFonts w:ascii="Times New Roman" w:hAnsi="Times New Roman"/>
          <w:noProof/>
          <w:color w:val="000000"/>
          <w:sz w:val="24"/>
          <w:lang w:val="en-IE" w:eastAsia="fr-BE"/>
        </w:rPr>
      </w:pPr>
      <w:r>
        <w:rPr>
          <w:rFonts w:ascii="Times New Roman" w:hAnsi="Times New Roman"/>
          <w:noProof/>
          <w:color w:val="000000"/>
          <w:sz w:val="24"/>
          <w:lang w:val="en-IE" w:eastAsia="fr-BE"/>
        </w:rPr>
        <w:t xml:space="preserve">The programme contributed to the global acceptance of IFRS as a reference set of high quality accounting standards. </w:t>
      </w:r>
    </w:p>
    <w:p>
      <w:pPr>
        <w:jc w:val="both"/>
        <w:rPr>
          <w:rFonts w:ascii="Times New Roman" w:hAnsi="Times New Roman"/>
          <w:noProof/>
          <w:color w:val="000000"/>
          <w:sz w:val="24"/>
          <w:lang w:val="en-IE" w:eastAsia="fr-BE"/>
        </w:rPr>
      </w:pPr>
      <w:r>
        <w:rPr>
          <w:rFonts w:ascii="Times New Roman" w:hAnsi="Times New Roman"/>
          <w:noProof/>
          <w:color w:val="000000"/>
          <w:sz w:val="24"/>
          <w:lang w:val="en-IE" w:eastAsia="fr-BE"/>
        </w:rPr>
        <w:t xml:space="preserve">EFRAG has provided the European Commission with qualitative endorsement advice on new or modified standards and monitors the standard setting activities undertaken by the IASB to safeguard European interests. In that respect the Union programme has contributed to strengthening the capacity of EFRAG to carry out EU wide impact assessments of the broader economic consequences of new IFRS standards.  </w:t>
      </w:r>
    </w:p>
    <w:p>
      <w:pPr>
        <w:jc w:val="both"/>
        <w:rPr>
          <w:rFonts w:ascii="Times New Roman" w:hAnsi="Times New Roman"/>
          <w:noProof/>
          <w:color w:val="000000"/>
          <w:sz w:val="24"/>
          <w:lang w:val="en-IE" w:eastAsia="fr-BE"/>
        </w:rPr>
      </w:pPr>
      <w:r>
        <w:rPr>
          <w:rFonts w:ascii="Times New Roman" w:hAnsi="Times New Roman"/>
          <w:noProof/>
          <w:color w:val="000000"/>
          <w:sz w:val="24"/>
          <w:lang w:val="en-IE" w:eastAsia="fr-BE"/>
        </w:rPr>
        <w:t>With regard to the financial independence of the beneficiaries, their funding diversification has increased their credibility and technical capacity. However, the objective to secure national financing regimes proportionate to a country’s gross domestic product to finance the IFRS Foundation has not been achieved. The implementation of the</w:t>
      </w:r>
      <w:r>
        <w:rPr>
          <w:rFonts w:ascii="Times New Roman" w:hAnsi="Times New Roman"/>
          <w:noProof/>
          <w:color w:val="000000"/>
          <w:sz w:val="24"/>
          <w:lang w:eastAsia="fr-BE"/>
        </w:rPr>
        <w:t xml:space="preserve"> Maystadt</w:t>
      </w:r>
      <w:r>
        <w:rPr>
          <w:rFonts w:ascii="Times New Roman" w:hAnsi="Times New Roman"/>
          <w:noProof/>
          <w:color w:val="000000"/>
          <w:sz w:val="24"/>
          <w:lang w:val="en-IE" w:eastAsia="fr-BE"/>
        </w:rPr>
        <w:t xml:space="preserve"> reform has broadened the constituency of EFRAG and contributed to better coordination between European stakeholders in the field of financial reporting. </w:t>
      </w:r>
    </w:p>
    <w:p>
      <w:pPr>
        <w:jc w:val="both"/>
        <w:rPr>
          <w:rFonts w:ascii="Times New Roman" w:hAnsi="Times New Roman"/>
          <w:noProof/>
          <w:color w:val="000000"/>
          <w:sz w:val="24"/>
          <w:lang w:val="en-IE" w:eastAsia="fr-BE"/>
        </w:rPr>
      </w:pPr>
      <w:r>
        <w:rPr>
          <w:rFonts w:ascii="Times New Roman" w:hAnsi="Times New Roman"/>
          <w:noProof/>
          <w:color w:val="000000"/>
          <w:sz w:val="24"/>
          <w:lang w:val="en-IE" w:eastAsia="fr-BE"/>
        </w:rPr>
        <w:t>The beneficiaries IFRSF and EFRAG have implemented robust due process rules and are on track to set up transparency registers.</w:t>
      </w:r>
    </w:p>
    <w:p>
      <w:pPr>
        <w:jc w:val="both"/>
        <w:rPr>
          <w:rFonts w:ascii="Times New Roman" w:hAnsi="Times New Roman"/>
          <w:noProof/>
          <w:color w:val="000000"/>
          <w:sz w:val="24"/>
          <w:lang w:val="en-IE" w:eastAsia="fr-BE"/>
        </w:rPr>
      </w:pPr>
      <w:r>
        <w:rPr>
          <w:rFonts w:ascii="Times New Roman" w:hAnsi="Times New Roman"/>
          <w:noProof/>
          <w:color w:val="000000"/>
          <w:sz w:val="24"/>
          <w:lang w:val="en-IE" w:eastAsia="fr-BE"/>
        </w:rPr>
        <w:t>As regards the PIOB, the EU grant has helped to attract other public sponsors and to ensure a minimum level of independency from IFAC and the auditing profession.</w:t>
      </w:r>
    </w:p>
    <w:p>
      <w:pPr>
        <w:pStyle w:val="ManualHeading1"/>
        <w:rPr>
          <w:noProof/>
        </w:rPr>
      </w:pPr>
      <w:r>
        <w:rPr>
          <w:noProof/>
        </w:rPr>
        <w:t>4.2.</w:t>
      </w:r>
      <w:r>
        <w:rPr>
          <w:noProof/>
        </w:rPr>
        <w:tab/>
        <w:t>Individual effectiveness of the beneficiaries</w:t>
      </w:r>
    </w:p>
    <w:p>
      <w:pPr>
        <w:pStyle w:val="Heading1"/>
        <w:tabs>
          <w:tab w:val="clear" w:pos="850"/>
        </w:tabs>
        <w:rPr>
          <w:rFonts w:ascii="Times New Roman" w:hAnsi="Times New Roman"/>
          <w:noProof/>
          <w:sz w:val="24"/>
          <w:szCs w:val="24"/>
          <w:u w:val="single"/>
        </w:rPr>
      </w:pPr>
      <w:r>
        <w:rPr>
          <w:rFonts w:ascii="Times New Roman" w:hAnsi="Times New Roman"/>
          <w:noProof/>
          <w:sz w:val="24"/>
          <w:szCs w:val="24"/>
          <w:u w:val="single"/>
        </w:rPr>
        <w:t>IFRS Foundation</w:t>
      </w:r>
    </w:p>
    <w:p>
      <w:pPr>
        <w:pStyle w:val="ManualHeading1"/>
        <w:rPr>
          <w:noProof/>
        </w:rPr>
      </w:pPr>
      <w:r>
        <w:rPr>
          <w:noProof/>
        </w:rPr>
        <w:t>4.2.1.</w:t>
      </w:r>
      <w:r>
        <w:rPr>
          <w:noProof/>
        </w:rPr>
        <w:tab/>
        <w:t>Key achievements of the IFRS Foundation</w:t>
      </w:r>
    </w:p>
    <w:p>
      <w:pPr>
        <w:pStyle w:val="ListParagraph"/>
        <w:spacing w:before="120" w:after="120"/>
        <w:ind w:left="0"/>
        <w:jc w:val="both"/>
        <w:rPr>
          <w:rFonts w:ascii="Times New Roman" w:hAnsi="Times New Roman"/>
          <w:noProof/>
          <w:sz w:val="24"/>
          <w:szCs w:val="24"/>
          <w:lang w:eastAsia="en-GB"/>
        </w:rPr>
      </w:pPr>
      <w:r>
        <w:rPr>
          <w:rFonts w:ascii="Times New Roman" w:hAnsi="Times New Roman"/>
          <w:noProof/>
          <w:sz w:val="24"/>
          <w:szCs w:val="24"/>
          <w:lang w:eastAsia="en-GB"/>
        </w:rPr>
        <w:t xml:space="preserve">Following a public consultation, the 2015-2020 Work Programme established by the International Accounting Standard Board aims at improving and supporting the implementation of existing standards and enhancing the way the information is disclosed in the financial statements. Over the period 2014-2018, the IFRS Foundation issued four major standards including: IFRS 15 - </w:t>
      </w:r>
      <w:r>
        <w:rPr>
          <w:rFonts w:ascii="Times New Roman" w:hAnsi="Times New Roman"/>
          <w:i/>
          <w:noProof/>
          <w:sz w:val="24"/>
          <w:szCs w:val="24"/>
          <w:lang w:eastAsia="en-GB"/>
        </w:rPr>
        <w:t>Revenue from Contracts with Customers</w:t>
      </w:r>
      <w:r>
        <w:rPr>
          <w:rFonts w:ascii="Times New Roman" w:hAnsi="Times New Roman"/>
          <w:noProof/>
          <w:sz w:val="24"/>
          <w:szCs w:val="24"/>
          <w:lang w:eastAsia="en-GB"/>
        </w:rPr>
        <w:t xml:space="preserve">, IFRS 9 </w:t>
      </w:r>
      <w:r>
        <w:rPr>
          <w:rFonts w:ascii="Times New Roman" w:hAnsi="Times New Roman"/>
          <w:i/>
          <w:noProof/>
          <w:sz w:val="24"/>
          <w:szCs w:val="24"/>
          <w:lang w:eastAsia="en-GB"/>
        </w:rPr>
        <w:t>- Financial Instruments</w:t>
      </w:r>
      <w:r>
        <w:rPr>
          <w:rFonts w:ascii="Times New Roman" w:hAnsi="Times New Roman"/>
          <w:noProof/>
          <w:sz w:val="24"/>
          <w:szCs w:val="24"/>
          <w:lang w:eastAsia="en-GB"/>
        </w:rPr>
        <w:t xml:space="preserve">, IFRS 16 - </w:t>
      </w:r>
      <w:r>
        <w:rPr>
          <w:rFonts w:ascii="Times New Roman" w:hAnsi="Times New Roman"/>
          <w:i/>
          <w:noProof/>
          <w:sz w:val="24"/>
          <w:szCs w:val="24"/>
          <w:lang w:eastAsia="en-GB"/>
        </w:rPr>
        <w:t>Leases</w:t>
      </w:r>
      <w:r>
        <w:rPr>
          <w:rFonts w:ascii="Times New Roman" w:hAnsi="Times New Roman"/>
          <w:noProof/>
          <w:sz w:val="24"/>
          <w:szCs w:val="24"/>
          <w:lang w:eastAsia="en-GB"/>
        </w:rPr>
        <w:t xml:space="preserve"> and IFRS 17 - </w:t>
      </w:r>
      <w:r>
        <w:rPr>
          <w:rFonts w:ascii="Times New Roman" w:hAnsi="Times New Roman"/>
          <w:i/>
          <w:noProof/>
          <w:sz w:val="24"/>
          <w:szCs w:val="24"/>
          <w:lang w:eastAsia="en-GB"/>
        </w:rPr>
        <w:t>Insurance Contracts</w:t>
      </w:r>
      <w:r>
        <w:rPr>
          <w:rFonts w:ascii="Times New Roman" w:hAnsi="Times New Roman"/>
          <w:noProof/>
          <w:sz w:val="24"/>
          <w:szCs w:val="24"/>
          <w:lang w:eastAsia="en-GB"/>
        </w:rPr>
        <w:t>. Furthermore, in December 2018, on the basis of the taxonomy maintained by the IFRS Foundation, the European Commission adopted the Regulatory Technical Standard on the specification of a European single electronic reporting format (ESEF) which from 2020 onward requires issuers of securities listed on an EU regulated market to prepare their IFRS Financial Statements in iXBRL format.</w:t>
      </w:r>
    </w:p>
    <w:p>
      <w:pPr>
        <w:pStyle w:val="ManualHeading1"/>
        <w:rPr>
          <w:noProof/>
        </w:rPr>
      </w:pPr>
      <w:r>
        <w:rPr>
          <w:noProof/>
        </w:rPr>
        <w:t>4.2.2.</w:t>
      </w:r>
      <w:r>
        <w:rPr>
          <w:noProof/>
        </w:rPr>
        <w:tab/>
        <w:t>How effective the IFRS Foundation has been in achieving or progressing towards the intended objectives so far?</w:t>
      </w:r>
    </w:p>
    <w:p>
      <w:pPr>
        <w:spacing w:before="100" w:beforeAutospacing="1"/>
        <w:rPr>
          <w:rFonts w:ascii="Times New Roman" w:hAnsi="Times New Roman"/>
          <w:noProof/>
          <w:sz w:val="24"/>
          <w:szCs w:val="24"/>
        </w:rPr>
      </w:pPr>
      <w:r>
        <w:rPr>
          <w:rFonts w:ascii="Times New Roman" w:hAnsi="Times New Roman"/>
          <w:b/>
          <w:noProof/>
          <w:sz w:val="24"/>
          <w:szCs w:val="24"/>
          <w:lang w:eastAsia="en-GB"/>
        </w:rPr>
        <w:t>Key findings</w:t>
      </w:r>
    </w:p>
    <w:p>
      <w:pPr>
        <w:rPr>
          <w:i/>
          <w:noProof/>
          <w:lang w:eastAsia="en-GB"/>
        </w:rPr>
      </w:pPr>
      <w:r>
        <w:rPr>
          <w:rFonts w:ascii="Times New Roman" w:eastAsia="Times New Roman" w:hAnsi="Times New Roman"/>
          <w:i/>
          <w:noProof/>
          <w:color w:val="000000"/>
          <w:sz w:val="24"/>
          <w:lang w:val="en-IE" w:eastAsia="fr-BE"/>
        </w:rPr>
        <w:t>Ensuring comparability and transparency of company accounts throughout the Union</w:t>
      </w:r>
      <w:r>
        <w:rPr>
          <w:i/>
          <w:noProof/>
          <w:highlight w:val="yellow"/>
          <w:lang w:eastAsia="en-GB"/>
        </w:rPr>
        <w:t xml:space="preserve"> </w:t>
      </w:r>
    </w:p>
    <w:p>
      <w:pPr>
        <w:pStyle w:val="ListParagraph"/>
        <w:spacing w:before="120" w:after="120"/>
        <w:ind w:left="0"/>
        <w:contextualSpacing w:val="0"/>
        <w:jc w:val="both"/>
        <w:rPr>
          <w:rFonts w:ascii="Times New Roman" w:hAnsi="Times New Roman"/>
          <w:noProof/>
          <w:sz w:val="24"/>
          <w:szCs w:val="24"/>
          <w:lang w:eastAsia="en-GB"/>
        </w:rPr>
      </w:pPr>
      <w:r>
        <w:rPr>
          <w:rFonts w:ascii="Times New Roman" w:hAnsi="Times New Roman"/>
          <w:noProof/>
          <w:sz w:val="24"/>
          <w:szCs w:val="24"/>
          <w:lang w:eastAsia="en-GB"/>
        </w:rPr>
        <w:t xml:space="preserve">The 2015 report from the Commission to the European Parliament and the Council on the evaluation of Regulation n°1606/2002 (the “IAS Regulation”), concluded that the introduction of IFRS within the European Union had increased the transparency of financial statements through improved quality and disclosures and led to greater comparability between financial statements within and across industries. </w:t>
      </w:r>
    </w:p>
    <w:p>
      <w:pPr>
        <w:pStyle w:val="ListParagraph"/>
        <w:spacing w:before="120" w:after="120"/>
        <w:ind w:left="0"/>
        <w:contextualSpacing w:val="0"/>
        <w:jc w:val="both"/>
        <w:rPr>
          <w:rFonts w:ascii="Times New Roman" w:hAnsi="Times New Roman"/>
          <w:noProof/>
          <w:sz w:val="24"/>
          <w:szCs w:val="24"/>
          <w:lang w:eastAsia="en-GB"/>
        </w:rPr>
      </w:pPr>
      <w:r>
        <w:rPr>
          <w:rFonts w:ascii="Times New Roman" w:hAnsi="Times New Roman"/>
          <w:noProof/>
          <w:sz w:val="24"/>
          <w:szCs w:val="24"/>
          <w:lang w:eastAsia="en-GB"/>
        </w:rPr>
        <w:t>Over the period 2014-2018, the IFRS Foundation issued major standards and pursued research projects designed to enhance the comparability and transparency of IFRS financial statements.</w:t>
      </w:r>
    </w:p>
    <w:p>
      <w:pPr>
        <w:pStyle w:val="ListParagraph"/>
        <w:spacing w:before="120" w:after="120"/>
        <w:ind w:left="0"/>
        <w:contextualSpacing w:val="0"/>
        <w:jc w:val="both"/>
        <w:rPr>
          <w:rFonts w:ascii="Times New Roman" w:hAnsi="Times New Roman"/>
          <w:noProof/>
          <w:sz w:val="24"/>
          <w:szCs w:val="24"/>
          <w:lang w:eastAsia="en-GB"/>
        </w:rPr>
      </w:pPr>
      <w:r>
        <w:rPr>
          <w:rFonts w:ascii="Times New Roman" w:hAnsi="Times New Roman"/>
          <w:noProof/>
          <w:sz w:val="24"/>
          <w:szCs w:val="24"/>
          <w:lang w:eastAsia="en-GB"/>
        </w:rPr>
        <w:t>IFRS 15 Revenue from Contracts with customers</w:t>
      </w:r>
      <w:r>
        <w:rPr>
          <w:rFonts w:ascii="Times New Roman" w:hAnsi="Times New Roman"/>
          <w:i/>
          <w:noProof/>
          <w:sz w:val="24"/>
          <w:szCs w:val="24"/>
          <w:lang w:eastAsia="en-GB"/>
        </w:rPr>
        <w:t xml:space="preserve"> </w:t>
      </w:r>
      <w:r>
        <w:rPr>
          <w:rFonts w:ascii="Times New Roman" w:hAnsi="Times New Roman"/>
          <w:noProof/>
          <w:sz w:val="24"/>
          <w:szCs w:val="24"/>
          <w:lang w:eastAsia="en-GB"/>
        </w:rPr>
        <w:t xml:space="preserve">was issued in May 2014 and amended in 2015 in order to provide additional clarifications and ease its operational implementation. The initial standard was developed jointly with the US Financial Accounting Standard Board with a view to streamlining one revenue recognition model applicable to all contracts with customers and clarifying the requirements of the previous IAS 8 </w:t>
      </w:r>
      <w:r>
        <w:rPr>
          <w:rFonts w:ascii="Times New Roman" w:hAnsi="Times New Roman"/>
          <w:i/>
          <w:noProof/>
          <w:sz w:val="24"/>
          <w:szCs w:val="24"/>
          <w:lang w:eastAsia="en-GB"/>
        </w:rPr>
        <w:t>Revenue</w:t>
      </w:r>
      <w:r>
        <w:rPr>
          <w:rFonts w:ascii="Times New Roman" w:hAnsi="Times New Roman"/>
          <w:noProof/>
          <w:sz w:val="24"/>
          <w:szCs w:val="24"/>
          <w:lang w:eastAsia="en-GB"/>
        </w:rPr>
        <w:t xml:space="preserve"> and IAS 11 </w:t>
      </w:r>
      <w:r>
        <w:rPr>
          <w:rFonts w:ascii="Times New Roman" w:hAnsi="Times New Roman"/>
          <w:i/>
          <w:noProof/>
          <w:sz w:val="24"/>
          <w:szCs w:val="24"/>
          <w:lang w:eastAsia="en-GB"/>
        </w:rPr>
        <w:t>Construction contracts</w:t>
      </w:r>
      <w:r>
        <w:rPr>
          <w:rFonts w:ascii="Times New Roman" w:hAnsi="Times New Roman"/>
          <w:noProof/>
          <w:sz w:val="24"/>
          <w:szCs w:val="24"/>
          <w:lang w:eastAsia="en-GB"/>
        </w:rPr>
        <w:t xml:space="preserve"> standards by introducing additional implementation guidance. The standard has been applicable in Europe since 1 January 2018 and is expected to strengthen comparability between IFRS and US GAAP while enhancing consistent implementation by companies through the implementation guidance.</w:t>
      </w:r>
    </w:p>
    <w:p>
      <w:pPr>
        <w:pStyle w:val="ListParagraph"/>
        <w:spacing w:before="120" w:after="120"/>
        <w:ind w:left="0"/>
        <w:contextualSpacing w:val="0"/>
        <w:jc w:val="both"/>
        <w:rPr>
          <w:rFonts w:ascii="Times New Roman" w:hAnsi="Times New Roman"/>
          <w:noProof/>
          <w:sz w:val="24"/>
          <w:szCs w:val="24"/>
          <w:lang w:eastAsia="en-GB"/>
        </w:rPr>
      </w:pPr>
      <w:r>
        <w:rPr>
          <w:rFonts w:ascii="Times New Roman" w:hAnsi="Times New Roman"/>
          <w:noProof/>
          <w:sz w:val="24"/>
          <w:szCs w:val="24"/>
          <w:lang w:eastAsia="en-GB"/>
        </w:rPr>
        <w:t xml:space="preserve">IFRS 9 </w:t>
      </w:r>
      <w:r>
        <w:rPr>
          <w:rFonts w:ascii="Times New Roman" w:hAnsi="Times New Roman"/>
          <w:i/>
          <w:noProof/>
          <w:sz w:val="24"/>
          <w:szCs w:val="24"/>
          <w:lang w:eastAsia="en-GB"/>
        </w:rPr>
        <w:t xml:space="preserve">Financial Instruments </w:t>
      </w:r>
      <w:r>
        <w:rPr>
          <w:rFonts w:ascii="Times New Roman" w:hAnsi="Times New Roman"/>
          <w:noProof/>
          <w:sz w:val="24"/>
          <w:szCs w:val="24"/>
          <w:lang w:eastAsia="en-GB"/>
        </w:rPr>
        <w:t>is</w:t>
      </w:r>
      <w:r>
        <w:rPr>
          <w:rFonts w:ascii="Times New Roman" w:hAnsi="Times New Roman"/>
          <w:i/>
          <w:noProof/>
          <w:sz w:val="24"/>
          <w:szCs w:val="24"/>
          <w:lang w:eastAsia="en-GB"/>
        </w:rPr>
        <w:t xml:space="preserve"> </w:t>
      </w:r>
      <w:r>
        <w:rPr>
          <w:rFonts w:ascii="Times New Roman" w:hAnsi="Times New Roman"/>
          <w:noProof/>
          <w:sz w:val="24"/>
          <w:szCs w:val="24"/>
          <w:lang w:eastAsia="en-GB"/>
        </w:rPr>
        <w:t>designed to improve the accounting treatment of lending instruments</w:t>
      </w:r>
      <w:r>
        <w:rPr>
          <w:rFonts w:ascii="Times New Roman" w:hAnsi="Times New Roman"/>
          <w:i/>
          <w:noProof/>
          <w:sz w:val="24"/>
          <w:szCs w:val="24"/>
          <w:lang w:eastAsia="en-GB"/>
        </w:rPr>
        <w:t xml:space="preserve"> </w:t>
      </w:r>
      <w:r>
        <w:rPr>
          <w:rFonts w:ascii="Times New Roman" w:hAnsi="Times New Roman"/>
          <w:noProof/>
          <w:sz w:val="24"/>
          <w:szCs w:val="24"/>
          <w:lang w:eastAsia="en-GB"/>
        </w:rPr>
        <w:t>and to ensure timely recognition of expected credit losses by implementing a forward-looking impairment model. It also aims at better aligning the hedge accounting requirements with companies’ risk management practices while also improving disclosures. This is expected to reduce non GAAP information and to enhance transparency about the use of financial instruments for the purpose of risk mitigation. The standard is applicable for annual period beginning after 1 January 2018.</w:t>
      </w:r>
    </w:p>
    <w:p>
      <w:pPr>
        <w:pStyle w:val="ListParagraph"/>
        <w:spacing w:before="120" w:after="120"/>
        <w:ind w:left="0"/>
        <w:contextualSpacing w:val="0"/>
        <w:jc w:val="both"/>
        <w:rPr>
          <w:rFonts w:ascii="Times New Roman" w:hAnsi="Times New Roman"/>
          <w:noProof/>
          <w:sz w:val="24"/>
          <w:szCs w:val="24"/>
          <w:lang w:eastAsia="en-GB"/>
        </w:rPr>
      </w:pPr>
      <w:r>
        <w:rPr>
          <w:rFonts w:ascii="Times New Roman" w:hAnsi="Times New Roman"/>
          <w:noProof/>
          <w:sz w:val="24"/>
          <w:szCs w:val="24"/>
          <w:lang w:eastAsia="en-GB"/>
        </w:rPr>
        <w:t xml:space="preserve">IFRS 16 </w:t>
      </w:r>
      <w:r>
        <w:rPr>
          <w:rFonts w:ascii="Times New Roman" w:hAnsi="Times New Roman"/>
          <w:i/>
          <w:noProof/>
          <w:sz w:val="24"/>
          <w:szCs w:val="24"/>
          <w:lang w:eastAsia="en-GB"/>
        </w:rPr>
        <w:t>Lease Contracts</w:t>
      </w:r>
      <w:r>
        <w:rPr>
          <w:rFonts w:ascii="Times New Roman" w:hAnsi="Times New Roman"/>
          <w:noProof/>
          <w:sz w:val="24"/>
          <w:szCs w:val="24"/>
          <w:lang w:eastAsia="en-GB"/>
        </w:rPr>
        <w:t xml:space="preserve"> significantly expands the scope of lease contracts for which separate recognition of lease assets and liabilities is required in the financial statements of the lessee. The standard was devised with a view to strengthening the comparability of financial leverage across companies and the transparency on cash flows arising from lease contracts. Mandatory application in Europe started on 1 January 2019.</w:t>
      </w:r>
    </w:p>
    <w:p>
      <w:pPr>
        <w:pStyle w:val="ListParagraph"/>
        <w:spacing w:before="120" w:after="120"/>
        <w:ind w:left="0"/>
        <w:contextualSpacing w:val="0"/>
        <w:jc w:val="both"/>
        <w:rPr>
          <w:rFonts w:ascii="Times New Roman" w:hAnsi="Times New Roman"/>
          <w:noProof/>
          <w:sz w:val="24"/>
          <w:szCs w:val="24"/>
          <w:lang w:eastAsia="en-GB"/>
        </w:rPr>
      </w:pPr>
      <w:r>
        <w:rPr>
          <w:rFonts w:ascii="Times New Roman" w:hAnsi="Times New Roman"/>
          <w:noProof/>
          <w:sz w:val="24"/>
          <w:szCs w:val="24"/>
          <w:lang w:eastAsia="en-GB"/>
        </w:rPr>
        <w:t xml:space="preserve">IFRS 17 </w:t>
      </w:r>
      <w:r>
        <w:rPr>
          <w:rFonts w:ascii="Times New Roman" w:hAnsi="Times New Roman"/>
          <w:i/>
          <w:noProof/>
          <w:sz w:val="24"/>
          <w:szCs w:val="24"/>
          <w:lang w:eastAsia="en-GB"/>
        </w:rPr>
        <w:t>Insurance Contracts</w:t>
      </w:r>
      <w:r>
        <w:rPr>
          <w:rFonts w:ascii="Times New Roman" w:hAnsi="Times New Roman"/>
          <w:noProof/>
          <w:sz w:val="24"/>
          <w:szCs w:val="24"/>
          <w:lang w:eastAsia="en-GB"/>
        </w:rPr>
        <w:t xml:space="preserve"> aims at providing a harmonized accounting treatment for insurance contracts thus significantly improving the comparability of financial statements across insurance and reinsurance companies. The standard also requires the use of current estimates and the timely recognition of expected losses with a view to enhancing transparency about insurance and financial risks embedded in insurance contracts. It also aims at streamlining a revenue recognition model similar to IFRS 15 so as to improve cross industries comparability.   </w:t>
      </w:r>
    </w:p>
    <w:p>
      <w:pPr>
        <w:pStyle w:val="ListParagraph"/>
        <w:spacing w:before="120" w:after="120"/>
        <w:ind w:left="0"/>
        <w:contextualSpacing w:val="0"/>
        <w:jc w:val="both"/>
        <w:rPr>
          <w:rFonts w:ascii="Times New Roman" w:hAnsi="Times New Roman"/>
          <w:noProof/>
          <w:sz w:val="24"/>
          <w:szCs w:val="24"/>
          <w:lang w:eastAsia="en-GB"/>
        </w:rPr>
      </w:pPr>
      <w:r>
        <w:rPr>
          <w:rFonts w:ascii="Times New Roman" w:hAnsi="Times New Roman"/>
          <w:noProof/>
          <w:sz w:val="24"/>
          <w:szCs w:val="24"/>
          <w:lang w:eastAsia="en-GB"/>
        </w:rPr>
        <w:t xml:space="preserve">Finally as part of the </w:t>
      </w:r>
      <w:r>
        <w:rPr>
          <w:rFonts w:ascii="Times New Roman" w:hAnsi="Times New Roman"/>
          <w:i/>
          <w:noProof/>
          <w:sz w:val="24"/>
          <w:szCs w:val="24"/>
          <w:lang w:eastAsia="en-GB"/>
        </w:rPr>
        <w:t>Better Communication</w:t>
      </w:r>
      <w:r>
        <w:rPr>
          <w:rFonts w:ascii="Times New Roman" w:hAnsi="Times New Roman"/>
          <w:noProof/>
          <w:sz w:val="24"/>
          <w:szCs w:val="24"/>
          <w:lang w:eastAsia="en-GB"/>
        </w:rPr>
        <w:t xml:space="preserve"> project, the IFRS Foundation is considering possible improvements to the presentation of IFRS Financial Statements in order to improve the comparability of performance indicators. A public consultation outlining the IASB’s proposals is expected in 2019. </w:t>
      </w:r>
    </w:p>
    <w:p>
      <w:pPr>
        <w:pStyle w:val="ListParagraph"/>
        <w:spacing w:before="120" w:after="120"/>
        <w:ind w:left="0"/>
        <w:contextualSpacing w:val="0"/>
        <w:jc w:val="both"/>
        <w:rPr>
          <w:rFonts w:ascii="Times New Roman" w:hAnsi="Times New Roman"/>
          <w:noProof/>
          <w:sz w:val="24"/>
          <w:szCs w:val="24"/>
          <w:lang w:eastAsia="en-GB"/>
        </w:rPr>
      </w:pPr>
      <w:r>
        <w:rPr>
          <w:rFonts w:ascii="Times New Roman" w:hAnsi="Times New Roman"/>
          <w:noProof/>
          <w:sz w:val="24"/>
          <w:szCs w:val="24"/>
          <w:lang w:eastAsia="en-GB"/>
        </w:rPr>
        <w:t xml:space="preserve">The Commission services therefore assess that the IFRS Foundation standard setting activities have contributed to enhancing the transparency and comparability of financial statements thereby enhancing the efficient functioning of the EU capital market. </w:t>
      </w:r>
    </w:p>
    <w:p>
      <w:pPr>
        <w:rPr>
          <w:rFonts w:ascii="Times New Roman" w:eastAsia="Times New Roman" w:hAnsi="Times New Roman"/>
          <w:i/>
          <w:noProof/>
          <w:color w:val="000000"/>
          <w:sz w:val="24"/>
          <w:lang w:val="en-IE" w:eastAsia="fr-BE"/>
        </w:rPr>
      </w:pPr>
      <w:r>
        <w:rPr>
          <w:rFonts w:ascii="Times New Roman" w:eastAsia="Times New Roman" w:hAnsi="Times New Roman"/>
          <w:i/>
          <w:noProof/>
          <w:color w:val="000000"/>
          <w:sz w:val="24"/>
          <w:lang w:val="en-IE" w:eastAsia="fr-BE"/>
        </w:rPr>
        <w:t>Fostering the convergence of accounting standards used internationally with the ultimate objective of achieving a single set of accounting standards</w:t>
      </w:r>
    </w:p>
    <w:p>
      <w:pPr>
        <w:pStyle w:val="ListParagraph"/>
        <w:spacing w:before="120" w:after="120"/>
        <w:ind w:left="0"/>
        <w:contextualSpacing w:val="0"/>
        <w:jc w:val="both"/>
        <w:rPr>
          <w:rFonts w:ascii="Times New Roman" w:hAnsi="Times New Roman"/>
          <w:noProof/>
          <w:sz w:val="24"/>
          <w:szCs w:val="24"/>
          <w:lang w:eastAsia="en-GB"/>
        </w:rPr>
      </w:pPr>
      <w:r>
        <w:rPr>
          <w:rFonts w:ascii="Times New Roman" w:hAnsi="Times New Roman"/>
          <w:noProof/>
          <w:sz w:val="24"/>
          <w:szCs w:val="24"/>
          <w:lang w:eastAsia="en-GB"/>
        </w:rPr>
        <w:t>From 2014 to 2018, the international use and acceptance of IFRS has kept progressing with thirty additional jurisdictions, mainly from Africa, requiring the use of IFRSs. The 2018 survey carried out by the IFRS Foundation on the use of IFRS Standards around the world highlights that out of 166 jurisdictions surveyed 87% require the use of IFRS at least for publicly accountable companies. However, some major capital markets (Japan, United States) do not require IFRS but only allow it for national or foreign issuers whereas other major jurisdictions such as China and India have only implemented convergence programme of national accounting standards towards IFRS that may not ensure full consistency with the standards as issued by the IASB. Furthermore, although the joint standard-setting program between the IASB and FASB has achieved substantial convergence on revenue recognition and lease contracts, it has been discontinued for financial instruments and insurance contracts.</w:t>
      </w:r>
    </w:p>
    <w:p>
      <w:pPr>
        <w:pStyle w:val="ListParagraph"/>
        <w:spacing w:before="120" w:after="120"/>
        <w:ind w:left="0"/>
        <w:contextualSpacing w:val="0"/>
        <w:jc w:val="both"/>
        <w:rPr>
          <w:rFonts w:ascii="Times New Roman" w:hAnsi="Times New Roman"/>
          <w:noProof/>
          <w:sz w:val="24"/>
          <w:szCs w:val="24"/>
          <w:lang w:eastAsia="en-GB"/>
        </w:rPr>
      </w:pPr>
      <w:r>
        <w:rPr>
          <w:rFonts w:ascii="Times New Roman" w:hAnsi="Times New Roman"/>
          <w:noProof/>
          <w:sz w:val="24"/>
          <w:szCs w:val="24"/>
          <w:lang w:eastAsia="en-GB"/>
        </w:rPr>
        <w:t>As a consequence, despite some limitations, the Union programme has contributed to the international acceptance of IFRS as a worldwide reference model for financial reporting.</w:t>
      </w:r>
    </w:p>
    <w:p>
      <w:pPr>
        <w:rPr>
          <w:rFonts w:ascii="Times New Roman" w:eastAsia="Times New Roman" w:hAnsi="Times New Roman"/>
          <w:i/>
          <w:noProof/>
          <w:color w:val="000000"/>
          <w:sz w:val="24"/>
          <w:lang w:val="en-IE" w:eastAsia="fr-BE"/>
        </w:rPr>
      </w:pPr>
      <w:r>
        <w:rPr>
          <w:rFonts w:ascii="Times New Roman" w:eastAsia="Times New Roman" w:hAnsi="Times New Roman"/>
          <w:i/>
          <w:noProof/>
          <w:color w:val="000000"/>
          <w:sz w:val="24"/>
          <w:lang w:val="en-IE" w:eastAsia="fr-BE"/>
        </w:rPr>
        <w:t xml:space="preserve">Ensuring that the interests of the Union are adequately taken into account in the international standard-setting process. Those interests should include the notion of prudence, the maintenance of the requirement of a true and fair view and take into account the impact of standards on financial stability and the economy. </w:t>
      </w:r>
    </w:p>
    <w:p>
      <w:pPr>
        <w:jc w:val="both"/>
        <w:rPr>
          <w:rFonts w:ascii="Times New Roman" w:hAnsi="Times New Roman"/>
          <w:noProof/>
          <w:color w:val="000000"/>
          <w:sz w:val="24"/>
          <w:lang w:val="en-IE" w:eastAsia="fr-BE"/>
        </w:rPr>
      </w:pPr>
      <w:r>
        <w:rPr>
          <w:rFonts w:ascii="Times New Roman" w:hAnsi="Times New Roman"/>
          <w:noProof/>
          <w:color w:val="000000"/>
          <w:sz w:val="24"/>
          <w:lang w:val="en-IE" w:eastAsia="fr-BE"/>
        </w:rPr>
        <w:t>According to the constitution of the IFRS Foundation, the International Accounting Standard Board has full discretion in developing and pursuing its technical agenda subject to consulting the Trustees and the Advisory Council of the Foundation and carrying out a public consultation every five years. The European Union is represented in the IFRS Foundation only as a member of the Monitoring Board and an observer of the Standards Advisory Council which implies that it has no direct influence in the standard setting choices.</w:t>
      </w:r>
    </w:p>
    <w:p>
      <w:pPr>
        <w:jc w:val="both"/>
        <w:rPr>
          <w:rFonts w:ascii="Times New Roman" w:hAnsi="Times New Roman"/>
          <w:noProof/>
          <w:color w:val="000000"/>
          <w:sz w:val="24"/>
          <w:lang w:val="en-IE" w:eastAsia="fr-BE"/>
        </w:rPr>
      </w:pPr>
      <w:r>
        <w:rPr>
          <w:rFonts w:ascii="Times New Roman" w:hAnsi="Times New Roman"/>
          <w:noProof/>
          <w:color w:val="000000"/>
          <w:sz w:val="24"/>
          <w:lang w:val="en-IE" w:eastAsia="fr-BE"/>
        </w:rPr>
        <w:t xml:space="preserve">As a consequence, the views of European stakeholders have to be reported according to the procedures set in the IFRS Foundation Due Process Handbook (DPH), which especially requires the International Accounting Standard Board to gain insights on the likely effects of its standard setting proposals and to publish an effect analysis for each exposure draft or final standard. However, the requirements of the Due Process Handbook focus on the improvements to financial reporting and on the assessment of the likely compliance costs for both users and preparers, which leaves aside broader impacts of IFRS on financial stability, the economy, or sustainability. </w:t>
      </w:r>
    </w:p>
    <w:p>
      <w:pPr>
        <w:jc w:val="both"/>
        <w:rPr>
          <w:rFonts w:ascii="Times New Roman" w:hAnsi="Times New Roman"/>
          <w:noProof/>
          <w:sz w:val="24"/>
          <w:szCs w:val="24"/>
          <w:lang w:eastAsia="en-GB"/>
        </w:rPr>
      </w:pPr>
      <w:r>
        <w:rPr>
          <w:rFonts w:ascii="Times New Roman" w:hAnsi="Times New Roman"/>
          <w:noProof/>
          <w:color w:val="000000"/>
          <w:sz w:val="24"/>
          <w:lang w:val="en-IE" w:eastAsia="fr-BE"/>
        </w:rPr>
        <w:t xml:space="preserve">In 2013, the IFRS Foundation set up an advisory body (the Effects Analysis Consultative Group) to help the IASB strengthen its methodology for effects analysis. In that regards, some progress was achieved in the “Effects Analysis” supporting the issuance of IFRS 16 </w:t>
      </w:r>
      <w:r>
        <w:rPr>
          <w:rFonts w:ascii="Times New Roman" w:hAnsi="Times New Roman"/>
          <w:i/>
          <w:noProof/>
          <w:color w:val="000000"/>
          <w:sz w:val="24"/>
          <w:lang w:val="en-IE" w:eastAsia="fr-BE"/>
        </w:rPr>
        <w:t>Leases</w:t>
      </w:r>
      <w:r>
        <w:rPr>
          <w:rFonts w:ascii="Times New Roman" w:hAnsi="Times New Roman"/>
          <w:noProof/>
          <w:color w:val="000000"/>
          <w:sz w:val="24"/>
          <w:lang w:val="en-IE" w:eastAsia="fr-BE"/>
        </w:rPr>
        <w:t xml:space="preserve">, which considered specifically economic concerns about the impact of the standard on the cost of borrowing for companies, debt covenants (capitalizing on the findings from a study carried out by EFRAG), the regulatory capital requirements of banks and access to finance for smaller companies. </w:t>
      </w:r>
      <w:r>
        <w:rPr>
          <w:rFonts w:ascii="Times New Roman" w:hAnsi="Times New Roman"/>
          <w:noProof/>
          <w:sz w:val="24"/>
          <w:szCs w:val="24"/>
          <w:lang w:eastAsia="en-GB"/>
        </w:rPr>
        <w:t xml:space="preserve">In 2019, the IFRS Foundation launched a public consultation as part of the review of its Due Process Handbook which suggests clarifying that the Effects Analysis should be explicitly embedded through out the Standard setting process of the IASB and consider the likely benefits of new IFRS standards on long-term financial stability. However, it does not require the Board to assess the possible broader economic or other consequences of a change in financial reporting.  </w:t>
      </w:r>
    </w:p>
    <w:p>
      <w:pPr>
        <w:jc w:val="both"/>
        <w:rPr>
          <w:rFonts w:ascii="Times New Roman" w:eastAsia="Times New Roman" w:hAnsi="Times New Roman"/>
          <w:noProof/>
          <w:color w:val="000000"/>
          <w:sz w:val="24"/>
          <w:lang w:val="en-IE" w:eastAsia="fr-BE"/>
        </w:rPr>
        <w:sectPr>
          <w:headerReference w:type="even" r:id="rId33"/>
          <w:headerReference w:type="default" r:id="rId34"/>
          <w:footerReference w:type="even" r:id="rId35"/>
          <w:footerReference w:type="default" r:id="rId36"/>
          <w:headerReference w:type="first" r:id="rId37"/>
          <w:footerReference w:type="first" r:id="rId38"/>
          <w:pgSz w:w="11906" w:h="16838"/>
          <w:pgMar w:top="1417" w:right="1417" w:bottom="1417" w:left="1417" w:header="708" w:footer="708" w:gutter="0"/>
          <w:cols w:space="708"/>
          <w:docGrid w:linePitch="360"/>
        </w:sectPr>
      </w:pPr>
      <w:r>
        <w:rPr>
          <w:rFonts w:ascii="Times New Roman" w:eastAsia="Times New Roman" w:hAnsi="Times New Roman"/>
          <w:noProof/>
          <w:color w:val="000000"/>
          <w:sz w:val="24"/>
          <w:lang w:val="en-IE" w:eastAsia="fr-BE"/>
        </w:rPr>
        <w:t xml:space="preserve">With regard to the principle of true and fair view, in March 2018, the IASB issued the revised Conceptual Framework for Financial Reporting which provides non-binding guidance to the Board in developing IFRS Standards. Though not endorsed by the European Union, the Conceptual Framework defines the qualitative characteristics of useful financial information and therefore provides a conceptual background conducive to the principle of true and fair view. The revised framework clarifies that the information provided should help users in assessing management's stewardship of an entity's economic resources and specifies that the exercise of prudence (defined as the exercise of caution when making judgments under conditions of uncertainty) supports the faithfulness of financial reporting. </w:t>
      </w:r>
    </w:p>
    <w:p>
      <w:pPr>
        <w:jc w:val="both"/>
        <w:rPr>
          <w:rFonts w:ascii="Times New Roman" w:eastAsia="Times New Roman" w:hAnsi="Times New Roman"/>
          <w:i/>
          <w:noProof/>
          <w:color w:val="000000"/>
          <w:sz w:val="24"/>
          <w:lang w:val="en-IE" w:eastAsia="fr-BE"/>
        </w:rPr>
      </w:pPr>
      <w:r>
        <w:rPr>
          <w:rFonts w:ascii="Times New Roman" w:eastAsia="Times New Roman" w:hAnsi="Times New Roman"/>
          <w:i/>
          <w:noProof/>
          <w:color w:val="000000"/>
          <w:sz w:val="24"/>
          <w:lang w:val="en-IE" w:eastAsia="fr-BE"/>
        </w:rPr>
        <w:t>Increase the financial independence of the beneficiaries from the private sector and ad hoc sources, thereby raising their capacity and credibility.</w:t>
      </w:r>
    </w:p>
    <w:tbl>
      <w:tblPr>
        <w:tblStyle w:val="TableGrid"/>
        <w:tblW w:w="0" w:type="auto"/>
        <w:tblLook w:val="04A0" w:firstRow="1" w:lastRow="0" w:firstColumn="1" w:lastColumn="0" w:noHBand="0" w:noVBand="1"/>
      </w:tblPr>
      <w:tblGrid>
        <w:gridCol w:w="3231"/>
        <w:gridCol w:w="1134"/>
        <w:gridCol w:w="1134"/>
        <w:gridCol w:w="1134"/>
        <w:gridCol w:w="1134"/>
        <w:gridCol w:w="1134"/>
      </w:tblGrid>
      <w:tr>
        <w:tc>
          <w:tcPr>
            <w:tcW w:w="8901" w:type="dxa"/>
            <w:gridSpan w:val="6"/>
            <w:shd w:val="clear" w:color="auto" w:fill="002060"/>
          </w:tcPr>
          <w:p>
            <w:pPr>
              <w:rPr>
                <w:rFonts w:ascii="Times New Roman" w:eastAsia="Times New Roman" w:hAnsi="Times New Roman"/>
                <w:b/>
                <w:noProof/>
                <w:color w:val="000000"/>
                <w:sz w:val="20"/>
                <w:szCs w:val="20"/>
                <w:lang w:val="en-IE" w:eastAsia="fr-BE"/>
              </w:rPr>
            </w:pPr>
            <w:r>
              <w:rPr>
                <w:rFonts w:ascii="Times New Roman" w:eastAsia="Times New Roman" w:hAnsi="Times New Roman"/>
                <w:b/>
                <w:noProof/>
                <w:color w:val="FFFFFF" w:themeColor="background1"/>
                <w:sz w:val="20"/>
                <w:szCs w:val="20"/>
                <w:lang w:val="en-IE" w:eastAsia="fr-BE"/>
              </w:rPr>
              <w:t>Evolution of the IFRS Foundation resources</w:t>
            </w:r>
          </w:p>
        </w:tc>
      </w:tr>
      <w:tr>
        <w:tc>
          <w:tcPr>
            <w:tcW w:w="3231" w:type="dxa"/>
            <w:tcBorders>
              <w:bottom w:val="single" w:sz="4" w:space="0" w:color="auto"/>
            </w:tcBorders>
          </w:tcPr>
          <w:p>
            <w:pPr>
              <w:spacing w:after="120"/>
              <w:jc w:val="both"/>
              <w:rPr>
                <w:rFonts w:ascii="Times New Roman" w:eastAsia="Times New Roman" w:hAnsi="Times New Roman"/>
                <w:b/>
                <w:noProof/>
                <w:color w:val="000000"/>
                <w:sz w:val="20"/>
                <w:szCs w:val="20"/>
                <w:lang w:val="en-IE" w:eastAsia="fr-BE"/>
              </w:rPr>
            </w:pPr>
            <w:r>
              <w:rPr>
                <w:rFonts w:ascii="Times New Roman" w:eastAsia="Times New Roman" w:hAnsi="Times New Roman"/>
                <w:b/>
                <w:noProof/>
                <w:color w:val="000000"/>
                <w:sz w:val="20"/>
                <w:szCs w:val="20"/>
                <w:lang w:val="en-IE" w:eastAsia="fr-BE"/>
              </w:rPr>
              <w:t>Amounts in million GBP</w:t>
            </w:r>
          </w:p>
        </w:tc>
        <w:tc>
          <w:tcPr>
            <w:tcW w:w="1134" w:type="dxa"/>
            <w:tcBorders>
              <w:bottom w:val="single" w:sz="4" w:space="0" w:color="auto"/>
            </w:tcBorders>
          </w:tcPr>
          <w:p>
            <w:pPr>
              <w:spacing w:after="120"/>
              <w:jc w:val="center"/>
              <w:rPr>
                <w:rFonts w:ascii="Times New Roman" w:eastAsia="Times New Roman" w:hAnsi="Times New Roman"/>
                <w:b/>
                <w:noProof/>
                <w:color w:val="000000"/>
                <w:sz w:val="20"/>
                <w:szCs w:val="20"/>
                <w:lang w:val="en-IE" w:eastAsia="fr-BE"/>
              </w:rPr>
            </w:pPr>
            <w:r>
              <w:rPr>
                <w:rFonts w:ascii="Times New Roman" w:eastAsia="Times New Roman" w:hAnsi="Times New Roman"/>
                <w:b/>
                <w:noProof/>
                <w:color w:val="000000"/>
                <w:sz w:val="20"/>
                <w:szCs w:val="20"/>
                <w:lang w:val="en-IE" w:eastAsia="fr-BE"/>
              </w:rPr>
              <w:t>2018</w:t>
            </w:r>
          </w:p>
        </w:tc>
        <w:tc>
          <w:tcPr>
            <w:tcW w:w="1134" w:type="dxa"/>
            <w:tcBorders>
              <w:bottom w:val="single" w:sz="4" w:space="0" w:color="auto"/>
            </w:tcBorders>
          </w:tcPr>
          <w:p>
            <w:pPr>
              <w:spacing w:after="120"/>
              <w:jc w:val="center"/>
              <w:rPr>
                <w:rFonts w:ascii="Times New Roman" w:eastAsia="Times New Roman" w:hAnsi="Times New Roman"/>
                <w:b/>
                <w:noProof/>
                <w:color w:val="000000"/>
                <w:sz w:val="20"/>
                <w:szCs w:val="20"/>
                <w:lang w:val="en-IE" w:eastAsia="fr-BE"/>
              </w:rPr>
            </w:pPr>
            <w:r>
              <w:rPr>
                <w:rFonts w:ascii="Times New Roman" w:eastAsia="Times New Roman" w:hAnsi="Times New Roman"/>
                <w:b/>
                <w:noProof/>
                <w:color w:val="000000"/>
                <w:sz w:val="20"/>
                <w:szCs w:val="20"/>
                <w:lang w:val="en-IE" w:eastAsia="fr-BE"/>
              </w:rPr>
              <w:t>2017</w:t>
            </w:r>
          </w:p>
        </w:tc>
        <w:tc>
          <w:tcPr>
            <w:tcW w:w="1134" w:type="dxa"/>
            <w:tcBorders>
              <w:bottom w:val="single" w:sz="4" w:space="0" w:color="auto"/>
            </w:tcBorders>
          </w:tcPr>
          <w:p>
            <w:pPr>
              <w:spacing w:after="120"/>
              <w:jc w:val="center"/>
              <w:rPr>
                <w:rFonts w:ascii="Times New Roman" w:eastAsia="Times New Roman" w:hAnsi="Times New Roman"/>
                <w:b/>
                <w:noProof/>
                <w:color w:val="000000"/>
                <w:sz w:val="20"/>
                <w:szCs w:val="20"/>
                <w:lang w:val="en-IE" w:eastAsia="fr-BE"/>
              </w:rPr>
            </w:pPr>
            <w:r>
              <w:rPr>
                <w:rFonts w:ascii="Times New Roman" w:eastAsia="Times New Roman" w:hAnsi="Times New Roman"/>
                <w:b/>
                <w:noProof/>
                <w:color w:val="000000"/>
                <w:sz w:val="20"/>
                <w:szCs w:val="20"/>
                <w:lang w:val="en-IE" w:eastAsia="fr-BE"/>
              </w:rPr>
              <w:t>2016</w:t>
            </w:r>
          </w:p>
        </w:tc>
        <w:tc>
          <w:tcPr>
            <w:tcW w:w="1134" w:type="dxa"/>
            <w:tcBorders>
              <w:bottom w:val="single" w:sz="4" w:space="0" w:color="auto"/>
            </w:tcBorders>
          </w:tcPr>
          <w:p>
            <w:pPr>
              <w:spacing w:after="120"/>
              <w:jc w:val="center"/>
              <w:rPr>
                <w:rFonts w:ascii="Times New Roman" w:eastAsia="Times New Roman" w:hAnsi="Times New Roman"/>
                <w:b/>
                <w:noProof/>
                <w:color w:val="000000"/>
                <w:sz w:val="20"/>
                <w:szCs w:val="20"/>
                <w:lang w:val="en-IE" w:eastAsia="fr-BE"/>
              </w:rPr>
            </w:pPr>
            <w:r>
              <w:rPr>
                <w:rFonts w:ascii="Times New Roman" w:eastAsia="Times New Roman" w:hAnsi="Times New Roman"/>
                <w:b/>
                <w:noProof/>
                <w:color w:val="000000"/>
                <w:sz w:val="20"/>
                <w:szCs w:val="20"/>
                <w:lang w:val="en-IE" w:eastAsia="fr-BE"/>
              </w:rPr>
              <w:t>2015</w:t>
            </w:r>
          </w:p>
        </w:tc>
        <w:tc>
          <w:tcPr>
            <w:tcW w:w="1134" w:type="dxa"/>
            <w:tcBorders>
              <w:bottom w:val="single" w:sz="4" w:space="0" w:color="auto"/>
            </w:tcBorders>
          </w:tcPr>
          <w:p>
            <w:pPr>
              <w:spacing w:after="120"/>
              <w:jc w:val="center"/>
              <w:rPr>
                <w:rFonts w:ascii="Times New Roman" w:eastAsia="Times New Roman" w:hAnsi="Times New Roman"/>
                <w:b/>
                <w:noProof/>
                <w:color w:val="000000"/>
                <w:sz w:val="20"/>
                <w:szCs w:val="20"/>
                <w:lang w:val="en-IE" w:eastAsia="fr-BE"/>
              </w:rPr>
            </w:pPr>
            <w:r>
              <w:rPr>
                <w:rFonts w:ascii="Times New Roman" w:eastAsia="Times New Roman" w:hAnsi="Times New Roman"/>
                <w:b/>
                <w:noProof/>
                <w:color w:val="000000"/>
                <w:sz w:val="20"/>
                <w:szCs w:val="20"/>
                <w:lang w:val="en-IE" w:eastAsia="fr-BE"/>
              </w:rPr>
              <w:t>2014</w:t>
            </w:r>
          </w:p>
        </w:tc>
      </w:tr>
      <w:tr>
        <w:tc>
          <w:tcPr>
            <w:tcW w:w="3231" w:type="dxa"/>
            <w:tcBorders>
              <w:bottom w:val="dotted" w:sz="4" w:space="0" w:color="auto"/>
            </w:tcBorders>
          </w:tcPr>
          <w:p>
            <w:pPr>
              <w:spacing w:after="120"/>
              <w:jc w:val="both"/>
              <w:rPr>
                <w:rFonts w:ascii="Times New Roman" w:eastAsia="Times New Roman" w:hAnsi="Times New Roman"/>
                <w:noProof/>
                <w:color w:val="000000"/>
                <w:sz w:val="20"/>
                <w:szCs w:val="20"/>
                <w:lang w:val="en-IE" w:eastAsia="fr-BE"/>
              </w:rPr>
            </w:pPr>
            <w:r>
              <w:rPr>
                <w:rFonts w:ascii="Times New Roman" w:eastAsia="Times New Roman" w:hAnsi="Times New Roman"/>
                <w:noProof/>
                <w:color w:val="000000"/>
                <w:sz w:val="20"/>
                <w:szCs w:val="20"/>
                <w:lang w:val="en-IE" w:eastAsia="fr-BE"/>
              </w:rPr>
              <w:t>Funding contribution received</w:t>
            </w:r>
          </w:p>
        </w:tc>
        <w:tc>
          <w:tcPr>
            <w:tcW w:w="1134" w:type="dxa"/>
            <w:tcBorders>
              <w:bottom w:val="dotted" w:sz="4" w:space="0" w:color="auto"/>
            </w:tcBorders>
            <w:vAlign w:val="center"/>
          </w:tcPr>
          <w:p>
            <w:pPr>
              <w:spacing w:after="120"/>
              <w:jc w:val="right"/>
              <w:rPr>
                <w:rFonts w:ascii="Times New Roman" w:eastAsia="Times New Roman" w:hAnsi="Times New Roman"/>
                <w:noProof/>
                <w:color w:val="000000"/>
                <w:sz w:val="20"/>
                <w:szCs w:val="20"/>
                <w:lang w:val="en-IE" w:eastAsia="fr-BE"/>
              </w:rPr>
            </w:pPr>
            <w:r>
              <w:rPr>
                <w:rFonts w:ascii="Times New Roman" w:eastAsia="Times New Roman" w:hAnsi="Times New Roman"/>
                <w:noProof/>
                <w:color w:val="000000"/>
                <w:sz w:val="20"/>
                <w:szCs w:val="20"/>
                <w:lang w:val="en-IE" w:eastAsia="fr-BE"/>
              </w:rPr>
              <w:t>22,0</w:t>
            </w:r>
          </w:p>
        </w:tc>
        <w:tc>
          <w:tcPr>
            <w:tcW w:w="1134" w:type="dxa"/>
            <w:tcBorders>
              <w:bottom w:val="dotted" w:sz="4" w:space="0" w:color="auto"/>
            </w:tcBorders>
            <w:vAlign w:val="center"/>
          </w:tcPr>
          <w:p>
            <w:pPr>
              <w:spacing w:after="120"/>
              <w:jc w:val="right"/>
              <w:rPr>
                <w:rFonts w:ascii="Times New Roman" w:eastAsia="Times New Roman" w:hAnsi="Times New Roman"/>
                <w:noProof/>
                <w:color w:val="000000"/>
                <w:sz w:val="20"/>
                <w:szCs w:val="20"/>
                <w:lang w:val="en-IE" w:eastAsia="fr-BE"/>
              </w:rPr>
            </w:pPr>
            <w:r>
              <w:rPr>
                <w:rFonts w:ascii="Times New Roman" w:eastAsia="Times New Roman" w:hAnsi="Times New Roman"/>
                <w:noProof/>
                <w:color w:val="000000"/>
                <w:sz w:val="20"/>
                <w:szCs w:val="20"/>
                <w:lang w:val="en-IE" w:eastAsia="fr-BE"/>
              </w:rPr>
              <w:t>25,1</w:t>
            </w:r>
          </w:p>
        </w:tc>
        <w:tc>
          <w:tcPr>
            <w:tcW w:w="1134" w:type="dxa"/>
            <w:tcBorders>
              <w:bottom w:val="dotted" w:sz="4" w:space="0" w:color="auto"/>
            </w:tcBorders>
            <w:vAlign w:val="center"/>
          </w:tcPr>
          <w:p>
            <w:pPr>
              <w:spacing w:after="120"/>
              <w:jc w:val="right"/>
              <w:rPr>
                <w:rFonts w:ascii="Times New Roman" w:eastAsia="Times New Roman" w:hAnsi="Times New Roman"/>
                <w:noProof/>
                <w:color w:val="000000"/>
                <w:sz w:val="20"/>
                <w:szCs w:val="20"/>
                <w:lang w:val="en-IE" w:eastAsia="fr-BE"/>
              </w:rPr>
            </w:pPr>
            <w:r>
              <w:rPr>
                <w:rFonts w:ascii="Times New Roman" w:eastAsia="Times New Roman" w:hAnsi="Times New Roman"/>
                <w:noProof/>
                <w:color w:val="000000"/>
                <w:sz w:val="20"/>
                <w:szCs w:val="20"/>
                <w:lang w:val="en-IE" w:eastAsia="fr-BE"/>
              </w:rPr>
              <w:t>24,1</w:t>
            </w:r>
          </w:p>
        </w:tc>
        <w:tc>
          <w:tcPr>
            <w:tcW w:w="1134" w:type="dxa"/>
            <w:tcBorders>
              <w:bottom w:val="dotted" w:sz="4" w:space="0" w:color="auto"/>
            </w:tcBorders>
            <w:vAlign w:val="center"/>
          </w:tcPr>
          <w:p>
            <w:pPr>
              <w:spacing w:after="120"/>
              <w:jc w:val="right"/>
              <w:rPr>
                <w:rFonts w:ascii="Times New Roman" w:eastAsia="Times New Roman" w:hAnsi="Times New Roman"/>
                <w:noProof/>
                <w:color w:val="000000"/>
                <w:sz w:val="20"/>
                <w:szCs w:val="20"/>
                <w:lang w:val="en-IE" w:eastAsia="fr-BE"/>
              </w:rPr>
            </w:pPr>
            <w:r>
              <w:rPr>
                <w:rFonts w:ascii="Times New Roman" w:eastAsia="Times New Roman" w:hAnsi="Times New Roman"/>
                <w:noProof/>
                <w:color w:val="000000"/>
                <w:sz w:val="20"/>
                <w:szCs w:val="20"/>
                <w:lang w:val="en-IE" w:eastAsia="fr-BE"/>
              </w:rPr>
              <w:t>21,3</w:t>
            </w:r>
          </w:p>
        </w:tc>
        <w:tc>
          <w:tcPr>
            <w:tcW w:w="1134" w:type="dxa"/>
            <w:tcBorders>
              <w:bottom w:val="dotted" w:sz="4" w:space="0" w:color="auto"/>
            </w:tcBorders>
            <w:vAlign w:val="center"/>
          </w:tcPr>
          <w:p>
            <w:pPr>
              <w:spacing w:after="120"/>
              <w:jc w:val="right"/>
              <w:rPr>
                <w:rFonts w:ascii="Times New Roman" w:eastAsia="Times New Roman" w:hAnsi="Times New Roman"/>
                <w:noProof/>
                <w:color w:val="000000"/>
                <w:sz w:val="20"/>
                <w:szCs w:val="20"/>
                <w:lang w:val="en-IE" w:eastAsia="fr-BE"/>
              </w:rPr>
            </w:pPr>
            <w:r>
              <w:rPr>
                <w:rFonts w:ascii="Times New Roman" w:eastAsia="Times New Roman" w:hAnsi="Times New Roman"/>
                <w:noProof/>
                <w:color w:val="000000"/>
                <w:sz w:val="20"/>
                <w:szCs w:val="20"/>
                <w:lang w:val="en-IE" w:eastAsia="fr-BE"/>
              </w:rPr>
              <w:t>22,6</w:t>
            </w:r>
          </w:p>
        </w:tc>
      </w:tr>
      <w:tr>
        <w:tc>
          <w:tcPr>
            <w:tcW w:w="3231" w:type="dxa"/>
            <w:tcBorders>
              <w:top w:val="dotted" w:sz="4" w:space="0" w:color="auto"/>
              <w:bottom w:val="dotted" w:sz="4" w:space="0" w:color="auto"/>
            </w:tcBorders>
          </w:tcPr>
          <w:p>
            <w:pPr>
              <w:spacing w:after="120"/>
              <w:jc w:val="both"/>
              <w:rPr>
                <w:rFonts w:ascii="Times New Roman" w:eastAsia="Times New Roman" w:hAnsi="Times New Roman"/>
                <w:noProof/>
                <w:color w:val="000000"/>
                <w:sz w:val="20"/>
                <w:szCs w:val="20"/>
                <w:lang w:val="en-IE" w:eastAsia="fr-BE"/>
              </w:rPr>
            </w:pPr>
            <w:r>
              <w:rPr>
                <w:rFonts w:ascii="Times New Roman" w:eastAsia="Times New Roman" w:hAnsi="Times New Roman"/>
                <w:noProof/>
                <w:color w:val="000000"/>
                <w:sz w:val="20"/>
                <w:szCs w:val="20"/>
                <w:lang w:val="en-IE" w:eastAsia="fr-BE"/>
              </w:rPr>
              <w:t>Revenues from publications</w:t>
            </w:r>
          </w:p>
        </w:tc>
        <w:tc>
          <w:tcPr>
            <w:tcW w:w="1134" w:type="dxa"/>
            <w:tcBorders>
              <w:top w:val="dotted" w:sz="4" w:space="0" w:color="auto"/>
              <w:bottom w:val="dotted" w:sz="4" w:space="0" w:color="auto"/>
            </w:tcBorders>
            <w:vAlign w:val="center"/>
          </w:tcPr>
          <w:p>
            <w:pPr>
              <w:spacing w:after="120"/>
              <w:jc w:val="right"/>
              <w:rPr>
                <w:rFonts w:ascii="Times New Roman" w:eastAsia="Times New Roman" w:hAnsi="Times New Roman"/>
                <w:noProof/>
                <w:color w:val="000000"/>
                <w:sz w:val="20"/>
                <w:szCs w:val="20"/>
                <w:lang w:val="en-IE" w:eastAsia="fr-BE"/>
              </w:rPr>
            </w:pPr>
            <w:r>
              <w:rPr>
                <w:rFonts w:ascii="Times New Roman" w:eastAsia="Times New Roman" w:hAnsi="Times New Roman"/>
                <w:noProof/>
                <w:color w:val="000000"/>
                <w:sz w:val="20"/>
                <w:szCs w:val="20"/>
                <w:lang w:val="en-IE" w:eastAsia="fr-BE"/>
              </w:rPr>
              <w:t>8,6</w:t>
            </w:r>
          </w:p>
        </w:tc>
        <w:tc>
          <w:tcPr>
            <w:tcW w:w="1134" w:type="dxa"/>
            <w:tcBorders>
              <w:top w:val="dotted" w:sz="4" w:space="0" w:color="auto"/>
              <w:bottom w:val="dotted" w:sz="4" w:space="0" w:color="auto"/>
            </w:tcBorders>
            <w:vAlign w:val="center"/>
          </w:tcPr>
          <w:p>
            <w:pPr>
              <w:spacing w:after="120"/>
              <w:jc w:val="right"/>
              <w:rPr>
                <w:rFonts w:ascii="Times New Roman" w:eastAsia="Times New Roman" w:hAnsi="Times New Roman"/>
                <w:noProof/>
                <w:color w:val="000000"/>
                <w:sz w:val="20"/>
                <w:szCs w:val="20"/>
                <w:lang w:val="en-IE" w:eastAsia="fr-BE"/>
              </w:rPr>
            </w:pPr>
            <w:r>
              <w:rPr>
                <w:rFonts w:ascii="Times New Roman" w:eastAsia="Times New Roman" w:hAnsi="Times New Roman"/>
                <w:noProof/>
                <w:color w:val="000000"/>
                <w:sz w:val="20"/>
                <w:szCs w:val="20"/>
                <w:lang w:val="en-IE" w:eastAsia="fr-BE"/>
              </w:rPr>
              <w:t>6,6</w:t>
            </w:r>
          </w:p>
        </w:tc>
        <w:tc>
          <w:tcPr>
            <w:tcW w:w="1134" w:type="dxa"/>
            <w:tcBorders>
              <w:top w:val="dotted" w:sz="4" w:space="0" w:color="auto"/>
              <w:bottom w:val="dotted" w:sz="4" w:space="0" w:color="auto"/>
            </w:tcBorders>
            <w:vAlign w:val="center"/>
          </w:tcPr>
          <w:p>
            <w:pPr>
              <w:spacing w:after="120"/>
              <w:jc w:val="right"/>
              <w:rPr>
                <w:rFonts w:ascii="Times New Roman" w:eastAsia="Times New Roman" w:hAnsi="Times New Roman"/>
                <w:noProof/>
                <w:color w:val="000000"/>
                <w:sz w:val="20"/>
                <w:szCs w:val="20"/>
                <w:lang w:val="en-IE" w:eastAsia="fr-BE"/>
              </w:rPr>
            </w:pPr>
            <w:r>
              <w:rPr>
                <w:rFonts w:ascii="Times New Roman" w:eastAsia="Times New Roman" w:hAnsi="Times New Roman"/>
                <w:noProof/>
                <w:color w:val="000000"/>
                <w:sz w:val="20"/>
                <w:szCs w:val="20"/>
                <w:lang w:val="en-IE" w:eastAsia="fr-BE"/>
              </w:rPr>
              <w:t>6,1</w:t>
            </w:r>
          </w:p>
        </w:tc>
        <w:tc>
          <w:tcPr>
            <w:tcW w:w="1134" w:type="dxa"/>
            <w:tcBorders>
              <w:top w:val="dotted" w:sz="4" w:space="0" w:color="auto"/>
              <w:bottom w:val="dotted" w:sz="4" w:space="0" w:color="auto"/>
            </w:tcBorders>
            <w:vAlign w:val="center"/>
          </w:tcPr>
          <w:p>
            <w:pPr>
              <w:spacing w:after="120"/>
              <w:jc w:val="right"/>
              <w:rPr>
                <w:rFonts w:ascii="Times New Roman" w:eastAsia="Times New Roman" w:hAnsi="Times New Roman"/>
                <w:noProof/>
                <w:color w:val="000000"/>
                <w:sz w:val="20"/>
                <w:szCs w:val="20"/>
                <w:lang w:val="en-IE" w:eastAsia="fr-BE"/>
              </w:rPr>
            </w:pPr>
            <w:r>
              <w:rPr>
                <w:rFonts w:ascii="Times New Roman" w:eastAsia="Times New Roman" w:hAnsi="Times New Roman"/>
                <w:noProof/>
                <w:color w:val="000000"/>
                <w:sz w:val="20"/>
                <w:szCs w:val="20"/>
                <w:lang w:val="en-IE" w:eastAsia="fr-BE"/>
              </w:rPr>
              <w:t>5,8</w:t>
            </w:r>
          </w:p>
        </w:tc>
        <w:tc>
          <w:tcPr>
            <w:tcW w:w="1134" w:type="dxa"/>
            <w:tcBorders>
              <w:top w:val="dotted" w:sz="4" w:space="0" w:color="auto"/>
              <w:bottom w:val="dotted" w:sz="4" w:space="0" w:color="auto"/>
            </w:tcBorders>
            <w:vAlign w:val="center"/>
          </w:tcPr>
          <w:p>
            <w:pPr>
              <w:spacing w:after="120"/>
              <w:jc w:val="right"/>
              <w:rPr>
                <w:rFonts w:ascii="Times New Roman" w:eastAsia="Times New Roman" w:hAnsi="Times New Roman"/>
                <w:noProof/>
                <w:color w:val="000000"/>
                <w:sz w:val="20"/>
                <w:szCs w:val="20"/>
                <w:lang w:val="en-IE" w:eastAsia="fr-BE"/>
              </w:rPr>
            </w:pPr>
            <w:r>
              <w:rPr>
                <w:rFonts w:ascii="Times New Roman" w:eastAsia="Times New Roman" w:hAnsi="Times New Roman"/>
                <w:noProof/>
                <w:color w:val="000000"/>
                <w:sz w:val="20"/>
                <w:szCs w:val="20"/>
                <w:lang w:val="en-IE" w:eastAsia="fr-BE"/>
              </w:rPr>
              <w:t>5,5</w:t>
            </w:r>
          </w:p>
        </w:tc>
      </w:tr>
      <w:tr>
        <w:tc>
          <w:tcPr>
            <w:tcW w:w="3231" w:type="dxa"/>
            <w:tcBorders>
              <w:top w:val="dotted" w:sz="4" w:space="0" w:color="auto"/>
              <w:bottom w:val="dotted" w:sz="4" w:space="0" w:color="auto"/>
            </w:tcBorders>
          </w:tcPr>
          <w:p>
            <w:pPr>
              <w:spacing w:after="120"/>
              <w:jc w:val="both"/>
              <w:rPr>
                <w:rFonts w:ascii="Times New Roman" w:eastAsia="Times New Roman" w:hAnsi="Times New Roman"/>
                <w:noProof/>
                <w:color w:val="000000"/>
                <w:sz w:val="20"/>
                <w:szCs w:val="20"/>
                <w:lang w:val="en-IE" w:eastAsia="fr-BE"/>
              </w:rPr>
            </w:pPr>
            <w:r>
              <w:rPr>
                <w:rFonts w:ascii="Times New Roman" w:eastAsia="Times New Roman" w:hAnsi="Times New Roman"/>
                <w:noProof/>
                <w:color w:val="000000"/>
                <w:sz w:val="20"/>
                <w:szCs w:val="20"/>
                <w:lang w:val="en-IE" w:eastAsia="fr-BE"/>
              </w:rPr>
              <w:t>Net income</w:t>
            </w:r>
          </w:p>
        </w:tc>
        <w:tc>
          <w:tcPr>
            <w:tcW w:w="1134" w:type="dxa"/>
            <w:tcBorders>
              <w:top w:val="dotted" w:sz="4" w:space="0" w:color="auto"/>
              <w:bottom w:val="dotted" w:sz="4" w:space="0" w:color="auto"/>
            </w:tcBorders>
            <w:vAlign w:val="center"/>
          </w:tcPr>
          <w:p>
            <w:pPr>
              <w:spacing w:after="120"/>
              <w:jc w:val="right"/>
              <w:rPr>
                <w:rFonts w:ascii="Times New Roman" w:eastAsia="Times New Roman" w:hAnsi="Times New Roman"/>
                <w:noProof/>
                <w:color w:val="000000"/>
                <w:sz w:val="20"/>
                <w:szCs w:val="20"/>
                <w:lang w:val="en-IE" w:eastAsia="fr-BE"/>
              </w:rPr>
            </w:pPr>
            <w:r>
              <w:rPr>
                <w:rFonts w:ascii="Times New Roman" w:eastAsia="Times New Roman" w:hAnsi="Times New Roman"/>
                <w:noProof/>
                <w:color w:val="000000"/>
                <w:sz w:val="20"/>
                <w:szCs w:val="20"/>
                <w:lang w:val="en-IE" w:eastAsia="fr-BE"/>
              </w:rPr>
              <w:t>2,9</w:t>
            </w:r>
          </w:p>
        </w:tc>
        <w:tc>
          <w:tcPr>
            <w:tcW w:w="1134" w:type="dxa"/>
            <w:tcBorders>
              <w:top w:val="dotted" w:sz="4" w:space="0" w:color="auto"/>
              <w:bottom w:val="dotted" w:sz="4" w:space="0" w:color="auto"/>
            </w:tcBorders>
            <w:vAlign w:val="center"/>
          </w:tcPr>
          <w:p>
            <w:pPr>
              <w:spacing w:after="120"/>
              <w:jc w:val="right"/>
              <w:rPr>
                <w:rFonts w:ascii="Times New Roman" w:eastAsia="Times New Roman" w:hAnsi="Times New Roman"/>
                <w:noProof/>
                <w:color w:val="000000"/>
                <w:sz w:val="20"/>
                <w:szCs w:val="20"/>
                <w:lang w:val="en-IE" w:eastAsia="fr-BE"/>
              </w:rPr>
            </w:pPr>
            <w:r>
              <w:rPr>
                <w:rFonts w:ascii="Times New Roman" w:eastAsia="Times New Roman" w:hAnsi="Times New Roman"/>
                <w:noProof/>
                <w:color w:val="000000"/>
                <w:sz w:val="20"/>
                <w:szCs w:val="20"/>
                <w:lang w:val="en-IE" w:eastAsia="fr-BE"/>
              </w:rPr>
              <w:t>8,7</w:t>
            </w:r>
          </w:p>
        </w:tc>
        <w:tc>
          <w:tcPr>
            <w:tcW w:w="1134" w:type="dxa"/>
            <w:tcBorders>
              <w:top w:val="dotted" w:sz="4" w:space="0" w:color="auto"/>
              <w:bottom w:val="dotted" w:sz="4" w:space="0" w:color="auto"/>
            </w:tcBorders>
            <w:vAlign w:val="center"/>
          </w:tcPr>
          <w:p>
            <w:pPr>
              <w:spacing w:after="120"/>
              <w:jc w:val="right"/>
              <w:rPr>
                <w:rFonts w:ascii="Times New Roman" w:eastAsia="Times New Roman" w:hAnsi="Times New Roman"/>
                <w:noProof/>
                <w:color w:val="000000"/>
                <w:sz w:val="20"/>
                <w:szCs w:val="20"/>
                <w:lang w:val="en-IE" w:eastAsia="fr-BE"/>
              </w:rPr>
            </w:pPr>
            <w:r>
              <w:rPr>
                <w:rFonts w:ascii="Times New Roman" w:eastAsia="Times New Roman" w:hAnsi="Times New Roman"/>
                <w:noProof/>
                <w:color w:val="000000"/>
                <w:sz w:val="20"/>
                <w:szCs w:val="20"/>
                <w:lang w:val="en-IE" w:eastAsia="fr-BE"/>
              </w:rPr>
              <w:t>3,2</w:t>
            </w:r>
          </w:p>
        </w:tc>
        <w:tc>
          <w:tcPr>
            <w:tcW w:w="1134" w:type="dxa"/>
            <w:tcBorders>
              <w:top w:val="dotted" w:sz="4" w:space="0" w:color="auto"/>
              <w:bottom w:val="dotted" w:sz="4" w:space="0" w:color="auto"/>
            </w:tcBorders>
            <w:vAlign w:val="center"/>
          </w:tcPr>
          <w:p>
            <w:pPr>
              <w:spacing w:after="120"/>
              <w:jc w:val="right"/>
              <w:rPr>
                <w:rFonts w:ascii="Times New Roman" w:eastAsia="Times New Roman" w:hAnsi="Times New Roman"/>
                <w:noProof/>
                <w:color w:val="000000"/>
                <w:sz w:val="20"/>
                <w:szCs w:val="20"/>
                <w:lang w:val="en-IE" w:eastAsia="fr-BE"/>
              </w:rPr>
            </w:pPr>
            <w:r>
              <w:rPr>
                <w:rFonts w:ascii="Times New Roman" w:eastAsia="Times New Roman" w:hAnsi="Times New Roman"/>
                <w:noProof/>
                <w:color w:val="000000"/>
                <w:sz w:val="20"/>
                <w:szCs w:val="20"/>
                <w:lang w:val="en-IE" w:eastAsia="fr-BE"/>
              </w:rPr>
              <w:t>2,7</w:t>
            </w:r>
          </w:p>
        </w:tc>
        <w:tc>
          <w:tcPr>
            <w:tcW w:w="1134" w:type="dxa"/>
            <w:tcBorders>
              <w:top w:val="dotted" w:sz="4" w:space="0" w:color="auto"/>
              <w:bottom w:val="dotted" w:sz="4" w:space="0" w:color="auto"/>
            </w:tcBorders>
            <w:vAlign w:val="center"/>
          </w:tcPr>
          <w:p>
            <w:pPr>
              <w:spacing w:after="120"/>
              <w:jc w:val="right"/>
              <w:rPr>
                <w:rFonts w:ascii="Times New Roman" w:eastAsia="Times New Roman" w:hAnsi="Times New Roman"/>
                <w:noProof/>
                <w:color w:val="000000"/>
                <w:sz w:val="20"/>
                <w:szCs w:val="20"/>
                <w:lang w:val="en-IE" w:eastAsia="fr-BE"/>
              </w:rPr>
            </w:pPr>
            <w:r>
              <w:rPr>
                <w:rFonts w:ascii="Times New Roman" w:eastAsia="Times New Roman" w:hAnsi="Times New Roman"/>
                <w:noProof/>
                <w:color w:val="000000"/>
                <w:sz w:val="20"/>
                <w:szCs w:val="20"/>
                <w:lang w:val="en-IE" w:eastAsia="fr-BE"/>
              </w:rPr>
              <w:t>3,7</w:t>
            </w:r>
          </w:p>
        </w:tc>
      </w:tr>
      <w:tr>
        <w:tc>
          <w:tcPr>
            <w:tcW w:w="3231" w:type="dxa"/>
            <w:tcBorders>
              <w:top w:val="dotted" w:sz="4" w:space="0" w:color="auto"/>
              <w:bottom w:val="dotted" w:sz="4" w:space="0" w:color="auto"/>
            </w:tcBorders>
            <w:vAlign w:val="center"/>
          </w:tcPr>
          <w:p>
            <w:pPr>
              <w:spacing w:after="120"/>
              <w:rPr>
                <w:rFonts w:ascii="Times New Roman" w:eastAsia="Times New Roman" w:hAnsi="Times New Roman"/>
                <w:noProof/>
                <w:color w:val="000000"/>
                <w:sz w:val="20"/>
                <w:szCs w:val="20"/>
                <w:lang w:val="en-IE" w:eastAsia="fr-BE"/>
              </w:rPr>
            </w:pPr>
            <w:r>
              <w:rPr>
                <w:rFonts w:ascii="Times New Roman" w:eastAsia="Times New Roman" w:hAnsi="Times New Roman"/>
                <w:noProof/>
                <w:color w:val="000000"/>
                <w:sz w:val="20"/>
                <w:szCs w:val="20"/>
                <w:lang w:val="en-IE" w:eastAsia="fr-BE"/>
              </w:rPr>
              <w:t>Contributions from international accounting firms</w:t>
            </w:r>
          </w:p>
        </w:tc>
        <w:tc>
          <w:tcPr>
            <w:tcW w:w="1134" w:type="dxa"/>
            <w:tcBorders>
              <w:top w:val="dotted" w:sz="4" w:space="0" w:color="auto"/>
              <w:bottom w:val="dotted" w:sz="4" w:space="0" w:color="auto"/>
            </w:tcBorders>
            <w:vAlign w:val="center"/>
          </w:tcPr>
          <w:p>
            <w:pPr>
              <w:spacing w:after="120"/>
              <w:jc w:val="right"/>
              <w:rPr>
                <w:rFonts w:ascii="Times New Roman" w:eastAsia="Times New Roman" w:hAnsi="Times New Roman"/>
                <w:noProof/>
                <w:color w:val="000000"/>
                <w:sz w:val="20"/>
                <w:szCs w:val="20"/>
                <w:lang w:val="en-IE" w:eastAsia="fr-BE"/>
              </w:rPr>
            </w:pPr>
            <w:r>
              <w:rPr>
                <w:rFonts w:ascii="Times New Roman" w:eastAsia="Times New Roman" w:hAnsi="Times New Roman"/>
                <w:noProof/>
                <w:color w:val="000000"/>
                <w:sz w:val="20"/>
                <w:szCs w:val="20"/>
                <w:lang w:val="en-IE" w:eastAsia="fr-BE"/>
              </w:rPr>
              <w:t>5,4</w:t>
            </w:r>
          </w:p>
        </w:tc>
        <w:tc>
          <w:tcPr>
            <w:tcW w:w="1134" w:type="dxa"/>
            <w:tcBorders>
              <w:top w:val="dotted" w:sz="4" w:space="0" w:color="auto"/>
              <w:bottom w:val="dotted" w:sz="4" w:space="0" w:color="auto"/>
            </w:tcBorders>
            <w:vAlign w:val="center"/>
          </w:tcPr>
          <w:p>
            <w:pPr>
              <w:spacing w:after="120"/>
              <w:jc w:val="right"/>
              <w:rPr>
                <w:rFonts w:ascii="Times New Roman" w:eastAsia="Times New Roman" w:hAnsi="Times New Roman"/>
                <w:noProof/>
                <w:color w:val="000000"/>
                <w:sz w:val="20"/>
                <w:szCs w:val="20"/>
                <w:lang w:val="en-IE" w:eastAsia="fr-BE"/>
              </w:rPr>
            </w:pPr>
            <w:r>
              <w:rPr>
                <w:rFonts w:ascii="Times New Roman" w:eastAsia="Times New Roman" w:hAnsi="Times New Roman"/>
                <w:noProof/>
                <w:color w:val="000000"/>
                <w:sz w:val="20"/>
                <w:szCs w:val="20"/>
                <w:lang w:val="en-IE" w:eastAsia="fr-BE"/>
              </w:rPr>
              <w:t>8,7</w:t>
            </w:r>
          </w:p>
        </w:tc>
        <w:tc>
          <w:tcPr>
            <w:tcW w:w="1134" w:type="dxa"/>
            <w:tcBorders>
              <w:top w:val="dotted" w:sz="4" w:space="0" w:color="auto"/>
              <w:bottom w:val="dotted" w:sz="4" w:space="0" w:color="auto"/>
            </w:tcBorders>
            <w:vAlign w:val="center"/>
          </w:tcPr>
          <w:p>
            <w:pPr>
              <w:spacing w:after="120"/>
              <w:jc w:val="right"/>
              <w:rPr>
                <w:rFonts w:ascii="Times New Roman" w:eastAsia="Times New Roman" w:hAnsi="Times New Roman"/>
                <w:noProof/>
                <w:color w:val="000000"/>
                <w:sz w:val="20"/>
                <w:szCs w:val="20"/>
                <w:lang w:val="en-IE" w:eastAsia="fr-BE"/>
              </w:rPr>
            </w:pPr>
            <w:r>
              <w:rPr>
                <w:rFonts w:ascii="Times New Roman" w:eastAsia="Times New Roman" w:hAnsi="Times New Roman"/>
                <w:noProof/>
                <w:color w:val="000000"/>
                <w:sz w:val="20"/>
                <w:szCs w:val="20"/>
                <w:lang w:val="en-IE" w:eastAsia="fr-BE"/>
              </w:rPr>
              <w:t>7,7</w:t>
            </w:r>
          </w:p>
        </w:tc>
        <w:tc>
          <w:tcPr>
            <w:tcW w:w="1134" w:type="dxa"/>
            <w:tcBorders>
              <w:top w:val="dotted" w:sz="4" w:space="0" w:color="auto"/>
              <w:bottom w:val="dotted" w:sz="4" w:space="0" w:color="auto"/>
            </w:tcBorders>
            <w:vAlign w:val="center"/>
          </w:tcPr>
          <w:p>
            <w:pPr>
              <w:spacing w:after="120"/>
              <w:jc w:val="right"/>
              <w:rPr>
                <w:rFonts w:ascii="Times New Roman" w:eastAsia="Times New Roman" w:hAnsi="Times New Roman"/>
                <w:noProof/>
                <w:color w:val="000000"/>
                <w:sz w:val="20"/>
                <w:szCs w:val="20"/>
                <w:lang w:val="en-IE" w:eastAsia="fr-BE"/>
              </w:rPr>
            </w:pPr>
            <w:r>
              <w:rPr>
                <w:rFonts w:ascii="Times New Roman" w:eastAsia="Times New Roman" w:hAnsi="Times New Roman"/>
                <w:noProof/>
                <w:color w:val="000000"/>
                <w:sz w:val="20"/>
                <w:szCs w:val="20"/>
                <w:lang w:val="en-IE" w:eastAsia="fr-BE"/>
              </w:rPr>
              <w:t>7,0</w:t>
            </w:r>
          </w:p>
        </w:tc>
        <w:tc>
          <w:tcPr>
            <w:tcW w:w="1134" w:type="dxa"/>
            <w:tcBorders>
              <w:top w:val="dotted" w:sz="4" w:space="0" w:color="auto"/>
              <w:bottom w:val="dotted" w:sz="4" w:space="0" w:color="auto"/>
            </w:tcBorders>
            <w:vAlign w:val="center"/>
          </w:tcPr>
          <w:p>
            <w:pPr>
              <w:spacing w:after="120"/>
              <w:jc w:val="right"/>
              <w:rPr>
                <w:rFonts w:ascii="Times New Roman" w:eastAsia="Times New Roman" w:hAnsi="Times New Roman"/>
                <w:noProof/>
                <w:color w:val="000000"/>
                <w:sz w:val="20"/>
                <w:szCs w:val="20"/>
                <w:lang w:val="en-IE" w:eastAsia="fr-BE"/>
              </w:rPr>
            </w:pPr>
            <w:r>
              <w:rPr>
                <w:rFonts w:ascii="Times New Roman" w:eastAsia="Times New Roman" w:hAnsi="Times New Roman"/>
                <w:noProof/>
                <w:color w:val="000000"/>
                <w:sz w:val="20"/>
                <w:szCs w:val="20"/>
                <w:lang w:val="en-IE" w:eastAsia="fr-BE"/>
              </w:rPr>
              <w:t>6,4</w:t>
            </w:r>
          </w:p>
        </w:tc>
      </w:tr>
      <w:tr>
        <w:tc>
          <w:tcPr>
            <w:tcW w:w="3231" w:type="dxa"/>
            <w:tcBorders>
              <w:top w:val="dotted" w:sz="4" w:space="0" w:color="auto"/>
            </w:tcBorders>
            <w:vAlign w:val="center"/>
          </w:tcPr>
          <w:p>
            <w:pPr>
              <w:spacing w:after="120"/>
              <w:rPr>
                <w:rFonts w:ascii="Times New Roman" w:eastAsia="Times New Roman" w:hAnsi="Times New Roman"/>
                <w:noProof/>
                <w:color w:val="000000"/>
                <w:sz w:val="20"/>
                <w:szCs w:val="20"/>
                <w:lang w:val="en-IE" w:eastAsia="fr-BE"/>
              </w:rPr>
            </w:pPr>
            <w:r>
              <w:rPr>
                <w:rFonts w:ascii="Times New Roman" w:eastAsia="Times New Roman" w:hAnsi="Times New Roman"/>
                <w:noProof/>
                <w:color w:val="000000"/>
                <w:sz w:val="20"/>
                <w:szCs w:val="20"/>
                <w:lang w:val="en-IE" w:eastAsia="fr-BE"/>
              </w:rPr>
              <w:t>Average headcounts</w:t>
            </w:r>
          </w:p>
        </w:tc>
        <w:tc>
          <w:tcPr>
            <w:tcW w:w="1134" w:type="dxa"/>
            <w:tcBorders>
              <w:top w:val="dotted" w:sz="4" w:space="0" w:color="auto"/>
            </w:tcBorders>
            <w:vAlign w:val="center"/>
          </w:tcPr>
          <w:p>
            <w:pPr>
              <w:spacing w:after="120"/>
              <w:jc w:val="right"/>
              <w:rPr>
                <w:rFonts w:ascii="Times New Roman" w:eastAsia="Times New Roman" w:hAnsi="Times New Roman"/>
                <w:noProof/>
                <w:color w:val="000000"/>
                <w:sz w:val="20"/>
                <w:szCs w:val="20"/>
                <w:lang w:val="en-IE" w:eastAsia="fr-BE"/>
              </w:rPr>
            </w:pPr>
            <w:r>
              <w:rPr>
                <w:rFonts w:ascii="Times New Roman" w:eastAsia="Times New Roman" w:hAnsi="Times New Roman"/>
                <w:noProof/>
                <w:color w:val="000000"/>
                <w:sz w:val="20"/>
                <w:szCs w:val="20"/>
                <w:lang w:val="en-IE" w:eastAsia="fr-BE"/>
              </w:rPr>
              <w:t>142</w:t>
            </w:r>
          </w:p>
        </w:tc>
        <w:tc>
          <w:tcPr>
            <w:tcW w:w="1134" w:type="dxa"/>
            <w:tcBorders>
              <w:top w:val="dotted" w:sz="4" w:space="0" w:color="auto"/>
            </w:tcBorders>
            <w:vAlign w:val="center"/>
          </w:tcPr>
          <w:p>
            <w:pPr>
              <w:spacing w:after="120"/>
              <w:jc w:val="right"/>
              <w:rPr>
                <w:rFonts w:ascii="Times New Roman" w:eastAsia="Times New Roman" w:hAnsi="Times New Roman"/>
                <w:noProof/>
                <w:color w:val="000000"/>
                <w:sz w:val="20"/>
                <w:szCs w:val="20"/>
                <w:lang w:val="en-IE" w:eastAsia="fr-BE"/>
              </w:rPr>
            </w:pPr>
            <w:r>
              <w:rPr>
                <w:rFonts w:ascii="Times New Roman" w:eastAsia="Times New Roman" w:hAnsi="Times New Roman"/>
                <w:noProof/>
                <w:color w:val="000000"/>
                <w:sz w:val="20"/>
                <w:szCs w:val="20"/>
                <w:lang w:val="en-IE" w:eastAsia="fr-BE"/>
              </w:rPr>
              <w:t>134</w:t>
            </w:r>
          </w:p>
        </w:tc>
        <w:tc>
          <w:tcPr>
            <w:tcW w:w="1134" w:type="dxa"/>
            <w:tcBorders>
              <w:top w:val="dotted" w:sz="4" w:space="0" w:color="auto"/>
            </w:tcBorders>
            <w:vAlign w:val="center"/>
          </w:tcPr>
          <w:p>
            <w:pPr>
              <w:spacing w:after="120"/>
              <w:jc w:val="right"/>
              <w:rPr>
                <w:rFonts w:ascii="Times New Roman" w:eastAsia="Times New Roman" w:hAnsi="Times New Roman"/>
                <w:noProof/>
                <w:color w:val="000000"/>
                <w:sz w:val="20"/>
                <w:szCs w:val="20"/>
                <w:lang w:val="en-IE" w:eastAsia="fr-BE"/>
              </w:rPr>
            </w:pPr>
            <w:r>
              <w:rPr>
                <w:rFonts w:ascii="Times New Roman" w:eastAsia="Times New Roman" w:hAnsi="Times New Roman"/>
                <w:noProof/>
                <w:color w:val="000000"/>
                <w:sz w:val="20"/>
                <w:szCs w:val="20"/>
                <w:lang w:val="en-IE" w:eastAsia="fr-BE"/>
              </w:rPr>
              <w:t>137</w:t>
            </w:r>
          </w:p>
        </w:tc>
        <w:tc>
          <w:tcPr>
            <w:tcW w:w="1134" w:type="dxa"/>
            <w:tcBorders>
              <w:top w:val="dotted" w:sz="4" w:space="0" w:color="auto"/>
            </w:tcBorders>
            <w:vAlign w:val="center"/>
          </w:tcPr>
          <w:p>
            <w:pPr>
              <w:spacing w:after="120"/>
              <w:jc w:val="right"/>
              <w:rPr>
                <w:rFonts w:ascii="Times New Roman" w:eastAsia="Times New Roman" w:hAnsi="Times New Roman"/>
                <w:noProof/>
                <w:color w:val="000000"/>
                <w:sz w:val="20"/>
                <w:szCs w:val="20"/>
                <w:lang w:val="en-IE" w:eastAsia="fr-BE"/>
              </w:rPr>
            </w:pPr>
            <w:r>
              <w:rPr>
                <w:rFonts w:ascii="Times New Roman" w:eastAsia="Times New Roman" w:hAnsi="Times New Roman"/>
                <w:noProof/>
                <w:color w:val="000000"/>
                <w:sz w:val="20"/>
                <w:szCs w:val="20"/>
                <w:lang w:val="en-IE" w:eastAsia="fr-BE"/>
              </w:rPr>
              <w:t>139</w:t>
            </w:r>
          </w:p>
        </w:tc>
        <w:tc>
          <w:tcPr>
            <w:tcW w:w="1134" w:type="dxa"/>
            <w:tcBorders>
              <w:top w:val="dotted" w:sz="4" w:space="0" w:color="auto"/>
            </w:tcBorders>
            <w:vAlign w:val="center"/>
          </w:tcPr>
          <w:p>
            <w:pPr>
              <w:spacing w:after="120"/>
              <w:jc w:val="right"/>
              <w:rPr>
                <w:rFonts w:ascii="Times New Roman" w:eastAsia="Times New Roman" w:hAnsi="Times New Roman"/>
                <w:noProof/>
                <w:color w:val="000000"/>
                <w:sz w:val="20"/>
                <w:szCs w:val="20"/>
                <w:lang w:val="en-IE" w:eastAsia="fr-BE"/>
              </w:rPr>
            </w:pPr>
            <w:r>
              <w:rPr>
                <w:rFonts w:ascii="Times New Roman" w:eastAsia="Times New Roman" w:hAnsi="Times New Roman"/>
                <w:noProof/>
                <w:color w:val="000000"/>
                <w:sz w:val="20"/>
                <w:szCs w:val="20"/>
                <w:lang w:val="en-IE" w:eastAsia="fr-BE"/>
              </w:rPr>
              <w:t>136</w:t>
            </w:r>
          </w:p>
        </w:tc>
      </w:tr>
    </w:tbl>
    <w:p>
      <w:pPr>
        <w:spacing w:before="120" w:after="120"/>
        <w:jc w:val="both"/>
        <w:rPr>
          <w:rFonts w:ascii="Times New Roman" w:eastAsia="Times New Roman" w:hAnsi="Times New Roman"/>
          <w:noProof/>
          <w:color w:val="000000"/>
          <w:sz w:val="24"/>
          <w:lang w:val="en-IE" w:eastAsia="fr-BE"/>
        </w:rPr>
      </w:pPr>
    </w:p>
    <w:tbl>
      <w:tblPr>
        <w:tblW w:w="8708" w:type="dxa"/>
        <w:tblInd w:w="113" w:type="dxa"/>
        <w:tblLook w:val="04A0" w:firstRow="1" w:lastRow="0" w:firstColumn="1" w:lastColumn="0" w:noHBand="0" w:noVBand="1"/>
      </w:tblPr>
      <w:tblGrid>
        <w:gridCol w:w="3005"/>
        <w:gridCol w:w="1134"/>
        <w:gridCol w:w="1134"/>
        <w:gridCol w:w="1134"/>
        <w:gridCol w:w="339"/>
        <w:gridCol w:w="795"/>
        <w:gridCol w:w="1134"/>
        <w:gridCol w:w="33"/>
      </w:tblGrid>
      <w:tr>
        <w:trPr>
          <w:trHeight w:val="300"/>
        </w:trPr>
        <w:tc>
          <w:tcPr>
            <w:tcW w:w="6746" w:type="dxa"/>
            <w:gridSpan w:val="5"/>
            <w:tcBorders>
              <w:top w:val="single" w:sz="4" w:space="0" w:color="auto"/>
              <w:left w:val="single" w:sz="4" w:space="0" w:color="auto"/>
              <w:bottom w:val="single" w:sz="4" w:space="0" w:color="auto"/>
              <w:right w:val="nil"/>
            </w:tcBorders>
            <w:shd w:val="clear" w:color="000000" w:fill="002060"/>
            <w:noWrap/>
            <w:vAlign w:val="bottom"/>
            <w:hideMark/>
          </w:tcPr>
          <w:p>
            <w:pPr>
              <w:spacing w:after="0" w:line="240" w:lineRule="auto"/>
              <w:rPr>
                <w:rFonts w:ascii="Times New Roman" w:eastAsia="Times New Roman" w:hAnsi="Times New Roman"/>
                <w:b/>
                <w:bCs/>
                <w:noProof/>
                <w:color w:val="FFFFFF"/>
                <w:sz w:val="20"/>
                <w:szCs w:val="20"/>
                <w:lang w:eastAsia="zh-CN"/>
              </w:rPr>
            </w:pPr>
            <w:r>
              <w:rPr>
                <w:rFonts w:ascii="Times New Roman" w:eastAsia="Times New Roman" w:hAnsi="Times New Roman"/>
                <w:b/>
                <w:bCs/>
                <w:noProof/>
                <w:color w:val="FFFFFF"/>
                <w:sz w:val="20"/>
                <w:szCs w:val="20"/>
                <w:lang w:eastAsia="zh-CN"/>
              </w:rPr>
              <w:t>Breakdown of funding of the IFRS Foundation</w:t>
            </w:r>
          </w:p>
        </w:tc>
        <w:tc>
          <w:tcPr>
            <w:tcW w:w="1962" w:type="dxa"/>
            <w:gridSpan w:val="3"/>
            <w:tcBorders>
              <w:top w:val="single" w:sz="4" w:space="0" w:color="auto"/>
              <w:left w:val="nil"/>
              <w:bottom w:val="single" w:sz="4" w:space="0" w:color="auto"/>
              <w:right w:val="nil"/>
            </w:tcBorders>
            <w:shd w:val="clear" w:color="000000" w:fill="002060"/>
            <w:noWrap/>
            <w:vAlign w:val="bottom"/>
            <w:hideMark/>
          </w:tcPr>
          <w:p>
            <w:pPr>
              <w:spacing w:after="0" w:line="240" w:lineRule="auto"/>
              <w:rPr>
                <w:rFonts w:ascii="Times New Roman" w:eastAsia="Times New Roman" w:hAnsi="Times New Roman"/>
                <w:b/>
                <w:bCs/>
                <w:noProof/>
                <w:color w:val="FFFFFF"/>
                <w:lang w:eastAsia="zh-CN"/>
              </w:rPr>
            </w:pPr>
            <w:r>
              <w:rPr>
                <w:rFonts w:ascii="Times New Roman" w:eastAsia="Times New Roman" w:hAnsi="Times New Roman"/>
                <w:b/>
                <w:bCs/>
                <w:noProof/>
                <w:color w:val="FFFFFF"/>
                <w:lang w:eastAsia="zh-CN"/>
              </w:rPr>
              <w:t> </w:t>
            </w:r>
          </w:p>
        </w:tc>
      </w:tr>
      <w:tr>
        <w:trPr>
          <w:gridAfter w:val="1"/>
          <w:wAfter w:w="33" w:type="dxa"/>
          <w:trHeight w:val="397"/>
        </w:trPr>
        <w:tc>
          <w:tcPr>
            <w:tcW w:w="3005" w:type="dxa"/>
            <w:tcBorders>
              <w:top w:val="nil"/>
              <w:left w:val="single" w:sz="4" w:space="0" w:color="auto"/>
              <w:bottom w:val="single" w:sz="4" w:space="0" w:color="000000"/>
              <w:right w:val="single" w:sz="4" w:space="0" w:color="auto"/>
            </w:tcBorders>
            <w:shd w:val="clear" w:color="auto" w:fill="auto"/>
            <w:hideMark/>
          </w:tcPr>
          <w:p>
            <w:pPr>
              <w:spacing w:after="0" w:line="240" w:lineRule="auto"/>
              <w:rPr>
                <w:rFonts w:ascii="Times New Roman" w:eastAsia="Times New Roman" w:hAnsi="Times New Roman"/>
                <w:noProof/>
                <w:color w:val="000000"/>
                <w:sz w:val="20"/>
                <w:szCs w:val="20"/>
                <w:lang w:eastAsia="zh-CN"/>
              </w:rPr>
            </w:pPr>
            <w:r>
              <w:rPr>
                <w:rFonts w:ascii="Times New Roman" w:eastAsia="Times New Roman" w:hAnsi="Times New Roman"/>
                <w:noProof/>
                <w:color w:val="000000"/>
                <w:sz w:val="20"/>
                <w:szCs w:val="20"/>
                <w:lang w:eastAsia="zh-CN"/>
              </w:rPr>
              <w:t>Financial contributors</w:t>
            </w:r>
          </w:p>
        </w:tc>
        <w:tc>
          <w:tcPr>
            <w:tcW w:w="1134" w:type="dxa"/>
            <w:tcBorders>
              <w:top w:val="nil"/>
              <w:left w:val="single" w:sz="4" w:space="0" w:color="auto"/>
              <w:bottom w:val="single" w:sz="4" w:space="0" w:color="000000"/>
              <w:right w:val="single" w:sz="4" w:space="0" w:color="auto"/>
            </w:tcBorders>
            <w:shd w:val="clear" w:color="auto" w:fill="auto"/>
            <w:hideMark/>
          </w:tcPr>
          <w:p>
            <w:pPr>
              <w:spacing w:after="0" w:line="240" w:lineRule="auto"/>
              <w:jc w:val="center"/>
              <w:rPr>
                <w:rFonts w:ascii="Times New Roman" w:eastAsia="Times New Roman" w:hAnsi="Times New Roman"/>
                <w:b/>
                <w:bCs/>
                <w:noProof/>
                <w:color w:val="000000"/>
                <w:sz w:val="20"/>
                <w:szCs w:val="20"/>
                <w:lang w:eastAsia="zh-CN"/>
              </w:rPr>
            </w:pPr>
            <w:r>
              <w:rPr>
                <w:rFonts w:ascii="Times New Roman" w:eastAsia="Times New Roman" w:hAnsi="Times New Roman"/>
                <w:b/>
                <w:bCs/>
                <w:noProof/>
                <w:color w:val="000000"/>
                <w:sz w:val="20"/>
                <w:szCs w:val="20"/>
                <w:lang w:eastAsia="zh-CN"/>
              </w:rPr>
              <w:t>2018</w:t>
            </w:r>
          </w:p>
        </w:tc>
        <w:tc>
          <w:tcPr>
            <w:tcW w:w="1134" w:type="dxa"/>
            <w:tcBorders>
              <w:top w:val="nil"/>
              <w:left w:val="single" w:sz="4" w:space="0" w:color="auto"/>
              <w:bottom w:val="single" w:sz="4" w:space="0" w:color="000000"/>
              <w:right w:val="single" w:sz="4" w:space="0" w:color="auto"/>
            </w:tcBorders>
            <w:shd w:val="clear" w:color="auto" w:fill="auto"/>
            <w:hideMark/>
          </w:tcPr>
          <w:p>
            <w:pPr>
              <w:spacing w:after="0" w:line="240" w:lineRule="auto"/>
              <w:jc w:val="center"/>
              <w:rPr>
                <w:rFonts w:ascii="Times New Roman" w:eastAsia="Times New Roman" w:hAnsi="Times New Roman"/>
                <w:b/>
                <w:bCs/>
                <w:noProof/>
                <w:color w:val="000000"/>
                <w:sz w:val="20"/>
                <w:szCs w:val="20"/>
                <w:lang w:eastAsia="zh-CN"/>
              </w:rPr>
            </w:pPr>
            <w:r>
              <w:rPr>
                <w:rFonts w:ascii="Times New Roman" w:eastAsia="Times New Roman" w:hAnsi="Times New Roman"/>
                <w:b/>
                <w:bCs/>
                <w:noProof/>
                <w:color w:val="000000"/>
                <w:sz w:val="20"/>
                <w:szCs w:val="20"/>
                <w:lang w:eastAsia="zh-CN"/>
              </w:rPr>
              <w:t>2017</w:t>
            </w:r>
          </w:p>
        </w:tc>
        <w:tc>
          <w:tcPr>
            <w:tcW w:w="1134" w:type="dxa"/>
            <w:tcBorders>
              <w:top w:val="nil"/>
              <w:left w:val="single" w:sz="4" w:space="0" w:color="auto"/>
              <w:bottom w:val="single" w:sz="4" w:space="0" w:color="000000"/>
              <w:right w:val="single" w:sz="4" w:space="0" w:color="auto"/>
            </w:tcBorders>
            <w:shd w:val="clear" w:color="auto" w:fill="auto"/>
            <w:hideMark/>
          </w:tcPr>
          <w:p>
            <w:pPr>
              <w:spacing w:after="0" w:line="240" w:lineRule="auto"/>
              <w:jc w:val="center"/>
              <w:rPr>
                <w:rFonts w:ascii="Times New Roman" w:eastAsia="Times New Roman" w:hAnsi="Times New Roman"/>
                <w:b/>
                <w:bCs/>
                <w:noProof/>
                <w:color w:val="000000"/>
                <w:sz w:val="20"/>
                <w:szCs w:val="20"/>
                <w:lang w:eastAsia="zh-CN"/>
              </w:rPr>
            </w:pPr>
            <w:r>
              <w:rPr>
                <w:rFonts w:ascii="Times New Roman" w:eastAsia="Times New Roman" w:hAnsi="Times New Roman"/>
                <w:b/>
                <w:bCs/>
                <w:noProof/>
                <w:color w:val="000000"/>
                <w:sz w:val="20"/>
                <w:szCs w:val="20"/>
                <w:lang w:eastAsia="zh-CN"/>
              </w:rPr>
              <w:t>2016</w:t>
            </w:r>
          </w:p>
        </w:tc>
        <w:tc>
          <w:tcPr>
            <w:tcW w:w="1134" w:type="dxa"/>
            <w:gridSpan w:val="2"/>
            <w:tcBorders>
              <w:top w:val="nil"/>
              <w:left w:val="single" w:sz="4" w:space="0" w:color="auto"/>
              <w:bottom w:val="single" w:sz="4" w:space="0" w:color="000000"/>
              <w:right w:val="single" w:sz="4" w:space="0" w:color="auto"/>
            </w:tcBorders>
            <w:shd w:val="clear" w:color="auto" w:fill="auto"/>
            <w:hideMark/>
          </w:tcPr>
          <w:p>
            <w:pPr>
              <w:spacing w:after="0" w:line="240" w:lineRule="auto"/>
              <w:jc w:val="center"/>
              <w:rPr>
                <w:rFonts w:ascii="Times New Roman" w:eastAsia="Times New Roman" w:hAnsi="Times New Roman"/>
                <w:b/>
                <w:bCs/>
                <w:noProof/>
                <w:color w:val="000000"/>
                <w:sz w:val="20"/>
                <w:szCs w:val="20"/>
                <w:lang w:eastAsia="zh-CN"/>
              </w:rPr>
            </w:pPr>
            <w:r>
              <w:rPr>
                <w:rFonts w:ascii="Times New Roman" w:eastAsia="Times New Roman" w:hAnsi="Times New Roman"/>
                <w:b/>
                <w:bCs/>
                <w:noProof/>
                <w:color w:val="000000"/>
                <w:sz w:val="20"/>
                <w:szCs w:val="20"/>
                <w:lang w:eastAsia="zh-CN"/>
              </w:rPr>
              <w:t>2015</w:t>
            </w:r>
          </w:p>
        </w:tc>
        <w:tc>
          <w:tcPr>
            <w:tcW w:w="1134" w:type="dxa"/>
            <w:tcBorders>
              <w:top w:val="nil"/>
              <w:left w:val="nil"/>
              <w:right w:val="single" w:sz="4" w:space="0" w:color="auto"/>
            </w:tcBorders>
            <w:shd w:val="clear" w:color="auto" w:fill="auto"/>
            <w:hideMark/>
          </w:tcPr>
          <w:p>
            <w:pPr>
              <w:spacing w:after="0" w:line="240" w:lineRule="auto"/>
              <w:jc w:val="center"/>
              <w:rPr>
                <w:rFonts w:ascii="Times New Roman" w:eastAsia="Times New Roman" w:hAnsi="Times New Roman"/>
                <w:b/>
                <w:bCs/>
                <w:noProof/>
                <w:color w:val="000000"/>
                <w:sz w:val="20"/>
                <w:szCs w:val="20"/>
                <w:lang w:eastAsia="zh-CN"/>
              </w:rPr>
            </w:pPr>
            <w:r>
              <w:rPr>
                <w:rFonts w:ascii="Times New Roman" w:eastAsia="Times New Roman" w:hAnsi="Times New Roman"/>
                <w:b/>
                <w:bCs/>
                <w:noProof/>
                <w:color w:val="000000"/>
                <w:sz w:val="20"/>
                <w:szCs w:val="20"/>
                <w:lang w:eastAsia="zh-CN"/>
              </w:rPr>
              <w:t>2014</w:t>
            </w:r>
          </w:p>
          <w:p>
            <w:pPr>
              <w:spacing w:after="0" w:line="240" w:lineRule="auto"/>
              <w:jc w:val="center"/>
              <w:rPr>
                <w:rFonts w:ascii="Times New Roman" w:eastAsia="Times New Roman" w:hAnsi="Times New Roman"/>
                <w:b/>
                <w:bCs/>
                <w:noProof/>
                <w:color w:val="000000"/>
                <w:sz w:val="20"/>
                <w:szCs w:val="20"/>
                <w:lang w:eastAsia="zh-CN"/>
              </w:rPr>
            </w:pPr>
            <w:r>
              <w:rPr>
                <w:rFonts w:ascii="Times New Roman" w:eastAsia="Times New Roman" w:hAnsi="Times New Roman"/>
                <w:noProof/>
                <w:color w:val="000000"/>
                <w:sz w:val="20"/>
                <w:szCs w:val="20"/>
                <w:lang w:eastAsia="zh-CN"/>
              </w:rPr>
              <w:t> </w:t>
            </w:r>
          </w:p>
        </w:tc>
      </w:tr>
      <w:tr>
        <w:trPr>
          <w:gridAfter w:val="1"/>
          <w:wAfter w:w="33" w:type="dxa"/>
          <w:trHeight w:val="300"/>
        </w:trPr>
        <w:tc>
          <w:tcPr>
            <w:tcW w:w="3005" w:type="dxa"/>
            <w:tcBorders>
              <w:top w:val="nil"/>
              <w:left w:val="single" w:sz="4" w:space="0" w:color="auto"/>
              <w:bottom w:val="dotted"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noProof/>
                <w:color w:val="000000"/>
                <w:sz w:val="20"/>
                <w:szCs w:val="20"/>
                <w:lang w:eastAsia="zh-CN"/>
              </w:rPr>
            </w:pPr>
            <w:r>
              <w:rPr>
                <w:rFonts w:ascii="Times New Roman" w:eastAsia="Times New Roman" w:hAnsi="Times New Roman"/>
                <w:noProof/>
                <w:color w:val="000000"/>
                <w:sz w:val="20"/>
                <w:szCs w:val="20"/>
                <w:lang w:eastAsia="zh-CN"/>
              </w:rPr>
              <w:t>International accounting Firms</w:t>
            </w:r>
          </w:p>
        </w:tc>
        <w:tc>
          <w:tcPr>
            <w:tcW w:w="1134" w:type="dxa"/>
            <w:tcBorders>
              <w:top w:val="nil"/>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lang w:eastAsia="zh-CN"/>
              </w:rPr>
            </w:pPr>
            <w:r>
              <w:rPr>
                <w:rFonts w:ascii="Times New Roman" w:eastAsia="Times New Roman" w:hAnsi="Times New Roman"/>
                <w:noProof/>
                <w:color w:val="000000"/>
                <w:sz w:val="20"/>
                <w:szCs w:val="20"/>
                <w:lang w:eastAsia="zh-CN"/>
              </w:rPr>
              <w:t>24.0%</w:t>
            </w:r>
          </w:p>
        </w:tc>
        <w:tc>
          <w:tcPr>
            <w:tcW w:w="1134" w:type="dxa"/>
            <w:tcBorders>
              <w:top w:val="nil"/>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lang w:eastAsia="zh-CN"/>
              </w:rPr>
            </w:pPr>
            <w:r>
              <w:rPr>
                <w:rFonts w:ascii="Times New Roman" w:eastAsia="Times New Roman" w:hAnsi="Times New Roman"/>
                <w:noProof/>
                <w:color w:val="000000"/>
                <w:sz w:val="20"/>
                <w:szCs w:val="20"/>
                <w:lang w:eastAsia="zh-CN"/>
              </w:rPr>
              <w:t>34.7%</w:t>
            </w:r>
          </w:p>
        </w:tc>
        <w:tc>
          <w:tcPr>
            <w:tcW w:w="1134" w:type="dxa"/>
            <w:tcBorders>
              <w:top w:val="nil"/>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lang w:eastAsia="zh-CN"/>
              </w:rPr>
            </w:pPr>
            <w:r>
              <w:rPr>
                <w:rFonts w:ascii="Times New Roman" w:eastAsia="Times New Roman" w:hAnsi="Times New Roman"/>
                <w:noProof/>
                <w:color w:val="000000"/>
                <w:sz w:val="20"/>
                <w:szCs w:val="20"/>
                <w:lang w:eastAsia="zh-CN"/>
              </w:rPr>
              <w:t>31.3%</w:t>
            </w:r>
          </w:p>
        </w:tc>
        <w:tc>
          <w:tcPr>
            <w:tcW w:w="1134" w:type="dxa"/>
            <w:gridSpan w:val="2"/>
            <w:tcBorders>
              <w:top w:val="nil"/>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lang w:eastAsia="zh-CN"/>
              </w:rPr>
            </w:pPr>
            <w:r>
              <w:rPr>
                <w:rFonts w:ascii="Times New Roman" w:eastAsia="Times New Roman" w:hAnsi="Times New Roman"/>
                <w:noProof/>
                <w:color w:val="000000"/>
                <w:sz w:val="20"/>
                <w:szCs w:val="20"/>
                <w:lang w:eastAsia="zh-CN"/>
              </w:rPr>
              <w:t>33.0%</w:t>
            </w:r>
          </w:p>
        </w:tc>
        <w:tc>
          <w:tcPr>
            <w:tcW w:w="1134" w:type="dxa"/>
            <w:tcBorders>
              <w:top w:val="single"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lang w:eastAsia="zh-CN"/>
              </w:rPr>
            </w:pPr>
            <w:r>
              <w:rPr>
                <w:rFonts w:ascii="Times New Roman" w:eastAsia="Times New Roman" w:hAnsi="Times New Roman"/>
                <w:noProof/>
                <w:color w:val="000000"/>
                <w:sz w:val="20"/>
                <w:szCs w:val="20"/>
                <w:lang w:eastAsia="zh-CN"/>
              </w:rPr>
              <w:t>28.5%</w:t>
            </w:r>
          </w:p>
        </w:tc>
      </w:tr>
      <w:tr>
        <w:trPr>
          <w:gridAfter w:val="1"/>
          <w:wAfter w:w="33" w:type="dxa"/>
          <w:trHeight w:val="300"/>
        </w:trPr>
        <w:tc>
          <w:tcPr>
            <w:tcW w:w="300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noProof/>
                <w:color w:val="000000"/>
                <w:sz w:val="20"/>
                <w:szCs w:val="20"/>
                <w:lang w:eastAsia="zh-CN"/>
              </w:rPr>
            </w:pPr>
            <w:r>
              <w:rPr>
                <w:rFonts w:ascii="Times New Roman" w:eastAsia="Times New Roman" w:hAnsi="Times New Roman"/>
                <w:noProof/>
                <w:color w:val="000000"/>
                <w:sz w:val="20"/>
                <w:szCs w:val="20"/>
                <w:lang w:eastAsia="zh-CN"/>
              </w:rPr>
              <w:t>European Commission</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lang w:eastAsia="zh-CN"/>
              </w:rPr>
            </w:pPr>
            <w:r>
              <w:rPr>
                <w:rFonts w:ascii="Times New Roman" w:eastAsia="Times New Roman" w:hAnsi="Times New Roman"/>
                <w:noProof/>
                <w:color w:val="000000"/>
                <w:sz w:val="20"/>
                <w:szCs w:val="20"/>
                <w:lang w:eastAsia="zh-CN"/>
              </w:rPr>
              <w:t>18.5%</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lang w:eastAsia="zh-CN"/>
              </w:rPr>
            </w:pPr>
            <w:r>
              <w:rPr>
                <w:rFonts w:ascii="Times New Roman" w:eastAsia="Times New Roman" w:hAnsi="Times New Roman"/>
                <w:noProof/>
                <w:color w:val="000000"/>
                <w:sz w:val="20"/>
                <w:szCs w:val="20"/>
                <w:lang w:eastAsia="zh-CN"/>
              </w:rPr>
              <w:t>16.5%</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lang w:eastAsia="zh-CN"/>
              </w:rPr>
            </w:pPr>
            <w:r>
              <w:rPr>
                <w:rFonts w:ascii="Times New Roman" w:eastAsia="Times New Roman" w:hAnsi="Times New Roman"/>
                <w:noProof/>
                <w:color w:val="000000"/>
                <w:sz w:val="20"/>
                <w:szCs w:val="20"/>
                <w:lang w:eastAsia="zh-CN"/>
              </w:rPr>
              <w:t>15.6%</w:t>
            </w:r>
          </w:p>
        </w:tc>
        <w:tc>
          <w:tcPr>
            <w:tcW w:w="1134" w:type="dxa"/>
            <w:gridSpan w:val="2"/>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lang w:eastAsia="zh-CN"/>
              </w:rPr>
            </w:pPr>
            <w:r>
              <w:rPr>
                <w:rFonts w:ascii="Times New Roman" w:eastAsia="Times New Roman" w:hAnsi="Times New Roman"/>
                <w:noProof/>
                <w:color w:val="000000"/>
                <w:sz w:val="20"/>
                <w:szCs w:val="20"/>
                <w:lang w:eastAsia="zh-CN"/>
              </w:rPr>
              <w:t>15.4%</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lang w:eastAsia="zh-CN"/>
              </w:rPr>
            </w:pPr>
            <w:r>
              <w:rPr>
                <w:rFonts w:ascii="Times New Roman" w:eastAsia="Times New Roman" w:hAnsi="Times New Roman"/>
                <w:noProof/>
                <w:color w:val="000000"/>
                <w:sz w:val="20"/>
                <w:szCs w:val="20"/>
                <w:lang w:eastAsia="zh-CN"/>
              </w:rPr>
              <w:t>13.6%</w:t>
            </w:r>
          </w:p>
        </w:tc>
      </w:tr>
      <w:tr>
        <w:trPr>
          <w:gridAfter w:val="1"/>
          <w:wAfter w:w="33" w:type="dxa"/>
          <w:trHeight w:val="300"/>
        </w:trPr>
        <w:tc>
          <w:tcPr>
            <w:tcW w:w="300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noProof/>
                <w:color w:val="000000"/>
                <w:sz w:val="20"/>
                <w:szCs w:val="20"/>
                <w:lang w:eastAsia="zh-CN"/>
              </w:rPr>
            </w:pPr>
            <w:r>
              <w:rPr>
                <w:rFonts w:ascii="Times New Roman" w:eastAsia="Times New Roman" w:hAnsi="Times New Roman"/>
                <w:noProof/>
                <w:color w:val="000000"/>
                <w:sz w:val="20"/>
                <w:szCs w:val="20"/>
                <w:lang w:eastAsia="zh-CN"/>
              </w:rPr>
              <w:t>EU Member States (excluding UK)</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lang w:eastAsia="zh-CN"/>
              </w:rPr>
            </w:pPr>
            <w:r>
              <w:rPr>
                <w:rFonts w:ascii="Times New Roman" w:eastAsia="Times New Roman" w:hAnsi="Times New Roman"/>
                <w:noProof/>
                <w:color w:val="000000"/>
                <w:sz w:val="20"/>
                <w:szCs w:val="20"/>
                <w:lang w:eastAsia="zh-CN"/>
              </w:rPr>
              <w:t>13.6%</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lang w:eastAsia="zh-CN"/>
              </w:rPr>
            </w:pPr>
            <w:r>
              <w:rPr>
                <w:rFonts w:ascii="Times New Roman" w:eastAsia="Times New Roman" w:hAnsi="Times New Roman"/>
                <w:noProof/>
                <w:color w:val="000000"/>
                <w:sz w:val="20"/>
                <w:szCs w:val="20"/>
                <w:lang w:eastAsia="zh-CN"/>
              </w:rPr>
              <w:t>12.4%</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lang w:eastAsia="zh-CN"/>
              </w:rPr>
            </w:pPr>
            <w:r>
              <w:rPr>
                <w:rFonts w:ascii="Times New Roman" w:eastAsia="Times New Roman" w:hAnsi="Times New Roman"/>
                <w:noProof/>
                <w:color w:val="000000"/>
                <w:sz w:val="20"/>
                <w:szCs w:val="20"/>
                <w:lang w:eastAsia="zh-CN"/>
              </w:rPr>
              <w:t>11.9%</w:t>
            </w:r>
          </w:p>
        </w:tc>
        <w:tc>
          <w:tcPr>
            <w:tcW w:w="1134" w:type="dxa"/>
            <w:gridSpan w:val="2"/>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lang w:eastAsia="zh-CN"/>
              </w:rPr>
            </w:pPr>
            <w:r>
              <w:rPr>
                <w:rFonts w:ascii="Times New Roman" w:eastAsia="Times New Roman" w:hAnsi="Times New Roman"/>
                <w:noProof/>
                <w:color w:val="000000"/>
                <w:sz w:val="20"/>
                <w:szCs w:val="20"/>
                <w:lang w:eastAsia="zh-CN"/>
              </w:rPr>
              <w:t>12.6%</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lang w:eastAsia="zh-CN"/>
              </w:rPr>
            </w:pPr>
            <w:r>
              <w:rPr>
                <w:rFonts w:ascii="Times New Roman" w:eastAsia="Times New Roman" w:hAnsi="Times New Roman"/>
                <w:noProof/>
                <w:color w:val="000000"/>
                <w:sz w:val="20"/>
                <w:szCs w:val="20"/>
                <w:lang w:eastAsia="zh-CN"/>
              </w:rPr>
              <w:t>12.7%</w:t>
            </w:r>
          </w:p>
        </w:tc>
      </w:tr>
      <w:tr>
        <w:trPr>
          <w:gridAfter w:val="1"/>
          <w:wAfter w:w="33" w:type="dxa"/>
          <w:trHeight w:val="300"/>
        </w:trPr>
        <w:tc>
          <w:tcPr>
            <w:tcW w:w="300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noProof/>
                <w:color w:val="000000"/>
                <w:sz w:val="20"/>
                <w:szCs w:val="20"/>
                <w:lang w:eastAsia="zh-CN"/>
              </w:rPr>
            </w:pPr>
            <w:r>
              <w:rPr>
                <w:rFonts w:ascii="Times New Roman" w:eastAsia="Times New Roman" w:hAnsi="Times New Roman"/>
                <w:noProof/>
                <w:color w:val="000000"/>
                <w:sz w:val="20"/>
                <w:szCs w:val="20"/>
                <w:lang w:eastAsia="zh-CN"/>
              </w:rPr>
              <w:t>United Kingdom</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lang w:eastAsia="zh-CN"/>
              </w:rPr>
            </w:pPr>
            <w:r>
              <w:rPr>
                <w:rFonts w:ascii="Times New Roman" w:eastAsia="Times New Roman" w:hAnsi="Times New Roman"/>
                <w:noProof/>
                <w:color w:val="000000"/>
                <w:sz w:val="20"/>
                <w:szCs w:val="20"/>
                <w:lang w:eastAsia="zh-CN"/>
              </w:rPr>
              <w:t>3.6%</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lang w:eastAsia="zh-CN"/>
              </w:rPr>
            </w:pPr>
            <w:r>
              <w:rPr>
                <w:rFonts w:ascii="Times New Roman" w:eastAsia="Times New Roman" w:hAnsi="Times New Roman"/>
                <w:noProof/>
                <w:color w:val="000000"/>
                <w:sz w:val="20"/>
                <w:szCs w:val="20"/>
                <w:lang w:eastAsia="zh-CN"/>
              </w:rPr>
              <w:t>3.5%</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lang w:eastAsia="zh-CN"/>
              </w:rPr>
            </w:pPr>
            <w:r>
              <w:rPr>
                <w:rFonts w:ascii="Times New Roman" w:eastAsia="Times New Roman" w:hAnsi="Times New Roman"/>
                <w:noProof/>
                <w:color w:val="000000"/>
                <w:sz w:val="20"/>
                <w:szCs w:val="20"/>
                <w:lang w:eastAsia="zh-CN"/>
              </w:rPr>
              <w:t>3.5%</w:t>
            </w:r>
          </w:p>
        </w:tc>
        <w:tc>
          <w:tcPr>
            <w:tcW w:w="1134" w:type="dxa"/>
            <w:gridSpan w:val="2"/>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lang w:eastAsia="zh-CN"/>
              </w:rPr>
            </w:pPr>
            <w:r>
              <w:rPr>
                <w:rFonts w:ascii="Times New Roman" w:eastAsia="Times New Roman" w:hAnsi="Times New Roman"/>
                <w:noProof/>
                <w:color w:val="000000"/>
                <w:sz w:val="20"/>
                <w:szCs w:val="20"/>
                <w:lang w:eastAsia="zh-CN"/>
              </w:rPr>
              <w:t>4.1%</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lang w:eastAsia="zh-CN"/>
              </w:rPr>
            </w:pPr>
            <w:r>
              <w:rPr>
                <w:rFonts w:ascii="Times New Roman" w:eastAsia="Times New Roman" w:hAnsi="Times New Roman"/>
                <w:noProof/>
                <w:color w:val="000000"/>
                <w:sz w:val="20"/>
                <w:szCs w:val="20"/>
                <w:lang w:eastAsia="zh-CN"/>
              </w:rPr>
              <w:t>3.8%</w:t>
            </w:r>
          </w:p>
        </w:tc>
      </w:tr>
      <w:tr>
        <w:trPr>
          <w:gridAfter w:val="1"/>
          <w:wAfter w:w="33" w:type="dxa"/>
          <w:trHeight w:val="300"/>
        </w:trPr>
        <w:tc>
          <w:tcPr>
            <w:tcW w:w="300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noProof/>
                <w:color w:val="000000"/>
                <w:sz w:val="20"/>
                <w:szCs w:val="20"/>
                <w:lang w:eastAsia="zh-CN"/>
              </w:rPr>
            </w:pPr>
            <w:r>
              <w:rPr>
                <w:rFonts w:ascii="Times New Roman" w:eastAsia="Times New Roman" w:hAnsi="Times New Roman"/>
                <w:noProof/>
                <w:color w:val="000000"/>
                <w:sz w:val="20"/>
                <w:szCs w:val="20"/>
                <w:lang w:eastAsia="zh-CN"/>
              </w:rPr>
              <w:t>Total European Union</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lang w:eastAsia="zh-CN"/>
              </w:rPr>
            </w:pPr>
            <w:r>
              <w:rPr>
                <w:rFonts w:ascii="Times New Roman" w:eastAsia="Times New Roman" w:hAnsi="Times New Roman"/>
                <w:noProof/>
                <w:color w:val="000000"/>
                <w:sz w:val="20"/>
                <w:szCs w:val="20"/>
                <w:lang w:eastAsia="zh-CN"/>
              </w:rPr>
              <w:t>35.8%</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lang w:eastAsia="zh-CN"/>
              </w:rPr>
            </w:pPr>
            <w:r>
              <w:rPr>
                <w:rFonts w:ascii="Times New Roman" w:hAnsi="Times New Roman"/>
                <w:noProof/>
                <w:color w:val="000000"/>
                <w:sz w:val="20"/>
                <w:szCs w:val="20"/>
              </w:rPr>
              <w:t>32.4%</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lang w:eastAsia="zh-CN"/>
              </w:rPr>
            </w:pPr>
            <w:r>
              <w:rPr>
                <w:rFonts w:ascii="Times New Roman" w:hAnsi="Times New Roman"/>
                <w:noProof/>
                <w:color w:val="000000"/>
                <w:sz w:val="20"/>
                <w:szCs w:val="20"/>
              </w:rPr>
              <w:t>31.0%</w:t>
            </w:r>
          </w:p>
        </w:tc>
        <w:tc>
          <w:tcPr>
            <w:tcW w:w="1134" w:type="dxa"/>
            <w:gridSpan w:val="2"/>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lang w:eastAsia="zh-CN"/>
              </w:rPr>
            </w:pPr>
            <w:r>
              <w:rPr>
                <w:rFonts w:ascii="Times New Roman" w:eastAsia="Times New Roman" w:hAnsi="Times New Roman"/>
                <w:noProof/>
                <w:color w:val="000000"/>
                <w:sz w:val="20"/>
                <w:szCs w:val="20"/>
                <w:lang w:eastAsia="zh-CN"/>
              </w:rPr>
              <w:t>32.2%</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lang w:eastAsia="zh-CN"/>
              </w:rPr>
            </w:pPr>
            <w:r>
              <w:rPr>
                <w:rFonts w:ascii="Times New Roman" w:eastAsia="Times New Roman" w:hAnsi="Times New Roman"/>
                <w:noProof/>
                <w:color w:val="000000"/>
                <w:sz w:val="20"/>
                <w:szCs w:val="20"/>
                <w:lang w:eastAsia="zh-CN"/>
              </w:rPr>
              <w:t>30.2%</w:t>
            </w:r>
          </w:p>
        </w:tc>
      </w:tr>
      <w:tr>
        <w:trPr>
          <w:gridAfter w:val="1"/>
          <w:wAfter w:w="33" w:type="dxa"/>
          <w:trHeight w:val="300"/>
        </w:trPr>
        <w:tc>
          <w:tcPr>
            <w:tcW w:w="300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noProof/>
                <w:color w:val="000000"/>
                <w:sz w:val="20"/>
                <w:szCs w:val="20"/>
                <w:lang w:eastAsia="zh-CN"/>
              </w:rPr>
            </w:pPr>
            <w:r>
              <w:rPr>
                <w:rFonts w:ascii="Times New Roman" w:eastAsia="Times New Roman" w:hAnsi="Times New Roman"/>
                <w:noProof/>
                <w:color w:val="000000"/>
                <w:sz w:val="20"/>
                <w:szCs w:val="20"/>
                <w:lang w:eastAsia="zh-CN"/>
              </w:rPr>
              <w:t>Asia/ Oceania</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lang w:eastAsia="zh-CN"/>
              </w:rPr>
            </w:pPr>
            <w:r>
              <w:rPr>
                <w:rFonts w:ascii="Times New Roman" w:eastAsia="Times New Roman" w:hAnsi="Times New Roman"/>
                <w:noProof/>
                <w:color w:val="000000"/>
                <w:sz w:val="20"/>
                <w:szCs w:val="20"/>
                <w:lang w:eastAsia="zh-CN"/>
              </w:rPr>
              <w:t>32.7%</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lang w:eastAsia="zh-CN"/>
              </w:rPr>
            </w:pPr>
            <w:r>
              <w:rPr>
                <w:rFonts w:ascii="Times New Roman" w:eastAsia="Times New Roman" w:hAnsi="Times New Roman"/>
                <w:noProof/>
                <w:color w:val="000000"/>
                <w:sz w:val="20"/>
                <w:szCs w:val="20"/>
                <w:lang w:eastAsia="zh-CN"/>
              </w:rPr>
              <w:t>25.6%</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lang w:eastAsia="zh-CN"/>
              </w:rPr>
            </w:pPr>
            <w:r>
              <w:rPr>
                <w:rFonts w:ascii="Times New Roman" w:eastAsia="Times New Roman" w:hAnsi="Times New Roman"/>
                <w:noProof/>
                <w:color w:val="000000"/>
                <w:sz w:val="20"/>
                <w:szCs w:val="20"/>
                <w:lang w:eastAsia="zh-CN"/>
              </w:rPr>
              <w:t>29.0%</w:t>
            </w:r>
          </w:p>
        </w:tc>
        <w:tc>
          <w:tcPr>
            <w:tcW w:w="1134" w:type="dxa"/>
            <w:gridSpan w:val="2"/>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lang w:eastAsia="zh-CN"/>
              </w:rPr>
            </w:pPr>
            <w:r>
              <w:rPr>
                <w:rFonts w:ascii="Times New Roman" w:eastAsia="Times New Roman" w:hAnsi="Times New Roman"/>
                <w:noProof/>
                <w:color w:val="000000"/>
                <w:sz w:val="20"/>
                <w:szCs w:val="20"/>
                <w:lang w:eastAsia="zh-CN"/>
              </w:rPr>
              <w:t>25.2%</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lang w:eastAsia="zh-CN"/>
              </w:rPr>
            </w:pPr>
            <w:r>
              <w:rPr>
                <w:rFonts w:ascii="Times New Roman" w:eastAsia="Times New Roman" w:hAnsi="Times New Roman"/>
                <w:noProof/>
                <w:color w:val="000000"/>
                <w:sz w:val="20"/>
                <w:szCs w:val="20"/>
                <w:lang w:eastAsia="zh-CN"/>
              </w:rPr>
              <w:t>24.5%</w:t>
            </w:r>
          </w:p>
        </w:tc>
      </w:tr>
      <w:tr>
        <w:trPr>
          <w:gridAfter w:val="1"/>
          <w:wAfter w:w="33" w:type="dxa"/>
          <w:trHeight w:val="300"/>
        </w:trPr>
        <w:tc>
          <w:tcPr>
            <w:tcW w:w="300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noProof/>
                <w:color w:val="000000"/>
                <w:sz w:val="20"/>
                <w:szCs w:val="20"/>
                <w:lang w:eastAsia="zh-CN"/>
              </w:rPr>
            </w:pPr>
            <w:r>
              <w:rPr>
                <w:rFonts w:ascii="Times New Roman" w:eastAsia="Times New Roman" w:hAnsi="Times New Roman"/>
                <w:noProof/>
                <w:color w:val="000000"/>
                <w:sz w:val="20"/>
                <w:szCs w:val="20"/>
                <w:lang w:eastAsia="zh-CN"/>
              </w:rPr>
              <w:t>Americas</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lang w:eastAsia="zh-CN"/>
              </w:rPr>
            </w:pPr>
            <w:r>
              <w:rPr>
                <w:rFonts w:ascii="Times New Roman" w:eastAsia="Times New Roman" w:hAnsi="Times New Roman"/>
                <w:noProof/>
                <w:color w:val="000000"/>
                <w:sz w:val="20"/>
                <w:szCs w:val="20"/>
                <w:lang w:eastAsia="zh-CN"/>
              </w:rPr>
              <w:t>6.1%</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lang w:eastAsia="zh-CN"/>
              </w:rPr>
            </w:pPr>
            <w:r>
              <w:rPr>
                <w:rFonts w:ascii="Times New Roman" w:eastAsia="Times New Roman" w:hAnsi="Times New Roman"/>
                <w:noProof/>
                <w:color w:val="000000"/>
                <w:sz w:val="20"/>
                <w:szCs w:val="20"/>
                <w:lang w:eastAsia="zh-CN"/>
              </w:rPr>
              <w:t>5.8%</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lang w:eastAsia="zh-CN"/>
              </w:rPr>
            </w:pPr>
            <w:r>
              <w:rPr>
                <w:rFonts w:ascii="Times New Roman" w:eastAsia="Times New Roman" w:hAnsi="Times New Roman"/>
                <w:noProof/>
                <w:color w:val="000000"/>
                <w:sz w:val="20"/>
                <w:szCs w:val="20"/>
                <w:lang w:eastAsia="zh-CN"/>
              </w:rPr>
              <w:t>6.6%</w:t>
            </w:r>
          </w:p>
        </w:tc>
        <w:tc>
          <w:tcPr>
            <w:tcW w:w="1134" w:type="dxa"/>
            <w:gridSpan w:val="2"/>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lang w:eastAsia="zh-CN"/>
              </w:rPr>
            </w:pPr>
            <w:r>
              <w:rPr>
                <w:rFonts w:ascii="Times New Roman" w:eastAsia="Times New Roman" w:hAnsi="Times New Roman"/>
                <w:noProof/>
                <w:color w:val="000000"/>
                <w:sz w:val="20"/>
                <w:szCs w:val="20"/>
                <w:lang w:eastAsia="zh-CN"/>
              </w:rPr>
              <w:t>7.9%</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lang w:eastAsia="zh-CN"/>
              </w:rPr>
            </w:pPr>
            <w:r>
              <w:rPr>
                <w:rFonts w:ascii="Times New Roman" w:eastAsia="Times New Roman" w:hAnsi="Times New Roman"/>
                <w:noProof/>
                <w:color w:val="000000"/>
                <w:sz w:val="20"/>
                <w:szCs w:val="20"/>
                <w:lang w:eastAsia="zh-CN"/>
              </w:rPr>
              <w:t>15.0%</w:t>
            </w:r>
          </w:p>
        </w:tc>
      </w:tr>
      <w:tr>
        <w:trPr>
          <w:gridAfter w:val="1"/>
          <w:wAfter w:w="33" w:type="dxa"/>
          <w:trHeight w:val="300"/>
        </w:trPr>
        <w:tc>
          <w:tcPr>
            <w:tcW w:w="300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noProof/>
                <w:color w:val="000000"/>
                <w:sz w:val="20"/>
                <w:szCs w:val="20"/>
                <w:lang w:eastAsia="zh-CN"/>
              </w:rPr>
            </w:pPr>
            <w:r>
              <w:rPr>
                <w:rFonts w:ascii="Times New Roman" w:eastAsia="Times New Roman" w:hAnsi="Times New Roman"/>
                <w:noProof/>
                <w:color w:val="000000"/>
                <w:sz w:val="20"/>
                <w:szCs w:val="20"/>
                <w:lang w:eastAsia="zh-CN"/>
              </w:rPr>
              <w:t>Africa</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lang w:eastAsia="zh-CN"/>
              </w:rPr>
            </w:pPr>
            <w:r>
              <w:rPr>
                <w:rFonts w:ascii="Times New Roman" w:eastAsia="Times New Roman" w:hAnsi="Times New Roman"/>
                <w:noProof/>
                <w:color w:val="000000"/>
                <w:sz w:val="20"/>
                <w:szCs w:val="20"/>
                <w:lang w:eastAsia="zh-CN"/>
              </w:rPr>
              <w:t>0.6%</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lang w:eastAsia="zh-CN"/>
              </w:rPr>
            </w:pPr>
            <w:r>
              <w:rPr>
                <w:rFonts w:ascii="Times New Roman" w:eastAsia="Times New Roman" w:hAnsi="Times New Roman"/>
                <w:noProof/>
                <w:color w:val="000000"/>
                <w:sz w:val="20"/>
                <w:szCs w:val="20"/>
                <w:lang w:eastAsia="zh-CN"/>
              </w:rPr>
              <w:t>0.5%</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lang w:eastAsia="zh-CN"/>
              </w:rPr>
            </w:pPr>
            <w:r>
              <w:rPr>
                <w:rFonts w:ascii="Times New Roman" w:eastAsia="Times New Roman" w:hAnsi="Times New Roman"/>
                <w:noProof/>
                <w:color w:val="000000"/>
                <w:sz w:val="20"/>
                <w:szCs w:val="20"/>
                <w:lang w:eastAsia="zh-CN"/>
              </w:rPr>
              <w:t>1.2%</w:t>
            </w:r>
          </w:p>
        </w:tc>
        <w:tc>
          <w:tcPr>
            <w:tcW w:w="1134" w:type="dxa"/>
            <w:gridSpan w:val="2"/>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lang w:eastAsia="zh-CN"/>
              </w:rPr>
            </w:pPr>
            <w:r>
              <w:rPr>
                <w:rFonts w:ascii="Times New Roman" w:eastAsia="Times New Roman" w:hAnsi="Times New Roman"/>
                <w:noProof/>
                <w:color w:val="000000"/>
                <w:sz w:val="20"/>
                <w:szCs w:val="20"/>
                <w:lang w:eastAsia="zh-CN"/>
              </w:rPr>
              <w:t>0.9%</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lang w:eastAsia="zh-CN"/>
              </w:rPr>
            </w:pPr>
            <w:r>
              <w:rPr>
                <w:rFonts w:ascii="Times New Roman" w:eastAsia="Times New Roman" w:hAnsi="Times New Roman"/>
                <w:noProof/>
                <w:color w:val="000000"/>
                <w:sz w:val="20"/>
                <w:szCs w:val="20"/>
                <w:lang w:eastAsia="zh-CN"/>
              </w:rPr>
              <w:t>0.8%</w:t>
            </w:r>
          </w:p>
        </w:tc>
      </w:tr>
      <w:tr>
        <w:trPr>
          <w:gridAfter w:val="1"/>
          <w:wAfter w:w="33" w:type="dxa"/>
          <w:trHeight w:val="300"/>
        </w:trPr>
        <w:tc>
          <w:tcPr>
            <w:tcW w:w="3005" w:type="dxa"/>
            <w:tcBorders>
              <w:top w:val="dotted"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noProof/>
                <w:color w:val="000000"/>
                <w:sz w:val="20"/>
                <w:szCs w:val="20"/>
                <w:lang w:eastAsia="zh-CN"/>
              </w:rPr>
            </w:pPr>
            <w:r>
              <w:rPr>
                <w:rFonts w:ascii="Times New Roman" w:eastAsia="Times New Roman" w:hAnsi="Times New Roman"/>
                <w:noProof/>
                <w:color w:val="000000"/>
                <w:sz w:val="20"/>
                <w:szCs w:val="20"/>
                <w:lang w:eastAsia="zh-CN"/>
              </w:rPr>
              <w:t>Other</w:t>
            </w:r>
          </w:p>
        </w:tc>
        <w:tc>
          <w:tcPr>
            <w:tcW w:w="1134" w:type="dxa"/>
            <w:tcBorders>
              <w:top w:val="dotted"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lang w:eastAsia="zh-CN"/>
              </w:rPr>
            </w:pPr>
            <w:r>
              <w:rPr>
                <w:rFonts w:ascii="Times New Roman" w:eastAsia="Times New Roman" w:hAnsi="Times New Roman"/>
                <w:noProof/>
                <w:color w:val="000000"/>
                <w:sz w:val="20"/>
                <w:szCs w:val="20"/>
                <w:lang w:eastAsia="zh-CN"/>
              </w:rPr>
              <w:t>0.8%</w:t>
            </w:r>
          </w:p>
        </w:tc>
        <w:tc>
          <w:tcPr>
            <w:tcW w:w="1134" w:type="dxa"/>
            <w:tcBorders>
              <w:top w:val="dotted"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lang w:eastAsia="zh-CN"/>
              </w:rPr>
            </w:pPr>
            <w:r>
              <w:rPr>
                <w:rFonts w:ascii="Times New Roman" w:eastAsia="Times New Roman" w:hAnsi="Times New Roman"/>
                <w:noProof/>
                <w:color w:val="000000"/>
                <w:sz w:val="20"/>
                <w:szCs w:val="20"/>
                <w:lang w:eastAsia="zh-CN"/>
              </w:rPr>
              <w:t>0.9%</w:t>
            </w:r>
          </w:p>
        </w:tc>
        <w:tc>
          <w:tcPr>
            <w:tcW w:w="1134" w:type="dxa"/>
            <w:tcBorders>
              <w:top w:val="dotted"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lang w:eastAsia="zh-CN"/>
              </w:rPr>
            </w:pPr>
            <w:r>
              <w:rPr>
                <w:rFonts w:ascii="Times New Roman" w:eastAsia="Times New Roman" w:hAnsi="Times New Roman"/>
                <w:noProof/>
                <w:color w:val="000000"/>
                <w:sz w:val="20"/>
                <w:szCs w:val="20"/>
                <w:lang w:eastAsia="zh-CN"/>
              </w:rPr>
              <w:t>0.9%</w:t>
            </w:r>
          </w:p>
        </w:tc>
        <w:tc>
          <w:tcPr>
            <w:tcW w:w="1134" w:type="dxa"/>
            <w:gridSpan w:val="2"/>
            <w:tcBorders>
              <w:top w:val="dotted"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lang w:eastAsia="zh-CN"/>
              </w:rPr>
            </w:pPr>
            <w:r>
              <w:rPr>
                <w:rFonts w:ascii="Times New Roman" w:eastAsia="Times New Roman" w:hAnsi="Times New Roman"/>
                <w:noProof/>
                <w:color w:val="000000"/>
                <w:sz w:val="20"/>
                <w:szCs w:val="20"/>
                <w:lang w:eastAsia="zh-CN"/>
              </w:rPr>
              <w:t>0.8%</w:t>
            </w:r>
          </w:p>
        </w:tc>
        <w:tc>
          <w:tcPr>
            <w:tcW w:w="1134" w:type="dxa"/>
            <w:tcBorders>
              <w:top w:val="dotted"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0"/>
                <w:szCs w:val="20"/>
                <w:lang w:eastAsia="zh-CN"/>
              </w:rPr>
            </w:pPr>
            <w:r>
              <w:rPr>
                <w:rFonts w:ascii="Times New Roman" w:eastAsia="Times New Roman" w:hAnsi="Times New Roman"/>
                <w:noProof/>
                <w:color w:val="000000"/>
                <w:sz w:val="20"/>
                <w:szCs w:val="20"/>
                <w:lang w:eastAsia="zh-CN"/>
              </w:rPr>
              <w:t>1.0%</w:t>
            </w:r>
          </w:p>
        </w:tc>
      </w:tr>
    </w:tbl>
    <w:p>
      <w:pPr>
        <w:spacing w:before="240" w:after="120"/>
        <w:jc w:val="both"/>
        <w:rPr>
          <w:rFonts w:ascii="Times New Roman" w:eastAsia="Times New Roman" w:hAnsi="Times New Roman"/>
          <w:noProof/>
          <w:color w:val="000000"/>
          <w:sz w:val="24"/>
          <w:lang w:val="en-IE" w:eastAsia="fr-BE"/>
        </w:rPr>
      </w:pPr>
      <w:r>
        <w:rPr>
          <w:rFonts w:ascii="Times New Roman" w:eastAsia="Times New Roman" w:hAnsi="Times New Roman"/>
          <w:noProof/>
          <w:color w:val="000000"/>
          <w:sz w:val="24"/>
          <w:lang w:val="en-IE" w:eastAsia="fr-BE"/>
        </w:rPr>
        <w:t>The funding of the IFRS Foundation is primarily achieved through voluntary contributions from jurisdictions (normally determined as a percentage of the gross domestic product) and international accounting firms. This mechanism generates volatility in the Foundation’s revenues. Thus the stability of reported total contributions between 2014 and 2018 obscures a significant decrease of the contributions from the United States (from 15% in 2014 to 6.1% of total funding in 2018) partially offset by the increased financial support from the European Union (from 13.5 to 18.5%) and China (from 8 to 11%).</w:t>
      </w:r>
      <w:r>
        <w:rPr>
          <w:rFonts w:ascii="Times New Roman" w:eastAsia="Times New Roman" w:hAnsi="Times New Roman"/>
          <w:noProof/>
          <w:color w:val="000000"/>
          <w:sz w:val="24"/>
          <w:lang w:val="en-IE" w:eastAsia="fr-BE"/>
        </w:rPr>
        <w:tab/>
        <w:t xml:space="preserve">Over the period 2014-2018, the Foundation constantly reported positive earnings thus strengthening its financial position by a GBP 21 Million accumulated reserve. It also significantly increased its self-generated revenues from publication and licensing activities. However, it still relies on the contributions from international accounting networks to achieve a breakeven financial position. </w:t>
      </w:r>
    </w:p>
    <w:p>
      <w:pPr>
        <w:spacing w:before="120" w:after="120"/>
        <w:jc w:val="both"/>
        <w:rPr>
          <w:rFonts w:ascii="Times New Roman" w:eastAsia="Times New Roman" w:hAnsi="Times New Roman"/>
          <w:i/>
          <w:noProof/>
          <w:color w:val="000000"/>
          <w:sz w:val="24"/>
          <w:lang w:val="en-IE" w:eastAsia="fr-BE"/>
        </w:rPr>
      </w:pPr>
      <w:r>
        <w:rPr>
          <w:rFonts w:ascii="Times New Roman" w:eastAsia="Times New Roman" w:hAnsi="Times New Roman"/>
          <w:i/>
          <w:noProof/>
          <w:color w:val="000000"/>
          <w:sz w:val="24"/>
          <w:lang w:val="en-IE" w:eastAsia="fr-BE"/>
        </w:rPr>
        <w:t>Foster transparency and the involvement of stakeholders in the standard setting and endorsement process</w:t>
      </w:r>
    </w:p>
    <w:p>
      <w:pPr>
        <w:spacing w:before="120" w:after="120"/>
        <w:jc w:val="both"/>
        <w:rPr>
          <w:rFonts w:ascii="Times New Roman" w:eastAsia="Times New Roman" w:hAnsi="Times New Roman"/>
          <w:noProof/>
          <w:color w:val="000000"/>
          <w:sz w:val="24"/>
          <w:lang w:val="en-IE" w:eastAsia="fr-BE"/>
        </w:rPr>
      </w:pPr>
      <w:r>
        <w:rPr>
          <w:rFonts w:ascii="Times New Roman" w:eastAsia="Times New Roman" w:hAnsi="Times New Roman"/>
          <w:noProof/>
          <w:color w:val="000000"/>
          <w:sz w:val="24"/>
          <w:lang w:val="en-IE" w:eastAsia="fr-BE"/>
        </w:rPr>
        <w:t>The 2015 Commission Staff Working Document supporting the report on the evaluation of Regulation n°1606/2002 on the application of International Accounting Standards found that the IFRS Foundation operates under well-developed and transparent procedures with regards to its standard setting activities</w:t>
      </w:r>
      <w:r>
        <w:rPr>
          <w:rStyle w:val="FootnoteReference"/>
          <w:rFonts w:ascii="Times New Roman" w:eastAsia="Times New Roman" w:hAnsi="Times New Roman"/>
          <w:noProof/>
          <w:color w:val="000000"/>
          <w:sz w:val="24"/>
          <w:lang w:val="en-IE" w:eastAsia="fr-BE"/>
        </w:rPr>
        <w:footnoteReference w:id="22"/>
      </w:r>
      <w:r>
        <w:rPr>
          <w:rFonts w:ascii="Times New Roman" w:eastAsia="Times New Roman" w:hAnsi="Times New Roman"/>
          <w:noProof/>
          <w:color w:val="000000"/>
          <w:sz w:val="24"/>
          <w:lang w:val="en-IE" w:eastAsia="fr-BE"/>
        </w:rPr>
        <w:t xml:space="preserve">. An overview of the procedures is outlined in the yearly report from the Commission on the activities of the IFRS Foundation. A significant overhaul of the Foundation’s Due Process Handbook was adopted in February 2013. </w:t>
      </w:r>
    </w:p>
    <w:p>
      <w:pPr>
        <w:spacing w:before="120" w:after="120"/>
        <w:jc w:val="both"/>
        <w:rPr>
          <w:rFonts w:ascii="Times New Roman" w:eastAsia="Times New Roman" w:hAnsi="Times New Roman"/>
          <w:noProof/>
          <w:color w:val="000000"/>
          <w:sz w:val="24"/>
          <w:lang w:val="en-IE" w:eastAsia="fr-BE"/>
        </w:rPr>
      </w:pPr>
      <w:r>
        <w:rPr>
          <w:rFonts w:ascii="Times New Roman" w:eastAsia="Times New Roman" w:hAnsi="Times New Roman"/>
          <w:noProof/>
          <w:color w:val="000000"/>
          <w:sz w:val="24"/>
          <w:lang w:val="en-IE" w:eastAsia="fr-BE"/>
        </w:rPr>
        <w:t xml:space="preserve">Over the period 2014-2018, the due process requirements remained substantially unchanged. However the IASB completed its second and third post-implementation reviews of IFRS Standards with IFRS 3 </w:t>
      </w:r>
      <w:r>
        <w:rPr>
          <w:rFonts w:ascii="Times New Roman" w:eastAsia="Times New Roman" w:hAnsi="Times New Roman"/>
          <w:i/>
          <w:noProof/>
          <w:color w:val="000000"/>
          <w:sz w:val="24"/>
          <w:lang w:val="en-IE" w:eastAsia="fr-BE"/>
        </w:rPr>
        <w:t>Business Combinations</w:t>
      </w:r>
      <w:r>
        <w:rPr>
          <w:rFonts w:ascii="Times New Roman" w:eastAsia="Times New Roman" w:hAnsi="Times New Roman"/>
          <w:noProof/>
          <w:color w:val="000000"/>
          <w:sz w:val="24"/>
          <w:lang w:val="en-IE" w:eastAsia="fr-BE"/>
        </w:rPr>
        <w:t xml:space="preserve"> and IFRS 13 </w:t>
      </w:r>
      <w:r>
        <w:rPr>
          <w:rFonts w:ascii="Times New Roman" w:eastAsia="Times New Roman" w:hAnsi="Times New Roman"/>
          <w:i/>
          <w:noProof/>
          <w:color w:val="000000"/>
          <w:sz w:val="24"/>
          <w:lang w:val="en-IE" w:eastAsia="fr-BE"/>
        </w:rPr>
        <w:t xml:space="preserve">Fair Value measurement. </w:t>
      </w:r>
      <w:r>
        <w:rPr>
          <w:rFonts w:ascii="Times New Roman" w:eastAsia="Times New Roman" w:hAnsi="Times New Roman"/>
          <w:noProof/>
          <w:color w:val="000000"/>
          <w:sz w:val="24"/>
          <w:lang w:val="en-IE" w:eastAsia="fr-BE"/>
        </w:rPr>
        <w:t>The reviews highlighted some implementation challenges arising from IFRS 3 especially as regards the complexity of goodwill accounting as well as some concerns about the disclosure requirements of IFRS 13. Those findings are currently addressed through targeted research projects included in the work plan of the Foundation. In 2017 the IFRS Foundation Trustees commissioned an external study about the perception of the foundation by stakeholders. The results highlighted strong appraisal for its independence and transparency</w:t>
      </w:r>
      <w:r>
        <w:rPr>
          <w:rStyle w:val="FootnoteReference"/>
          <w:rFonts w:ascii="Times New Roman" w:eastAsia="Times New Roman" w:hAnsi="Times New Roman"/>
          <w:noProof/>
          <w:color w:val="000000"/>
          <w:sz w:val="24"/>
          <w:lang w:val="en-IE" w:eastAsia="fr-BE"/>
        </w:rPr>
        <w:footnoteReference w:id="23"/>
      </w:r>
      <w:r>
        <w:rPr>
          <w:rFonts w:ascii="Times New Roman" w:eastAsia="Times New Roman" w:hAnsi="Times New Roman"/>
          <w:noProof/>
          <w:color w:val="000000"/>
          <w:sz w:val="24"/>
          <w:lang w:val="en-IE" w:eastAsia="fr-BE"/>
        </w:rPr>
        <w:t xml:space="preserve">. </w:t>
      </w:r>
    </w:p>
    <w:p>
      <w:pPr>
        <w:spacing w:before="120" w:after="120"/>
        <w:jc w:val="both"/>
        <w:rPr>
          <w:rFonts w:ascii="Times New Roman" w:eastAsia="Times New Roman" w:hAnsi="Times New Roman"/>
          <w:noProof/>
          <w:color w:val="000000"/>
          <w:sz w:val="24"/>
          <w:lang w:val="en-IE" w:eastAsia="fr-BE"/>
        </w:rPr>
      </w:pPr>
      <w:r>
        <w:rPr>
          <w:rFonts w:ascii="Times New Roman" w:eastAsia="Times New Roman" w:hAnsi="Times New Roman"/>
          <w:noProof/>
          <w:color w:val="000000"/>
          <w:sz w:val="24"/>
          <w:lang w:val="en-IE" w:eastAsia="fr-BE"/>
        </w:rPr>
        <w:t xml:space="preserve">With regards to transparency registers, starting from December 2019 the IFRS Foundation will quarterly publish a stakeholder engagement register. The register will cover all engagements of IASB Board Members with external parties of more than 30 minutes. </w:t>
      </w:r>
    </w:p>
    <w:p>
      <w:pPr>
        <w:pStyle w:val="Heading1"/>
        <w:tabs>
          <w:tab w:val="clear" w:pos="850"/>
        </w:tabs>
        <w:rPr>
          <w:rFonts w:ascii="Times New Roman" w:hAnsi="Times New Roman"/>
          <w:noProof/>
          <w:sz w:val="24"/>
          <w:szCs w:val="24"/>
          <w:u w:val="single"/>
        </w:rPr>
      </w:pPr>
      <w:r>
        <w:rPr>
          <w:rFonts w:ascii="Times New Roman" w:hAnsi="Times New Roman"/>
          <w:noProof/>
          <w:sz w:val="24"/>
          <w:szCs w:val="24"/>
          <w:u w:val="single"/>
        </w:rPr>
        <w:t>EFRAG</w:t>
      </w:r>
    </w:p>
    <w:p>
      <w:pPr>
        <w:pStyle w:val="ManualHeading1"/>
        <w:rPr>
          <w:noProof/>
        </w:rPr>
      </w:pPr>
      <w:r>
        <w:rPr>
          <w:noProof/>
        </w:rPr>
        <w:t>4.2.3.</w:t>
      </w:r>
      <w:r>
        <w:rPr>
          <w:noProof/>
        </w:rPr>
        <w:tab/>
        <w:t>Key achievements of EFRAG</w:t>
      </w:r>
    </w:p>
    <w:p>
      <w:pPr>
        <w:pStyle w:val="ListParagraph"/>
        <w:spacing w:before="120" w:after="120"/>
        <w:ind w:left="0"/>
        <w:contextualSpacing w:val="0"/>
        <w:jc w:val="both"/>
        <w:rPr>
          <w:rFonts w:ascii="Times New Roman" w:hAnsi="Times New Roman"/>
          <w:noProof/>
          <w:sz w:val="24"/>
          <w:szCs w:val="24"/>
          <w:lang w:eastAsia="en-GB"/>
        </w:rPr>
      </w:pPr>
      <w:r>
        <w:rPr>
          <w:rFonts w:ascii="Times New Roman" w:hAnsi="Times New Roman"/>
          <w:noProof/>
          <w:sz w:val="24"/>
          <w:szCs w:val="24"/>
          <w:lang w:eastAsia="en-GB"/>
        </w:rPr>
        <w:t>From 2014 to 2018, EFRAG implemented its internal reform in line with the recommendation from the Maystadt report of October 2013, which was completed in July 2016 with the appointment of Jean-Paul Gauzes as EFRAG Board President. EFRAG also continued to carry out endorsement assessments on whether IFRS meet the technical criteria of the IAS Regulation, including the true and fair view principle, and also strengthened its assessment on whether new or proposed financial reporting requirements are conducive to the public good. In particular, it is worth mentioning the following key achievements:</w:t>
      </w:r>
    </w:p>
    <w:p>
      <w:pPr>
        <w:pStyle w:val="PSParagraphText"/>
        <w:numPr>
          <w:ilvl w:val="0"/>
          <w:numId w:val="14"/>
        </w:numPr>
        <w:rPr>
          <w:noProof/>
          <w:sz w:val="24"/>
          <w:szCs w:val="24"/>
        </w:rPr>
      </w:pPr>
      <w:r>
        <w:rPr>
          <w:noProof/>
          <w:sz w:val="24"/>
          <w:szCs w:val="24"/>
        </w:rPr>
        <w:t xml:space="preserve">EFRAG’s work on the endorsement advice on IFRS 17 </w:t>
      </w:r>
      <w:r>
        <w:rPr>
          <w:i/>
          <w:noProof/>
          <w:sz w:val="24"/>
          <w:szCs w:val="24"/>
        </w:rPr>
        <w:t xml:space="preserve">Insurance Contracts </w:t>
      </w:r>
      <w:r>
        <w:rPr>
          <w:noProof/>
          <w:sz w:val="24"/>
          <w:szCs w:val="24"/>
        </w:rPr>
        <w:t>underpinned by in-depth impact analysis consisting of an extensive case study with 11 insurers; a simplified case study with 49 insurers; and a user outreach;</w:t>
      </w:r>
    </w:p>
    <w:p>
      <w:pPr>
        <w:pStyle w:val="PSParagraphText"/>
        <w:numPr>
          <w:ilvl w:val="0"/>
          <w:numId w:val="14"/>
        </w:numPr>
        <w:rPr>
          <w:noProof/>
          <w:sz w:val="24"/>
          <w:szCs w:val="24"/>
        </w:rPr>
      </w:pPr>
      <w:r>
        <w:rPr>
          <w:noProof/>
          <w:sz w:val="24"/>
          <w:szCs w:val="24"/>
        </w:rPr>
        <w:t xml:space="preserve">endorsement advice on IFRS 16 </w:t>
      </w:r>
      <w:r>
        <w:rPr>
          <w:i/>
          <w:noProof/>
          <w:sz w:val="24"/>
          <w:szCs w:val="24"/>
        </w:rPr>
        <w:t>Leases</w:t>
      </w:r>
      <w:r>
        <w:rPr>
          <w:noProof/>
          <w:sz w:val="24"/>
          <w:szCs w:val="24"/>
        </w:rPr>
        <w:t xml:space="preserve"> in 2017;</w:t>
      </w:r>
    </w:p>
    <w:p>
      <w:pPr>
        <w:pStyle w:val="PSParagraphText"/>
        <w:numPr>
          <w:ilvl w:val="0"/>
          <w:numId w:val="14"/>
        </w:numPr>
        <w:rPr>
          <w:noProof/>
          <w:sz w:val="24"/>
          <w:szCs w:val="24"/>
        </w:rPr>
      </w:pPr>
      <w:r>
        <w:rPr>
          <w:noProof/>
          <w:sz w:val="24"/>
          <w:szCs w:val="24"/>
        </w:rPr>
        <w:t xml:space="preserve">EFRAG’s impact analysis (as a pilot) of the IASB Discussion Paper Financial Instruments with Characteristics of Equity (FICE); </w:t>
      </w:r>
    </w:p>
    <w:p>
      <w:pPr>
        <w:pStyle w:val="PSParagraphText"/>
        <w:numPr>
          <w:ilvl w:val="0"/>
          <w:numId w:val="14"/>
        </w:numPr>
        <w:rPr>
          <w:noProof/>
          <w:sz w:val="24"/>
          <w:szCs w:val="24"/>
        </w:rPr>
      </w:pPr>
      <w:r>
        <w:rPr>
          <w:noProof/>
          <w:sz w:val="24"/>
          <w:szCs w:val="24"/>
        </w:rPr>
        <w:t xml:space="preserve">a Research Project on the consequences of IFRS 9 on </w:t>
      </w:r>
      <w:r>
        <w:rPr>
          <w:i/>
          <w:noProof/>
          <w:sz w:val="24"/>
          <w:szCs w:val="24"/>
        </w:rPr>
        <w:t>long term investments</w:t>
      </w:r>
      <w:r>
        <w:rPr>
          <w:noProof/>
          <w:sz w:val="24"/>
          <w:szCs w:val="24"/>
        </w:rPr>
        <w:t>, and</w:t>
      </w:r>
    </w:p>
    <w:p>
      <w:pPr>
        <w:pStyle w:val="PSParagraphText"/>
        <w:numPr>
          <w:ilvl w:val="0"/>
          <w:numId w:val="14"/>
        </w:numPr>
        <w:rPr>
          <w:noProof/>
          <w:sz w:val="24"/>
          <w:szCs w:val="24"/>
        </w:rPr>
      </w:pPr>
      <w:r>
        <w:rPr>
          <w:noProof/>
          <w:sz w:val="24"/>
          <w:szCs w:val="24"/>
        </w:rPr>
        <w:t xml:space="preserve">the establishment of a European Lab in September 2018 to consider in its activities and its implication in the developments in the corporate reporting, digitalisation and sustainable finance areas. </w:t>
      </w:r>
    </w:p>
    <w:p>
      <w:pPr>
        <w:pStyle w:val="ListParagraph"/>
        <w:spacing w:before="120" w:after="120"/>
        <w:ind w:left="0"/>
        <w:contextualSpacing w:val="0"/>
        <w:jc w:val="both"/>
        <w:rPr>
          <w:rFonts w:ascii="Times New Roman" w:hAnsi="Times New Roman"/>
          <w:noProof/>
          <w:sz w:val="24"/>
          <w:szCs w:val="24"/>
          <w:lang w:eastAsia="en-GB"/>
        </w:rPr>
      </w:pPr>
      <w:r>
        <w:rPr>
          <w:rFonts w:ascii="Times New Roman" w:hAnsi="Times New Roman"/>
          <w:noProof/>
          <w:sz w:val="24"/>
          <w:szCs w:val="24"/>
          <w:lang w:eastAsia="en-GB"/>
        </w:rPr>
        <w:t xml:space="preserve">In 2019, to date, EFRAG's work programme was largely driven by the IASB’s standard setting agenda. The endorsement activity of EFRAG remains important, especially in light of the IASB’s decision to consider amendments to IFRS 17 which requires EFRAG to issue a comment letter on the amendments while considering the implications on its draft endorsement advice of the standard. Furthermore it maintains its active contribution to the Action Plan on Sustainable Growth by carrying on its research activities on the accounting treatment of equity instruments with a view to identifying possible alternative accounting treatments to the fair value measurement of portfolios of equity and equity type instruments. Finally, EFRAG closely follows up the IASB’s research activities pertaining to goodwill and impairment, the presentation of financial statements and the disclosure requirements.   </w:t>
      </w:r>
    </w:p>
    <w:p>
      <w:pPr>
        <w:pStyle w:val="ListParagraph"/>
        <w:spacing w:before="120" w:after="120"/>
        <w:ind w:left="0"/>
        <w:contextualSpacing w:val="0"/>
        <w:jc w:val="both"/>
        <w:rPr>
          <w:rFonts w:ascii="Times New Roman" w:hAnsi="Times New Roman"/>
          <w:noProof/>
          <w:sz w:val="24"/>
          <w:szCs w:val="24"/>
          <w:lang w:eastAsia="en-GB"/>
        </w:rPr>
      </w:pPr>
      <w:r>
        <w:rPr>
          <w:rFonts w:ascii="Times New Roman" w:hAnsi="Times New Roman"/>
          <w:noProof/>
          <w:sz w:val="24"/>
          <w:szCs w:val="24"/>
          <w:lang w:eastAsia="en-GB"/>
        </w:rPr>
        <w:t>The European Corporate Lab set up in 2018 will stimulate innovation in the field of corporate reporting in light of the European Commission’s action plan on Financing Sustainable Growth. Following a call for candidates in December 2018, the first project task force was established and operational in February 2019.</w:t>
      </w:r>
    </w:p>
    <w:p>
      <w:pPr>
        <w:pStyle w:val="ManualHeading1"/>
        <w:rPr>
          <w:noProof/>
        </w:rPr>
      </w:pPr>
      <w:r>
        <w:rPr>
          <w:noProof/>
        </w:rPr>
        <w:t>4.2.4.</w:t>
      </w:r>
      <w:r>
        <w:rPr>
          <w:noProof/>
        </w:rPr>
        <w:tab/>
        <w:t>How effective EFRAG has been in achieving or progressing towards their objectives so far?</w:t>
      </w:r>
    </w:p>
    <w:p>
      <w:pPr>
        <w:pStyle w:val="ListParagraph"/>
        <w:spacing w:before="120" w:after="120"/>
        <w:ind w:left="0"/>
        <w:contextualSpacing w:val="0"/>
        <w:jc w:val="both"/>
        <w:rPr>
          <w:rFonts w:ascii="Times New Roman" w:hAnsi="Times New Roman"/>
          <w:noProof/>
          <w:sz w:val="24"/>
          <w:szCs w:val="24"/>
          <w:lang w:eastAsia="en-GB"/>
        </w:rPr>
      </w:pPr>
      <w:r>
        <w:rPr>
          <w:rFonts w:ascii="Times New Roman" w:hAnsi="Times New Roman"/>
          <w:noProof/>
          <w:sz w:val="24"/>
          <w:szCs w:val="24"/>
          <w:lang w:eastAsia="en-GB"/>
        </w:rPr>
        <w:t>Even if difficult to fully translate into measurable indicators, the progress of EFRAG is real in delivering on its mandate of providing respected advice to the European Commission and representing the European view on financial reporting in the international arena.</w:t>
      </w:r>
    </w:p>
    <w:p>
      <w:pPr>
        <w:spacing w:before="200"/>
        <w:rPr>
          <w:rFonts w:ascii="Times New Roman" w:hAnsi="Times New Roman"/>
          <w:b/>
          <w:noProof/>
          <w:sz w:val="24"/>
          <w:szCs w:val="24"/>
          <w:lang w:eastAsia="en-GB"/>
        </w:rPr>
      </w:pPr>
      <w:r>
        <w:rPr>
          <w:rFonts w:ascii="Times New Roman" w:hAnsi="Times New Roman"/>
          <w:b/>
          <w:noProof/>
          <w:sz w:val="24"/>
          <w:szCs w:val="24"/>
          <w:lang w:eastAsia="en-GB"/>
        </w:rPr>
        <w:t>Key findings</w:t>
      </w:r>
    </w:p>
    <w:p>
      <w:pPr>
        <w:jc w:val="both"/>
        <w:rPr>
          <w:rFonts w:ascii="Times New Roman" w:eastAsia="Times New Roman" w:hAnsi="Times New Roman"/>
          <w:i/>
          <w:noProof/>
          <w:color w:val="000000"/>
          <w:sz w:val="24"/>
          <w:lang w:val="en-IE" w:eastAsia="fr-BE"/>
        </w:rPr>
      </w:pPr>
      <w:r>
        <w:rPr>
          <w:rFonts w:ascii="Times New Roman" w:eastAsia="Times New Roman" w:hAnsi="Times New Roman"/>
          <w:i/>
          <w:noProof/>
          <w:color w:val="000000"/>
          <w:sz w:val="24"/>
          <w:lang w:val="en-IE" w:eastAsia="fr-BE"/>
        </w:rPr>
        <w:t>Ensuring the interests of the Union</w:t>
      </w:r>
    </w:p>
    <w:p>
      <w:pPr>
        <w:jc w:val="both"/>
        <w:rPr>
          <w:rFonts w:ascii="Times New Roman" w:eastAsia="Times New Roman" w:hAnsi="Times New Roman"/>
          <w:i/>
          <w:noProof/>
          <w:color w:val="000000"/>
          <w:sz w:val="24"/>
          <w:lang w:val="en-IE" w:eastAsia="fr-BE"/>
        </w:rPr>
      </w:pPr>
      <w:r>
        <w:rPr>
          <w:rFonts w:ascii="Times New Roman" w:hAnsi="Times New Roman"/>
          <w:noProof/>
          <w:sz w:val="24"/>
          <w:szCs w:val="24"/>
          <w:lang w:eastAsia="en-GB"/>
        </w:rPr>
        <w:t xml:space="preserve">Looking at the quality and influence of the outputs produced so far by EFRAG, there are indications of the high quality of the activities performed. In the past five years, EFRAG has delivered full public good assessments and impact analyses on major standards. EFRAG’s research work has been essential to the part of Europe’s contribution to the development of international accounting standards by taking into account the stakeholders’ priorities. Over the last ten years, EFRAG has published more than 700 documents to improve the IFRS. Stakeholders have confirmed EFRAG’s value and effectiveness. </w:t>
      </w:r>
    </w:p>
    <w:p>
      <w:pPr>
        <w:jc w:val="both"/>
        <w:rPr>
          <w:rFonts w:ascii="Times New Roman" w:hAnsi="Times New Roman"/>
          <w:i/>
          <w:noProof/>
          <w:sz w:val="24"/>
          <w:szCs w:val="24"/>
          <w:lang w:eastAsia="en-GB"/>
        </w:rPr>
      </w:pPr>
      <w:r>
        <w:rPr>
          <w:rFonts w:ascii="Times New Roman" w:hAnsi="Times New Roman"/>
          <w:i/>
          <w:noProof/>
          <w:sz w:val="24"/>
          <w:szCs w:val="24"/>
          <w:lang w:eastAsia="en-GB"/>
        </w:rPr>
        <w:t xml:space="preserve">EU influence on IASB standard setting </w:t>
      </w:r>
    </w:p>
    <w:p>
      <w:pPr>
        <w:jc w:val="both"/>
        <w:rPr>
          <w:rFonts w:ascii="Times New Roman" w:hAnsi="Times New Roman"/>
          <w:noProof/>
          <w:sz w:val="24"/>
          <w:szCs w:val="24"/>
          <w:lang w:eastAsia="en-GB"/>
        </w:rPr>
      </w:pPr>
      <w:r>
        <w:rPr>
          <w:rFonts w:ascii="Times New Roman" w:hAnsi="Times New Roman"/>
          <w:noProof/>
          <w:sz w:val="24"/>
          <w:szCs w:val="24"/>
          <w:lang w:eastAsia="en-GB"/>
        </w:rPr>
        <w:t>The quality of EFRAG's due process underpinned by its research agenda based on evidence, its commitment to consultation  and its responsiveness on all IASB projects from the outset has certainly increased its influence in the debate on International Financial Reporting over the period assessed. Moving beyond inputs to the IASB's agenda, EFRAG has conducted more own-initiative work providing an opportunity to reflect on the future direction of standard-setting and financial reporting. EFRAG was able to ensure that specific European circumstances were properly considered before key decisions were taken by the IASB. EFRAG's work projects on dynamic risk management</w:t>
      </w:r>
      <w:r>
        <w:rPr>
          <w:rStyle w:val="FootnoteReference"/>
          <w:rFonts w:ascii="Times New Roman" w:hAnsi="Times New Roman"/>
          <w:noProof/>
          <w:sz w:val="24"/>
          <w:szCs w:val="24"/>
          <w:lang w:eastAsia="en-GB"/>
        </w:rPr>
        <w:footnoteReference w:id="24"/>
      </w:r>
      <w:r>
        <w:rPr>
          <w:rFonts w:ascii="Times New Roman" w:hAnsi="Times New Roman"/>
          <w:noProof/>
          <w:sz w:val="24"/>
          <w:szCs w:val="24"/>
          <w:lang w:eastAsia="en-GB"/>
        </w:rPr>
        <w:t xml:space="preserve"> and accounting for goodwill</w:t>
      </w:r>
      <w:r>
        <w:rPr>
          <w:rStyle w:val="FootnoteReference"/>
          <w:rFonts w:ascii="Times New Roman" w:hAnsi="Times New Roman"/>
          <w:noProof/>
          <w:sz w:val="24"/>
          <w:szCs w:val="24"/>
          <w:lang w:eastAsia="en-GB"/>
        </w:rPr>
        <w:footnoteReference w:id="25"/>
      </w:r>
      <w:r>
        <w:rPr>
          <w:rFonts w:ascii="Times New Roman" w:hAnsi="Times New Roman"/>
          <w:noProof/>
          <w:sz w:val="24"/>
          <w:szCs w:val="24"/>
          <w:lang w:eastAsia="en-GB"/>
        </w:rPr>
        <w:t xml:space="preserve"> are good illustrations of EFRAG’s influence on the IASB (even though they have not yet led to concrete standard setting activities by the IASB).</w:t>
      </w:r>
    </w:p>
    <w:p>
      <w:pPr>
        <w:jc w:val="both"/>
        <w:rPr>
          <w:rFonts w:ascii="Times New Roman" w:hAnsi="Times New Roman"/>
          <w:i/>
          <w:noProof/>
          <w:sz w:val="24"/>
          <w:szCs w:val="24"/>
          <w:lang w:eastAsia="en-GB"/>
        </w:rPr>
      </w:pPr>
      <w:r>
        <w:rPr>
          <w:rFonts w:ascii="Times New Roman" w:hAnsi="Times New Roman"/>
          <w:i/>
          <w:noProof/>
          <w:sz w:val="24"/>
          <w:szCs w:val="24"/>
          <w:lang w:eastAsia="en-GB"/>
        </w:rPr>
        <w:t>Independence of EFRAG</w:t>
      </w:r>
    </w:p>
    <w:p>
      <w:pPr>
        <w:jc w:val="both"/>
        <w:rPr>
          <w:rFonts w:ascii="Times New Roman" w:hAnsi="Times New Roman"/>
          <w:noProof/>
          <w:sz w:val="24"/>
          <w:szCs w:val="24"/>
          <w:lang w:eastAsia="en-GB"/>
        </w:rPr>
      </w:pPr>
      <w:r>
        <w:rPr>
          <w:rFonts w:ascii="Times New Roman" w:hAnsi="Times New Roman"/>
          <w:noProof/>
          <w:sz w:val="24"/>
          <w:szCs w:val="24"/>
          <w:lang w:eastAsia="en-GB"/>
        </w:rPr>
        <w:t>The financing structure of EFRAG is based on a private-public funding model with a majority of the contribution coming from the EC. Over a period of 5 years, only the European Commission's funding slightly changes. It is at maximum 60% of the eligible expenses but the actual costs declared by EFRAG are different each year and thus the total funding changes. The contributions from national organisations make up around one third of the total funding of EFRAG. Out of this amount, 82% stems from four Member States but they have not led to dominant influence over EFRAG. On balance, the new governance structure and the diversification of its funding resulting from the Maystadt reform worked well and has resulted in increased credibility and standing without impairing the independence of the organisation.</w:t>
      </w:r>
    </w:p>
    <w:p>
      <w:pPr>
        <w:jc w:val="both"/>
        <w:rPr>
          <w:rFonts w:ascii="Times New Roman" w:hAnsi="Times New Roman"/>
          <w:i/>
          <w:noProof/>
          <w:sz w:val="24"/>
          <w:szCs w:val="24"/>
          <w:lang w:eastAsia="en-GB"/>
        </w:rPr>
      </w:pPr>
      <w:r>
        <w:rPr>
          <w:rFonts w:ascii="Times New Roman" w:eastAsia="Times New Roman" w:hAnsi="Times New Roman"/>
          <w:i/>
          <w:noProof/>
          <w:color w:val="000000"/>
          <w:sz w:val="24"/>
          <w:lang w:val="en-IE" w:eastAsia="fr-BE"/>
        </w:rPr>
        <w:t xml:space="preserve">Foster transparency and enhance </w:t>
      </w:r>
      <w:r>
        <w:rPr>
          <w:rFonts w:ascii="Times New Roman" w:hAnsi="Times New Roman"/>
          <w:i/>
          <w:noProof/>
          <w:sz w:val="24"/>
          <w:szCs w:val="24"/>
          <w:lang w:eastAsia="en-GB"/>
        </w:rPr>
        <w:t>governance of EFRAG</w:t>
      </w:r>
    </w:p>
    <w:p>
      <w:pPr>
        <w:jc w:val="both"/>
        <w:rPr>
          <w:rFonts w:ascii="Times New Roman" w:hAnsi="Times New Roman"/>
          <w:noProof/>
          <w:sz w:val="24"/>
          <w:szCs w:val="24"/>
          <w:lang w:eastAsia="en-GB"/>
        </w:rPr>
      </w:pPr>
      <w:r>
        <w:rPr>
          <w:rFonts w:ascii="Times New Roman" w:hAnsi="Times New Roman"/>
          <w:noProof/>
          <w:sz w:val="24"/>
          <w:szCs w:val="24"/>
          <w:lang w:eastAsia="en-GB"/>
        </w:rPr>
        <w:t xml:space="preserve">This is an area of continuous improvement. The overall results of actions taken by EFRAG with regard to transparency and governance were very positive. </w:t>
      </w:r>
    </w:p>
    <w:p>
      <w:pPr>
        <w:rPr>
          <w:rFonts w:ascii="Times New Roman" w:hAnsi="Times New Roman"/>
          <w:b/>
          <w:noProof/>
          <w:sz w:val="24"/>
          <w:szCs w:val="24"/>
          <w:lang w:eastAsia="en-GB"/>
        </w:rPr>
      </w:pPr>
      <w:r>
        <w:rPr>
          <w:rFonts w:ascii="Times New Roman" w:hAnsi="Times New Roman"/>
          <w:b/>
          <w:noProof/>
          <w:sz w:val="24"/>
          <w:szCs w:val="24"/>
          <w:lang w:eastAsia="en-GB"/>
        </w:rPr>
        <w:t>Key findings</w:t>
      </w:r>
    </w:p>
    <w:p>
      <w:pPr>
        <w:pStyle w:val="ListParagraph"/>
        <w:numPr>
          <w:ilvl w:val="0"/>
          <w:numId w:val="16"/>
        </w:numPr>
        <w:jc w:val="both"/>
        <w:rPr>
          <w:rFonts w:ascii="Times New Roman" w:hAnsi="Times New Roman"/>
          <w:noProof/>
          <w:sz w:val="24"/>
          <w:szCs w:val="24"/>
          <w:lang w:eastAsia="en-GB"/>
        </w:rPr>
      </w:pPr>
      <w:r>
        <w:rPr>
          <w:rFonts w:ascii="Times New Roman" w:hAnsi="Times New Roman"/>
          <w:noProof/>
          <w:sz w:val="24"/>
          <w:szCs w:val="24"/>
          <w:lang w:eastAsia="en-GB"/>
        </w:rPr>
        <w:t>The EFRAG Board reached all its conclusions on a consensus basis without having resort to majority voting.</w:t>
      </w:r>
    </w:p>
    <w:p>
      <w:pPr>
        <w:pStyle w:val="ListParagraph"/>
        <w:numPr>
          <w:ilvl w:val="0"/>
          <w:numId w:val="16"/>
        </w:numPr>
        <w:jc w:val="both"/>
        <w:rPr>
          <w:rFonts w:ascii="Times New Roman" w:hAnsi="Times New Roman"/>
          <w:noProof/>
          <w:sz w:val="24"/>
          <w:szCs w:val="24"/>
          <w:lang w:eastAsia="en-GB"/>
        </w:rPr>
      </w:pPr>
      <w:r>
        <w:rPr>
          <w:rFonts w:ascii="Times New Roman" w:hAnsi="Times New Roman"/>
          <w:noProof/>
          <w:sz w:val="24"/>
          <w:szCs w:val="24"/>
          <w:lang w:eastAsia="en-GB"/>
        </w:rPr>
        <w:t xml:space="preserve">The transparency of the public due process that has further developed. </w:t>
      </w:r>
    </w:p>
    <w:p>
      <w:pPr>
        <w:pStyle w:val="ListParagraph"/>
        <w:numPr>
          <w:ilvl w:val="0"/>
          <w:numId w:val="16"/>
        </w:numPr>
        <w:jc w:val="both"/>
        <w:rPr>
          <w:rFonts w:ascii="Times New Roman" w:hAnsi="Times New Roman"/>
          <w:noProof/>
          <w:sz w:val="24"/>
          <w:szCs w:val="24"/>
          <w:lang w:eastAsia="en-GB"/>
        </w:rPr>
      </w:pPr>
      <w:r>
        <w:rPr>
          <w:rFonts w:ascii="Times New Roman" w:hAnsi="Times New Roman"/>
          <w:noProof/>
          <w:sz w:val="24"/>
          <w:szCs w:val="24"/>
          <w:lang w:eastAsia="en-GB"/>
        </w:rPr>
        <w:t>A more diversified composition of the User panel as well as the EFRAG Board and EFRAG TEG, both in terms of geographical and professional background ensures that many different perspectives are properly taken into account by EFRAG.</w:t>
      </w:r>
    </w:p>
    <w:p>
      <w:pPr>
        <w:pStyle w:val="ListParagraph"/>
        <w:numPr>
          <w:ilvl w:val="0"/>
          <w:numId w:val="16"/>
        </w:numPr>
        <w:jc w:val="both"/>
        <w:rPr>
          <w:rFonts w:ascii="Times New Roman" w:hAnsi="Times New Roman"/>
          <w:noProof/>
          <w:sz w:val="24"/>
          <w:szCs w:val="24"/>
          <w:lang w:eastAsia="en-GB"/>
        </w:rPr>
      </w:pPr>
      <w:r>
        <w:rPr>
          <w:rFonts w:ascii="Times New Roman" w:hAnsi="Times New Roman"/>
          <w:noProof/>
          <w:sz w:val="24"/>
          <w:szCs w:val="24"/>
          <w:lang w:eastAsia="en-GB"/>
        </w:rPr>
        <w:t>Performance and effectiveness review of its own members under the oversight of the EFRAG General Assembly on an annual basis demonstrated that on balance the governance structure worked well.</w:t>
      </w:r>
    </w:p>
    <w:p>
      <w:pPr>
        <w:pStyle w:val="ListParagraph"/>
        <w:numPr>
          <w:ilvl w:val="0"/>
          <w:numId w:val="16"/>
        </w:numPr>
        <w:jc w:val="both"/>
        <w:rPr>
          <w:rFonts w:ascii="Times New Roman" w:hAnsi="Times New Roman"/>
          <w:noProof/>
          <w:sz w:val="24"/>
          <w:szCs w:val="24"/>
          <w:lang w:eastAsia="en-GB"/>
        </w:rPr>
      </w:pPr>
      <w:r>
        <w:rPr>
          <w:rFonts w:ascii="Times New Roman" w:hAnsi="Times New Roman"/>
          <w:noProof/>
          <w:sz w:val="24"/>
          <w:szCs w:val="24"/>
          <w:lang w:eastAsia="en-GB"/>
        </w:rPr>
        <w:t>There were no observed issues as regards conflicts of interest.</w:t>
      </w:r>
    </w:p>
    <w:p>
      <w:pPr>
        <w:pStyle w:val="ListParagraph"/>
        <w:numPr>
          <w:ilvl w:val="0"/>
          <w:numId w:val="16"/>
        </w:numPr>
        <w:jc w:val="both"/>
        <w:rPr>
          <w:rFonts w:ascii="Times New Roman" w:hAnsi="Times New Roman"/>
          <w:noProof/>
          <w:sz w:val="24"/>
          <w:szCs w:val="24"/>
          <w:lang w:eastAsia="en-GB"/>
        </w:rPr>
      </w:pPr>
      <w:r>
        <w:rPr>
          <w:rFonts w:ascii="Times New Roman" w:hAnsi="Times New Roman"/>
          <w:noProof/>
          <w:sz w:val="24"/>
          <w:szCs w:val="24"/>
          <w:lang w:eastAsia="en-GB"/>
        </w:rPr>
        <w:t>All meetings of the EFRAG Board, EFRAG Technical Expert Group (EFRAG TEG) and EFRAG Consultative Forum of Standard Setters (EFRAG CFSS) are held in public and webcasted since March 2018.</w:t>
      </w:r>
    </w:p>
    <w:p>
      <w:pPr>
        <w:pStyle w:val="ListParagraph"/>
        <w:numPr>
          <w:ilvl w:val="0"/>
          <w:numId w:val="16"/>
        </w:numPr>
        <w:jc w:val="both"/>
        <w:rPr>
          <w:rFonts w:ascii="Times New Roman" w:hAnsi="Times New Roman"/>
          <w:noProof/>
          <w:sz w:val="24"/>
          <w:szCs w:val="24"/>
          <w:lang w:eastAsia="en-GB"/>
        </w:rPr>
      </w:pPr>
      <w:r>
        <w:rPr>
          <w:rFonts w:ascii="Times New Roman" w:hAnsi="Times New Roman"/>
          <w:noProof/>
          <w:sz w:val="24"/>
          <w:szCs w:val="24"/>
          <w:lang w:eastAsia="en-GB"/>
        </w:rPr>
        <w:t xml:space="preserve">Agenda, summaries of the meetings and supporting agenda papers for important meetings are published on EFRAG’s website. </w:t>
      </w:r>
    </w:p>
    <w:p>
      <w:pPr>
        <w:pStyle w:val="ListParagraph"/>
        <w:numPr>
          <w:ilvl w:val="0"/>
          <w:numId w:val="16"/>
        </w:numPr>
        <w:jc w:val="both"/>
        <w:rPr>
          <w:rFonts w:ascii="Times New Roman" w:hAnsi="Times New Roman"/>
          <w:noProof/>
          <w:sz w:val="24"/>
          <w:szCs w:val="24"/>
          <w:lang w:eastAsia="en-GB"/>
        </w:rPr>
      </w:pPr>
      <w:r>
        <w:rPr>
          <w:rFonts w:ascii="Times New Roman" w:hAnsi="Times New Roman"/>
          <w:noProof/>
          <w:sz w:val="24"/>
          <w:szCs w:val="24"/>
          <w:lang w:eastAsia="en-GB"/>
        </w:rPr>
        <w:t>EFRAG publishes draft positions for public consultations, undertakes field tests and other forms of effect analyses, organises outreach events.</w:t>
      </w:r>
    </w:p>
    <w:p>
      <w:pPr>
        <w:pStyle w:val="ListParagraph"/>
        <w:numPr>
          <w:ilvl w:val="0"/>
          <w:numId w:val="19"/>
        </w:numPr>
        <w:jc w:val="both"/>
        <w:rPr>
          <w:rFonts w:ascii="Times New Roman" w:hAnsi="Times New Roman"/>
          <w:noProof/>
          <w:sz w:val="24"/>
          <w:szCs w:val="24"/>
          <w:lang w:eastAsia="en-GB"/>
        </w:rPr>
      </w:pPr>
      <w:r>
        <w:rPr>
          <w:rFonts w:ascii="Times New Roman" w:hAnsi="Times New Roman"/>
          <w:noProof/>
          <w:sz w:val="24"/>
          <w:szCs w:val="24"/>
          <w:lang w:eastAsia="en-GB"/>
        </w:rPr>
        <w:t>However, two reservations remain:</w:t>
      </w:r>
    </w:p>
    <w:p>
      <w:pPr>
        <w:pStyle w:val="ListParagraph"/>
        <w:numPr>
          <w:ilvl w:val="1"/>
          <w:numId w:val="19"/>
        </w:numPr>
        <w:rPr>
          <w:rFonts w:ascii="Times New Roman" w:hAnsi="Times New Roman"/>
          <w:noProof/>
          <w:sz w:val="24"/>
          <w:szCs w:val="24"/>
          <w:lang w:eastAsia="en-GB"/>
        </w:rPr>
      </w:pPr>
      <w:r>
        <w:rPr>
          <w:rFonts w:ascii="Times New Roman" w:hAnsi="Times New Roman"/>
          <w:noProof/>
          <w:sz w:val="24"/>
          <w:szCs w:val="24"/>
          <w:lang w:eastAsia="en-GB"/>
        </w:rPr>
        <w:t>regarding the ability to capture the full breadth of stakeholders’ views in Europe (e.g. small users);</w:t>
      </w:r>
    </w:p>
    <w:p>
      <w:pPr>
        <w:pStyle w:val="ListParagraph"/>
        <w:numPr>
          <w:ilvl w:val="1"/>
          <w:numId w:val="19"/>
        </w:numPr>
        <w:rPr>
          <w:rFonts w:ascii="Times New Roman" w:hAnsi="Times New Roman"/>
          <w:noProof/>
          <w:sz w:val="24"/>
          <w:szCs w:val="24"/>
          <w:lang w:eastAsia="en-GB"/>
        </w:rPr>
      </w:pPr>
      <w:r>
        <w:rPr>
          <w:rFonts w:ascii="Times New Roman" w:hAnsi="Times New Roman"/>
          <w:noProof/>
          <w:sz w:val="24"/>
          <w:szCs w:val="24"/>
          <w:lang w:eastAsia="en-GB"/>
        </w:rPr>
        <w:t>mandatory transparency register on meetings with external stakeholders is not yet in place but is well underway.</w:t>
      </w:r>
    </w:p>
    <w:p>
      <w:pPr>
        <w:pStyle w:val="Heading1"/>
        <w:tabs>
          <w:tab w:val="clear" w:pos="850"/>
        </w:tabs>
        <w:ind w:left="130" w:hanging="130"/>
        <w:rPr>
          <w:rFonts w:ascii="Times New Roman" w:hAnsi="Times New Roman"/>
          <w:noProof/>
          <w:sz w:val="24"/>
          <w:szCs w:val="24"/>
          <w:u w:val="single"/>
        </w:rPr>
      </w:pPr>
      <w:r>
        <w:rPr>
          <w:rFonts w:ascii="Times New Roman" w:hAnsi="Times New Roman"/>
          <w:noProof/>
          <w:sz w:val="24"/>
          <w:szCs w:val="24"/>
          <w:u w:val="single"/>
        </w:rPr>
        <w:t xml:space="preserve">The PIOB </w:t>
      </w:r>
    </w:p>
    <w:p>
      <w:pPr>
        <w:pStyle w:val="ManualHeading1"/>
        <w:rPr>
          <w:noProof/>
        </w:rPr>
      </w:pPr>
      <w:r>
        <w:rPr>
          <w:noProof/>
        </w:rPr>
        <w:t>4.2.5.</w:t>
      </w:r>
      <w:r>
        <w:rPr>
          <w:noProof/>
        </w:rPr>
        <w:tab/>
        <w:t>Key achievements of the PIOB</w:t>
      </w:r>
    </w:p>
    <w:p>
      <w:pPr>
        <w:jc w:val="both"/>
        <w:rPr>
          <w:rFonts w:ascii="Times New Roman" w:hAnsi="Times New Roman"/>
          <w:noProof/>
          <w:sz w:val="24"/>
          <w:szCs w:val="24"/>
          <w:lang w:eastAsia="en-GB"/>
        </w:rPr>
      </w:pPr>
      <w:r>
        <w:rPr>
          <w:rFonts w:ascii="Times New Roman" w:hAnsi="Times New Roman"/>
          <w:noProof/>
          <w:sz w:val="24"/>
          <w:szCs w:val="24"/>
          <w:lang w:eastAsia="en-GB"/>
        </w:rPr>
        <w:t xml:space="preserve">During the entire period, the PIOB has closely liaised with the standard setting boards under its oversight, their three Consultative Advisory Groups, the Compliance Advisory Panel and the Nominating Committee and IFAC leadership. The critical input from the PIOB has sharpened the discussions on the development of new international standards on auditing and has thus contributed to standards that are more responsive to the public interest than would otherwise have been the case. </w:t>
      </w:r>
    </w:p>
    <w:p>
      <w:pPr>
        <w:pStyle w:val="ManualHeading1"/>
        <w:rPr>
          <w:noProof/>
        </w:rPr>
      </w:pPr>
      <w:r>
        <w:rPr>
          <w:noProof/>
        </w:rPr>
        <w:t>4.2.6.</w:t>
      </w:r>
      <w:r>
        <w:rPr>
          <w:noProof/>
        </w:rPr>
        <w:tab/>
        <w:t>How effective has the PIOB been in achieving or progressing towards its objectives so far?</w:t>
      </w:r>
    </w:p>
    <w:p>
      <w:pPr>
        <w:jc w:val="both"/>
        <w:rPr>
          <w:rFonts w:ascii="Times New Roman" w:hAnsi="Times New Roman"/>
          <w:noProof/>
          <w:sz w:val="24"/>
          <w:szCs w:val="24"/>
          <w:lang w:eastAsia="en-GB"/>
        </w:rPr>
      </w:pPr>
      <w:r>
        <w:rPr>
          <w:rFonts w:ascii="Times New Roman" w:hAnsi="Times New Roman"/>
          <w:noProof/>
          <w:sz w:val="24"/>
          <w:szCs w:val="24"/>
          <w:lang w:eastAsia="en-GB"/>
        </w:rPr>
        <w:t xml:space="preserve">The EU grant to the PIOB has been indispensable to ensure a minimum level of independence vis-à-vis </w:t>
      </w:r>
      <w:r>
        <w:rPr>
          <w:rFonts w:ascii="Times New Roman" w:eastAsia="Times New Roman" w:hAnsi="Times New Roman"/>
          <w:noProof/>
          <w:sz w:val="24"/>
          <w:szCs w:val="24"/>
        </w:rPr>
        <w:t xml:space="preserve">IFAC and </w:t>
      </w:r>
      <w:r>
        <w:rPr>
          <w:rFonts w:ascii="Times New Roman" w:hAnsi="Times New Roman"/>
          <w:noProof/>
          <w:sz w:val="24"/>
          <w:szCs w:val="24"/>
          <w:lang w:eastAsia="en-GB"/>
        </w:rPr>
        <w:t xml:space="preserve">the audit profession in general. </w:t>
      </w:r>
    </w:p>
    <w:p>
      <w:pPr>
        <w:pStyle w:val="ManualHeading1"/>
        <w:rPr>
          <w:noProof/>
        </w:rPr>
      </w:pPr>
      <w:r>
        <w:rPr>
          <w:noProof/>
        </w:rPr>
        <w:t>4.3.</w:t>
      </w:r>
      <w:r>
        <w:rPr>
          <w:noProof/>
        </w:rPr>
        <w:tab/>
        <w:t xml:space="preserve"> Are the objectives of the programme still relevant, whether in terms of completeness (new needs), or accuracy (changes in, or disappearance of needs)?</w:t>
      </w:r>
    </w:p>
    <w:p>
      <w:pPr>
        <w:spacing w:before="200"/>
        <w:rPr>
          <w:rFonts w:ascii="Times New Roman" w:hAnsi="Times New Roman"/>
          <w:b/>
          <w:noProof/>
          <w:sz w:val="24"/>
          <w:szCs w:val="24"/>
          <w:lang w:eastAsia="en-GB"/>
        </w:rPr>
      </w:pPr>
      <w:r>
        <w:rPr>
          <w:rFonts w:ascii="Times New Roman" w:hAnsi="Times New Roman"/>
          <w:b/>
          <w:noProof/>
          <w:sz w:val="24"/>
          <w:szCs w:val="24"/>
          <w:lang w:eastAsia="en-GB"/>
        </w:rPr>
        <w:t>Key findings</w:t>
      </w:r>
    </w:p>
    <w:p>
      <w:pPr>
        <w:snapToGrid w:val="0"/>
        <w:spacing w:before="120" w:after="120" w:line="247" w:lineRule="auto"/>
        <w:jc w:val="both"/>
        <w:rPr>
          <w:rFonts w:ascii="Times New Roman" w:hAnsi="Times New Roman"/>
          <w:noProof/>
          <w:sz w:val="24"/>
          <w:szCs w:val="24"/>
        </w:rPr>
      </w:pPr>
      <w:r>
        <w:rPr>
          <w:rFonts w:ascii="Times New Roman" w:hAnsi="Times New Roman"/>
          <w:noProof/>
          <w:sz w:val="24"/>
          <w:szCs w:val="24"/>
        </w:rPr>
        <w:t xml:space="preserve">The objectives of the programme remain largely valid even though achieving a single set of international accounting standards does not seem achievable anymore in the short and middle term. However, the Commission Services assess that securing the international acceptance of IFRS Standards remains beneficial for entities that wish to raise capital in foreign jurisdictions or that have significant cross-border activities. In addition, the need to improve the allocational efficiency of capital markets toward financing sustainable growth highlights that the long-term financing of EFRAG should be secured in order to allow it to carry out sustainability assessments of IFRS standards and foster best practices in the area of corporate reporting and extra-financial information. </w:t>
      </w:r>
    </w:p>
    <w:p>
      <w:pPr>
        <w:spacing w:before="120" w:after="120" w:line="247" w:lineRule="auto"/>
        <w:contextualSpacing/>
        <w:jc w:val="both"/>
        <w:rPr>
          <w:rFonts w:ascii="Times New Roman" w:eastAsia="Times New Roman" w:hAnsi="Times New Roman"/>
          <w:i/>
          <w:noProof/>
          <w:color w:val="000000"/>
          <w:sz w:val="24"/>
          <w:lang w:val="en-IE" w:eastAsia="fr-BE"/>
        </w:rPr>
      </w:pPr>
      <w:r>
        <w:rPr>
          <w:rFonts w:ascii="Times New Roman" w:eastAsia="Times New Roman" w:hAnsi="Times New Roman"/>
          <w:i/>
          <w:noProof/>
          <w:color w:val="000000"/>
          <w:sz w:val="24"/>
          <w:lang w:val="en-IE" w:eastAsia="fr-BE"/>
        </w:rPr>
        <w:t>Ensuring comparability and transparency of company accounts throughout the Union;</w:t>
      </w:r>
    </w:p>
    <w:p>
      <w:pPr>
        <w:spacing w:before="240"/>
        <w:jc w:val="both"/>
        <w:rPr>
          <w:rFonts w:ascii="Times New Roman" w:hAnsi="Times New Roman"/>
          <w:noProof/>
          <w:sz w:val="24"/>
          <w:szCs w:val="24"/>
          <w:lang w:eastAsia="en-GB"/>
        </w:rPr>
      </w:pPr>
      <w:r>
        <w:rPr>
          <w:rFonts w:ascii="Times New Roman" w:hAnsi="Times New Roman"/>
          <w:noProof/>
          <w:sz w:val="24"/>
          <w:szCs w:val="24"/>
          <w:lang w:eastAsia="en-GB"/>
        </w:rPr>
        <w:t>The relevance of the funding programme primarily stems from the IAS Regulation adopted in 2002 as part of the EU Financial Reporting Strategy. The 2000 Communication from the Commission to the Council and the European Parliament</w:t>
      </w:r>
      <w:r>
        <w:rPr>
          <w:rStyle w:val="FootnoteReference"/>
          <w:rFonts w:ascii="Times New Roman" w:hAnsi="Times New Roman"/>
          <w:noProof/>
          <w:sz w:val="24"/>
          <w:szCs w:val="24"/>
          <w:lang w:eastAsia="en-GB"/>
        </w:rPr>
        <w:footnoteReference w:id="26"/>
      </w:r>
      <w:r>
        <w:rPr>
          <w:rFonts w:ascii="Times New Roman" w:hAnsi="Times New Roman"/>
          <w:noProof/>
          <w:sz w:val="24"/>
          <w:szCs w:val="24"/>
          <w:lang w:eastAsia="en-GB"/>
        </w:rPr>
        <w:t xml:space="preserve"> highlighted that the existing Accounting Directives did not meet the needs of companies that wish to raise capital on pan-European or international securities markets because of the diversity of accounting approaches as a result of the optionalities embedded in the Accounting Directives as well as of different levels of enforcement throughout the EU.</w:t>
      </w:r>
    </w:p>
    <w:p>
      <w:pPr>
        <w:spacing w:before="120" w:after="120" w:line="247"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In that regard, the 2015 evaluation of the Regulation 1606/2002 (‘IAS Regulation’), highlighted that IFRS have made EU capital markets more efficient by making companies' financial statements more transparent and easier to compare. Furthermore, since 2013 the Accounting Directives have not been amended whereas under the IAS Regulation the EU adopted the new IFRS standards IFRS 15 </w:t>
      </w:r>
      <w:r>
        <w:rPr>
          <w:rFonts w:ascii="Times New Roman" w:hAnsi="Times New Roman"/>
          <w:i/>
          <w:noProof/>
          <w:sz w:val="24"/>
          <w:szCs w:val="24"/>
          <w:lang w:eastAsia="en-GB"/>
        </w:rPr>
        <w:t>Revenue from contracts with customers</w:t>
      </w:r>
      <w:r>
        <w:rPr>
          <w:rFonts w:ascii="Times New Roman" w:hAnsi="Times New Roman"/>
          <w:noProof/>
          <w:sz w:val="24"/>
          <w:szCs w:val="24"/>
          <w:lang w:eastAsia="en-GB"/>
        </w:rPr>
        <w:t xml:space="preserve">, IFRS 9 </w:t>
      </w:r>
      <w:r>
        <w:rPr>
          <w:rFonts w:ascii="Times New Roman" w:hAnsi="Times New Roman"/>
          <w:i/>
          <w:noProof/>
          <w:sz w:val="24"/>
          <w:szCs w:val="24"/>
          <w:lang w:eastAsia="en-GB"/>
        </w:rPr>
        <w:t>Financial instruments</w:t>
      </w:r>
      <w:r>
        <w:rPr>
          <w:rFonts w:ascii="Times New Roman" w:hAnsi="Times New Roman"/>
          <w:noProof/>
          <w:sz w:val="24"/>
          <w:szCs w:val="24"/>
          <w:lang w:eastAsia="en-GB"/>
        </w:rPr>
        <w:t xml:space="preserve"> and IFRS 16 </w:t>
      </w:r>
      <w:r>
        <w:rPr>
          <w:rFonts w:ascii="Times New Roman" w:hAnsi="Times New Roman"/>
          <w:i/>
          <w:noProof/>
          <w:sz w:val="24"/>
          <w:szCs w:val="24"/>
          <w:lang w:eastAsia="en-GB"/>
        </w:rPr>
        <w:t>Leases</w:t>
      </w:r>
      <w:r>
        <w:rPr>
          <w:rFonts w:ascii="Times New Roman" w:hAnsi="Times New Roman"/>
          <w:noProof/>
          <w:sz w:val="24"/>
          <w:szCs w:val="24"/>
          <w:lang w:eastAsia="en-GB"/>
        </w:rPr>
        <w:t xml:space="preserve">. As a consequence, the relevance of IFRS standard as a single set of accounting standard for entities listed on a regulated market has further increased as compared to the Accounting Directives. The Commission services therefore asses that the objectives of the European funding program remain valid. </w:t>
      </w:r>
    </w:p>
    <w:p>
      <w:pPr>
        <w:spacing w:before="120" w:after="120" w:line="247" w:lineRule="auto"/>
        <w:jc w:val="both"/>
        <w:rPr>
          <w:rFonts w:ascii="Times New Roman" w:eastAsia="Times New Roman" w:hAnsi="Times New Roman"/>
          <w:i/>
          <w:noProof/>
          <w:color w:val="000000"/>
          <w:sz w:val="24"/>
          <w:lang w:val="en-IE" w:eastAsia="fr-BE"/>
        </w:rPr>
      </w:pPr>
      <w:r>
        <w:rPr>
          <w:rFonts w:ascii="Times New Roman" w:eastAsia="Times New Roman" w:hAnsi="Times New Roman"/>
          <w:i/>
          <w:noProof/>
          <w:color w:val="000000"/>
          <w:sz w:val="24"/>
          <w:lang w:val="en-IE" w:eastAsia="fr-BE"/>
        </w:rPr>
        <w:t>Fostering the convergence of accounting standards used internationally with the ultimate objective of achieving a single set of accounting standards</w:t>
      </w:r>
    </w:p>
    <w:p>
      <w:pPr>
        <w:snapToGrid w:val="0"/>
        <w:spacing w:before="120" w:after="120" w:line="247" w:lineRule="auto"/>
        <w:jc w:val="both"/>
        <w:rPr>
          <w:rFonts w:ascii="Times New Roman" w:eastAsia="Times New Roman" w:hAnsi="Times New Roman"/>
          <w:noProof/>
          <w:color w:val="000000"/>
          <w:sz w:val="24"/>
          <w:lang w:val="en-IE" w:eastAsia="fr-BE"/>
        </w:rPr>
      </w:pPr>
      <w:r>
        <w:rPr>
          <w:rFonts w:ascii="Times New Roman" w:eastAsia="Times New Roman" w:hAnsi="Times New Roman"/>
          <w:noProof/>
          <w:color w:val="000000"/>
          <w:sz w:val="24"/>
          <w:lang w:val="en-IE" w:eastAsia="fr-BE"/>
        </w:rPr>
        <w:t>Considering the limitations outlined in the previous section about effectiveness and especially the discontinuation of the joint standard setting programme between the International Accounting Standard Board and the US Financial Accounting Standard Board, the objectives of achieving a single set of international accounting standards does not seem achievable in the foreseeable future. However, in 2016, the United States Securities and Exchange Commission allowed around 525 foreign issuers (of which around 125 EU issuers</w:t>
      </w:r>
      <w:r>
        <w:rPr>
          <w:rStyle w:val="FootnoteReference"/>
          <w:rFonts w:ascii="Times New Roman" w:eastAsia="Times New Roman" w:hAnsi="Times New Roman"/>
          <w:noProof/>
          <w:color w:val="000000"/>
          <w:sz w:val="24"/>
          <w:lang w:val="en-IE" w:eastAsia="fr-BE"/>
        </w:rPr>
        <w:footnoteReference w:id="27"/>
      </w:r>
      <w:r>
        <w:rPr>
          <w:rFonts w:ascii="Times New Roman" w:eastAsia="Times New Roman" w:hAnsi="Times New Roman"/>
          <w:noProof/>
          <w:color w:val="000000"/>
          <w:sz w:val="24"/>
          <w:lang w:val="en-IE" w:eastAsia="fr-BE"/>
        </w:rPr>
        <w:t xml:space="preserve">) to file annual financial statements prepared in accordance with IFRS, which contributes to the international acceptance of IFRS in other jurisdictions. Furthermore, the objective of fostering the convergence of accounting standards remains relevant for jurisdictions that have chosen to substantially converge their national accounting standards with IFRS such as the People’s Republic of China. </w:t>
      </w:r>
    </w:p>
    <w:p>
      <w:pPr>
        <w:snapToGrid w:val="0"/>
        <w:spacing w:before="120" w:after="120" w:line="247" w:lineRule="auto"/>
        <w:jc w:val="both"/>
        <w:rPr>
          <w:rFonts w:ascii="Times New Roman" w:eastAsia="Times New Roman" w:hAnsi="Times New Roman"/>
          <w:noProof/>
          <w:color w:val="000000"/>
          <w:sz w:val="24"/>
          <w:lang w:val="en-IE" w:eastAsia="fr-BE"/>
        </w:rPr>
      </w:pPr>
      <w:r>
        <w:rPr>
          <w:rFonts w:ascii="Times New Roman" w:eastAsia="Times New Roman" w:hAnsi="Times New Roman"/>
          <w:noProof/>
          <w:color w:val="000000"/>
          <w:sz w:val="24"/>
          <w:lang w:val="en-IE" w:eastAsia="fr-BE"/>
        </w:rPr>
        <w:t>Accordingly, the Commission Services acknowledge that further progress in the use of IFRS is unlikely in the short term. Securing the international acceptance of IFRS though remains beneficial for EU companies that wish to raise capital in foreign jurisdictions or with significant foreign operations in jurisdictions that require or authorize the use of IFRS.</w:t>
      </w:r>
    </w:p>
    <w:p>
      <w:pPr>
        <w:snapToGrid w:val="0"/>
        <w:spacing w:before="120" w:after="120" w:line="247" w:lineRule="auto"/>
        <w:jc w:val="both"/>
        <w:rPr>
          <w:rFonts w:ascii="Times New Roman" w:eastAsia="Times New Roman" w:hAnsi="Times New Roman"/>
          <w:i/>
          <w:noProof/>
          <w:color w:val="000000"/>
          <w:sz w:val="24"/>
          <w:lang w:val="en-IE" w:eastAsia="fr-BE"/>
        </w:rPr>
      </w:pPr>
      <w:r>
        <w:rPr>
          <w:rFonts w:ascii="Times New Roman" w:eastAsia="Times New Roman" w:hAnsi="Times New Roman"/>
          <w:i/>
          <w:noProof/>
          <w:color w:val="000000"/>
          <w:sz w:val="24"/>
          <w:lang w:val="en-IE" w:eastAsia="fr-BE"/>
        </w:rPr>
        <w:t xml:space="preserve">Ensuring that the interests of the Union are adequately taken into account in the international standard-setting process. </w:t>
      </w:r>
    </w:p>
    <w:p>
      <w:pPr>
        <w:snapToGrid w:val="0"/>
        <w:spacing w:before="120" w:after="120" w:line="247" w:lineRule="auto"/>
        <w:jc w:val="both"/>
        <w:rPr>
          <w:rFonts w:ascii="Times New Roman" w:hAnsi="Times New Roman"/>
          <w:noProof/>
          <w:sz w:val="24"/>
          <w:szCs w:val="24"/>
          <w:lang w:eastAsia="en-GB"/>
        </w:rPr>
      </w:pPr>
      <w:r>
        <w:rPr>
          <w:rFonts w:ascii="Times New Roman" w:eastAsia="Times New Roman" w:hAnsi="Times New Roman"/>
          <w:noProof/>
          <w:color w:val="000000"/>
          <w:sz w:val="24"/>
          <w:lang w:val="en-IE" w:eastAsia="fr-BE"/>
        </w:rPr>
        <w:t>This policy objective directly stems from the choice to delegate the responsibility for setting financial reporting requirements to an independent non-governmental organization without direct accountability toward the European Union. The IFRS Foundation’s governance relies on a strict apportionment of the membership of the Board of Trustees and the International Accounting Standard Board based on geographical criteria. In 2015, the Foundation carried out a public consultation about</w:t>
      </w:r>
      <w:r>
        <w:rPr>
          <w:rFonts w:ascii="Times New Roman" w:hAnsi="Times New Roman"/>
          <w:noProof/>
          <w:sz w:val="24"/>
          <w:szCs w:val="24"/>
          <w:lang w:eastAsia="en-GB"/>
        </w:rPr>
        <w:t xml:space="preserve"> the geographical distribution of its governance. Some stakeholders including the European Commission argued that membership should reflect the commitment to adopt IFRS and the relative share in the funding contribution to the Foundation. However, the Foundation reaffirmed that membership should be representative of the world's capital markets and subject to geographical balance requirements to maintain equivalent representation between Asia-Oceania, Europe and America.</w:t>
      </w:r>
    </w:p>
    <w:p>
      <w:pPr>
        <w:spacing w:before="120" w:after="120" w:line="247" w:lineRule="auto"/>
        <w:contextualSpacing/>
        <w:jc w:val="both"/>
        <w:rPr>
          <w:rFonts w:ascii="Times New Roman" w:eastAsia="Times New Roman" w:hAnsi="Times New Roman"/>
          <w:noProof/>
          <w:color w:val="000000"/>
          <w:sz w:val="24"/>
          <w:lang w:val="en-IE" w:eastAsia="fr-BE"/>
        </w:rPr>
      </w:pPr>
      <w:r>
        <w:rPr>
          <w:rFonts w:ascii="Times New Roman" w:eastAsia="Times New Roman" w:hAnsi="Times New Roman"/>
          <w:noProof/>
          <w:color w:val="000000"/>
          <w:sz w:val="24"/>
          <w:lang w:val="en-IE" w:eastAsia="fr-BE"/>
        </w:rPr>
        <w:t xml:space="preserve">As a consequence, considering the lack of progress towards establishing a governance structure reflecting the actual use of IFRS by jurisdictions and their contributions to the funding of the Foundation, the Commission Services assess that the policy objective to secure a more appropriate oversight of the activities of the Foundation remains essential both before adoption and throughout the standard setting process. This especially implies that the EFRAG’s mandate, to influence upstream the debate on International Financial Reporting Standards remains a cornerstone of the programme with a view to contributing to evidence-based standard-setting through quantitative impact assessments. </w:t>
      </w:r>
    </w:p>
    <w:p>
      <w:pPr>
        <w:spacing w:before="120" w:after="120" w:line="247" w:lineRule="auto"/>
        <w:contextualSpacing/>
        <w:jc w:val="both"/>
        <w:rPr>
          <w:rFonts w:ascii="Times New Roman" w:eastAsia="Times New Roman" w:hAnsi="Times New Roman"/>
          <w:noProof/>
          <w:color w:val="000000"/>
          <w:sz w:val="24"/>
          <w:lang w:val="en-IE" w:eastAsia="fr-BE"/>
        </w:rPr>
      </w:pPr>
    </w:p>
    <w:p>
      <w:pPr>
        <w:snapToGrid w:val="0"/>
        <w:spacing w:before="120" w:after="120" w:line="247" w:lineRule="auto"/>
        <w:jc w:val="both"/>
        <w:rPr>
          <w:rFonts w:ascii="Times New Roman" w:eastAsia="Times New Roman" w:hAnsi="Times New Roman"/>
          <w:i/>
          <w:noProof/>
          <w:color w:val="000000"/>
          <w:sz w:val="24"/>
          <w:lang w:val="en-IE" w:eastAsia="fr-BE"/>
        </w:rPr>
      </w:pPr>
      <w:r>
        <w:rPr>
          <w:rFonts w:ascii="Times New Roman" w:eastAsia="Times New Roman" w:hAnsi="Times New Roman"/>
          <w:i/>
          <w:noProof/>
          <w:color w:val="000000"/>
          <w:sz w:val="24"/>
          <w:lang w:val="en-IE" w:eastAsia="fr-BE"/>
        </w:rPr>
        <w:t>Increase the financial independence of the beneficiaries from the private sector and ad hoc sources, thereby raising their capacity and credibility.</w:t>
      </w:r>
    </w:p>
    <w:p>
      <w:pPr>
        <w:snapToGrid w:val="0"/>
        <w:spacing w:before="120" w:after="120" w:line="247" w:lineRule="auto"/>
        <w:jc w:val="both"/>
        <w:rPr>
          <w:rFonts w:ascii="Times New Roman" w:eastAsia="Times New Roman" w:hAnsi="Times New Roman"/>
          <w:noProof/>
          <w:color w:val="000000"/>
          <w:sz w:val="24"/>
          <w:lang w:val="en-IE" w:eastAsia="fr-BE"/>
        </w:rPr>
      </w:pPr>
      <w:r>
        <w:rPr>
          <w:rFonts w:ascii="Times New Roman" w:eastAsia="Times New Roman" w:hAnsi="Times New Roman"/>
          <w:noProof/>
          <w:color w:val="000000"/>
          <w:sz w:val="24"/>
          <w:lang w:val="en-IE" w:eastAsia="fr-BE"/>
        </w:rPr>
        <w:t>Over the period covered by the assessment, the IFRS Foundation constantly reported profits and accumulated reserves sufficient to cover fifteen months of operating expenses</w:t>
      </w:r>
      <w:r>
        <w:rPr>
          <w:rStyle w:val="FootnoteReference"/>
          <w:rFonts w:ascii="Times New Roman" w:eastAsia="Times New Roman" w:hAnsi="Times New Roman"/>
          <w:noProof/>
          <w:color w:val="000000"/>
          <w:sz w:val="24"/>
          <w:lang w:val="en-IE" w:eastAsia="fr-BE"/>
        </w:rPr>
        <w:footnoteReference w:id="28"/>
      </w:r>
      <w:r>
        <w:rPr>
          <w:rFonts w:ascii="Times New Roman" w:eastAsia="Times New Roman" w:hAnsi="Times New Roman"/>
          <w:noProof/>
          <w:color w:val="000000"/>
          <w:sz w:val="24"/>
          <w:lang w:val="en-IE" w:eastAsia="fr-BE"/>
        </w:rPr>
        <w:t>. It also increased its recurring self-generated revenues from licensing agreements. However, the Trustees of the IFRS Foundation were unsuccessful in implementing a stable contribution scheme based on the gross domestic product of jurisdictions. As a consequence, the majority of the Foundation’s funding continues to rely on voluntary annual funding. Furthermore, over the period the US Securities Exchange Commission discontinued its financial support to the Foundation, thus increasing the relative share of funding from international accounting networks, which made up almost one third of the Foundation’s total funding from 2015 to 2017 and 24% in 2018</w:t>
      </w:r>
      <w:r>
        <w:rPr>
          <w:rStyle w:val="FootnoteReference"/>
          <w:rFonts w:ascii="Times New Roman" w:eastAsia="Times New Roman" w:hAnsi="Times New Roman"/>
          <w:noProof/>
          <w:color w:val="000000"/>
          <w:sz w:val="24"/>
          <w:lang w:val="en-IE" w:eastAsia="fr-BE"/>
        </w:rPr>
        <w:footnoteReference w:id="29"/>
      </w:r>
      <w:r>
        <w:rPr>
          <w:rFonts w:ascii="Times New Roman" w:eastAsia="Times New Roman" w:hAnsi="Times New Roman"/>
          <w:noProof/>
          <w:color w:val="000000"/>
          <w:sz w:val="24"/>
          <w:lang w:val="en-IE" w:eastAsia="fr-BE"/>
        </w:rPr>
        <w:t>.</w:t>
      </w:r>
    </w:p>
    <w:p>
      <w:pPr>
        <w:snapToGrid w:val="0"/>
        <w:spacing w:before="120" w:after="120" w:line="247" w:lineRule="auto"/>
        <w:jc w:val="both"/>
        <w:rPr>
          <w:rFonts w:ascii="Times New Roman" w:eastAsia="Times New Roman" w:hAnsi="Times New Roman"/>
          <w:noProof/>
          <w:color w:val="000000"/>
          <w:sz w:val="24"/>
          <w:lang w:val="en-IE" w:eastAsia="fr-BE"/>
        </w:rPr>
      </w:pPr>
      <w:r>
        <w:rPr>
          <w:rFonts w:ascii="Times New Roman" w:eastAsia="Times New Roman" w:hAnsi="Times New Roman"/>
          <w:noProof/>
          <w:color w:val="000000"/>
          <w:sz w:val="24"/>
          <w:lang w:val="en-IE" w:eastAsia="fr-BE"/>
        </w:rPr>
        <w:t>With regard to EFRAG, the diversification of its funding and its governance structure resulting from the Maystadt reform have increased the credibility of EFRAG as an organisation working in the European public interest. So far they had a positive impact on the way EFRAG influences IFRS. Today, its funding structure is mainly based on the EU and national organisations’ contributions representing 85% of its financial resources. However, with Brexit and the potential withdrawal</w:t>
      </w:r>
      <w:r>
        <w:rPr>
          <w:rFonts w:ascii="Times New Roman" w:hAnsi="Times New Roman"/>
          <w:noProof/>
          <w:sz w:val="24"/>
        </w:rPr>
        <w:t xml:space="preserve"> of </w:t>
      </w:r>
      <w:r>
        <w:rPr>
          <w:rFonts w:ascii="Times New Roman" w:eastAsia="Times New Roman" w:hAnsi="Times New Roman"/>
          <w:noProof/>
          <w:color w:val="000000"/>
          <w:sz w:val="24"/>
          <w:lang w:eastAsia="fr-BE"/>
        </w:rPr>
        <w:t>the UK regulator (FRC)</w:t>
      </w:r>
      <w:r>
        <w:rPr>
          <w:rFonts w:ascii="Times New Roman" w:eastAsia="Times New Roman" w:hAnsi="Times New Roman"/>
          <w:noProof/>
          <w:color w:val="000000"/>
          <w:sz w:val="24"/>
          <w:lang w:val="en-IE" w:eastAsia="fr-BE"/>
        </w:rPr>
        <w:t>, the financial independence of EFRAG will become more relevant to secure its capacity to carry out its mandate.</w:t>
      </w:r>
    </w:p>
    <w:p>
      <w:pPr>
        <w:snapToGrid w:val="0"/>
        <w:spacing w:before="120" w:after="120" w:line="247" w:lineRule="auto"/>
        <w:jc w:val="both"/>
        <w:rPr>
          <w:rFonts w:ascii="Times New Roman" w:hAnsi="Times New Roman"/>
          <w:noProof/>
          <w:sz w:val="24"/>
          <w:szCs w:val="24"/>
          <w:lang w:eastAsia="en-GB"/>
        </w:rPr>
      </w:pPr>
      <w:r>
        <w:rPr>
          <w:rFonts w:ascii="Times New Roman" w:hAnsi="Times New Roman"/>
          <w:noProof/>
          <w:sz w:val="24"/>
          <w:szCs w:val="24"/>
          <w:lang w:eastAsia="en-GB"/>
        </w:rPr>
        <w:t>As regards the PIOB, there is a diversification of funding sources, with a substantial contribution from IFAC but below the two-thirds threshold, as stipulated in the Regulation.</w:t>
      </w:r>
    </w:p>
    <w:p>
      <w:pPr>
        <w:snapToGrid w:val="0"/>
        <w:spacing w:before="120" w:after="120" w:line="247" w:lineRule="auto"/>
        <w:jc w:val="both"/>
        <w:rPr>
          <w:rFonts w:ascii="Times New Roman" w:eastAsia="Times New Roman" w:hAnsi="Times New Roman"/>
          <w:i/>
          <w:noProof/>
          <w:color w:val="000000"/>
          <w:sz w:val="24"/>
          <w:lang w:val="en-IE" w:eastAsia="fr-BE"/>
        </w:rPr>
      </w:pPr>
      <w:r>
        <w:rPr>
          <w:rFonts w:ascii="Times New Roman" w:hAnsi="Times New Roman"/>
          <w:noProof/>
          <w:sz w:val="24"/>
          <w:szCs w:val="24"/>
          <w:lang w:eastAsia="en-GB"/>
        </w:rPr>
        <w:t>As a consequence, overall the Commission services assess that securing the financial independence of the beneficiaries remain a relevant objective.</w:t>
      </w:r>
    </w:p>
    <w:p>
      <w:pPr>
        <w:spacing w:before="120" w:after="120" w:line="247" w:lineRule="auto"/>
        <w:jc w:val="both"/>
        <w:rPr>
          <w:rFonts w:ascii="Times New Roman" w:eastAsia="Times New Roman" w:hAnsi="Times New Roman"/>
          <w:noProof/>
          <w:color w:val="000000"/>
          <w:sz w:val="24"/>
          <w:lang w:val="en-IE" w:eastAsia="fr-BE"/>
        </w:rPr>
      </w:pPr>
      <w:r>
        <w:rPr>
          <w:rFonts w:ascii="Times New Roman" w:eastAsia="Times New Roman" w:hAnsi="Times New Roman"/>
          <w:i/>
          <w:noProof/>
          <w:color w:val="000000"/>
          <w:sz w:val="24"/>
          <w:lang w:val="en-IE" w:eastAsia="fr-BE"/>
        </w:rPr>
        <w:t>Oversee the process leading to the adoption of International Standards on Auditing and other public interest activities of the International Federation of Accountants</w:t>
      </w:r>
      <w:r>
        <w:rPr>
          <w:rFonts w:ascii="Times New Roman" w:eastAsia="Times New Roman" w:hAnsi="Times New Roman"/>
          <w:noProof/>
          <w:color w:val="000000"/>
          <w:sz w:val="24"/>
          <w:lang w:val="en-IE" w:eastAsia="fr-BE"/>
        </w:rPr>
        <w:t>.</w:t>
      </w:r>
    </w:p>
    <w:p>
      <w:pPr>
        <w:rPr>
          <w:rFonts w:ascii="Times New Roman" w:hAnsi="Times New Roman"/>
          <w:noProof/>
          <w:sz w:val="24"/>
          <w:szCs w:val="24"/>
          <w:lang w:eastAsia="en-GB"/>
        </w:rPr>
      </w:pPr>
      <w:r>
        <w:rPr>
          <w:rFonts w:ascii="Times New Roman" w:hAnsi="Times New Roman"/>
          <w:noProof/>
          <w:sz w:val="24"/>
          <w:szCs w:val="24"/>
          <w:lang w:eastAsia="en-GB"/>
        </w:rPr>
        <w:t xml:space="preserve">The PIOB is responsible for monitoring the due process of the international standard setting process in the areas of audit and assurance, education, and ethics. </w:t>
      </w:r>
    </w:p>
    <w:p>
      <w:pPr>
        <w:jc w:val="both"/>
        <w:rPr>
          <w:rFonts w:ascii="Times New Roman" w:hAnsi="Times New Roman"/>
          <w:noProof/>
          <w:sz w:val="24"/>
          <w:szCs w:val="24"/>
          <w:lang w:eastAsia="en-GB"/>
        </w:rPr>
      </w:pPr>
      <w:r>
        <w:rPr>
          <w:rFonts w:ascii="Times New Roman" w:hAnsi="Times New Roman"/>
          <w:noProof/>
          <w:sz w:val="24"/>
          <w:szCs w:val="24"/>
          <w:lang w:eastAsia="en-GB"/>
        </w:rPr>
        <w:t xml:space="preserve">The ISAs are - directly or indirectly - used in all EU Member States. A well-functioning PIOB is needed to oversee the standard setting boards in order to ensure that new or amended standards are developed in the public interest i.e. responsive to stakeholder needs, accountable and transparent as well as aligning the priorities of the audit profession with those of all stakeholders (including investors and other users of financial statements). </w:t>
      </w:r>
    </w:p>
    <w:p>
      <w:pPr>
        <w:spacing w:before="120" w:after="120" w:line="247" w:lineRule="auto"/>
        <w:contextualSpacing/>
        <w:jc w:val="both"/>
        <w:rPr>
          <w:rFonts w:ascii="Times New Roman" w:eastAsia="Times New Roman" w:hAnsi="Times New Roman"/>
          <w:i/>
          <w:noProof/>
          <w:color w:val="000000"/>
          <w:sz w:val="24"/>
          <w:lang w:val="en-IE" w:eastAsia="fr-BE"/>
        </w:rPr>
      </w:pPr>
      <w:r>
        <w:rPr>
          <w:rFonts w:ascii="Times New Roman" w:eastAsia="Times New Roman" w:hAnsi="Times New Roman"/>
          <w:i/>
          <w:noProof/>
          <w:color w:val="000000"/>
          <w:sz w:val="24"/>
          <w:lang w:val="en-IE" w:eastAsia="fr-BE"/>
        </w:rPr>
        <w:t>Foster transparency and the involvement of stakeholders in the standard setting and endorsement process.</w:t>
      </w:r>
    </w:p>
    <w:p>
      <w:pPr>
        <w:spacing w:before="100" w:beforeAutospacing="1"/>
        <w:jc w:val="both"/>
        <w:rPr>
          <w:rFonts w:ascii="Times New Roman" w:hAnsi="Times New Roman"/>
          <w:noProof/>
          <w:sz w:val="24"/>
          <w:szCs w:val="24"/>
          <w:lang w:eastAsia="en-GB"/>
        </w:rPr>
      </w:pPr>
      <w:r>
        <w:rPr>
          <w:rFonts w:ascii="Times New Roman" w:hAnsi="Times New Roman"/>
          <w:noProof/>
          <w:sz w:val="24"/>
          <w:szCs w:val="24"/>
          <w:lang w:eastAsia="en-GB"/>
        </w:rPr>
        <w:t xml:space="preserve">The Commission Services assess that securing fair and transparent consultation of interested parties remains a cornerstone of the standard-setting and endorsement processes to ensure that the views from all European stakeholders are adequately taken into account at all stage of the beneficiaries’ due process. </w:t>
      </w:r>
    </w:p>
    <w:p>
      <w:pPr>
        <w:spacing w:before="100" w:beforeAutospacing="1"/>
        <w:jc w:val="both"/>
        <w:rPr>
          <w:rFonts w:ascii="Times New Roman" w:hAnsi="Times New Roman"/>
          <w:i/>
          <w:noProof/>
          <w:sz w:val="24"/>
          <w:szCs w:val="24"/>
          <w:lang w:val="en-IE" w:eastAsia="en-GB"/>
        </w:rPr>
      </w:pPr>
      <w:r>
        <w:rPr>
          <w:rFonts w:ascii="Times New Roman" w:hAnsi="Times New Roman"/>
          <w:i/>
          <w:noProof/>
          <w:sz w:val="24"/>
          <w:szCs w:val="24"/>
          <w:lang w:val="en-IE" w:eastAsia="en-GB"/>
        </w:rPr>
        <w:t xml:space="preserve">Have new needs arisen? </w:t>
      </w:r>
    </w:p>
    <w:p>
      <w:pPr>
        <w:spacing w:before="100" w:beforeAutospacing="1"/>
        <w:jc w:val="both"/>
        <w:rPr>
          <w:rFonts w:ascii="Times New Roman" w:hAnsi="Times New Roman"/>
          <w:noProof/>
          <w:sz w:val="24"/>
          <w:szCs w:val="24"/>
          <w:lang w:val="en-IE" w:eastAsia="en-GB"/>
        </w:rPr>
      </w:pPr>
      <w:r>
        <w:rPr>
          <w:rFonts w:ascii="Times New Roman" w:hAnsi="Times New Roman"/>
          <w:noProof/>
          <w:sz w:val="24"/>
          <w:szCs w:val="24"/>
          <w:lang w:val="en-IE" w:eastAsia="en-GB"/>
        </w:rPr>
        <w:t>The Commission Services identified two main new needs relevant to the Union Programme: the increasing demand for electronic access to financial information and the need to improve the allocational efficiency of capital markets toward financing sustainable growth.</w:t>
      </w:r>
    </w:p>
    <w:p>
      <w:pPr>
        <w:spacing w:before="100" w:beforeAutospacing="1"/>
        <w:jc w:val="both"/>
        <w:rPr>
          <w:rFonts w:ascii="Times New Roman" w:hAnsi="Times New Roman"/>
          <w:i/>
          <w:noProof/>
          <w:sz w:val="24"/>
          <w:szCs w:val="24"/>
          <w:lang w:val="en-IE" w:eastAsia="en-GB"/>
        </w:rPr>
      </w:pPr>
      <w:r>
        <w:rPr>
          <w:rFonts w:ascii="Times New Roman" w:hAnsi="Times New Roman"/>
          <w:i/>
          <w:noProof/>
          <w:sz w:val="24"/>
          <w:szCs w:val="24"/>
          <w:lang w:val="en-IE" w:eastAsia="en-GB"/>
        </w:rPr>
        <w:t>The demand for electronic access to financial information</w:t>
      </w:r>
    </w:p>
    <w:p>
      <w:pPr>
        <w:spacing w:before="100" w:beforeAutospacing="1"/>
        <w:jc w:val="both"/>
        <w:rPr>
          <w:rFonts w:ascii="Times New Roman" w:hAnsi="Times New Roman"/>
          <w:noProof/>
          <w:sz w:val="24"/>
          <w:szCs w:val="24"/>
          <w:lang w:val="en-IE" w:eastAsia="en-GB"/>
        </w:rPr>
      </w:pPr>
      <w:r>
        <w:rPr>
          <w:rFonts w:ascii="Times New Roman" w:hAnsi="Times New Roman"/>
          <w:noProof/>
          <w:sz w:val="24"/>
          <w:szCs w:val="24"/>
          <w:lang w:val="en-IE" w:eastAsia="en-GB"/>
        </w:rPr>
        <w:t>In 2013 the Transparency Directive was amended to require by 1 January 2020 the preparation of annual financial reports in a single electronic reporting format with a view to facilitating cross-border investment and allowing investors to easily access regulated information. The Regulatory Technical Standard on the European Single Electronic Format was adopted on 29 May 2019 by the European Commission and establishes that the taxonomy to be used to mark-up IFRS consolidated financial statements shall be an extension of the IFRS taxonomy maintained by the IFRS Foundation.</w:t>
      </w:r>
    </w:p>
    <w:p>
      <w:pPr>
        <w:snapToGrid w:val="0"/>
        <w:spacing w:before="240" w:after="120"/>
        <w:jc w:val="both"/>
        <w:rPr>
          <w:rFonts w:ascii="Times New Roman" w:hAnsi="Times New Roman"/>
          <w:noProof/>
          <w:sz w:val="24"/>
          <w:szCs w:val="24"/>
          <w:lang w:val="en-IE" w:eastAsia="en-GB"/>
        </w:rPr>
      </w:pPr>
      <w:r>
        <w:rPr>
          <w:rFonts w:ascii="Times New Roman" w:hAnsi="Times New Roman"/>
          <w:noProof/>
          <w:sz w:val="24"/>
          <w:szCs w:val="24"/>
          <w:lang w:val="en-IE" w:eastAsia="en-GB"/>
        </w:rPr>
        <w:t>The IFRS Taxonomy reflects the presentation and disclosure requirements of IFRS and is updated annually by the Foundation</w:t>
      </w:r>
      <w:r>
        <w:rPr>
          <w:noProof/>
        </w:rPr>
        <w:t xml:space="preserve">. </w:t>
      </w:r>
      <w:r>
        <w:rPr>
          <w:rFonts w:ascii="Times New Roman" w:hAnsi="Times New Roman"/>
          <w:noProof/>
          <w:sz w:val="24"/>
          <w:szCs w:val="24"/>
          <w:lang w:val="en-IE" w:eastAsia="en-GB"/>
        </w:rPr>
        <w:t>Following a public consultation run in 2015, the Trustees issued an annex to the Due Process Handbook of the Foundation in June 2016 in order to reflect the necessary maintenance of the IFRS taxonomy.</w:t>
      </w:r>
      <w:r>
        <w:rPr>
          <w:noProof/>
        </w:rPr>
        <w:t xml:space="preserve"> </w:t>
      </w:r>
      <w:r>
        <w:rPr>
          <w:rFonts w:ascii="Times New Roman" w:hAnsi="Times New Roman"/>
          <w:noProof/>
          <w:sz w:val="24"/>
          <w:szCs w:val="24"/>
          <w:lang w:val="en-IE" w:eastAsia="en-GB"/>
        </w:rPr>
        <w:t>It especially provides that updates of the taxonomy are carried out upon adoption of a new standard or amendment after a public consultation launched at the latest after the publication of the final standard.</w:t>
      </w:r>
    </w:p>
    <w:p>
      <w:pPr>
        <w:snapToGrid w:val="0"/>
        <w:spacing w:before="120" w:after="120"/>
        <w:jc w:val="both"/>
        <w:rPr>
          <w:rFonts w:ascii="Times New Roman" w:hAnsi="Times New Roman"/>
          <w:i/>
          <w:noProof/>
          <w:sz w:val="24"/>
          <w:szCs w:val="24"/>
          <w:lang w:val="en-IE" w:eastAsia="en-GB"/>
        </w:rPr>
      </w:pPr>
      <w:r>
        <w:rPr>
          <w:noProof/>
        </w:rPr>
        <w:t xml:space="preserve"> </w:t>
      </w:r>
      <w:r>
        <w:rPr>
          <w:rFonts w:ascii="Times New Roman" w:hAnsi="Times New Roman"/>
          <w:i/>
          <w:noProof/>
          <w:sz w:val="24"/>
          <w:szCs w:val="24"/>
          <w:lang w:val="en-IE" w:eastAsia="en-GB"/>
        </w:rPr>
        <w:t>Improving the allocational efficiency of capital markets toward financing sustainable growth</w:t>
      </w:r>
    </w:p>
    <w:p>
      <w:pPr>
        <w:spacing w:before="100" w:beforeAutospacing="1"/>
        <w:jc w:val="both"/>
        <w:rPr>
          <w:rFonts w:ascii="Times New Roman" w:hAnsi="Times New Roman"/>
          <w:noProof/>
          <w:sz w:val="24"/>
          <w:szCs w:val="24"/>
          <w:lang w:eastAsia="en-GB"/>
        </w:rPr>
      </w:pPr>
      <w:r>
        <w:rPr>
          <w:rFonts w:ascii="Times New Roman" w:hAnsi="Times New Roman"/>
          <w:noProof/>
          <w:sz w:val="24"/>
          <w:szCs w:val="24"/>
          <w:lang w:eastAsia="en-GB"/>
        </w:rPr>
        <w:t>Over the period considered by the assessment, the agreement on the UN Sustainable Development Goals (2015) and the Paris Agreement on climate change (2016) have put the transition to a sustainable economy high on the political agenda, and have contributed to a growing focus on the sustainability of businesses and investments. This has in turn put emphasis on improving corporate transparency on sustainability issue and raised new concerns about the impact of IFRS Standards. Especially, the 2018 report of the High Level Expert Group on financing a sustainable European economy highlighted that IFRS standards might not be conducive to long-term investment.</w:t>
      </w:r>
    </w:p>
    <w:p>
      <w:pPr>
        <w:jc w:val="both"/>
        <w:rPr>
          <w:rFonts w:ascii="Times New Roman" w:hAnsi="Times New Roman"/>
          <w:noProof/>
          <w:sz w:val="24"/>
          <w:szCs w:val="24"/>
          <w:lang w:eastAsia="en-GB"/>
        </w:rPr>
      </w:pPr>
      <w:r>
        <w:rPr>
          <w:rFonts w:ascii="Times New Roman" w:hAnsi="Times New Roman"/>
          <w:noProof/>
          <w:sz w:val="24"/>
          <w:szCs w:val="24"/>
          <w:lang w:eastAsia="en-GB"/>
        </w:rPr>
        <w:t>As a consequence, as part of its 2018 Action Plan on Financing Sustainable Growth, the European Commission asked EFRAG to consider possible improvements to the accounting treatment of long-term investments in equity instruments and committed itself, to request an assessment of the impact of new or revised IFRS standards on sustainable investments, where appropriate. This initiative aims at preventing IFRS accounting treatments contributing to disincentives to the allocation of long term funding needed for the transition to a sustainable economy.</w:t>
      </w:r>
    </w:p>
    <w:p>
      <w:pPr>
        <w:jc w:val="both"/>
        <w:rPr>
          <w:rFonts w:ascii="Times New Roman" w:hAnsi="Times New Roman"/>
          <w:noProof/>
          <w:sz w:val="24"/>
          <w:szCs w:val="24"/>
          <w:lang w:eastAsia="en-GB"/>
        </w:rPr>
      </w:pPr>
      <w:r>
        <w:rPr>
          <w:rFonts w:ascii="Times New Roman" w:hAnsi="Times New Roman"/>
          <w:noProof/>
          <w:sz w:val="24"/>
          <w:szCs w:val="24"/>
          <w:lang w:eastAsia="en-GB"/>
        </w:rPr>
        <w:t>In 2019 the IASB Chair highlighted that the IFRS Foundation was not equipped to enter the field of sustainability reporting and should focus on the financial information needs of investors. However he acknowledged that sustainability issues might have an impact on financial reporting and suggested that, when financially material, sustainability considerations might be addressed through an overhaul of the Management Commentary Practice Statement. The practice statement provides non-binding guidance about the background information within which to intepret financial statements. This especially includes insights into the company’s strategy and the progress made towards its implementation.</w:t>
      </w:r>
    </w:p>
    <w:p>
      <w:pPr>
        <w:jc w:val="both"/>
        <w:rPr>
          <w:rFonts w:ascii="Times New Roman" w:hAnsi="Times New Roman"/>
          <w:noProof/>
          <w:sz w:val="24"/>
          <w:szCs w:val="24"/>
          <w:lang w:eastAsia="en-GB"/>
        </w:rPr>
      </w:pPr>
      <w:r>
        <w:rPr>
          <w:rFonts w:ascii="Times New Roman" w:hAnsi="Times New Roman"/>
          <w:noProof/>
          <w:sz w:val="24"/>
          <w:szCs w:val="24"/>
          <w:lang w:eastAsia="en-GB"/>
        </w:rPr>
        <w:t xml:space="preserve">As a consequence, the decision from the IASB not to consider sustainability impacts in developing IFRS Standards implies that the scope of the endorsement activities carried out by EFRAG will widen in order to ensure that this dimension of the European Public Good is adequately safeguarded. In that regard, EFRAG already issued in 2018 two pieces of technical advice on possible improvements to the requirements of IFRS 9 </w:t>
      </w:r>
      <w:r>
        <w:rPr>
          <w:rFonts w:ascii="Times New Roman" w:hAnsi="Times New Roman"/>
          <w:i/>
          <w:noProof/>
          <w:sz w:val="24"/>
          <w:szCs w:val="24"/>
          <w:lang w:eastAsia="en-GB"/>
        </w:rPr>
        <w:t>Financial Instruments</w:t>
      </w:r>
      <w:r>
        <w:rPr>
          <w:rFonts w:ascii="Times New Roman" w:hAnsi="Times New Roman"/>
          <w:noProof/>
          <w:sz w:val="24"/>
          <w:szCs w:val="24"/>
          <w:lang w:eastAsia="en-GB"/>
        </w:rPr>
        <w:t xml:space="preserve"> for long term investments in equity instruments and will keep working on possible alternative accounting treatments to the fair value measurement of equity and equity like instruments in the future.</w:t>
      </w:r>
    </w:p>
    <w:p>
      <w:pPr>
        <w:jc w:val="both"/>
        <w:rPr>
          <w:rFonts w:ascii="Times New Roman" w:hAnsi="Times New Roman"/>
          <w:noProof/>
          <w:sz w:val="24"/>
          <w:szCs w:val="24"/>
          <w:lang w:eastAsia="en-GB"/>
        </w:rPr>
      </w:pPr>
      <w:r>
        <w:rPr>
          <w:rFonts w:ascii="Times New Roman" w:hAnsi="Times New Roman"/>
          <w:noProof/>
          <w:sz w:val="24"/>
          <w:szCs w:val="24"/>
          <w:lang w:eastAsia="en-GB"/>
        </w:rPr>
        <w:t>In addition, as the activities of EFRAG in relation to non-financial information reporting will represent a logical extension of its mandate in the future, they should have adequate funding.  Therefore, it will be worthwhile that the future Single Market Programme (SMP), which depends on the negotiations of the next MFF, encompasses flexible funding arrangements ensuring that these activities be also covered.</w:t>
      </w:r>
    </w:p>
    <w:p>
      <w:pPr>
        <w:pStyle w:val="ManualHeading1"/>
        <w:rPr>
          <w:noProof/>
        </w:rPr>
      </w:pPr>
      <w:r>
        <w:rPr>
          <w:noProof/>
        </w:rPr>
        <w:t>4.4.</w:t>
      </w:r>
      <w:r>
        <w:rPr>
          <w:noProof/>
        </w:rPr>
        <w:tab/>
        <w:t>To what extent the programme was consistent with other EU policies or are there inconsistencies between the activities undertaken by the beneficiaries (Coherence)?</w:t>
      </w:r>
    </w:p>
    <w:p>
      <w:pPr>
        <w:spacing w:before="200" w:after="0"/>
        <w:rPr>
          <w:rFonts w:ascii="Times New Roman" w:hAnsi="Times New Roman"/>
          <w:b/>
          <w:noProof/>
          <w:sz w:val="24"/>
          <w:szCs w:val="24"/>
          <w:lang w:eastAsia="en-GB"/>
        </w:rPr>
      </w:pPr>
      <w:r>
        <w:rPr>
          <w:rFonts w:ascii="Times New Roman" w:hAnsi="Times New Roman"/>
          <w:b/>
          <w:noProof/>
          <w:sz w:val="24"/>
          <w:szCs w:val="24"/>
          <w:lang w:eastAsia="en-GB"/>
        </w:rPr>
        <w:t>Key findings</w:t>
      </w:r>
    </w:p>
    <w:p>
      <w:pPr>
        <w:spacing w:before="100" w:beforeAutospacing="1"/>
        <w:jc w:val="both"/>
        <w:rPr>
          <w:rFonts w:ascii="Times New Roman" w:hAnsi="Times New Roman"/>
          <w:noProof/>
          <w:sz w:val="24"/>
          <w:szCs w:val="24"/>
          <w:lang w:eastAsia="en-GB"/>
        </w:rPr>
      </w:pPr>
      <w:r>
        <w:rPr>
          <w:rFonts w:ascii="Times New Roman" w:hAnsi="Times New Roman"/>
          <w:noProof/>
          <w:sz w:val="24"/>
          <w:szCs w:val="24"/>
          <w:lang w:eastAsia="en-GB"/>
        </w:rPr>
        <w:t xml:space="preserve">The activities of the beneficiaries are consistent and fully in line with the EU objective to strengthen the Capital Markets Union. </w:t>
      </w:r>
    </w:p>
    <w:p>
      <w:pPr>
        <w:jc w:val="both"/>
        <w:rPr>
          <w:rFonts w:ascii="Times New Roman" w:hAnsi="Times New Roman"/>
          <w:i/>
          <w:noProof/>
          <w:sz w:val="24"/>
          <w:szCs w:val="24"/>
          <w:lang w:eastAsia="en-GB"/>
        </w:rPr>
      </w:pPr>
      <w:r>
        <w:rPr>
          <w:rFonts w:ascii="Times New Roman" w:hAnsi="Times New Roman"/>
          <w:i/>
          <w:noProof/>
          <w:sz w:val="24"/>
          <w:szCs w:val="24"/>
          <w:lang w:eastAsia="en-GB"/>
        </w:rPr>
        <w:t>Consistency between the activities undertaken by the beneficiaries</w:t>
      </w:r>
    </w:p>
    <w:p>
      <w:pPr>
        <w:spacing w:before="100" w:beforeAutospacing="1"/>
        <w:jc w:val="both"/>
        <w:rPr>
          <w:rFonts w:ascii="Times New Roman" w:hAnsi="Times New Roman"/>
          <w:noProof/>
          <w:sz w:val="24"/>
          <w:szCs w:val="24"/>
          <w:lang w:eastAsia="en-GB"/>
        </w:rPr>
      </w:pPr>
      <w:r>
        <w:rPr>
          <w:rFonts w:ascii="Times New Roman" w:hAnsi="Times New Roman"/>
          <w:noProof/>
          <w:sz w:val="24"/>
          <w:szCs w:val="24"/>
          <w:lang w:eastAsia="en-GB"/>
        </w:rPr>
        <w:t>In the field of financial reporting, the EU Funding programme is designed to secure the promotion of a single set of international financial reporting standards and to safeguard the interests of European citizens and EU public policy objectives. The consistency between these two potentially contradictory objectives therefore relies on the ability of EFRAG to engage with the IASB as early as possible in the standard setting process in order to address the concerns from European stakeholders. In that regard, the report assesses that EFRAG has been successful in its mandate to timely influence the IASB ahead of the endorsement of a new standard. However, it also highlights that the mandate of EFRAG may become increasingly challenging in the future because the IASB does not explicitly consider sustainability issues in developing IFRS Standards and is not required to assess systematically the consequences of introducing a new accounting standard beyond the improvement to financial reporting and the likely costs of implementation.</w:t>
      </w:r>
    </w:p>
    <w:p>
      <w:pPr>
        <w:jc w:val="both"/>
        <w:rPr>
          <w:rFonts w:ascii="Times New Roman" w:hAnsi="Times New Roman"/>
          <w:noProof/>
          <w:sz w:val="24"/>
          <w:szCs w:val="24"/>
          <w:lang w:eastAsia="en-GB"/>
        </w:rPr>
      </w:pPr>
      <w:r>
        <w:rPr>
          <w:rFonts w:ascii="Times New Roman" w:hAnsi="Times New Roman"/>
          <w:noProof/>
          <w:sz w:val="24"/>
          <w:szCs w:val="24"/>
          <w:lang w:eastAsia="en-GB"/>
        </w:rPr>
        <w:t>Based on our analysis, adequate consideration should be given to the  difference in focus between the broader 'public good ' notion of the Union set out in the IAS Regulation and the narrower IASB focus of qualitative improvement of financial, especially against the broader objective of EU transition towards a more sustainable economy. This may warrant some additional flexibility in the endorsement procedure of IFRS Standards issued by the IASB by allowing in well-defined circumstances to amend specific provisions of a new standard or interpretation that would contradict the EU broader policy objectives.</w:t>
      </w:r>
    </w:p>
    <w:p>
      <w:pPr>
        <w:spacing w:before="100" w:beforeAutospacing="1"/>
        <w:jc w:val="both"/>
        <w:rPr>
          <w:rFonts w:ascii="Times New Roman" w:hAnsi="Times New Roman"/>
          <w:i/>
          <w:noProof/>
          <w:sz w:val="24"/>
          <w:szCs w:val="24"/>
          <w:lang w:eastAsia="en-GB"/>
        </w:rPr>
      </w:pPr>
      <w:r>
        <w:rPr>
          <w:rFonts w:ascii="Times New Roman" w:hAnsi="Times New Roman"/>
          <w:i/>
          <w:noProof/>
          <w:sz w:val="24"/>
          <w:szCs w:val="24"/>
          <w:lang w:eastAsia="en-GB"/>
        </w:rPr>
        <w:t>Consistency with other public policy objectives</w:t>
      </w:r>
    </w:p>
    <w:p>
      <w:pPr>
        <w:jc w:val="both"/>
        <w:rPr>
          <w:rFonts w:ascii="Times New Roman" w:hAnsi="Times New Roman"/>
          <w:noProof/>
          <w:sz w:val="24"/>
          <w:szCs w:val="24"/>
          <w:lang w:eastAsia="en-GB"/>
        </w:rPr>
      </w:pPr>
      <w:r>
        <w:rPr>
          <w:rFonts w:ascii="Times New Roman" w:hAnsi="Times New Roman"/>
          <w:noProof/>
          <w:sz w:val="24"/>
          <w:szCs w:val="24"/>
          <w:lang w:eastAsia="en-GB"/>
        </w:rPr>
        <w:t>In the area of financial reporting, the Union programme is designed to complement the IAS Regulation and to ensure that new accounting standards issued by the IFRS Foundation meet the endorsement criteria before adoption by the European Union. As a consequence, it also indirectly contributes to the broader objectives of safeguarding the efficient and cost-effective functioning of the Union capital markets and reinforcing the freedom of movement of capital in the internal market. Furthermore, the analysis in the section on relevance highlights that the programme remains fully consistent with the architecture of the EU’s frameworks for public reporting by companies which is based on a fundamental differentiation between the requirements applicable to listed and non-listed entities. Actually achieving and maintaining a harmonized financial reporting framework for capital market oriented companies remains essential for the realisation of the integrated market for financial services in the context of the Capital Market Union.</w:t>
      </w:r>
    </w:p>
    <w:p>
      <w:pPr>
        <w:jc w:val="both"/>
        <w:rPr>
          <w:rFonts w:ascii="Times New Roman" w:hAnsi="Times New Roman"/>
          <w:noProof/>
          <w:sz w:val="24"/>
          <w:szCs w:val="24"/>
          <w:lang w:eastAsia="en-GB"/>
        </w:rPr>
      </w:pPr>
      <w:r>
        <w:rPr>
          <w:rFonts w:ascii="Times New Roman" w:hAnsi="Times New Roman"/>
          <w:noProof/>
          <w:sz w:val="24"/>
          <w:szCs w:val="24"/>
          <w:lang w:eastAsia="en-GB"/>
        </w:rPr>
        <w:t>The existence of an independent audit oversight body has given investors (and the public at large) comfort that auditing standards are of high quality and developed in the public interest. The EU grant is warranted by the wide use of the IAASB’s international standards of audit in EU Member States. However, despite some initial progress and improved diversity in funding of the PIOB, it is concerning that the number of other public sponsors has remained limited and more recently even slightly decreased. It therefore remains a challenge to secure a diversified funding model for the PIOB that can rely on funding not only from auditors, but also from users/investors, regulators and international organisations, in order to be sustainable in the medium-long term future. At the same time, without the continued help of the EU and other public sponsors, the PIOB would return to the situation before 2010, when it was financially completely dependent on IFAC. This would be a serious step back, undermine the credibility of the entire governance and oversight system and risks reduce public confidence in the IAASB’s auditing standards.</w:t>
      </w:r>
    </w:p>
    <w:p>
      <w:pPr>
        <w:jc w:val="both"/>
        <w:rPr>
          <w:rFonts w:ascii="Times New Roman" w:hAnsi="Times New Roman"/>
          <w:noProof/>
          <w:sz w:val="24"/>
          <w:szCs w:val="24"/>
          <w:lang w:eastAsia="en-GB"/>
        </w:rPr>
      </w:pPr>
    </w:p>
    <w:p>
      <w:pPr>
        <w:jc w:val="both"/>
        <w:rPr>
          <w:rFonts w:ascii="Times New Roman" w:eastAsia="Times New Roman" w:hAnsi="Times New Roman"/>
          <w:noProof/>
          <w:sz w:val="24"/>
          <w:szCs w:val="20"/>
          <w:lang w:eastAsia="en-GB"/>
        </w:rPr>
      </w:pPr>
    </w:p>
    <w:sectPr>
      <w:headerReference w:type="even" r:id="rId39"/>
      <w:headerReference w:type="default" r:id="rId40"/>
      <w:footerReference w:type="even" r:id="rId41"/>
      <w:footerReference w:type="default" r:id="rId42"/>
      <w:headerReference w:type="first" r:id="rId43"/>
      <w:footerReference w:type="first" r:id="rId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altName w:val="Calibri"/>
    <w:charset w:val="00"/>
    <w:family w:val="auto"/>
    <w:pitch w:val="variable"/>
    <w:sig w:usb0="800000E7" w:usb1="00000000" w:usb2="00000000" w:usb3="00000000" w:csb0="00000009"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45</w:t>
    </w:r>
    <w:r>
      <w:fldChar w:fldCharType="end"/>
    </w:r>
  </w:p>
  <w:p>
    <w:pPr>
      <w:pStyle w:val="Footer"/>
      <w:jc w:val="righ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45</w:t>
    </w:r>
    <w:r>
      <w:fldChar w:fldCharType="end"/>
    </w:r>
  </w:p>
  <w:p>
    <w:pPr>
      <w:pStyle w:val="Footer"/>
      <w:jc w:val="right"/>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1388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21</w:t>
    </w:r>
    <w:r>
      <w:fldChar w:fldCharType="end"/>
    </w:r>
  </w:p>
  <w:p>
    <w:pPr>
      <w:pStyle w:val="Footer"/>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1"/>
        <w:rPr>
          <w:lang w:val="en-GB"/>
        </w:rPr>
      </w:pPr>
      <w:r>
        <w:rPr>
          <w:rStyle w:val="FootnoteReference"/>
        </w:rPr>
        <w:footnoteRef/>
      </w:r>
      <w:r>
        <w:rPr>
          <w:lang w:val="en-GB"/>
        </w:rPr>
        <w:t xml:space="preserve"> OJ, L 105, 8.4.2014, p.1.</w:t>
      </w:r>
    </w:p>
  </w:footnote>
  <w:footnote w:id="3">
    <w:p>
      <w:pPr>
        <w:pStyle w:val="footnotetext1"/>
        <w:rPr>
          <w:lang w:val="en-GB"/>
        </w:rPr>
      </w:pPr>
      <w:r>
        <w:rPr>
          <w:rStyle w:val="FootnoteReference"/>
        </w:rPr>
        <w:footnoteRef/>
      </w:r>
      <w:r>
        <w:rPr>
          <w:lang w:val="en-GB"/>
        </w:rPr>
        <w:t xml:space="preserve"> OJ, L 129, 19.5.2017, p.24.</w:t>
      </w:r>
    </w:p>
  </w:footnote>
  <w:footnote w:id="4">
    <w:p>
      <w:pPr>
        <w:pStyle w:val="FootnoteText"/>
      </w:pPr>
      <w:r>
        <w:rPr>
          <w:rStyle w:val="FootnoteReference"/>
        </w:rPr>
        <w:footnoteRef/>
      </w:r>
      <w:r>
        <w:t xml:space="preserve"> A8-0172/2016 Report on International Accounting Standards (IAS) evaluation and the activities of the International Financial Reporting Standards (IFRS) Foundation, the European Financial Reporting Advisory Group (EFRAG) and the Public Interest Oversight Board (PIOB)</w:t>
      </w:r>
    </w:p>
  </w:footnote>
  <w:footnote w:id="5">
    <w:p>
      <w:pPr>
        <w:pStyle w:val="FootnoteText"/>
      </w:pPr>
      <w:r>
        <w:rPr>
          <w:rStyle w:val="FootnoteReference"/>
        </w:rPr>
        <w:footnoteRef/>
      </w:r>
      <w:r>
        <w:t xml:space="preserve"> </w:t>
      </w:r>
      <w:r>
        <w:rPr>
          <w:rFonts w:ascii="Times New Roman" w:hAnsi="Times New Roman"/>
          <w:noProof/>
          <w:sz w:val="24"/>
          <w:szCs w:val="24"/>
          <w:lang w:eastAsia="en-GB"/>
        </w:rPr>
        <w:t xml:space="preserve">The financing provided by the European Union also supports the timely update of the IFRS taxonomy which in turn serves as an input to the European Single Electronic Format.  </w:t>
      </w:r>
    </w:p>
  </w:footnote>
  <w:footnote w:id="6">
    <w:p>
      <w:pPr>
        <w:pStyle w:val="footnotetext1"/>
        <w:rPr>
          <w:lang w:val="en-GB"/>
        </w:rPr>
      </w:pPr>
      <w:r>
        <w:rPr>
          <w:rStyle w:val="FootnoteReference"/>
        </w:rPr>
        <w:footnoteRef/>
      </w:r>
      <w:r>
        <w:rPr>
          <w:lang w:val="en-GB"/>
        </w:rPr>
        <w:t xml:space="preserve">   Recital 7</w:t>
      </w:r>
    </w:p>
  </w:footnote>
  <w:footnote w:id="7">
    <w:p>
      <w:pPr>
        <w:pStyle w:val="FootnoteText"/>
      </w:pPr>
      <w:r>
        <w:rPr>
          <w:rStyle w:val="FootnoteReference"/>
        </w:rPr>
        <w:footnoteRef/>
      </w:r>
      <w:r>
        <w:t xml:space="preserve"> Proposal for a Directive of the European Parliament and of the Council amending Directive 2013/34/EU as regards disclosure of income tax information by certain undertakings and branches 2016/0107/COD</w:t>
      </w:r>
    </w:p>
  </w:footnote>
  <w:footnote w:id="8">
    <w:p>
      <w:pPr>
        <w:pStyle w:val="FootnoteText"/>
      </w:pPr>
      <w:r>
        <w:rPr>
          <w:rStyle w:val="FootnoteReference"/>
        </w:rPr>
        <w:footnoteRef/>
      </w:r>
      <w:r>
        <w:t xml:space="preserve"> Directive 2014/95/EU as regards disclosure of non-financial and diversity information by certain large undertakings and groups</w:t>
      </w:r>
    </w:p>
  </w:footnote>
  <w:footnote w:id="9">
    <w:p>
      <w:pPr>
        <w:pStyle w:val="FootnoteText"/>
      </w:pPr>
      <w:r>
        <w:rPr>
          <w:rStyle w:val="FootnoteReference"/>
        </w:rPr>
        <w:footnoteRef/>
      </w:r>
      <w:r>
        <w:t xml:space="preserve"> C/2017/4234</w:t>
      </w:r>
    </w:p>
  </w:footnote>
  <w:footnote w:id="10">
    <w:p>
      <w:pPr>
        <w:pStyle w:val="FootnoteText"/>
      </w:pPr>
      <w:r>
        <w:rPr>
          <w:rStyle w:val="FootnoteReference"/>
        </w:rPr>
        <w:footnoteRef/>
      </w:r>
      <w:r>
        <w:t xml:space="preserve"> C/2019/4490</w:t>
      </w:r>
    </w:p>
  </w:footnote>
  <w:footnote w:id="11">
    <w:p>
      <w:pPr>
        <w:pStyle w:val="FootnoteText"/>
      </w:pPr>
      <w:r>
        <w:rPr>
          <w:rStyle w:val="FootnoteReference"/>
        </w:rPr>
        <w:footnoteRef/>
      </w:r>
      <w:r>
        <w:t xml:space="preserve"> Since 2015 the Securities and Exchanges Commission does not contribute anymore to the funding of the IFRS Foundation. The funding from the United States only stems from voluntary contributions from private organizations.</w:t>
      </w:r>
    </w:p>
  </w:footnote>
  <w:footnote w:id="12">
    <w:p>
      <w:pPr>
        <w:pStyle w:val="FootnoteText"/>
      </w:pPr>
      <w:r>
        <w:rPr>
          <w:rStyle w:val="FootnoteReference"/>
        </w:rPr>
        <w:footnoteRef/>
      </w:r>
      <w:r>
        <w:t xml:space="preserve"> Should IFRS Standards be more “European”? Report by Philippe Maystadt – October 2013</w:t>
      </w:r>
    </w:p>
  </w:footnote>
  <w:footnote w:id="13">
    <w:p>
      <w:pPr>
        <w:pStyle w:val="FootnoteText"/>
      </w:pPr>
      <w:r>
        <w:rPr>
          <w:rStyle w:val="FootnoteReference"/>
        </w:rPr>
        <w:footnoteRef/>
      </w:r>
      <w:r>
        <w:t xml:space="preserve"> IFAC is the private body representing accountants and auditors worldwide.</w:t>
      </w:r>
    </w:p>
  </w:footnote>
  <w:footnote w:id="14">
    <w:p>
      <w:pPr>
        <w:pStyle w:val="FootnoteText"/>
        <w:rPr>
          <w:rStyle w:val="Hyperlink"/>
          <w:rFonts w:cs="Arial"/>
        </w:rPr>
      </w:pPr>
      <w:r>
        <w:rPr>
          <w:rStyle w:val="FootnoteReference"/>
        </w:rPr>
        <w:footnoteRef/>
      </w:r>
      <w:r>
        <w:t xml:space="preserve">  14th PIOB Public Report  approved in 2018:</w:t>
      </w:r>
      <w:r>
        <w:br/>
      </w:r>
      <w:hyperlink r:id="rId1" w:history="1">
        <w:r>
          <w:rPr>
            <w:rStyle w:val="Hyperlink"/>
            <w:rFonts w:ascii="Optima" w:hAnsi="Optima"/>
          </w:rPr>
          <w:t>http://www.ipiob.org/media/files/attach/2018PIOB_Report.pdf</w:t>
        </w:r>
      </w:hyperlink>
    </w:p>
  </w:footnote>
  <w:footnote w:id="15">
    <w:p>
      <w:pPr>
        <w:pStyle w:val="footnotetext1"/>
        <w:rPr>
          <w:lang w:val="en-GB"/>
        </w:rPr>
      </w:pPr>
      <w:r>
        <w:rPr>
          <w:rStyle w:val="FootnoteReference"/>
        </w:rPr>
        <w:footnoteRef/>
      </w:r>
      <w:r>
        <w:rPr>
          <w:lang w:val="en-GB"/>
        </w:rPr>
        <w:t xml:space="preserve"> https://www.iosco.org/</w:t>
      </w:r>
    </w:p>
  </w:footnote>
  <w:footnote w:id="16">
    <w:p>
      <w:pPr>
        <w:pStyle w:val="footnotetext1"/>
        <w:rPr>
          <w:lang w:val="en-GB"/>
        </w:rPr>
      </w:pPr>
      <w:r>
        <w:rPr>
          <w:rStyle w:val="FootnoteReference"/>
        </w:rPr>
        <w:footnoteRef/>
      </w:r>
      <w:r>
        <w:rPr>
          <w:lang w:val="en-GB"/>
        </w:rPr>
        <w:t xml:space="preserve">  </w:t>
      </w:r>
      <w:hyperlink r:id="rId2" w:history="1">
        <w:r>
          <w:rPr>
            <w:rStyle w:val="Hyperlink"/>
            <w:rFonts w:cs="Arial"/>
            <w:lang w:val="en-GB"/>
          </w:rPr>
          <w:t>https://www.iosco.org/about/monitoring_group/pdf/2018-05-31-Monitoring-Group-Summary-of-Feedback.pdf</w:t>
        </w:r>
      </w:hyperlink>
    </w:p>
    <w:p>
      <w:pPr>
        <w:pStyle w:val="footnotetext1"/>
        <w:rPr>
          <w:lang w:val="en-GB"/>
        </w:rPr>
      </w:pPr>
    </w:p>
  </w:footnote>
  <w:footnote w:id="17">
    <w:p>
      <w:pPr>
        <w:pStyle w:val="FootnoteText"/>
      </w:pPr>
      <w:r>
        <w:rPr>
          <w:rStyle w:val="FootnoteReference"/>
        </w:rPr>
        <w:footnoteRef/>
      </w:r>
      <w:r>
        <w:t xml:space="preserve"> Grant contributions as at 31st July 2019 (provisional for 2018 grant contribution).</w:t>
      </w:r>
    </w:p>
  </w:footnote>
  <w:footnote w:id="18">
    <w:p>
      <w:pPr>
        <w:pStyle w:val="FootnoteText"/>
        <w:rPr>
          <w:lang w:val="en-US"/>
        </w:rPr>
      </w:pPr>
      <w:r>
        <w:rPr>
          <w:rStyle w:val="FootnoteReference"/>
        </w:rPr>
        <w:footnoteRef/>
      </w:r>
      <w:r>
        <w:t xml:space="preserve"> </w:t>
      </w:r>
      <w:r>
        <w:rPr>
          <w:lang w:val="en-US"/>
        </w:rPr>
        <w:t>Recital 15 of regulation 258/2014</w:t>
      </w:r>
    </w:p>
  </w:footnote>
  <w:footnote w:id="19">
    <w:p>
      <w:pPr>
        <w:pStyle w:val="FootnoteText"/>
      </w:pPr>
      <w:r>
        <w:rPr>
          <w:rStyle w:val="FootnoteReference"/>
        </w:rPr>
        <w:footnoteRef/>
      </w:r>
      <w:r>
        <w:t xml:space="preserve"> COM (2015) 301 final</w:t>
      </w:r>
    </w:p>
  </w:footnote>
  <w:footnote w:id="20">
    <w:p>
      <w:pPr>
        <w:pStyle w:val="FootnoteText"/>
        <w:rPr>
          <w:lang w:val="pt-PT"/>
        </w:rPr>
      </w:pPr>
      <w:r>
        <w:rPr>
          <w:rStyle w:val="FootnoteReference"/>
        </w:rPr>
        <w:footnoteRef/>
      </w:r>
      <w:r>
        <w:rPr>
          <w:lang w:val="pt-PT"/>
        </w:rPr>
        <w:t xml:space="preserve"> COM (2012) 782 final</w:t>
      </w:r>
    </w:p>
  </w:footnote>
  <w:footnote w:id="21">
    <w:p>
      <w:pPr>
        <w:pStyle w:val="FootnoteText"/>
      </w:pPr>
      <w:r>
        <w:rPr>
          <w:rStyle w:val="FootnoteReference"/>
        </w:rPr>
        <w:footnoteRef/>
      </w:r>
      <w:r>
        <w:t xml:space="preserve"> SWD (2018) 320 final appendix 8</w:t>
      </w:r>
      <w:r>
        <w:tab/>
      </w:r>
    </w:p>
  </w:footnote>
  <w:footnote w:id="22">
    <w:p>
      <w:pPr>
        <w:pStyle w:val="FootnoteText"/>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SWD (2015) 120 final page 58</w:t>
      </w:r>
    </w:p>
  </w:footnote>
  <w:footnote w:id="23">
    <w:p>
      <w:pPr>
        <w:pStyle w:val="FootnoteText"/>
        <w:rPr>
          <w:lang w:val="pt-PT"/>
        </w:rPr>
      </w:pPr>
      <w:r>
        <w:rPr>
          <w:rStyle w:val="FootnoteReference"/>
        </w:rPr>
        <w:footnoteRef/>
      </w:r>
      <w:r>
        <w:rPr>
          <w:lang w:val="pt-PT"/>
        </w:rPr>
        <w:t xml:space="preserve"> </w:t>
      </w:r>
      <w:hyperlink r:id="rId3" w:history="1">
        <w:r>
          <w:rPr>
            <w:rStyle w:val="Hyperlink"/>
            <w:lang w:val="pt-PT"/>
          </w:rPr>
          <w:t>https://www.ifrs.org/-/media/feature/groups/trustees/ifrs-reputation-research-report-jul-2017.pdf?la=en</w:t>
        </w:r>
      </w:hyperlink>
    </w:p>
    <w:p>
      <w:pPr>
        <w:pStyle w:val="FootnoteText"/>
        <w:rPr>
          <w:lang w:val="pt-PT"/>
        </w:rPr>
      </w:pPr>
    </w:p>
  </w:footnote>
  <w:footnote w:id="24">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Dynamic Risk Management – How do banks manage interest rate risks? January 2017</w:t>
      </w:r>
    </w:p>
  </w:footnote>
  <w:footnote w:id="25">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Goodwill impairment test : Can it be improved? Feedback statement of March 2018</w:t>
      </w:r>
    </w:p>
  </w:footnote>
  <w:footnote w:id="26">
    <w:p>
      <w:pPr>
        <w:pStyle w:val="FootnoteText"/>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COM (2000) 359 final</w:t>
      </w:r>
    </w:p>
  </w:footnote>
  <w:footnote w:id="27">
    <w:p>
      <w:pPr>
        <w:pStyle w:val="FootnoteText"/>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https://www.sec.gov/divisions/corpfin/internatl/foreigngeographic2015.pdf</w:t>
      </w:r>
    </w:p>
  </w:footnote>
  <w:footnote w:id="28">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eastAsia="Times New Roman" w:hAnsi="Times New Roman"/>
          <w:color w:val="000000"/>
          <w:lang w:val="en-IE" w:eastAsia="fr-BE"/>
        </w:rPr>
        <w:t>According to its 2018 financial statements.</w:t>
      </w:r>
    </w:p>
  </w:footnote>
  <w:footnote w:id="29">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This reduction in 2018 stems to a significant extent from a new licensing arrangement which leads to recognizing licensing revenues instead of a voluntary financial contribution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05041CFA"/>
    <w:multiLevelType w:val="multilevel"/>
    <w:tmpl w:val="AF98C5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7503497"/>
    <w:multiLevelType w:val="hybridMultilevel"/>
    <w:tmpl w:val="63A40044"/>
    <w:lvl w:ilvl="0" w:tplc="080C0005">
      <w:start w:val="1"/>
      <w:numFmt w:val="bullet"/>
      <w:lvlText w:val=""/>
      <w:lvlJc w:val="left"/>
      <w:pPr>
        <w:ind w:left="1452" w:hanging="360"/>
      </w:pPr>
      <w:rPr>
        <w:rFonts w:ascii="Wingdings" w:hAnsi="Wingdings" w:hint="default"/>
      </w:rPr>
    </w:lvl>
    <w:lvl w:ilvl="1" w:tplc="08090003">
      <w:start w:val="1"/>
      <w:numFmt w:val="bullet"/>
      <w:lvlText w:val="o"/>
      <w:lvlJc w:val="left"/>
      <w:pPr>
        <w:ind w:left="2172" w:hanging="360"/>
      </w:pPr>
      <w:rPr>
        <w:rFonts w:ascii="Courier New" w:hAnsi="Courier New" w:cs="Courier New" w:hint="default"/>
      </w:rPr>
    </w:lvl>
    <w:lvl w:ilvl="2" w:tplc="08090005" w:tentative="1">
      <w:start w:val="1"/>
      <w:numFmt w:val="bullet"/>
      <w:lvlText w:val=""/>
      <w:lvlJc w:val="left"/>
      <w:pPr>
        <w:ind w:left="2892" w:hanging="360"/>
      </w:pPr>
      <w:rPr>
        <w:rFonts w:ascii="Wingdings" w:hAnsi="Wingdings" w:hint="default"/>
      </w:rPr>
    </w:lvl>
    <w:lvl w:ilvl="3" w:tplc="08090001" w:tentative="1">
      <w:start w:val="1"/>
      <w:numFmt w:val="bullet"/>
      <w:lvlText w:val=""/>
      <w:lvlJc w:val="left"/>
      <w:pPr>
        <w:ind w:left="3612" w:hanging="360"/>
      </w:pPr>
      <w:rPr>
        <w:rFonts w:ascii="Symbol" w:hAnsi="Symbol" w:hint="default"/>
      </w:rPr>
    </w:lvl>
    <w:lvl w:ilvl="4" w:tplc="08090003" w:tentative="1">
      <w:start w:val="1"/>
      <w:numFmt w:val="bullet"/>
      <w:lvlText w:val="o"/>
      <w:lvlJc w:val="left"/>
      <w:pPr>
        <w:ind w:left="4332" w:hanging="360"/>
      </w:pPr>
      <w:rPr>
        <w:rFonts w:ascii="Courier New" w:hAnsi="Courier New" w:cs="Courier New" w:hint="default"/>
      </w:rPr>
    </w:lvl>
    <w:lvl w:ilvl="5" w:tplc="08090005" w:tentative="1">
      <w:start w:val="1"/>
      <w:numFmt w:val="bullet"/>
      <w:lvlText w:val=""/>
      <w:lvlJc w:val="left"/>
      <w:pPr>
        <w:ind w:left="5052" w:hanging="360"/>
      </w:pPr>
      <w:rPr>
        <w:rFonts w:ascii="Wingdings" w:hAnsi="Wingdings" w:hint="default"/>
      </w:rPr>
    </w:lvl>
    <w:lvl w:ilvl="6" w:tplc="08090001" w:tentative="1">
      <w:start w:val="1"/>
      <w:numFmt w:val="bullet"/>
      <w:lvlText w:val=""/>
      <w:lvlJc w:val="left"/>
      <w:pPr>
        <w:ind w:left="5772" w:hanging="360"/>
      </w:pPr>
      <w:rPr>
        <w:rFonts w:ascii="Symbol" w:hAnsi="Symbol" w:hint="default"/>
      </w:rPr>
    </w:lvl>
    <w:lvl w:ilvl="7" w:tplc="08090003" w:tentative="1">
      <w:start w:val="1"/>
      <w:numFmt w:val="bullet"/>
      <w:lvlText w:val="o"/>
      <w:lvlJc w:val="left"/>
      <w:pPr>
        <w:ind w:left="6492" w:hanging="360"/>
      </w:pPr>
      <w:rPr>
        <w:rFonts w:ascii="Courier New" w:hAnsi="Courier New" w:cs="Courier New" w:hint="default"/>
      </w:rPr>
    </w:lvl>
    <w:lvl w:ilvl="8" w:tplc="08090005" w:tentative="1">
      <w:start w:val="1"/>
      <w:numFmt w:val="bullet"/>
      <w:lvlText w:val=""/>
      <w:lvlJc w:val="left"/>
      <w:pPr>
        <w:ind w:left="7212" w:hanging="360"/>
      </w:pPr>
      <w:rPr>
        <w:rFonts w:ascii="Wingdings" w:hAnsi="Wingdings" w:hint="default"/>
      </w:rPr>
    </w:lvl>
  </w:abstractNum>
  <w:abstractNum w:abstractNumId="3">
    <w:nsid w:val="173805DA"/>
    <w:multiLevelType w:val="hybridMultilevel"/>
    <w:tmpl w:val="4E4E6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055F87"/>
    <w:multiLevelType w:val="hybridMultilevel"/>
    <w:tmpl w:val="12B62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2E90B93"/>
    <w:multiLevelType w:val="multilevel"/>
    <w:tmpl w:val="4088180A"/>
    <w:lvl w:ilvl="0">
      <w:start w:val="1"/>
      <w:numFmt w:val="decimal"/>
      <w:lvlText w:val="%1."/>
      <w:lvlJc w:val="left"/>
      <w:pPr>
        <w:ind w:left="720" w:hanging="360"/>
      </w:pPr>
      <w:rPr>
        <w:rFonts w:hint="default"/>
        <w:color w:val="auto"/>
      </w:rPr>
    </w:lvl>
    <w:lvl w:ilvl="1">
      <w:start w:val="1"/>
      <w:numFmt w:val="decimal"/>
      <w:isLgl/>
      <w:lvlText w:val="%1.%2."/>
      <w:lvlJc w:val="left"/>
      <w:pPr>
        <w:ind w:left="1146" w:hanging="720"/>
      </w:pPr>
      <w:rPr>
        <w:rFonts w:hint="default"/>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6">
    <w:nsid w:val="26E90104"/>
    <w:multiLevelType w:val="hybridMultilevel"/>
    <w:tmpl w:val="4E6CEC50"/>
    <w:lvl w:ilvl="0" w:tplc="73C83AD8">
      <w:numFmt w:val="bullet"/>
      <w:lvlText w:val="•"/>
      <w:lvlJc w:val="left"/>
      <w:pPr>
        <w:ind w:left="22" w:hanging="720"/>
      </w:pPr>
      <w:rPr>
        <w:rFonts w:ascii="Calibri" w:eastAsia="Calibri" w:hAnsi="Calibri" w:cs="Calibri" w:hint="default"/>
      </w:rPr>
    </w:lvl>
    <w:lvl w:ilvl="1" w:tplc="08090003" w:tentative="1">
      <w:start w:val="1"/>
      <w:numFmt w:val="bullet"/>
      <w:lvlText w:val="o"/>
      <w:lvlJc w:val="left"/>
      <w:pPr>
        <w:ind w:left="742" w:hanging="360"/>
      </w:pPr>
      <w:rPr>
        <w:rFonts w:ascii="Courier New" w:hAnsi="Courier New" w:cs="Courier New" w:hint="default"/>
      </w:rPr>
    </w:lvl>
    <w:lvl w:ilvl="2" w:tplc="08090005" w:tentative="1">
      <w:start w:val="1"/>
      <w:numFmt w:val="bullet"/>
      <w:lvlText w:val=""/>
      <w:lvlJc w:val="left"/>
      <w:pPr>
        <w:ind w:left="1462" w:hanging="360"/>
      </w:pPr>
      <w:rPr>
        <w:rFonts w:ascii="Wingdings" w:hAnsi="Wingdings" w:hint="default"/>
      </w:rPr>
    </w:lvl>
    <w:lvl w:ilvl="3" w:tplc="08090001" w:tentative="1">
      <w:start w:val="1"/>
      <w:numFmt w:val="bullet"/>
      <w:lvlText w:val=""/>
      <w:lvlJc w:val="left"/>
      <w:pPr>
        <w:ind w:left="2182" w:hanging="360"/>
      </w:pPr>
      <w:rPr>
        <w:rFonts w:ascii="Symbol" w:hAnsi="Symbol" w:hint="default"/>
      </w:rPr>
    </w:lvl>
    <w:lvl w:ilvl="4" w:tplc="08090003" w:tentative="1">
      <w:start w:val="1"/>
      <w:numFmt w:val="bullet"/>
      <w:lvlText w:val="o"/>
      <w:lvlJc w:val="left"/>
      <w:pPr>
        <w:ind w:left="2902" w:hanging="360"/>
      </w:pPr>
      <w:rPr>
        <w:rFonts w:ascii="Courier New" w:hAnsi="Courier New" w:cs="Courier New" w:hint="default"/>
      </w:rPr>
    </w:lvl>
    <w:lvl w:ilvl="5" w:tplc="08090005" w:tentative="1">
      <w:start w:val="1"/>
      <w:numFmt w:val="bullet"/>
      <w:lvlText w:val=""/>
      <w:lvlJc w:val="left"/>
      <w:pPr>
        <w:ind w:left="3622" w:hanging="360"/>
      </w:pPr>
      <w:rPr>
        <w:rFonts w:ascii="Wingdings" w:hAnsi="Wingdings" w:hint="default"/>
      </w:rPr>
    </w:lvl>
    <w:lvl w:ilvl="6" w:tplc="08090001" w:tentative="1">
      <w:start w:val="1"/>
      <w:numFmt w:val="bullet"/>
      <w:lvlText w:val=""/>
      <w:lvlJc w:val="left"/>
      <w:pPr>
        <w:ind w:left="4342" w:hanging="360"/>
      </w:pPr>
      <w:rPr>
        <w:rFonts w:ascii="Symbol" w:hAnsi="Symbol" w:hint="default"/>
      </w:rPr>
    </w:lvl>
    <w:lvl w:ilvl="7" w:tplc="08090003" w:tentative="1">
      <w:start w:val="1"/>
      <w:numFmt w:val="bullet"/>
      <w:lvlText w:val="o"/>
      <w:lvlJc w:val="left"/>
      <w:pPr>
        <w:ind w:left="5062" w:hanging="360"/>
      </w:pPr>
      <w:rPr>
        <w:rFonts w:ascii="Courier New" w:hAnsi="Courier New" w:cs="Courier New" w:hint="default"/>
      </w:rPr>
    </w:lvl>
    <w:lvl w:ilvl="8" w:tplc="08090005" w:tentative="1">
      <w:start w:val="1"/>
      <w:numFmt w:val="bullet"/>
      <w:lvlText w:val=""/>
      <w:lvlJc w:val="left"/>
      <w:pPr>
        <w:ind w:left="5782" w:hanging="360"/>
      </w:pPr>
      <w:rPr>
        <w:rFonts w:ascii="Wingdings" w:hAnsi="Wingdings" w:hint="default"/>
      </w:rPr>
    </w:lvl>
  </w:abstractNum>
  <w:abstractNum w:abstractNumId="7">
    <w:nsid w:val="27285392"/>
    <w:multiLevelType w:val="multilevel"/>
    <w:tmpl w:val="E01E7708"/>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8626F24"/>
    <w:multiLevelType w:val="hybridMultilevel"/>
    <w:tmpl w:val="A726E242"/>
    <w:lvl w:ilvl="0" w:tplc="BFE413C6">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A844214"/>
    <w:multiLevelType w:val="hybridMultilevel"/>
    <w:tmpl w:val="ACB8A3DE"/>
    <w:lvl w:ilvl="0" w:tplc="A54E218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E676948"/>
    <w:multiLevelType w:val="multilevel"/>
    <w:tmpl w:val="2812C55C"/>
    <w:styleLink w:val="EFRAGNumbering"/>
    <w:lvl w:ilvl="0">
      <w:start w:val="1"/>
      <w:numFmt w:val="decimal"/>
      <w:pStyle w:val="Normalnumberedlevel1"/>
      <w:lvlText w:val="%1"/>
      <w:lvlJc w:val="left"/>
      <w:pPr>
        <w:ind w:left="567" w:hanging="567"/>
      </w:pPr>
      <w:rPr>
        <w:rFonts w:ascii="Arial" w:hAnsi="Arial" w:hint="default"/>
        <w:sz w:val="22"/>
      </w:rPr>
    </w:lvl>
    <w:lvl w:ilvl="1">
      <w:start w:val="1"/>
      <w:numFmt w:val="lowerLetter"/>
      <w:pStyle w:val="Normalnumberedlevel2"/>
      <w:lvlText w:val="(%2)"/>
      <w:lvlJc w:val="left"/>
      <w:pPr>
        <w:ind w:left="1134" w:hanging="567"/>
      </w:pPr>
      <w:rPr>
        <w:rFonts w:ascii="Arial" w:hAnsi="Arial" w:hint="default"/>
        <w:b w:val="0"/>
        <w:i w:val="0"/>
        <w:sz w:val="22"/>
      </w:rPr>
    </w:lvl>
    <w:lvl w:ilvl="2">
      <w:start w:val="1"/>
      <w:numFmt w:val="lowerRoman"/>
      <w:pStyle w:val="Normalnumberedlevel3"/>
      <w:lvlText w:val="(%3)"/>
      <w:lvlJc w:val="left"/>
      <w:pPr>
        <w:ind w:left="1701" w:hanging="567"/>
      </w:pPr>
      <w:rPr>
        <w:rFonts w:ascii="Arial" w:hAnsi="Arial" w:hint="default"/>
        <w:b w:val="0"/>
        <w:i w:val="0"/>
        <w:sz w:val="22"/>
      </w:rPr>
    </w:lvl>
    <w:lvl w:ilvl="3">
      <w:start w:val="1"/>
      <w:numFmt w:val="bullet"/>
      <w:lvlText w:val=""/>
      <w:lvlJc w:val="left"/>
      <w:pPr>
        <w:tabs>
          <w:tab w:val="num" w:pos="2835"/>
        </w:tabs>
        <w:ind w:left="2268" w:hanging="567"/>
      </w:pPr>
      <w:rPr>
        <w:rFonts w:ascii="Symbol" w:hAnsi="Symbol" w:hint="default"/>
        <w:b w:val="0"/>
        <w:i w:val="0"/>
        <w:sz w:val="22"/>
      </w:rPr>
    </w:lvl>
    <w:lvl w:ilvl="4">
      <w:start w:val="1"/>
      <w:numFmt w:val="lowerLetter"/>
      <w:lvlText w:val="(%5)"/>
      <w:lvlJc w:val="left"/>
      <w:pPr>
        <w:ind w:left="2835" w:hanging="567"/>
      </w:pPr>
      <w:rPr>
        <w:rFonts w:ascii="Arial" w:hAnsi="Arial" w:hint="default"/>
        <w:b/>
        <w:i w:val="0"/>
        <w:sz w:val="22"/>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1">
    <w:nsid w:val="35495D1D"/>
    <w:multiLevelType w:val="hybridMultilevel"/>
    <w:tmpl w:val="E0D4B678"/>
    <w:lvl w:ilvl="0" w:tplc="BFE413C6">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6E5216A"/>
    <w:multiLevelType w:val="hybridMultilevel"/>
    <w:tmpl w:val="1A9AEF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8F1410C"/>
    <w:multiLevelType w:val="hybridMultilevel"/>
    <w:tmpl w:val="57FA9792"/>
    <w:lvl w:ilvl="0" w:tplc="080C0005">
      <w:start w:val="1"/>
      <w:numFmt w:val="bullet"/>
      <w:lvlText w:val=""/>
      <w:lvlJc w:val="left"/>
      <w:pPr>
        <w:ind w:left="1068" w:hanging="360"/>
      </w:pPr>
      <w:rPr>
        <w:rFonts w:ascii="Wingdings" w:hAnsi="Wingdings"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4">
    <w:nsid w:val="3A645BC6"/>
    <w:multiLevelType w:val="hybridMultilevel"/>
    <w:tmpl w:val="5C26A810"/>
    <w:lvl w:ilvl="0" w:tplc="3EFEE1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DC32ECD"/>
    <w:multiLevelType w:val="multilevel"/>
    <w:tmpl w:val="5B4871FE"/>
    <w:lvl w:ilvl="0">
      <w:start w:val="1"/>
      <w:numFmt w:val="decimal"/>
      <w:lvlText w:val="%1."/>
      <w:lvlJc w:val="left"/>
      <w:pPr>
        <w:ind w:left="1778" w:hanging="360"/>
      </w:pPr>
      <w:rPr>
        <w:rFonts w:ascii="Times New Roman" w:hAnsi="Times New Roman" w:cs="Times New Roman"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3943EDD"/>
    <w:multiLevelType w:val="multilevel"/>
    <w:tmpl w:val="AC1ACB3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A696BA1"/>
    <w:multiLevelType w:val="hybridMultilevel"/>
    <w:tmpl w:val="ACB64C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8">
    <w:nsid w:val="4E607DFD"/>
    <w:multiLevelType w:val="hybridMultilevel"/>
    <w:tmpl w:val="55087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FB33C63"/>
    <w:multiLevelType w:val="hybridMultilevel"/>
    <w:tmpl w:val="E8E89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9B6388A"/>
    <w:multiLevelType w:val="multilevel"/>
    <w:tmpl w:val="EC9E2C72"/>
    <w:lvl w:ilvl="0">
      <w:start w:val="1"/>
      <w:numFmt w:val="decimal"/>
      <w:pStyle w:val="Normalnumbered"/>
      <w:lvlText w:val="%1"/>
      <w:lvlJc w:val="left"/>
      <w:pPr>
        <w:ind w:left="562" w:hanging="562"/>
      </w:pPr>
      <w:rPr>
        <w:rFonts w:ascii="Arial" w:hAnsi="Arial" w:hint="default"/>
        <w:i w:val="0"/>
        <w:sz w:val="22"/>
      </w:rPr>
    </w:lvl>
    <w:lvl w:ilvl="1">
      <w:start w:val="1"/>
      <w:numFmt w:val="bullet"/>
      <w:lvlText w:val=""/>
      <w:lvlJc w:val="left"/>
      <w:pPr>
        <w:ind w:left="1128" w:hanging="561"/>
      </w:pPr>
      <w:rPr>
        <w:rFonts w:ascii="Symbol" w:hAnsi="Symbol" w:hint="default"/>
        <w:b w:val="0"/>
        <w:i w:val="0"/>
        <w:sz w:val="22"/>
      </w:rPr>
    </w:lvl>
    <w:lvl w:ilvl="2">
      <w:start w:val="1"/>
      <w:numFmt w:val="lowerRoman"/>
      <w:lvlText w:val="(%3)"/>
      <w:lvlJc w:val="left"/>
      <w:pPr>
        <w:tabs>
          <w:tab w:val="num" w:pos="1224"/>
        </w:tabs>
        <w:ind w:left="1685" w:hanging="562"/>
      </w:pPr>
      <w:rPr>
        <w:rFonts w:ascii="Arial" w:hAnsi="Arial" w:hint="default"/>
        <w:b w:val="0"/>
        <w:i w:val="0"/>
        <w:sz w:val="22"/>
      </w:rPr>
    </w:lvl>
    <w:lvl w:ilvl="3">
      <w:start w:val="1"/>
      <w:numFmt w:val="bullet"/>
      <w:lvlText w:val=""/>
      <w:lvlJc w:val="left"/>
      <w:pPr>
        <w:tabs>
          <w:tab w:val="num" w:pos="1701"/>
        </w:tabs>
        <w:ind w:left="2262" w:hanging="561"/>
      </w:pPr>
      <w:rPr>
        <w:rFonts w:ascii="Symbol" w:hAnsi="Symbol" w:hint="default"/>
        <w:b w:val="0"/>
        <w:i w:val="0"/>
        <w:sz w:val="22"/>
      </w:rPr>
    </w:lvl>
    <w:lvl w:ilvl="4">
      <w:start w:val="1"/>
      <w:numFmt w:val="lowerLetter"/>
      <w:lvlText w:val="(%5)"/>
      <w:lvlJc w:val="left"/>
      <w:pPr>
        <w:ind w:left="561" w:hanging="561"/>
      </w:pPr>
      <w:rPr>
        <w:rFonts w:ascii="Arial" w:hAnsi="Arial" w:hint="default"/>
        <w:b/>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71732254"/>
    <w:multiLevelType w:val="hybridMultilevel"/>
    <w:tmpl w:val="79368098"/>
    <w:lvl w:ilvl="0" w:tplc="8B022C78">
      <w:start w:val="1"/>
      <w:numFmt w:val="bullet"/>
      <w:lvlText w:val=""/>
      <w:lvlJc w:val="left"/>
      <w:pPr>
        <w:ind w:left="360" w:hanging="360"/>
      </w:pPr>
      <w:rPr>
        <w:rFonts w:ascii="Webdings" w:hAnsi="Webdings" w:hint="default"/>
        <w:lang w:val="en-GB"/>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33A5AA8"/>
    <w:multiLevelType w:val="hybridMultilevel"/>
    <w:tmpl w:val="4A3AF16E"/>
    <w:lvl w:ilvl="0" w:tplc="080C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D6C76D0"/>
    <w:multiLevelType w:val="hybridMultilevel"/>
    <w:tmpl w:val="CA4AF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6"/>
  </w:num>
  <w:num w:numId="4">
    <w:abstractNumId w:val="0"/>
  </w:num>
  <w:num w:numId="5">
    <w:abstractNumId w:val="17"/>
  </w:num>
  <w:num w:numId="6">
    <w:abstractNumId w:val="16"/>
  </w:num>
  <w:num w:numId="7">
    <w:abstractNumId w:val="15"/>
  </w:num>
  <w:num w:numId="8">
    <w:abstractNumId w:val="7"/>
  </w:num>
  <w:num w:numId="9">
    <w:abstractNumId w:val="13"/>
  </w:num>
  <w:num w:numId="10">
    <w:abstractNumId w:val="18"/>
  </w:num>
  <w:num w:numId="11">
    <w:abstractNumId w:val="19"/>
  </w:num>
  <w:num w:numId="12">
    <w:abstractNumId w:val="9"/>
  </w:num>
  <w:num w:numId="13">
    <w:abstractNumId w:val="2"/>
  </w:num>
  <w:num w:numId="14">
    <w:abstractNumId w:val="4"/>
  </w:num>
  <w:num w:numId="15">
    <w:abstractNumId w:val="11"/>
  </w:num>
  <w:num w:numId="16">
    <w:abstractNumId w:val="21"/>
  </w:num>
  <w:num w:numId="17">
    <w:abstractNumId w:val="7"/>
  </w:num>
  <w:num w:numId="18">
    <w:abstractNumId w:val="20"/>
  </w:num>
  <w:num w:numId="19">
    <w:abstractNumId w:val="12"/>
  </w:num>
  <w:num w:numId="20">
    <w:abstractNumId w:val="14"/>
  </w:num>
  <w:num w:numId="21">
    <w:abstractNumId w:val="22"/>
  </w:num>
  <w:num w:numId="22">
    <w:abstractNumId w:val="1"/>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8"/>
  </w:num>
  <w:num w:numId="40">
    <w:abstractNumId w:val="3"/>
  </w:num>
  <w:num w:numId="41">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es-ES" w:vendorID="64" w:dllVersion="131078" w:nlCheck="1" w:checkStyle="0"/>
  <w:activeWritingStyle w:appName="MSWord" w:lang="fr-FR" w:vendorID="64" w:dllVersion="131078" w:nlCheck="1" w:checkStyle="0"/>
  <w:activeWritingStyle w:appName="MSWord" w:lang="nl-NL" w:vendorID="64" w:dllVersion="131078" w:nlCheck="1" w:checkStyle="0"/>
  <w:activeWritingStyle w:appName="MSWord" w:lang="pt-PT" w:vendorID="64" w:dllVersion="131078" w:nlCheck="1" w:checkStyle="0"/>
  <w:revisionView w:markup="0"/>
  <w:defaultTabStop w:val="720"/>
  <w:hyphenationZone w:val="425"/>
  <w:characterSpacingControl w:val="doNotCompress"/>
  <w:hdrShapeDefaults>
    <o:shapedefaults v:ext="edit" spidmax="144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8603D78-4F7A-4789-8262-8D10D4FFD9E5"/>
    <w:docVar w:name="LW_COVERPAGE_TYPE" w:val="1"/>
    <w:docVar w:name="LW_CROSSREFERENCE" w:val="&lt;UNUSED&gt;"/>
    <w:docVar w:name="LW_DocType" w:val="NORMAL"/>
    <w:docVar w:name="LW_EMISSION" w:val="29.10.2019"/>
    <w:docVar w:name="LW_EMISSION_ISODATE" w:val="2019-10-29"/>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5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on the activities  of the IFRS Foundation, EFRAG and PIOB in 2018 and the achievements of the Union programme."/>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4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List Bullet 5"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uiPriority w:val="9"/>
    <w:qFormat/>
    <w:pPr>
      <w:keepNext/>
      <w:tabs>
        <w:tab w:val="num" w:pos="850"/>
      </w:tabs>
      <w:spacing w:before="240" w:after="60"/>
      <w:ind w:left="850" w:hanging="850"/>
      <w:outlineLvl w:val="0"/>
    </w:pPr>
    <w:rPr>
      <w:rFonts w:ascii="Cambria" w:eastAsia="Times New Roman" w:hAnsi="Cambria"/>
      <w:b/>
      <w:bCs/>
      <w:kern w:val="32"/>
      <w:sz w:val="32"/>
      <w:szCs w:val="32"/>
      <w:lang w:eastAsia="en-GB"/>
    </w:rPr>
  </w:style>
  <w:style w:type="paragraph" w:styleId="Heading2">
    <w:name w:val="heading 2"/>
    <w:basedOn w:val="Normal"/>
    <w:next w:val="Normal"/>
    <w:uiPriority w:val="9"/>
    <w:qFormat/>
    <w:pPr>
      <w:keepNext/>
      <w:tabs>
        <w:tab w:val="num" w:pos="850"/>
      </w:tabs>
      <w:spacing w:before="240" w:after="60"/>
      <w:ind w:left="850" w:hanging="850"/>
      <w:outlineLvl w:val="1"/>
    </w:pPr>
    <w:rPr>
      <w:rFonts w:ascii="Cambria" w:eastAsia="Times New Roman" w:hAnsi="Cambria"/>
      <w:b/>
      <w:bCs/>
      <w:i/>
      <w:iCs/>
      <w:sz w:val="28"/>
      <w:szCs w:val="28"/>
    </w:rPr>
  </w:style>
  <w:style w:type="paragraph" w:styleId="Heading3">
    <w:name w:val="heading 3"/>
    <w:basedOn w:val="Normal"/>
    <w:next w:val="Normal"/>
    <w:uiPriority w:val="9"/>
    <w:qFormat/>
    <w:pPr>
      <w:keepNext/>
      <w:tabs>
        <w:tab w:val="num" w:pos="850"/>
      </w:tabs>
      <w:spacing w:before="240" w:after="60"/>
      <w:ind w:left="850" w:hanging="850"/>
      <w:jc w:val="both"/>
      <w:outlineLvl w:val="2"/>
    </w:pPr>
    <w:rPr>
      <w:rFonts w:ascii="Times New Roman" w:eastAsia="Times New Roman" w:hAnsi="Times New Roman"/>
      <w:b/>
      <w:bCs/>
      <w:i/>
      <w:sz w:val="24"/>
      <w:szCs w:val="20"/>
      <w:lang w:val="en-US" w:eastAsia="en-GB"/>
    </w:rPr>
  </w:style>
  <w:style w:type="paragraph" w:styleId="Heading4">
    <w:name w:val="heading 4"/>
    <w:basedOn w:val="Normal"/>
    <w:next w:val="Normal"/>
    <w:qFormat/>
    <w:pPr>
      <w:keepNext/>
      <w:tabs>
        <w:tab w:val="num" w:pos="850"/>
      </w:tabs>
      <w:ind w:left="850" w:hanging="850"/>
      <w:jc w:val="both"/>
      <w:outlineLvl w:val="3"/>
    </w:pPr>
    <w:rPr>
      <w:i/>
      <w:iCs/>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Pr>
      <w:rFonts w:ascii="Cambria" w:eastAsia="Times New Roman" w:hAnsi="Cambria"/>
      <w:b/>
      <w:bCs/>
      <w:kern w:val="32"/>
      <w:sz w:val="32"/>
      <w:szCs w:val="32"/>
    </w:rPr>
  </w:style>
  <w:style w:type="character" w:customStyle="1" w:styleId="Heading2Char">
    <w:name w:val="Heading 2 Char"/>
    <w:rPr>
      <w:rFonts w:ascii="Cambria" w:eastAsia="Times New Roman" w:hAnsi="Cambria" w:cs="Times New Roman"/>
      <w:b/>
      <w:bCs/>
      <w:i/>
      <w:iCs/>
      <w:sz w:val="28"/>
      <w:szCs w:val="28"/>
      <w:lang w:eastAsia="en-US"/>
    </w:rPr>
  </w:style>
  <w:style w:type="character" w:customStyle="1" w:styleId="Heading3Char">
    <w:name w:val="Heading 3 Char"/>
    <w:rPr>
      <w:rFonts w:ascii="Cambria" w:eastAsia="Times New Roman" w:hAnsi="Cambria" w:cs="Times New Roman"/>
      <w:b/>
      <w:bCs/>
      <w:sz w:val="26"/>
      <w:szCs w:val="26"/>
      <w:lang w:eastAsia="en-US"/>
    </w:rPr>
  </w:style>
  <w:style w:type="paragraph" w:styleId="Title">
    <w:name w:val="Title"/>
    <w:basedOn w:val="Normal"/>
    <w:next w:val="Normal"/>
    <w:link w:val="TitleChar1"/>
    <w:qFormat/>
    <w:pPr>
      <w:spacing w:before="240" w:after="60"/>
      <w:jc w:val="center"/>
      <w:outlineLvl w:val="0"/>
    </w:pPr>
    <w:rPr>
      <w:rFonts w:ascii="Cambria" w:eastAsia="Times New Roman" w:hAnsi="Cambria"/>
      <w:b/>
      <w:bCs/>
      <w:kern w:val="28"/>
      <w:sz w:val="32"/>
      <w:szCs w:val="32"/>
      <w:lang w:val="x-none"/>
    </w:rPr>
  </w:style>
  <w:style w:type="character" w:customStyle="1" w:styleId="TitleChar">
    <w:name w:val="Title Char"/>
    <w:rPr>
      <w:rFonts w:ascii="Cambria" w:eastAsia="Times New Roman" w:hAnsi="Cambria" w:cs="Times New Roman"/>
      <w:b/>
      <w:bCs/>
      <w:kern w:val="28"/>
      <w:sz w:val="32"/>
      <w:szCs w:val="32"/>
      <w:lang w:eastAsia="en-US"/>
    </w:rPr>
  </w:style>
  <w:style w:type="paragraph" w:styleId="TOCHeading">
    <w:name w:val="TOC Heading"/>
    <w:basedOn w:val="Heading1"/>
    <w:next w:val="Normal"/>
    <w:qFormat/>
    <w:pPr>
      <w:keepLines/>
      <w:tabs>
        <w:tab w:val="clear" w:pos="850"/>
      </w:tabs>
      <w:spacing w:before="480" w:after="0"/>
      <w:ind w:left="0" w:firstLine="0"/>
      <w:outlineLvl w:val="9"/>
    </w:pPr>
    <w:rPr>
      <w:rFonts w:eastAsia="MS Gothic"/>
      <w:color w:val="365F91"/>
      <w:kern w:val="0"/>
      <w:sz w:val="28"/>
      <w:szCs w:val="28"/>
      <w:lang w:val="en-US" w:eastAsia="ja-JP"/>
    </w:rPr>
  </w:style>
  <w:style w:type="paragraph" w:styleId="TOC1">
    <w:name w:val="toc 1"/>
    <w:basedOn w:val="Normal"/>
    <w:next w:val="Normal"/>
    <w:autoRedefine/>
    <w:semiHidden/>
    <w:unhideWhenUsed/>
  </w:style>
  <w:style w:type="paragraph" w:styleId="TOC2">
    <w:name w:val="toc 2"/>
    <w:basedOn w:val="Normal"/>
    <w:next w:val="Normal"/>
    <w:autoRedefine/>
    <w:semiHidden/>
    <w:unhideWhenUsed/>
    <w:pPr>
      <w:ind w:left="220"/>
    </w:pPr>
  </w:style>
  <w:style w:type="paragraph" w:styleId="TOC3">
    <w:name w:val="toc 3"/>
    <w:basedOn w:val="Normal"/>
    <w:next w:val="Normal"/>
    <w:autoRedefine/>
    <w:semiHidden/>
    <w:unhideWhenUsed/>
    <w:pPr>
      <w:ind w:left="440"/>
    </w:pPr>
  </w:style>
  <w:style w:type="character" w:styleId="Hyperlink">
    <w:name w:val="Hyperlink"/>
    <w:unhideWhenUsed/>
    <w:rPr>
      <w:color w:val="0000FF"/>
      <w:u w:val="single"/>
    </w:rPr>
  </w:style>
  <w:style w:type="character" w:styleId="CommentReference">
    <w:name w:val="annotation reference"/>
    <w:uiPriority w:val="99"/>
    <w:unhideWhenUsed/>
    <w:rPr>
      <w:sz w:val="16"/>
      <w:szCs w:val="16"/>
    </w:rPr>
  </w:style>
  <w:style w:type="paragraph" w:styleId="CommentText">
    <w:name w:val="annotation text"/>
    <w:basedOn w:val="Normal"/>
    <w:semiHidden/>
    <w:unhideWhenUsed/>
    <w:rPr>
      <w:rFonts w:eastAsia="Times New Roman"/>
      <w:sz w:val="20"/>
      <w:szCs w:val="20"/>
      <w:lang w:eastAsia="en-GB"/>
    </w:rPr>
  </w:style>
  <w:style w:type="character" w:customStyle="1" w:styleId="CommentTextChar">
    <w:name w:val="Comment Text Char"/>
    <w:semiHidden/>
    <w:rPr>
      <w:rFonts w:eastAsia="Times New Roman"/>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paragraph" w:styleId="Header">
    <w:name w:val="header"/>
    <w:basedOn w:val="Normal"/>
    <w:link w:val="HeaderChar"/>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rPr>
      <w:rFonts w:ascii="Times New Roman" w:hAnsi="Times New Roman"/>
      <w:sz w:val="24"/>
      <w:szCs w:val="22"/>
      <w:lang w:val="en-GB"/>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val="en-GB"/>
    </w:rPr>
  </w:style>
  <w:style w:type="paragraph" w:customStyle="1" w:styleId="footnotetext1">
    <w:name w:val="footnote text1"/>
    <w:aliases w:val="FT"/>
    <w:basedOn w:val="Normal"/>
    <w:unhideWhenUsed/>
    <w:pPr>
      <w:spacing w:after="0" w:line="240" w:lineRule="auto"/>
    </w:pPr>
    <w:rPr>
      <w:sz w:val="20"/>
      <w:szCs w:val="20"/>
      <w:lang w:val="pl-PL"/>
    </w:rPr>
  </w:style>
  <w:style w:type="character" w:styleId="FootnoteReference">
    <w:name w:val="footnote reference"/>
    <w:aliases w:val="Footnote,Footnote number,Footnote symbol,Footnote Reference Number,Footnote reference number,Times 10 Point,Exposant 3 Point,Footnote Reference Superscript,note TESI,SUPERS,EN Footnote Reference,Ref,de nota al pie"/>
    <w:uiPriority w:val="99"/>
    <w:unhideWhenUsed/>
    <w:rPr>
      <w:vertAlign w:val="superscript"/>
    </w:rPr>
  </w:style>
  <w:style w:type="paragraph" w:customStyle="1" w:styleId="Default">
    <w:name w:val="Default"/>
    <w:pPr>
      <w:autoSpaceDE w:val="0"/>
      <w:autoSpaceDN w:val="0"/>
      <w:adjustRightInd w:val="0"/>
    </w:pPr>
    <w:rPr>
      <w:rFonts w:ascii="Times New Roman" w:hAnsi="Times New Roman"/>
      <w:color w:val="000000"/>
      <w:sz w:val="24"/>
      <w:szCs w:val="24"/>
      <w:lang w:eastAsia="en-GB"/>
    </w:rPr>
  </w:style>
  <w:style w:type="paragraph" w:styleId="BodyText">
    <w:name w:val="Body Text"/>
    <w:basedOn w:val="Normal"/>
    <w:link w:val="BodyTextChar"/>
    <w:semiHidden/>
    <w:pPr>
      <w:tabs>
        <w:tab w:val="left" w:pos="33"/>
        <w:tab w:val="left" w:leader="underscore" w:pos="3577"/>
        <w:tab w:val="left" w:leader="underscore" w:pos="6379"/>
        <w:tab w:val="left" w:leader="underscore" w:pos="8364"/>
      </w:tabs>
      <w:spacing w:after="0" w:line="240" w:lineRule="auto"/>
    </w:pPr>
    <w:rPr>
      <w:rFonts w:ascii="Times New Roman" w:eastAsia="Times New Roman" w:hAnsi="Times New Roman"/>
      <w:sz w:val="20"/>
      <w:szCs w:val="20"/>
      <w:lang w:eastAsia="en-GB"/>
    </w:rPr>
  </w:style>
  <w:style w:type="paragraph" w:styleId="CommentSubject">
    <w:name w:val="annotation subject"/>
    <w:basedOn w:val="CommentText"/>
    <w:next w:val="CommentText"/>
    <w:semiHidden/>
    <w:unhideWhenUsed/>
    <w:rPr>
      <w:rFonts w:eastAsia="Calibri"/>
      <w:b/>
      <w:bCs/>
      <w:lang w:eastAsia="en-US"/>
    </w:rPr>
  </w:style>
  <w:style w:type="character" w:customStyle="1" w:styleId="CommentTextChar1">
    <w:name w:val="Comment Text Char1"/>
    <w:semiHidden/>
    <w:rPr>
      <w:rFonts w:eastAsia="Times New Roman"/>
    </w:rPr>
  </w:style>
  <w:style w:type="character" w:customStyle="1" w:styleId="CommentSubjectChar">
    <w:name w:val="Comment Subject Char"/>
    <w:semiHidden/>
    <w:rPr>
      <w:rFonts w:eastAsia="Times New Roman"/>
      <w:b/>
      <w:bCs/>
      <w:lang w:eastAsia="en-US"/>
    </w:rPr>
  </w:style>
  <w:style w:type="character" w:styleId="Emphasis">
    <w:name w:val="Emphasis"/>
    <w:uiPriority w:val="20"/>
    <w:qFormat/>
    <w:rPr>
      <w:i/>
      <w:iCs/>
    </w:rPr>
  </w:style>
  <w:style w:type="paragraph" w:styleId="Revision">
    <w:name w:val="Revision"/>
    <w:hidden/>
    <w:semiHidden/>
    <w:rPr>
      <w:sz w:val="22"/>
      <w:szCs w:val="22"/>
      <w:lang w:eastAsia="en-US"/>
    </w:rPr>
  </w:style>
  <w:style w:type="character" w:styleId="FollowedHyperlink">
    <w:name w:val="FollowedHyperlink"/>
    <w:semiHidden/>
    <w:rPr>
      <w:color w:val="800080"/>
      <w:u w:val="single"/>
    </w:rPr>
  </w:style>
  <w:style w:type="paragraph" w:styleId="NoSpacing">
    <w:name w:val="No Spacing"/>
    <w:link w:val="NoSpacingChar"/>
    <w:uiPriority w:val="1"/>
    <w:qFormat/>
    <w:rPr>
      <w:rFonts w:eastAsia="MS Mincho"/>
      <w:sz w:val="22"/>
      <w:szCs w:val="22"/>
      <w:lang w:val="en-US" w:eastAsia="ja-JP"/>
    </w:rPr>
  </w:style>
  <w:style w:type="character" w:customStyle="1" w:styleId="NoSpacingChar">
    <w:name w:val="No Spacing Char"/>
    <w:link w:val="NoSpacing"/>
    <w:uiPriority w:val="1"/>
    <w:rPr>
      <w:rFonts w:eastAsia="MS Mincho"/>
      <w:sz w:val="22"/>
      <w:szCs w:val="22"/>
      <w:lang w:val="en-US" w:eastAsia="ja-JP" w:bidi="ar-SA"/>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itleChar1">
    <w:name w:val="Title Char1"/>
    <w:link w:val="Title"/>
    <w:rPr>
      <w:rFonts w:ascii="Cambria" w:eastAsia="Times New Roman" w:hAnsi="Cambria"/>
      <w:b/>
      <w:bCs/>
      <w:kern w:val="28"/>
      <w:sz w:val="32"/>
      <w:szCs w:val="32"/>
      <w:lang w:eastAsia="en-US"/>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0"/>
      <w:lang w:eastAsia="en-GB"/>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b/>
      <w:sz w:val="24"/>
      <w:szCs w:val="20"/>
      <w:lang w:eastAsia="en-GB"/>
    </w:r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 w:type="paragraph" w:customStyle="1" w:styleId="CM4">
    <w:name w:val="CM4"/>
    <w:basedOn w:val="Default"/>
    <w:next w:val="Default"/>
    <w:uiPriority w:val="99"/>
    <w:rPr>
      <w:rFonts w:ascii="EUAlbertina" w:hAnsi="EUAlbertina"/>
      <w:color w:val="auto"/>
    </w:rPr>
  </w:style>
  <w:style w:type="paragraph" w:styleId="ListParagraph">
    <w:name w:val="List Paragraph"/>
    <w:basedOn w:val="Normal"/>
    <w:link w:val="ListParagraphChar"/>
    <w:uiPriority w:val="34"/>
    <w:qFormat/>
    <w:pPr>
      <w:widowControl w:val="0"/>
      <w:ind w:left="720"/>
      <w:contextualSpacing/>
    </w:pPr>
    <w:rPr>
      <w:lang w:val="en-US"/>
    </w:rPr>
  </w:style>
  <w:style w:type="character" w:customStyle="1" w:styleId="ListParagraphChar">
    <w:name w:val="List Paragraph Char"/>
    <w:link w:val="ListParagraph"/>
    <w:uiPriority w:val="34"/>
    <w:locked/>
    <w:rPr>
      <w:rFonts w:cs="Arial"/>
      <w:sz w:val="22"/>
      <w:szCs w:val="22"/>
      <w:lang w:val="en-US" w:eastAsia="en-U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uiPriority w:val="22"/>
    <w:qFormat/>
    <w:rPr>
      <w:b/>
      <w:bCs/>
    </w:rPr>
  </w:style>
  <w:style w:type="character" w:customStyle="1" w:styleId="hvr">
    <w:name w:val="hv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character" w:customStyle="1" w:styleId="BodyTextChar">
    <w:name w:val="Body Text Char"/>
    <w:link w:val="BodyText"/>
    <w:semiHidden/>
    <w:rPr>
      <w:rFonts w:ascii="Times New Roman" w:eastAsia="Times New Roman" w:hAnsi="Times New Roman"/>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numbering" w:customStyle="1" w:styleId="EFRAGNumbering">
    <w:name w:val="EFRAG Numbering"/>
    <w:uiPriority w:val="99"/>
    <w:pPr>
      <w:numPr>
        <w:numId w:val="2"/>
      </w:numPr>
    </w:pPr>
  </w:style>
  <w:style w:type="paragraph" w:customStyle="1" w:styleId="Normalnumberedlevel1">
    <w:name w:val="Normal numbered level 1"/>
    <w:basedOn w:val="Normal"/>
    <w:link w:val="Normalnumberedlevel1Char"/>
    <w:uiPriority w:val="99"/>
    <w:qFormat/>
    <w:pPr>
      <w:numPr>
        <w:numId w:val="2"/>
      </w:numPr>
      <w:tabs>
        <w:tab w:val="left" w:pos="567"/>
        <w:tab w:val="left" w:pos="1134"/>
        <w:tab w:val="left" w:pos="1701"/>
        <w:tab w:val="left" w:pos="2268"/>
        <w:tab w:val="left" w:pos="2835"/>
      </w:tabs>
      <w:spacing w:before="120" w:after="120" w:line="240" w:lineRule="auto"/>
      <w:jc w:val="both"/>
    </w:pPr>
    <w:rPr>
      <w:rFonts w:ascii="Arial" w:eastAsia="Times New Roman" w:hAnsi="Arial" w:cs="Arial"/>
    </w:rPr>
  </w:style>
  <w:style w:type="character" w:customStyle="1" w:styleId="Normalnumberedlevel1Char">
    <w:name w:val="Normal numbered level 1 Char"/>
    <w:link w:val="Normalnumberedlevel1"/>
    <w:uiPriority w:val="99"/>
    <w:rPr>
      <w:rFonts w:ascii="Arial" w:eastAsia="Times New Roman" w:hAnsi="Arial" w:cs="Arial"/>
      <w:sz w:val="22"/>
      <w:szCs w:val="22"/>
      <w:lang w:eastAsia="en-US"/>
    </w:rPr>
  </w:style>
  <w:style w:type="paragraph" w:customStyle="1" w:styleId="Normalnumberedlevel2">
    <w:name w:val="Normal numbered level 2"/>
    <w:basedOn w:val="Normalnumberedlevel1"/>
    <w:uiPriority w:val="99"/>
    <w:qFormat/>
    <w:pPr>
      <w:numPr>
        <w:ilvl w:val="1"/>
      </w:numPr>
      <w:ind w:left="1440" w:hanging="360"/>
    </w:pPr>
  </w:style>
  <w:style w:type="paragraph" w:customStyle="1" w:styleId="Normalnumberedlevel3">
    <w:name w:val="Normal numbered level 3"/>
    <w:basedOn w:val="Normalnumberedlevel2"/>
    <w:qFormat/>
    <w:pPr>
      <w:numPr>
        <w:ilvl w:val="2"/>
      </w:numPr>
      <w:tabs>
        <w:tab w:val="num" w:pos="360"/>
      </w:tabs>
      <w:ind w:left="2160" w:hanging="360"/>
    </w:pPr>
    <w:rPr>
      <w:lang w:eastAsia="en-GB"/>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5">
    <w:name w:val="List Bullet 5"/>
    <w:basedOn w:val="Normal"/>
    <w:autoRedefine/>
    <w:pPr>
      <w:numPr>
        <w:numId w:val="4"/>
      </w:numPr>
      <w:spacing w:after="240" w:line="240" w:lineRule="auto"/>
      <w:jc w:val="both"/>
    </w:pPr>
    <w:rPr>
      <w:rFonts w:ascii="Times New Roman" w:eastAsia="Times New Roman" w:hAnsi="Times New Roman"/>
      <w:sz w:val="24"/>
      <w:szCs w:val="20"/>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lang w:eastAsia="en-US"/>
    </w:rPr>
  </w:style>
  <w:style w:type="character" w:styleId="EndnoteReference">
    <w:name w:val="endnote reference"/>
    <w:uiPriority w:val="99"/>
    <w:semiHidden/>
    <w:unhideWhenUsed/>
    <w:rPr>
      <w:vertAlign w:val="superscript"/>
    </w:rPr>
  </w:style>
  <w:style w:type="table" w:customStyle="1" w:styleId="GridTable4-Accent51">
    <w:name w:val="Grid Table 4 - Accent 51"/>
    <w:basedOn w:val="TableNormal"/>
    <w:uiPriority w:val="49"/>
    <w:rPr>
      <w:sz w:val="22"/>
      <w:szCs w:val="22"/>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customStyle="1" w:styleId="Typedudocument">
    <w:name w:val="Type du document"/>
    <w:basedOn w:val="Normal"/>
    <w:next w:val="Normal"/>
    <w:pPr>
      <w:spacing w:before="360" w:after="0" w:line="240" w:lineRule="auto"/>
      <w:jc w:val="center"/>
    </w:pPr>
    <w:rPr>
      <w:rFonts w:ascii="Times New Roman" w:eastAsiaTheme="minorHAnsi" w:hAnsi="Times New Roman"/>
      <w:b/>
      <w:sz w:val="24"/>
    </w:rPr>
  </w:style>
  <w:style w:type="paragraph" w:customStyle="1" w:styleId="Titreobjet">
    <w:name w:val="Titre objet"/>
    <w:basedOn w:val="Normal"/>
    <w:next w:val="Normal"/>
    <w:pPr>
      <w:spacing w:before="360" w:after="360" w:line="240" w:lineRule="auto"/>
      <w:jc w:val="center"/>
    </w:pPr>
    <w:rPr>
      <w:rFonts w:ascii="Times New Roman" w:eastAsiaTheme="minorHAnsi" w:hAnsi="Times New Roman"/>
      <w:b/>
      <w:sz w:val="24"/>
    </w:rPr>
  </w:style>
  <w:style w:type="paragraph" w:styleId="FootnoteText">
    <w:name w:val="footnote text"/>
    <w:basedOn w:val="Normal"/>
    <w:link w:val="FootnoteTextChar"/>
    <w:semiHidden/>
    <w:unhideWhenUsed/>
    <w:pPr>
      <w:spacing w:after="0" w:line="240" w:lineRule="auto"/>
    </w:pPr>
    <w:rPr>
      <w:sz w:val="20"/>
      <w:szCs w:val="20"/>
    </w:rPr>
  </w:style>
  <w:style w:type="character" w:customStyle="1" w:styleId="FootnoteTextChar">
    <w:name w:val="Footnote Text Char"/>
    <w:basedOn w:val="DefaultParagraphFont"/>
    <w:link w:val="FootnoteText"/>
    <w:semiHidden/>
    <w:rPr>
      <w:lang w:eastAsia="en-US"/>
    </w:rPr>
  </w:style>
  <w:style w:type="paragraph" w:customStyle="1" w:styleId="PSParagraphText">
    <w:name w:val="PS_Paragraph_Text"/>
    <w:basedOn w:val="Normal"/>
    <w:link w:val="PSParagraphTextChar"/>
    <w:qFormat/>
    <w:pPr>
      <w:spacing w:after="120" w:line="240" w:lineRule="auto"/>
      <w:jc w:val="both"/>
    </w:pPr>
    <w:rPr>
      <w:rFonts w:ascii="Times New Roman" w:eastAsia="Times New Roman" w:hAnsi="Times New Roman"/>
      <w:sz w:val="20"/>
      <w:szCs w:val="20"/>
      <w:lang w:eastAsia="en-GB"/>
    </w:rPr>
  </w:style>
  <w:style w:type="character" w:customStyle="1" w:styleId="PSParagraphTextChar">
    <w:name w:val="PS_Paragraph_Text Char"/>
    <w:basedOn w:val="DefaultParagraphFont"/>
    <w:link w:val="PSParagraphText"/>
    <w:rPr>
      <w:rFonts w:ascii="Times New Roman" w:eastAsia="Times New Roman" w:hAnsi="Times New Roman"/>
      <w:lang w:eastAsia="en-GB"/>
    </w:rPr>
  </w:style>
  <w:style w:type="paragraph" w:customStyle="1" w:styleId="Normalnumbered">
    <w:name w:val="Normal numbered"/>
    <w:basedOn w:val="Normal"/>
    <w:link w:val="NormalnumberedChar"/>
    <w:uiPriority w:val="99"/>
    <w:qFormat/>
    <w:pPr>
      <w:numPr>
        <w:numId w:val="18"/>
      </w:numPr>
      <w:spacing w:before="240" w:after="0" w:line="240" w:lineRule="auto"/>
      <w:jc w:val="both"/>
    </w:pPr>
    <w:rPr>
      <w:rFonts w:ascii="Arial" w:eastAsia="Times New Roman" w:hAnsi="Arial"/>
    </w:rPr>
  </w:style>
  <w:style w:type="character" w:customStyle="1" w:styleId="NormalnumberedChar">
    <w:name w:val="Normal numbered Char"/>
    <w:link w:val="Normalnumbered"/>
    <w:uiPriority w:val="99"/>
    <w:rPr>
      <w:rFonts w:ascii="Arial" w:eastAsia="Times New Roman" w:hAnsi="Arial"/>
      <w:sz w:val="22"/>
      <w:szCs w:val="22"/>
      <w:lang w:eastAsia="en-US"/>
    </w:r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List Bullet 5"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uiPriority w:val="9"/>
    <w:qFormat/>
    <w:pPr>
      <w:keepNext/>
      <w:tabs>
        <w:tab w:val="num" w:pos="850"/>
      </w:tabs>
      <w:spacing w:before="240" w:after="60"/>
      <w:ind w:left="850" w:hanging="850"/>
      <w:outlineLvl w:val="0"/>
    </w:pPr>
    <w:rPr>
      <w:rFonts w:ascii="Cambria" w:eastAsia="Times New Roman" w:hAnsi="Cambria"/>
      <w:b/>
      <w:bCs/>
      <w:kern w:val="32"/>
      <w:sz w:val="32"/>
      <w:szCs w:val="32"/>
      <w:lang w:eastAsia="en-GB"/>
    </w:rPr>
  </w:style>
  <w:style w:type="paragraph" w:styleId="Heading2">
    <w:name w:val="heading 2"/>
    <w:basedOn w:val="Normal"/>
    <w:next w:val="Normal"/>
    <w:uiPriority w:val="9"/>
    <w:qFormat/>
    <w:pPr>
      <w:keepNext/>
      <w:tabs>
        <w:tab w:val="num" w:pos="850"/>
      </w:tabs>
      <w:spacing w:before="240" w:after="60"/>
      <w:ind w:left="850" w:hanging="850"/>
      <w:outlineLvl w:val="1"/>
    </w:pPr>
    <w:rPr>
      <w:rFonts w:ascii="Cambria" w:eastAsia="Times New Roman" w:hAnsi="Cambria"/>
      <w:b/>
      <w:bCs/>
      <w:i/>
      <w:iCs/>
      <w:sz w:val="28"/>
      <w:szCs w:val="28"/>
    </w:rPr>
  </w:style>
  <w:style w:type="paragraph" w:styleId="Heading3">
    <w:name w:val="heading 3"/>
    <w:basedOn w:val="Normal"/>
    <w:next w:val="Normal"/>
    <w:uiPriority w:val="9"/>
    <w:qFormat/>
    <w:pPr>
      <w:keepNext/>
      <w:tabs>
        <w:tab w:val="num" w:pos="850"/>
      </w:tabs>
      <w:spacing w:before="240" w:after="60"/>
      <w:ind w:left="850" w:hanging="850"/>
      <w:jc w:val="both"/>
      <w:outlineLvl w:val="2"/>
    </w:pPr>
    <w:rPr>
      <w:rFonts w:ascii="Times New Roman" w:eastAsia="Times New Roman" w:hAnsi="Times New Roman"/>
      <w:b/>
      <w:bCs/>
      <w:i/>
      <w:sz w:val="24"/>
      <w:szCs w:val="20"/>
      <w:lang w:val="en-US" w:eastAsia="en-GB"/>
    </w:rPr>
  </w:style>
  <w:style w:type="paragraph" w:styleId="Heading4">
    <w:name w:val="heading 4"/>
    <w:basedOn w:val="Normal"/>
    <w:next w:val="Normal"/>
    <w:qFormat/>
    <w:pPr>
      <w:keepNext/>
      <w:tabs>
        <w:tab w:val="num" w:pos="850"/>
      </w:tabs>
      <w:ind w:left="850" w:hanging="850"/>
      <w:jc w:val="both"/>
      <w:outlineLvl w:val="3"/>
    </w:pPr>
    <w:rPr>
      <w:i/>
      <w:iCs/>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Pr>
      <w:rFonts w:ascii="Cambria" w:eastAsia="Times New Roman" w:hAnsi="Cambria"/>
      <w:b/>
      <w:bCs/>
      <w:kern w:val="32"/>
      <w:sz w:val="32"/>
      <w:szCs w:val="32"/>
    </w:rPr>
  </w:style>
  <w:style w:type="character" w:customStyle="1" w:styleId="Heading2Char">
    <w:name w:val="Heading 2 Char"/>
    <w:rPr>
      <w:rFonts w:ascii="Cambria" w:eastAsia="Times New Roman" w:hAnsi="Cambria" w:cs="Times New Roman"/>
      <w:b/>
      <w:bCs/>
      <w:i/>
      <w:iCs/>
      <w:sz w:val="28"/>
      <w:szCs w:val="28"/>
      <w:lang w:eastAsia="en-US"/>
    </w:rPr>
  </w:style>
  <w:style w:type="character" w:customStyle="1" w:styleId="Heading3Char">
    <w:name w:val="Heading 3 Char"/>
    <w:rPr>
      <w:rFonts w:ascii="Cambria" w:eastAsia="Times New Roman" w:hAnsi="Cambria" w:cs="Times New Roman"/>
      <w:b/>
      <w:bCs/>
      <w:sz w:val="26"/>
      <w:szCs w:val="26"/>
      <w:lang w:eastAsia="en-US"/>
    </w:rPr>
  </w:style>
  <w:style w:type="paragraph" w:styleId="Title">
    <w:name w:val="Title"/>
    <w:basedOn w:val="Normal"/>
    <w:next w:val="Normal"/>
    <w:link w:val="TitleChar1"/>
    <w:qFormat/>
    <w:pPr>
      <w:spacing w:before="240" w:after="60"/>
      <w:jc w:val="center"/>
      <w:outlineLvl w:val="0"/>
    </w:pPr>
    <w:rPr>
      <w:rFonts w:ascii="Cambria" w:eastAsia="Times New Roman" w:hAnsi="Cambria"/>
      <w:b/>
      <w:bCs/>
      <w:kern w:val="28"/>
      <w:sz w:val="32"/>
      <w:szCs w:val="32"/>
      <w:lang w:val="x-none"/>
    </w:rPr>
  </w:style>
  <w:style w:type="character" w:customStyle="1" w:styleId="TitleChar">
    <w:name w:val="Title Char"/>
    <w:rPr>
      <w:rFonts w:ascii="Cambria" w:eastAsia="Times New Roman" w:hAnsi="Cambria" w:cs="Times New Roman"/>
      <w:b/>
      <w:bCs/>
      <w:kern w:val="28"/>
      <w:sz w:val="32"/>
      <w:szCs w:val="32"/>
      <w:lang w:eastAsia="en-US"/>
    </w:rPr>
  </w:style>
  <w:style w:type="paragraph" w:styleId="TOCHeading">
    <w:name w:val="TOC Heading"/>
    <w:basedOn w:val="Heading1"/>
    <w:next w:val="Normal"/>
    <w:qFormat/>
    <w:pPr>
      <w:keepLines/>
      <w:tabs>
        <w:tab w:val="clear" w:pos="850"/>
      </w:tabs>
      <w:spacing w:before="480" w:after="0"/>
      <w:ind w:left="0" w:firstLine="0"/>
      <w:outlineLvl w:val="9"/>
    </w:pPr>
    <w:rPr>
      <w:rFonts w:eastAsia="MS Gothic"/>
      <w:color w:val="365F91"/>
      <w:kern w:val="0"/>
      <w:sz w:val="28"/>
      <w:szCs w:val="28"/>
      <w:lang w:val="en-US" w:eastAsia="ja-JP"/>
    </w:rPr>
  </w:style>
  <w:style w:type="paragraph" w:styleId="TOC1">
    <w:name w:val="toc 1"/>
    <w:basedOn w:val="Normal"/>
    <w:next w:val="Normal"/>
    <w:autoRedefine/>
    <w:semiHidden/>
    <w:unhideWhenUsed/>
  </w:style>
  <w:style w:type="paragraph" w:styleId="TOC2">
    <w:name w:val="toc 2"/>
    <w:basedOn w:val="Normal"/>
    <w:next w:val="Normal"/>
    <w:autoRedefine/>
    <w:semiHidden/>
    <w:unhideWhenUsed/>
    <w:pPr>
      <w:ind w:left="220"/>
    </w:pPr>
  </w:style>
  <w:style w:type="paragraph" w:styleId="TOC3">
    <w:name w:val="toc 3"/>
    <w:basedOn w:val="Normal"/>
    <w:next w:val="Normal"/>
    <w:autoRedefine/>
    <w:semiHidden/>
    <w:unhideWhenUsed/>
    <w:pPr>
      <w:ind w:left="440"/>
    </w:pPr>
  </w:style>
  <w:style w:type="character" w:styleId="Hyperlink">
    <w:name w:val="Hyperlink"/>
    <w:unhideWhenUsed/>
    <w:rPr>
      <w:color w:val="0000FF"/>
      <w:u w:val="single"/>
    </w:rPr>
  </w:style>
  <w:style w:type="character" w:styleId="CommentReference">
    <w:name w:val="annotation reference"/>
    <w:uiPriority w:val="99"/>
    <w:unhideWhenUsed/>
    <w:rPr>
      <w:sz w:val="16"/>
      <w:szCs w:val="16"/>
    </w:rPr>
  </w:style>
  <w:style w:type="paragraph" w:styleId="CommentText">
    <w:name w:val="annotation text"/>
    <w:basedOn w:val="Normal"/>
    <w:semiHidden/>
    <w:unhideWhenUsed/>
    <w:rPr>
      <w:rFonts w:eastAsia="Times New Roman"/>
      <w:sz w:val="20"/>
      <w:szCs w:val="20"/>
      <w:lang w:eastAsia="en-GB"/>
    </w:rPr>
  </w:style>
  <w:style w:type="character" w:customStyle="1" w:styleId="CommentTextChar">
    <w:name w:val="Comment Text Char"/>
    <w:semiHidden/>
    <w:rPr>
      <w:rFonts w:eastAsia="Times New Roman"/>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paragraph" w:styleId="Header">
    <w:name w:val="header"/>
    <w:basedOn w:val="Normal"/>
    <w:link w:val="HeaderChar"/>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rPr>
      <w:rFonts w:ascii="Times New Roman" w:hAnsi="Times New Roman"/>
      <w:sz w:val="24"/>
      <w:szCs w:val="22"/>
      <w:lang w:val="en-GB"/>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val="en-GB"/>
    </w:rPr>
  </w:style>
  <w:style w:type="paragraph" w:customStyle="1" w:styleId="footnotetext1">
    <w:name w:val="footnote text1"/>
    <w:aliases w:val="FT"/>
    <w:basedOn w:val="Normal"/>
    <w:unhideWhenUsed/>
    <w:pPr>
      <w:spacing w:after="0" w:line="240" w:lineRule="auto"/>
    </w:pPr>
    <w:rPr>
      <w:sz w:val="20"/>
      <w:szCs w:val="20"/>
      <w:lang w:val="pl-PL"/>
    </w:rPr>
  </w:style>
  <w:style w:type="character" w:styleId="FootnoteReference">
    <w:name w:val="footnote reference"/>
    <w:aliases w:val="Footnote,Footnote number,Footnote symbol,Footnote Reference Number,Footnote reference number,Times 10 Point,Exposant 3 Point,Footnote Reference Superscript,note TESI,SUPERS,EN Footnote Reference,Ref,de nota al pie"/>
    <w:uiPriority w:val="99"/>
    <w:unhideWhenUsed/>
    <w:rPr>
      <w:vertAlign w:val="superscript"/>
    </w:rPr>
  </w:style>
  <w:style w:type="paragraph" w:customStyle="1" w:styleId="Default">
    <w:name w:val="Default"/>
    <w:pPr>
      <w:autoSpaceDE w:val="0"/>
      <w:autoSpaceDN w:val="0"/>
      <w:adjustRightInd w:val="0"/>
    </w:pPr>
    <w:rPr>
      <w:rFonts w:ascii="Times New Roman" w:hAnsi="Times New Roman"/>
      <w:color w:val="000000"/>
      <w:sz w:val="24"/>
      <w:szCs w:val="24"/>
      <w:lang w:eastAsia="en-GB"/>
    </w:rPr>
  </w:style>
  <w:style w:type="paragraph" w:styleId="BodyText">
    <w:name w:val="Body Text"/>
    <w:basedOn w:val="Normal"/>
    <w:link w:val="BodyTextChar"/>
    <w:semiHidden/>
    <w:pPr>
      <w:tabs>
        <w:tab w:val="left" w:pos="33"/>
        <w:tab w:val="left" w:leader="underscore" w:pos="3577"/>
        <w:tab w:val="left" w:leader="underscore" w:pos="6379"/>
        <w:tab w:val="left" w:leader="underscore" w:pos="8364"/>
      </w:tabs>
      <w:spacing w:after="0" w:line="240" w:lineRule="auto"/>
    </w:pPr>
    <w:rPr>
      <w:rFonts w:ascii="Times New Roman" w:eastAsia="Times New Roman" w:hAnsi="Times New Roman"/>
      <w:sz w:val="20"/>
      <w:szCs w:val="20"/>
      <w:lang w:eastAsia="en-GB"/>
    </w:rPr>
  </w:style>
  <w:style w:type="paragraph" w:styleId="CommentSubject">
    <w:name w:val="annotation subject"/>
    <w:basedOn w:val="CommentText"/>
    <w:next w:val="CommentText"/>
    <w:semiHidden/>
    <w:unhideWhenUsed/>
    <w:rPr>
      <w:rFonts w:eastAsia="Calibri"/>
      <w:b/>
      <w:bCs/>
      <w:lang w:eastAsia="en-US"/>
    </w:rPr>
  </w:style>
  <w:style w:type="character" w:customStyle="1" w:styleId="CommentTextChar1">
    <w:name w:val="Comment Text Char1"/>
    <w:semiHidden/>
    <w:rPr>
      <w:rFonts w:eastAsia="Times New Roman"/>
    </w:rPr>
  </w:style>
  <w:style w:type="character" w:customStyle="1" w:styleId="CommentSubjectChar">
    <w:name w:val="Comment Subject Char"/>
    <w:semiHidden/>
    <w:rPr>
      <w:rFonts w:eastAsia="Times New Roman"/>
      <w:b/>
      <w:bCs/>
      <w:lang w:eastAsia="en-US"/>
    </w:rPr>
  </w:style>
  <w:style w:type="character" w:styleId="Emphasis">
    <w:name w:val="Emphasis"/>
    <w:uiPriority w:val="20"/>
    <w:qFormat/>
    <w:rPr>
      <w:i/>
      <w:iCs/>
    </w:rPr>
  </w:style>
  <w:style w:type="paragraph" w:styleId="Revision">
    <w:name w:val="Revision"/>
    <w:hidden/>
    <w:semiHidden/>
    <w:rPr>
      <w:sz w:val="22"/>
      <w:szCs w:val="22"/>
      <w:lang w:eastAsia="en-US"/>
    </w:rPr>
  </w:style>
  <w:style w:type="character" w:styleId="FollowedHyperlink">
    <w:name w:val="FollowedHyperlink"/>
    <w:semiHidden/>
    <w:rPr>
      <w:color w:val="800080"/>
      <w:u w:val="single"/>
    </w:rPr>
  </w:style>
  <w:style w:type="paragraph" w:styleId="NoSpacing">
    <w:name w:val="No Spacing"/>
    <w:link w:val="NoSpacingChar"/>
    <w:uiPriority w:val="1"/>
    <w:qFormat/>
    <w:rPr>
      <w:rFonts w:eastAsia="MS Mincho"/>
      <w:sz w:val="22"/>
      <w:szCs w:val="22"/>
      <w:lang w:val="en-US" w:eastAsia="ja-JP"/>
    </w:rPr>
  </w:style>
  <w:style w:type="character" w:customStyle="1" w:styleId="NoSpacingChar">
    <w:name w:val="No Spacing Char"/>
    <w:link w:val="NoSpacing"/>
    <w:uiPriority w:val="1"/>
    <w:rPr>
      <w:rFonts w:eastAsia="MS Mincho"/>
      <w:sz w:val="22"/>
      <w:szCs w:val="22"/>
      <w:lang w:val="en-US" w:eastAsia="ja-JP" w:bidi="ar-SA"/>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itleChar1">
    <w:name w:val="Title Char1"/>
    <w:link w:val="Title"/>
    <w:rPr>
      <w:rFonts w:ascii="Cambria" w:eastAsia="Times New Roman" w:hAnsi="Cambria"/>
      <w:b/>
      <w:bCs/>
      <w:kern w:val="28"/>
      <w:sz w:val="32"/>
      <w:szCs w:val="32"/>
      <w:lang w:eastAsia="en-US"/>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0"/>
      <w:lang w:eastAsia="en-GB"/>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b/>
      <w:sz w:val="24"/>
      <w:szCs w:val="20"/>
      <w:lang w:eastAsia="en-GB"/>
    </w:r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 w:type="paragraph" w:customStyle="1" w:styleId="CM4">
    <w:name w:val="CM4"/>
    <w:basedOn w:val="Default"/>
    <w:next w:val="Default"/>
    <w:uiPriority w:val="99"/>
    <w:rPr>
      <w:rFonts w:ascii="EUAlbertina" w:hAnsi="EUAlbertina"/>
      <w:color w:val="auto"/>
    </w:rPr>
  </w:style>
  <w:style w:type="paragraph" w:styleId="ListParagraph">
    <w:name w:val="List Paragraph"/>
    <w:basedOn w:val="Normal"/>
    <w:link w:val="ListParagraphChar"/>
    <w:uiPriority w:val="34"/>
    <w:qFormat/>
    <w:pPr>
      <w:widowControl w:val="0"/>
      <w:ind w:left="720"/>
      <w:contextualSpacing/>
    </w:pPr>
    <w:rPr>
      <w:lang w:val="en-US"/>
    </w:rPr>
  </w:style>
  <w:style w:type="character" w:customStyle="1" w:styleId="ListParagraphChar">
    <w:name w:val="List Paragraph Char"/>
    <w:link w:val="ListParagraph"/>
    <w:uiPriority w:val="34"/>
    <w:locked/>
    <w:rPr>
      <w:rFonts w:cs="Arial"/>
      <w:sz w:val="22"/>
      <w:szCs w:val="22"/>
      <w:lang w:val="en-US" w:eastAsia="en-U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uiPriority w:val="22"/>
    <w:qFormat/>
    <w:rPr>
      <w:b/>
      <w:bCs/>
    </w:rPr>
  </w:style>
  <w:style w:type="character" w:customStyle="1" w:styleId="hvr">
    <w:name w:val="hv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character" w:customStyle="1" w:styleId="BodyTextChar">
    <w:name w:val="Body Text Char"/>
    <w:link w:val="BodyText"/>
    <w:semiHidden/>
    <w:rPr>
      <w:rFonts w:ascii="Times New Roman" w:eastAsia="Times New Roman" w:hAnsi="Times New Roman"/>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numbering" w:customStyle="1" w:styleId="EFRAGNumbering">
    <w:name w:val="EFRAG Numbering"/>
    <w:uiPriority w:val="99"/>
    <w:pPr>
      <w:numPr>
        <w:numId w:val="2"/>
      </w:numPr>
    </w:pPr>
  </w:style>
  <w:style w:type="paragraph" w:customStyle="1" w:styleId="Normalnumberedlevel1">
    <w:name w:val="Normal numbered level 1"/>
    <w:basedOn w:val="Normal"/>
    <w:link w:val="Normalnumberedlevel1Char"/>
    <w:uiPriority w:val="99"/>
    <w:qFormat/>
    <w:pPr>
      <w:numPr>
        <w:numId w:val="2"/>
      </w:numPr>
      <w:tabs>
        <w:tab w:val="left" w:pos="567"/>
        <w:tab w:val="left" w:pos="1134"/>
        <w:tab w:val="left" w:pos="1701"/>
        <w:tab w:val="left" w:pos="2268"/>
        <w:tab w:val="left" w:pos="2835"/>
      </w:tabs>
      <w:spacing w:before="120" w:after="120" w:line="240" w:lineRule="auto"/>
      <w:jc w:val="both"/>
    </w:pPr>
    <w:rPr>
      <w:rFonts w:ascii="Arial" w:eastAsia="Times New Roman" w:hAnsi="Arial" w:cs="Arial"/>
    </w:rPr>
  </w:style>
  <w:style w:type="character" w:customStyle="1" w:styleId="Normalnumberedlevel1Char">
    <w:name w:val="Normal numbered level 1 Char"/>
    <w:link w:val="Normalnumberedlevel1"/>
    <w:uiPriority w:val="99"/>
    <w:rPr>
      <w:rFonts w:ascii="Arial" w:eastAsia="Times New Roman" w:hAnsi="Arial" w:cs="Arial"/>
      <w:sz w:val="22"/>
      <w:szCs w:val="22"/>
      <w:lang w:eastAsia="en-US"/>
    </w:rPr>
  </w:style>
  <w:style w:type="paragraph" w:customStyle="1" w:styleId="Normalnumberedlevel2">
    <w:name w:val="Normal numbered level 2"/>
    <w:basedOn w:val="Normalnumberedlevel1"/>
    <w:uiPriority w:val="99"/>
    <w:qFormat/>
    <w:pPr>
      <w:numPr>
        <w:ilvl w:val="1"/>
      </w:numPr>
      <w:ind w:left="1440" w:hanging="360"/>
    </w:pPr>
  </w:style>
  <w:style w:type="paragraph" w:customStyle="1" w:styleId="Normalnumberedlevel3">
    <w:name w:val="Normal numbered level 3"/>
    <w:basedOn w:val="Normalnumberedlevel2"/>
    <w:qFormat/>
    <w:pPr>
      <w:numPr>
        <w:ilvl w:val="2"/>
      </w:numPr>
      <w:tabs>
        <w:tab w:val="num" w:pos="360"/>
      </w:tabs>
      <w:ind w:left="2160" w:hanging="360"/>
    </w:pPr>
    <w:rPr>
      <w:lang w:eastAsia="en-GB"/>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5">
    <w:name w:val="List Bullet 5"/>
    <w:basedOn w:val="Normal"/>
    <w:autoRedefine/>
    <w:pPr>
      <w:numPr>
        <w:numId w:val="4"/>
      </w:numPr>
      <w:spacing w:after="240" w:line="240" w:lineRule="auto"/>
      <w:jc w:val="both"/>
    </w:pPr>
    <w:rPr>
      <w:rFonts w:ascii="Times New Roman" w:eastAsia="Times New Roman" w:hAnsi="Times New Roman"/>
      <w:sz w:val="24"/>
      <w:szCs w:val="20"/>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lang w:eastAsia="en-US"/>
    </w:rPr>
  </w:style>
  <w:style w:type="character" w:styleId="EndnoteReference">
    <w:name w:val="endnote reference"/>
    <w:uiPriority w:val="99"/>
    <w:semiHidden/>
    <w:unhideWhenUsed/>
    <w:rPr>
      <w:vertAlign w:val="superscript"/>
    </w:rPr>
  </w:style>
  <w:style w:type="table" w:customStyle="1" w:styleId="GridTable4-Accent51">
    <w:name w:val="Grid Table 4 - Accent 51"/>
    <w:basedOn w:val="TableNormal"/>
    <w:uiPriority w:val="49"/>
    <w:rPr>
      <w:sz w:val="22"/>
      <w:szCs w:val="22"/>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customStyle="1" w:styleId="Typedudocument">
    <w:name w:val="Type du document"/>
    <w:basedOn w:val="Normal"/>
    <w:next w:val="Normal"/>
    <w:pPr>
      <w:spacing w:before="360" w:after="0" w:line="240" w:lineRule="auto"/>
      <w:jc w:val="center"/>
    </w:pPr>
    <w:rPr>
      <w:rFonts w:ascii="Times New Roman" w:eastAsiaTheme="minorHAnsi" w:hAnsi="Times New Roman"/>
      <w:b/>
      <w:sz w:val="24"/>
    </w:rPr>
  </w:style>
  <w:style w:type="paragraph" w:customStyle="1" w:styleId="Titreobjet">
    <w:name w:val="Titre objet"/>
    <w:basedOn w:val="Normal"/>
    <w:next w:val="Normal"/>
    <w:pPr>
      <w:spacing w:before="360" w:after="360" w:line="240" w:lineRule="auto"/>
      <w:jc w:val="center"/>
    </w:pPr>
    <w:rPr>
      <w:rFonts w:ascii="Times New Roman" w:eastAsiaTheme="minorHAnsi" w:hAnsi="Times New Roman"/>
      <w:b/>
      <w:sz w:val="24"/>
    </w:rPr>
  </w:style>
  <w:style w:type="paragraph" w:styleId="FootnoteText">
    <w:name w:val="footnote text"/>
    <w:basedOn w:val="Normal"/>
    <w:link w:val="FootnoteTextChar"/>
    <w:semiHidden/>
    <w:unhideWhenUsed/>
    <w:pPr>
      <w:spacing w:after="0" w:line="240" w:lineRule="auto"/>
    </w:pPr>
    <w:rPr>
      <w:sz w:val="20"/>
      <w:szCs w:val="20"/>
    </w:rPr>
  </w:style>
  <w:style w:type="character" w:customStyle="1" w:styleId="FootnoteTextChar">
    <w:name w:val="Footnote Text Char"/>
    <w:basedOn w:val="DefaultParagraphFont"/>
    <w:link w:val="FootnoteText"/>
    <w:semiHidden/>
    <w:rPr>
      <w:lang w:eastAsia="en-US"/>
    </w:rPr>
  </w:style>
  <w:style w:type="paragraph" w:customStyle="1" w:styleId="PSParagraphText">
    <w:name w:val="PS_Paragraph_Text"/>
    <w:basedOn w:val="Normal"/>
    <w:link w:val="PSParagraphTextChar"/>
    <w:qFormat/>
    <w:pPr>
      <w:spacing w:after="120" w:line="240" w:lineRule="auto"/>
      <w:jc w:val="both"/>
    </w:pPr>
    <w:rPr>
      <w:rFonts w:ascii="Times New Roman" w:eastAsia="Times New Roman" w:hAnsi="Times New Roman"/>
      <w:sz w:val="20"/>
      <w:szCs w:val="20"/>
      <w:lang w:eastAsia="en-GB"/>
    </w:rPr>
  </w:style>
  <w:style w:type="character" w:customStyle="1" w:styleId="PSParagraphTextChar">
    <w:name w:val="PS_Paragraph_Text Char"/>
    <w:basedOn w:val="DefaultParagraphFont"/>
    <w:link w:val="PSParagraphText"/>
    <w:rPr>
      <w:rFonts w:ascii="Times New Roman" w:eastAsia="Times New Roman" w:hAnsi="Times New Roman"/>
      <w:lang w:eastAsia="en-GB"/>
    </w:rPr>
  </w:style>
  <w:style w:type="paragraph" w:customStyle="1" w:styleId="Normalnumbered">
    <w:name w:val="Normal numbered"/>
    <w:basedOn w:val="Normal"/>
    <w:link w:val="NormalnumberedChar"/>
    <w:uiPriority w:val="99"/>
    <w:qFormat/>
    <w:pPr>
      <w:numPr>
        <w:numId w:val="18"/>
      </w:numPr>
      <w:spacing w:before="240" w:after="0" w:line="240" w:lineRule="auto"/>
      <w:jc w:val="both"/>
    </w:pPr>
    <w:rPr>
      <w:rFonts w:ascii="Arial" w:eastAsia="Times New Roman" w:hAnsi="Arial"/>
    </w:rPr>
  </w:style>
  <w:style w:type="character" w:customStyle="1" w:styleId="NormalnumberedChar">
    <w:name w:val="Normal numbered Char"/>
    <w:link w:val="Normalnumbered"/>
    <w:uiPriority w:val="99"/>
    <w:rPr>
      <w:rFonts w:ascii="Arial" w:eastAsia="Times New Roman" w:hAnsi="Arial"/>
      <w:sz w:val="22"/>
      <w:szCs w:val="22"/>
      <w:lang w:eastAsia="en-US"/>
    </w:r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50364">
      <w:bodyDiv w:val="1"/>
      <w:marLeft w:val="0"/>
      <w:marRight w:val="0"/>
      <w:marTop w:val="0"/>
      <w:marBottom w:val="0"/>
      <w:divBdr>
        <w:top w:val="none" w:sz="0" w:space="0" w:color="auto"/>
        <w:left w:val="none" w:sz="0" w:space="0" w:color="auto"/>
        <w:bottom w:val="none" w:sz="0" w:space="0" w:color="auto"/>
        <w:right w:val="none" w:sz="0" w:space="0" w:color="auto"/>
      </w:divBdr>
    </w:div>
    <w:div w:id="77800306">
      <w:bodyDiv w:val="1"/>
      <w:marLeft w:val="0"/>
      <w:marRight w:val="0"/>
      <w:marTop w:val="0"/>
      <w:marBottom w:val="0"/>
      <w:divBdr>
        <w:top w:val="none" w:sz="0" w:space="0" w:color="auto"/>
        <w:left w:val="none" w:sz="0" w:space="0" w:color="auto"/>
        <w:bottom w:val="none" w:sz="0" w:space="0" w:color="auto"/>
        <w:right w:val="none" w:sz="0" w:space="0" w:color="auto"/>
      </w:divBdr>
    </w:div>
    <w:div w:id="116800629">
      <w:bodyDiv w:val="1"/>
      <w:marLeft w:val="0"/>
      <w:marRight w:val="0"/>
      <w:marTop w:val="0"/>
      <w:marBottom w:val="0"/>
      <w:divBdr>
        <w:top w:val="none" w:sz="0" w:space="0" w:color="auto"/>
        <w:left w:val="none" w:sz="0" w:space="0" w:color="auto"/>
        <w:bottom w:val="none" w:sz="0" w:space="0" w:color="auto"/>
        <w:right w:val="none" w:sz="0" w:space="0" w:color="auto"/>
      </w:divBdr>
      <w:divsChild>
        <w:div w:id="822895299">
          <w:marLeft w:val="0"/>
          <w:marRight w:val="0"/>
          <w:marTop w:val="0"/>
          <w:marBottom w:val="0"/>
          <w:divBdr>
            <w:top w:val="none" w:sz="0" w:space="0" w:color="auto"/>
            <w:left w:val="none" w:sz="0" w:space="0" w:color="auto"/>
            <w:bottom w:val="none" w:sz="0" w:space="0" w:color="auto"/>
            <w:right w:val="none" w:sz="0" w:space="0" w:color="auto"/>
          </w:divBdr>
        </w:div>
      </w:divsChild>
    </w:div>
    <w:div w:id="179666407">
      <w:bodyDiv w:val="1"/>
      <w:marLeft w:val="0"/>
      <w:marRight w:val="0"/>
      <w:marTop w:val="0"/>
      <w:marBottom w:val="0"/>
      <w:divBdr>
        <w:top w:val="none" w:sz="0" w:space="0" w:color="auto"/>
        <w:left w:val="none" w:sz="0" w:space="0" w:color="auto"/>
        <w:bottom w:val="none" w:sz="0" w:space="0" w:color="auto"/>
        <w:right w:val="none" w:sz="0" w:space="0" w:color="auto"/>
      </w:divBdr>
    </w:div>
    <w:div w:id="187835993">
      <w:bodyDiv w:val="1"/>
      <w:marLeft w:val="0"/>
      <w:marRight w:val="0"/>
      <w:marTop w:val="0"/>
      <w:marBottom w:val="0"/>
      <w:divBdr>
        <w:top w:val="none" w:sz="0" w:space="0" w:color="auto"/>
        <w:left w:val="none" w:sz="0" w:space="0" w:color="auto"/>
        <w:bottom w:val="none" w:sz="0" w:space="0" w:color="auto"/>
        <w:right w:val="none" w:sz="0" w:space="0" w:color="auto"/>
      </w:divBdr>
    </w:div>
    <w:div w:id="251859283">
      <w:bodyDiv w:val="1"/>
      <w:marLeft w:val="0"/>
      <w:marRight w:val="0"/>
      <w:marTop w:val="0"/>
      <w:marBottom w:val="0"/>
      <w:divBdr>
        <w:top w:val="none" w:sz="0" w:space="0" w:color="auto"/>
        <w:left w:val="none" w:sz="0" w:space="0" w:color="auto"/>
        <w:bottom w:val="none" w:sz="0" w:space="0" w:color="auto"/>
        <w:right w:val="none" w:sz="0" w:space="0" w:color="auto"/>
      </w:divBdr>
    </w:div>
    <w:div w:id="331613006">
      <w:bodyDiv w:val="1"/>
      <w:marLeft w:val="0"/>
      <w:marRight w:val="0"/>
      <w:marTop w:val="0"/>
      <w:marBottom w:val="0"/>
      <w:divBdr>
        <w:top w:val="none" w:sz="0" w:space="0" w:color="auto"/>
        <w:left w:val="none" w:sz="0" w:space="0" w:color="auto"/>
        <w:bottom w:val="none" w:sz="0" w:space="0" w:color="auto"/>
        <w:right w:val="none" w:sz="0" w:space="0" w:color="auto"/>
      </w:divBdr>
    </w:div>
    <w:div w:id="356085689">
      <w:bodyDiv w:val="1"/>
      <w:marLeft w:val="0"/>
      <w:marRight w:val="0"/>
      <w:marTop w:val="0"/>
      <w:marBottom w:val="0"/>
      <w:divBdr>
        <w:top w:val="none" w:sz="0" w:space="0" w:color="auto"/>
        <w:left w:val="none" w:sz="0" w:space="0" w:color="auto"/>
        <w:bottom w:val="none" w:sz="0" w:space="0" w:color="auto"/>
        <w:right w:val="none" w:sz="0" w:space="0" w:color="auto"/>
      </w:divBdr>
    </w:div>
    <w:div w:id="521168964">
      <w:bodyDiv w:val="1"/>
      <w:marLeft w:val="0"/>
      <w:marRight w:val="0"/>
      <w:marTop w:val="0"/>
      <w:marBottom w:val="0"/>
      <w:divBdr>
        <w:top w:val="none" w:sz="0" w:space="0" w:color="auto"/>
        <w:left w:val="none" w:sz="0" w:space="0" w:color="auto"/>
        <w:bottom w:val="none" w:sz="0" w:space="0" w:color="auto"/>
        <w:right w:val="none" w:sz="0" w:space="0" w:color="auto"/>
      </w:divBdr>
    </w:div>
    <w:div w:id="562328689">
      <w:bodyDiv w:val="1"/>
      <w:marLeft w:val="0"/>
      <w:marRight w:val="0"/>
      <w:marTop w:val="0"/>
      <w:marBottom w:val="0"/>
      <w:divBdr>
        <w:top w:val="none" w:sz="0" w:space="0" w:color="auto"/>
        <w:left w:val="none" w:sz="0" w:space="0" w:color="auto"/>
        <w:bottom w:val="none" w:sz="0" w:space="0" w:color="auto"/>
        <w:right w:val="none" w:sz="0" w:space="0" w:color="auto"/>
      </w:divBdr>
      <w:divsChild>
        <w:div w:id="548688859">
          <w:marLeft w:val="0"/>
          <w:marRight w:val="0"/>
          <w:marTop w:val="0"/>
          <w:marBottom w:val="0"/>
          <w:divBdr>
            <w:top w:val="none" w:sz="0" w:space="0" w:color="auto"/>
            <w:left w:val="none" w:sz="0" w:space="0" w:color="auto"/>
            <w:bottom w:val="none" w:sz="0" w:space="0" w:color="auto"/>
            <w:right w:val="none" w:sz="0" w:space="0" w:color="auto"/>
          </w:divBdr>
          <w:divsChild>
            <w:div w:id="1275333363">
              <w:marLeft w:val="0"/>
              <w:marRight w:val="0"/>
              <w:marTop w:val="0"/>
              <w:marBottom w:val="0"/>
              <w:divBdr>
                <w:top w:val="none" w:sz="0" w:space="0" w:color="auto"/>
                <w:left w:val="none" w:sz="0" w:space="0" w:color="auto"/>
                <w:bottom w:val="none" w:sz="0" w:space="0" w:color="auto"/>
                <w:right w:val="none" w:sz="0" w:space="0" w:color="auto"/>
              </w:divBdr>
              <w:divsChild>
                <w:div w:id="245917345">
                  <w:marLeft w:val="0"/>
                  <w:marRight w:val="0"/>
                  <w:marTop w:val="0"/>
                  <w:marBottom w:val="0"/>
                  <w:divBdr>
                    <w:top w:val="none" w:sz="0" w:space="0" w:color="auto"/>
                    <w:left w:val="none" w:sz="0" w:space="0" w:color="auto"/>
                    <w:bottom w:val="none" w:sz="0" w:space="0" w:color="auto"/>
                    <w:right w:val="none" w:sz="0" w:space="0" w:color="auto"/>
                  </w:divBdr>
                  <w:divsChild>
                    <w:div w:id="271665958">
                      <w:marLeft w:val="0"/>
                      <w:marRight w:val="0"/>
                      <w:marTop w:val="0"/>
                      <w:marBottom w:val="0"/>
                      <w:divBdr>
                        <w:top w:val="none" w:sz="0" w:space="0" w:color="auto"/>
                        <w:left w:val="none" w:sz="0" w:space="0" w:color="auto"/>
                        <w:bottom w:val="none" w:sz="0" w:space="0" w:color="auto"/>
                        <w:right w:val="none" w:sz="0" w:space="0" w:color="auto"/>
                      </w:divBdr>
                      <w:divsChild>
                        <w:div w:id="136724194">
                          <w:marLeft w:val="150"/>
                          <w:marRight w:val="150"/>
                          <w:marTop w:val="0"/>
                          <w:marBottom w:val="0"/>
                          <w:divBdr>
                            <w:top w:val="none" w:sz="0" w:space="0" w:color="auto"/>
                            <w:left w:val="none" w:sz="0" w:space="0" w:color="auto"/>
                            <w:bottom w:val="none" w:sz="0" w:space="0" w:color="auto"/>
                            <w:right w:val="none" w:sz="0" w:space="0" w:color="auto"/>
                          </w:divBdr>
                          <w:divsChild>
                            <w:div w:id="1053888663">
                              <w:marLeft w:val="2325"/>
                              <w:marRight w:val="0"/>
                              <w:marTop w:val="0"/>
                              <w:marBottom w:val="0"/>
                              <w:divBdr>
                                <w:top w:val="none" w:sz="0" w:space="0" w:color="auto"/>
                                <w:left w:val="none" w:sz="0" w:space="0" w:color="auto"/>
                                <w:bottom w:val="none" w:sz="0" w:space="0" w:color="auto"/>
                                <w:right w:val="none" w:sz="0" w:space="0" w:color="auto"/>
                              </w:divBdr>
                              <w:divsChild>
                                <w:div w:id="430903542">
                                  <w:marLeft w:val="0"/>
                                  <w:marRight w:val="0"/>
                                  <w:marTop w:val="0"/>
                                  <w:marBottom w:val="0"/>
                                  <w:divBdr>
                                    <w:top w:val="none" w:sz="0" w:space="0" w:color="auto"/>
                                    <w:left w:val="none" w:sz="0" w:space="0" w:color="auto"/>
                                    <w:bottom w:val="none" w:sz="0" w:space="0" w:color="auto"/>
                                    <w:right w:val="none" w:sz="0" w:space="0" w:color="auto"/>
                                  </w:divBdr>
                                  <w:divsChild>
                                    <w:div w:id="1593052482">
                                      <w:marLeft w:val="0"/>
                                      <w:marRight w:val="0"/>
                                      <w:marTop w:val="225"/>
                                      <w:marBottom w:val="0"/>
                                      <w:divBdr>
                                        <w:top w:val="none" w:sz="0" w:space="0" w:color="auto"/>
                                        <w:left w:val="none" w:sz="0" w:space="0" w:color="auto"/>
                                        <w:bottom w:val="none" w:sz="0" w:space="0" w:color="auto"/>
                                        <w:right w:val="none" w:sz="0" w:space="0" w:color="auto"/>
                                      </w:divBdr>
                                      <w:divsChild>
                                        <w:div w:id="1534492029">
                                          <w:marLeft w:val="0"/>
                                          <w:marRight w:val="0"/>
                                          <w:marTop w:val="0"/>
                                          <w:marBottom w:val="0"/>
                                          <w:divBdr>
                                            <w:top w:val="none" w:sz="0" w:space="0" w:color="auto"/>
                                            <w:left w:val="none" w:sz="0" w:space="0" w:color="auto"/>
                                            <w:bottom w:val="none" w:sz="0" w:space="0" w:color="auto"/>
                                            <w:right w:val="none" w:sz="0" w:space="0" w:color="auto"/>
                                          </w:divBdr>
                                          <w:divsChild>
                                            <w:div w:id="1030569207">
                                              <w:marLeft w:val="0"/>
                                              <w:marRight w:val="0"/>
                                              <w:marTop w:val="0"/>
                                              <w:marBottom w:val="0"/>
                                              <w:divBdr>
                                                <w:top w:val="none" w:sz="0" w:space="0" w:color="auto"/>
                                                <w:left w:val="none" w:sz="0" w:space="0" w:color="auto"/>
                                                <w:bottom w:val="none" w:sz="0" w:space="0" w:color="auto"/>
                                                <w:right w:val="none" w:sz="0" w:space="0" w:color="auto"/>
                                              </w:divBdr>
                                              <w:divsChild>
                                                <w:div w:id="1022511197">
                                                  <w:marLeft w:val="0"/>
                                                  <w:marRight w:val="0"/>
                                                  <w:marTop w:val="0"/>
                                                  <w:marBottom w:val="0"/>
                                                  <w:divBdr>
                                                    <w:top w:val="none" w:sz="0" w:space="0" w:color="auto"/>
                                                    <w:left w:val="none" w:sz="0" w:space="0" w:color="auto"/>
                                                    <w:bottom w:val="none" w:sz="0" w:space="0" w:color="auto"/>
                                                    <w:right w:val="none" w:sz="0" w:space="0" w:color="auto"/>
                                                  </w:divBdr>
                                                  <w:divsChild>
                                                    <w:div w:id="1979797925">
                                                      <w:marLeft w:val="0"/>
                                                      <w:marRight w:val="0"/>
                                                      <w:marTop w:val="0"/>
                                                      <w:marBottom w:val="0"/>
                                                      <w:divBdr>
                                                        <w:top w:val="none" w:sz="0" w:space="0" w:color="auto"/>
                                                        <w:left w:val="none" w:sz="0" w:space="0" w:color="auto"/>
                                                        <w:bottom w:val="none" w:sz="0" w:space="0" w:color="auto"/>
                                                        <w:right w:val="none" w:sz="0" w:space="0" w:color="auto"/>
                                                      </w:divBdr>
                                                      <w:divsChild>
                                                        <w:div w:id="1536767083">
                                                          <w:marLeft w:val="0"/>
                                                          <w:marRight w:val="0"/>
                                                          <w:marTop w:val="0"/>
                                                          <w:marBottom w:val="0"/>
                                                          <w:divBdr>
                                                            <w:top w:val="none" w:sz="0" w:space="0" w:color="auto"/>
                                                            <w:left w:val="none" w:sz="0" w:space="0" w:color="auto"/>
                                                            <w:bottom w:val="none" w:sz="0" w:space="0" w:color="auto"/>
                                                            <w:right w:val="none" w:sz="0" w:space="0" w:color="auto"/>
                                                          </w:divBdr>
                                                          <w:divsChild>
                                                            <w:div w:id="5454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0309057">
      <w:bodyDiv w:val="1"/>
      <w:marLeft w:val="0"/>
      <w:marRight w:val="0"/>
      <w:marTop w:val="0"/>
      <w:marBottom w:val="0"/>
      <w:divBdr>
        <w:top w:val="none" w:sz="0" w:space="0" w:color="auto"/>
        <w:left w:val="none" w:sz="0" w:space="0" w:color="auto"/>
        <w:bottom w:val="none" w:sz="0" w:space="0" w:color="auto"/>
        <w:right w:val="none" w:sz="0" w:space="0" w:color="auto"/>
      </w:divBdr>
      <w:divsChild>
        <w:div w:id="1069497986">
          <w:marLeft w:val="0"/>
          <w:marRight w:val="0"/>
          <w:marTop w:val="0"/>
          <w:marBottom w:val="0"/>
          <w:divBdr>
            <w:top w:val="none" w:sz="0" w:space="0" w:color="auto"/>
            <w:left w:val="none" w:sz="0" w:space="0" w:color="auto"/>
            <w:bottom w:val="none" w:sz="0" w:space="0" w:color="auto"/>
            <w:right w:val="none" w:sz="0" w:space="0" w:color="auto"/>
          </w:divBdr>
        </w:div>
      </w:divsChild>
    </w:div>
    <w:div w:id="595745096">
      <w:bodyDiv w:val="1"/>
      <w:marLeft w:val="0"/>
      <w:marRight w:val="0"/>
      <w:marTop w:val="0"/>
      <w:marBottom w:val="0"/>
      <w:divBdr>
        <w:top w:val="none" w:sz="0" w:space="0" w:color="auto"/>
        <w:left w:val="none" w:sz="0" w:space="0" w:color="auto"/>
        <w:bottom w:val="none" w:sz="0" w:space="0" w:color="auto"/>
        <w:right w:val="none" w:sz="0" w:space="0" w:color="auto"/>
      </w:divBdr>
      <w:divsChild>
        <w:div w:id="150871924">
          <w:marLeft w:val="0"/>
          <w:marRight w:val="0"/>
          <w:marTop w:val="0"/>
          <w:marBottom w:val="0"/>
          <w:divBdr>
            <w:top w:val="none" w:sz="0" w:space="0" w:color="auto"/>
            <w:left w:val="none" w:sz="0" w:space="0" w:color="auto"/>
            <w:bottom w:val="none" w:sz="0" w:space="0" w:color="auto"/>
            <w:right w:val="none" w:sz="0" w:space="0" w:color="auto"/>
          </w:divBdr>
          <w:divsChild>
            <w:div w:id="1422677752">
              <w:marLeft w:val="0"/>
              <w:marRight w:val="0"/>
              <w:marTop w:val="0"/>
              <w:marBottom w:val="0"/>
              <w:divBdr>
                <w:top w:val="none" w:sz="0" w:space="0" w:color="auto"/>
                <w:left w:val="none" w:sz="0" w:space="0" w:color="auto"/>
                <w:bottom w:val="none" w:sz="0" w:space="0" w:color="auto"/>
                <w:right w:val="none" w:sz="0" w:space="0" w:color="auto"/>
              </w:divBdr>
              <w:divsChild>
                <w:div w:id="2139251441">
                  <w:marLeft w:val="0"/>
                  <w:marRight w:val="0"/>
                  <w:marTop w:val="0"/>
                  <w:marBottom w:val="0"/>
                  <w:divBdr>
                    <w:top w:val="none" w:sz="0" w:space="0" w:color="auto"/>
                    <w:left w:val="none" w:sz="0" w:space="0" w:color="auto"/>
                    <w:bottom w:val="none" w:sz="0" w:space="0" w:color="auto"/>
                    <w:right w:val="none" w:sz="0" w:space="0" w:color="auto"/>
                  </w:divBdr>
                  <w:divsChild>
                    <w:div w:id="252325925">
                      <w:marLeft w:val="0"/>
                      <w:marRight w:val="0"/>
                      <w:marTop w:val="0"/>
                      <w:marBottom w:val="0"/>
                      <w:divBdr>
                        <w:top w:val="none" w:sz="0" w:space="0" w:color="auto"/>
                        <w:left w:val="none" w:sz="0" w:space="0" w:color="auto"/>
                        <w:bottom w:val="none" w:sz="0" w:space="0" w:color="auto"/>
                        <w:right w:val="none" w:sz="0" w:space="0" w:color="auto"/>
                      </w:divBdr>
                      <w:divsChild>
                        <w:div w:id="1458766191">
                          <w:marLeft w:val="0"/>
                          <w:marRight w:val="0"/>
                          <w:marTop w:val="0"/>
                          <w:marBottom w:val="0"/>
                          <w:divBdr>
                            <w:top w:val="none" w:sz="0" w:space="0" w:color="auto"/>
                            <w:left w:val="none" w:sz="0" w:space="0" w:color="auto"/>
                            <w:bottom w:val="none" w:sz="0" w:space="0" w:color="auto"/>
                            <w:right w:val="none" w:sz="0" w:space="0" w:color="auto"/>
                          </w:divBdr>
                          <w:divsChild>
                            <w:div w:id="1969161952">
                              <w:marLeft w:val="0"/>
                              <w:marRight w:val="0"/>
                              <w:marTop w:val="0"/>
                              <w:marBottom w:val="0"/>
                              <w:divBdr>
                                <w:top w:val="none" w:sz="0" w:space="0" w:color="auto"/>
                                <w:left w:val="none" w:sz="0" w:space="0" w:color="auto"/>
                                <w:bottom w:val="none" w:sz="0" w:space="0" w:color="auto"/>
                                <w:right w:val="none" w:sz="0" w:space="0" w:color="auto"/>
                              </w:divBdr>
                              <w:divsChild>
                                <w:div w:id="1297563278">
                                  <w:marLeft w:val="0"/>
                                  <w:marRight w:val="0"/>
                                  <w:marTop w:val="30"/>
                                  <w:marBottom w:val="2250"/>
                                  <w:divBdr>
                                    <w:top w:val="none" w:sz="0" w:space="0" w:color="auto"/>
                                    <w:left w:val="none" w:sz="0" w:space="0" w:color="auto"/>
                                    <w:bottom w:val="none" w:sz="0" w:space="0" w:color="auto"/>
                                    <w:right w:val="none" w:sz="0" w:space="0" w:color="auto"/>
                                  </w:divBdr>
                                  <w:divsChild>
                                    <w:div w:id="985234156">
                                      <w:marLeft w:val="0"/>
                                      <w:marRight w:val="0"/>
                                      <w:marTop w:val="0"/>
                                      <w:marBottom w:val="0"/>
                                      <w:divBdr>
                                        <w:top w:val="none" w:sz="0" w:space="0" w:color="auto"/>
                                        <w:left w:val="none" w:sz="0" w:space="0" w:color="auto"/>
                                        <w:bottom w:val="none" w:sz="0" w:space="0" w:color="auto"/>
                                        <w:right w:val="none" w:sz="0" w:space="0" w:color="auto"/>
                                      </w:divBdr>
                                      <w:divsChild>
                                        <w:div w:id="650327722">
                                          <w:marLeft w:val="0"/>
                                          <w:marRight w:val="0"/>
                                          <w:marTop w:val="0"/>
                                          <w:marBottom w:val="0"/>
                                          <w:divBdr>
                                            <w:top w:val="none" w:sz="0" w:space="0" w:color="auto"/>
                                            <w:left w:val="none" w:sz="0" w:space="0" w:color="auto"/>
                                            <w:bottom w:val="none" w:sz="0" w:space="0" w:color="auto"/>
                                            <w:right w:val="none" w:sz="0" w:space="0" w:color="auto"/>
                                          </w:divBdr>
                                          <w:divsChild>
                                            <w:div w:id="1257058158">
                                              <w:marLeft w:val="0"/>
                                              <w:marRight w:val="0"/>
                                              <w:marTop w:val="0"/>
                                              <w:marBottom w:val="0"/>
                                              <w:divBdr>
                                                <w:top w:val="none" w:sz="0" w:space="0" w:color="auto"/>
                                                <w:left w:val="none" w:sz="0" w:space="0" w:color="auto"/>
                                                <w:bottom w:val="none" w:sz="0" w:space="0" w:color="auto"/>
                                                <w:right w:val="none" w:sz="0" w:space="0" w:color="auto"/>
                                              </w:divBdr>
                                              <w:divsChild>
                                                <w:div w:id="35477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8042972">
      <w:bodyDiv w:val="1"/>
      <w:marLeft w:val="0"/>
      <w:marRight w:val="0"/>
      <w:marTop w:val="0"/>
      <w:marBottom w:val="0"/>
      <w:divBdr>
        <w:top w:val="none" w:sz="0" w:space="0" w:color="auto"/>
        <w:left w:val="none" w:sz="0" w:space="0" w:color="auto"/>
        <w:bottom w:val="none" w:sz="0" w:space="0" w:color="auto"/>
        <w:right w:val="none" w:sz="0" w:space="0" w:color="auto"/>
      </w:divBdr>
    </w:div>
    <w:div w:id="761528626">
      <w:bodyDiv w:val="1"/>
      <w:marLeft w:val="0"/>
      <w:marRight w:val="0"/>
      <w:marTop w:val="0"/>
      <w:marBottom w:val="0"/>
      <w:divBdr>
        <w:top w:val="none" w:sz="0" w:space="0" w:color="auto"/>
        <w:left w:val="none" w:sz="0" w:space="0" w:color="auto"/>
        <w:bottom w:val="none" w:sz="0" w:space="0" w:color="auto"/>
        <w:right w:val="none" w:sz="0" w:space="0" w:color="auto"/>
      </w:divBdr>
    </w:div>
    <w:div w:id="763379456">
      <w:bodyDiv w:val="1"/>
      <w:marLeft w:val="0"/>
      <w:marRight w:val="0"/>
      <w:marTop w:val="0"/>
      <w:marBottom w:val="0"/>
      <w:divBdr>
        <w:top w:val="none" w:sz="0" w:space="0" w:color="auto"/>
        <w:left w:val="none" w:sz="0" w:space="0" w:color="auto"/>
        <w:bottom w:val="none" w:sz="0" w:space="0" w:color="auto"/>
        <w:right w:val="none" w:sz="0" w:space="0" w:color="auto"/>
      </w:divBdr>
      <w:divsChild>
        <w:div w:id="1002393216">
          <w:marLeft w:val="0"/>
          <w:marRight w:val="0"/>
          <w:marTop w:val="0"/>
          <w:marBottom w:val="0"/>
          <w:divBdr>
            <w:top w:val="none" w:sz="0" w:space="0" w:color="auto"/>
            <w:left w:val="none" w:sz="0" w:space="0" w:color="auto"/>
            <w:bottom w:val="none" w:sz="0" w:space="0" w:color="auto"/>
            <w:right w:val="none" w:sz="0" w:space="0" w:color="auto"/>
          </w:divBdr>
        </w:div>
      </w:divsChild>
    </w:div>
    <w:div w:id="851652300">
      <w:bodyDiv w:val="1"/>
      <w:marLeft w:val="0"/>
      <w:marRight w:val="0"/>
      <w:marTop w:val="0"/>
      <w:marBottom w:val="0"/>
      <w:divBdr>
        <w:top w:val="none" w:sz="0" w:space="0" w:color="auto"/>
        <w:left w:val="none" w:sz="0" w:space="0" w:color="auto"/>
        <w:bottom w:val="none" w:sz="0" w:space="0" w:color="auto"/>
        <w:right w:val="none" w:sz="0" w:space="0" w:color="auto"/>
      </w:divBdr>
    </w:div>
    <w:div w:id="931856724">
      <w:bodyDiv w:val="1"/>
      <w:marLeft w:val="0"/>
      <w:marRight w:val="0"/>
      <w:marTop w:val="0"/>
      <w:marBottom w:val="0"/>
      <w:divBdr>
        <w:top w:val="none" w:sz="0" w:space="0" w:color="auto"/>
        <w:left w:val="none" w:sz="0" w:space="0" w:color="auto"/>
        <w:bottom w:val="none" w:sz="0" w:space="0" w:color="auto"/>
        <w:right w:val="none" w:sz="0" w:space="0" w:color="auto"/>
      </w:divBdr>
      <w:divsChild>
        <w:div w:id="1098988830">
          <w:marLeft w:val="0"/>
          <w:marRight w:val="0"/>
          <w:marTop w:val="0"/>
          <w:marBottom w:val="0"/>
          <w:divBdr>
            <w:top w:val="none" w:sz="0" w:space="0" w:color="auto"/>
            <w:left w:val="none" w:sz="0" w:space="0" w:color="auto"/>
            <w:bottom w:val="none" w:sz="0" w:space="0" w:color="auto"/>
            <w:right w:val="none" w:sz="0" w:space="0" w:color="auto"/>
          </w:divBdr>
        </w:div>
      </w:divsChild>
    </w:div>
    <w:div w:id="1095977796">
      <w:bodyDiv w:val="1"/>
      <w:marLeft w:val="0"/>
      <w:marRight w:val="0"/>
      <w:marTop w:val="0"/>
      <w:marBottom w:val="0"/>
      <w:divBdr>
        <w:top w:val="none" w:sz="0" w:space="0" w:color="auto"/>
        <w:left w:val="none" w:sz="0" w:space="0" w:color="auto"/>
        <w:bottom w:val="none" w:sz="0" w:space="0" w:color="auto"/>
        <w:right w:val="none" w:sz="0" w:space="0" w:color="auto"/>
      </w:divBdr>
    </w:div>
    <w:div w:id="1179538786">
      <w:bodyDiv w:val="1"/>
      <w:marLeft w:val="0"/>
      <w:marRight w:val="0"/>
      <w:marTop w:val="0"/>
      <w:marBottom w:val="0"/>
      <w:divBdr>
        <w:top w:val="none" w:sz="0" w:space="0" w:color="auto"/>
        <w:left w:val="none" w:sz="0" w:space="0" w:color="auto"/>
        <w:bottom w:val="none" w:sz="0" w:space="0" w:color="auto"/>
        <w:right w:val="none" w:sz="0" w:space="0" w:color="auto"/>
      </w:divBdr>
      <w:divsChild>
        <w:div w:id="384989998">
          <w:marLeft w:val="0"/>
          <w:marRight w:val="0"/>
          <w:marTop w:val="0"/>
          <w:marBottom w:val="0"/>
          <w:divBdr>
            <w:top w:val="none" w:sz="0" w:space="0" w:color="auto"/>
            <w:left w:val="none" w:sz="0" w:space="0" w:color="auto"/>
            <w:bottom w:val="none" w:sz="0" w:space="0" w:color="auto"/>
            <w:right w:val="none" w:sz="0" w:space="0" w:color="auto"/>
          </w:divBdr>
        </w:div>
      </w:divsChild>
    </w:div>
    <w:div w:id="1215433874">
      <w:bodyDiv w:val="1"/>
      <w:marLeft w:val="0"/>
      <w:marRight w:val="0"/>
      <w:marTop w:val="0"/>
      <w:marBottom w:val="0"/>
      <w:divBdr>
        <w:top w:val="none" w:sz="0" w:space="0" w:color="auto"/>
        <w:left w:val="none" w:sz="0" w:space="0" w:color="auto"/>
        <w:bottom w:val="none" w:sz="0" w:space="0" w:color="auto"/>
        <w:right w:val="none" w:sz="0" w:space="0" w:color="auto"/>
      </w:divBdr>
    </w:div>
    <w:div w:id="1236358404">
      <w:bodyDiv w:val="1"/>
      <w:marLeft w:val="0"/>
      <w:marRight w:val="0"/>
      <w:marTop w:val="0"/>
      <w:marBottom w:val="0"/>
      <w:divBdr>
        <w:top w:val="none" w:sz="0" w:space="0" w:color="auto"/>
        <w:left w:val="none" w:sz="0" w:space="0" w:color="auto"/>
        <w:bottom w:val="none" w:sz="0" w:space="0" w:color="auto"/>
        <w:right w:val="none" w:sz="0" w:space="0" w:color="auto"/>
      </w:divBdr>
    </w:div>
    <w:div w:id="1331560840">
      <w:bodyDiv w:val="1"/>
      <w:marLeft w:val="0"/>
      <w:marRight w:val="0"/>
      <w:marTop w:val="0"/>
      <w:marBottom w:val="0"/>
      <w:divBdr>
        <w:top w:val="none" w:sz="0" w:space="0" w:color="auto"/>
        <w:left w:val="none" w:sz="0" w:space="0" w:color="auto"/>
        <w:bottom w:val="none" w:sz="0" w:space="0" w:color="auto"/>
        <w:right w:val="none" w:sz="0" w:space="0" w:color="auto"/>
      </w:divBdr>
    </w:div>
    <w:div w:id="1350984961">
      <w:bodyDiv w:val="1"/>
      <w:marLeft w:val="0"/>
      <w:marRight w:val="0"/>
      <w:marTop w:val="0"/>
      <w:marBottom w:val="0"/>
      <w:divBdr>
        <w:top w:val="none" w:sz="0" w:space="0" w:color="auto"/>
        <w:left w:val="none" w:sz="0" w:space="0" w:color="auto"/>
        <w:bottom w:val="none" w:sz="0" w:space="0" w:color="auto"/>
        <w:right w:val="none" w:sz="0" w:space="0" w:color="auto"/>
      </w:divBdr>
    </w:div>
    <w:div w:id="1362123943">
      <w:bodyDiv w:val="1"/>
      <w:marLeft w:val="0"/>
      <w:marRight w:val="0"/>
      <w:marTop w:val="0"/>
      <w:marBottom w:val="0"/>
      <w:divBdr>
        <w:top w:val="none" w:sz="0" w:space="0" w:color="auto"/>
        <w:left w:val="none" w:sz="0" w:space="0" w:color="auto"/>
        <w:bottom w:val="none" w:sz="0" w:space="0" w:color="auto"/>
        <w:right w:val="none" w:sz="0" w:space="0" w:color="auto"/>
      </w:divBdr>
    </w:div>
    <w:div w:id="1417896926">
      <w:bodyDiv w:val="1"/>
      <w:marLeft w:val="0"/>
      <w:marRight w:val="0"/>
      <w:marTop w:val="0"/>
      <w:marBottom w:val="0"/>
      <w:divBdr>
        <w:top w:val="none" w:sz="0" w:space="0" w:color="auto"/>
        <w:left w:val="none" w:sz="0" w:space="0" w:color="auto"/>
        <w:bottom w:val="none" w:sz="0" w:space="0" w:color="auto"/>
        <w:right w:val="none" w:sz="0" w:space="0" w:color="auto"/>
      </w:divBdr>
    </w:div>
    <w:div w:id="1514149750">
      <w:bodyDiv w:val="1"/>
      <w:marLeft w:val="0"/>
      <w:marRight w:val="0"/>
      <w:marTop w:val="0"/>
      <w:marBottom w:val="0"/>
      <w:divBdr>
        <w:top w:val="none" w:sz="0" w:space="0" w:color="auto"/>
        <w:left w:val="none" w:sz="0" w:space="0" w:color="auto"/>
        <w:bottom w:val="none" w:sz="0" w:space="0" w:color="auto"/>
        <w:right w:val="none" w:sz="0" w:space="0" w:color="auto"/>
      </w:divBdr>
    </w:div>
    <w:div w:id="1726417894">
      <w:bodyDiv w:val="1"/>
      <w:marLeft w:val="0"/>
      <w:marRight w:val="0"/>
      <w:marTop w:val="0"/>
      <w:marBottom w:val="0"/>
      <w:divBdr>
        <w:top w:val="none" w:sz="0" w:space="0" w:color="auto"/>
        <w:left w:val="none" w:sz="0" w:space="0" w:color="auto"/>
        <w:bottom w:val="none" w:sz="0" w:space="0" w:color="auto"/>
        <w:right w:val="none" w:sz="0" w:space="0" w:color="auto"/>
      </w:divBdr>
      <w:divsChild>
        <w:div w:id="1834491408">
          <w:marLeft w:val="0"/>
          <w:marRight w:val="0"/>
          <w:marTop w:val="0"/>
          <w:marBottom w:val="0"/>
          <w:divBdr>
            <w:top w:val="none" w:sz="0" w:space="0" w:color="auto"/>
            <w:left w:val="none" w:sz="0" w:space="0" w:color="auto"/>
            <w:bottom w:val="none" w:sz="0" w:space="0" w:color="auto"/>
            <w:right w:val="none" w:sz="0" w:space="0" w:color="auto"/>
          </w:divBdr>
          <w:divsChild>
            <w:div w:id="881557249">
              <w:marLeft w:val="0"/>
              <w:marRight w:val="0"/>
              <w:marTop w:val="0"/>
              <w:marBottom w:val="0"/>
              <w:divBdr>
                <w:top w:val="none" w:sz="0" w:space="0" w:color="auto"/>
                <w:left w:val="none" w:sz="0" w:space="0" w:color="auto"/>
                <w:bottom w:val="none" w:sz="0" w:space="0" w:color="auto"/>
                <w:right w:val="none" w:sz="0" w:space="0" w:color="auto"/>
              </w:divBdr>
              <w:divsChild>
                <w:div w:id="875970826">
                  <w:marLeft w:val="0"/>
                  <w:marRight w:val="0"/>
                  <w:marTop w:val="0"/>
                  <w:marBottom w:val="0"/>
                  <w:divBdr>
                    <w:top w:val="none" w:sz="0" w:space="0" w:color="auto"/>
                    <w:left w:val="none" w:sz="0" w:space="0" w:color="auto"/>
                    <w:bottom w:val="none" w:sz="0" w:space="0" w:color="auto"/>
                    <w:right w:val="none" w:sz="0" w:space="0" w:color="auto"/>
                  </w:divBdr>
                  <w:divsChild>
                    <w:div w:id="1283655145">
                      <w:marLeft w:val="0"/>
                      <w:marRight w:val="0"/>
                      <w:marTop w:val="0"/>
                      <w:marBottom w:val="0"/>
                      <w:divBdr>
                        <w:top w:val="none" w:sz="0" w:space="0" w:color="auto"/>
                        <w:left w:val="none" w:sz="0" w:space="0" w:color="auto"/>
                        <w:bottom w:val="none" w:sz="0" w:space="0" w:color="auto"/>
                        <w:right w:val="none" w:sz="0" w:space="0" w:color="auto"/>
                      </w:divBdr>
                      <w:divsChild>
                        <w:div w:id="284774441">
                          <w:marLeft w:val="150"/>
                          <w:marRight w:val="150"/>
                          <w:marTop w:val="0"/>
                          <w:marBottom w:val="0"/>
                          <w:divBdr>
                            <w:top w:val="none" w:sz="0" w:space="0" w:color="auto"/>
                            <w:left w:val="none" w:sz="0" w:space="0" w:color="auto"/>
                            <w:bottom w:val="none" w:sz="0" w:space="0" w:color="auto"/>
                            <w:right w:val="none" w:sz="0" w:space="0" w:color="auto"/>
                          </w:divBdr>
                          <w:divsChild>
                            <w:div w:id="566189647">
                              <w:marLeft w:val="2325"/>
                              <w:marRight w:val="0"/>
                              <w:marTop w:val="0"/>
                              <w:marBottom w:val="0"/>
                              <w:divBdr>
                                <w:top w:val="none" w:sz="0" w:space="0" w:color="auto"/>
                                <w:left w:val="none" w:sz="0" w:space="0" w:color="auto"/>
                                <w:bottom w:val="none" w:sz="0" w:space="0" w:color="auto"/>
                                <w:right w:val="none" w:sz="0" w:space="0" w:color="auto"/>
                              </w:divBdr>
                              <w:divsChild>
                                <w:div w:id="1415081842">
                                  <w:marLeft w:val="0"/>
                                  <w:marRight w:val="0"/>
                                  <w:marTop w:val="0"/>
                                  <w:marBottom w:val="0"/>
                                  <w:divBdr>
                                    <w:top w:val="none" w:sz="0" w:space="0" w:color="auto"/>
                                    <w:left w:val="none" w:sz="0" w:space="0" w:color="auto"/>
                                    <w:bottom w:val="none" w:sz="0" w:space="0" w:color="auto"/>
                                    <w:right w:val="none" w:sz="0" w:space="0" w:color="auto"/>
                                  </w:divBdr>
                                  <w:divsChild>
                                    <w:div w:id="1627851582">
                                      <w:marLeft w:val="0"/>
                                      <w:marRight w:val="0"/>
                                      <w:marTop w:val="0"/>
                                      <w:marBottom w:val="0"/>
                                      <w:divBdr>
                                        <w:top w:val="none" w:sz="0" w:space="0" w:color="auto"/>
                                        <w:left w:val="none" w:sz="0" w:space="0" w:color="auto"/>
                                        <w:bottom w:val="single" w:sz="2" w:space="8" w:color="D1D2D4"/>
                                        <w:right w:val="none" w:sz="0" w:space="0" w:color="auto"/>
                                      </w:divBdr>
                                      <w:divsChild>
                                        <w:div w:id="56449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0597580">
      <w:bodyDiv w:val="1"/>
      <w:marLeft w:val="0"/>
      <w:marRight w:val="0"/>
      <w:marTop w:val="0"/>
      <w:marBottom w:val="0"/>
      <w:divBdr>
        <w:top w:val="none" w:sz="0" w:space="0" w:color="auto"/>
        <w:left w:val="none" w:sz="0" w:space="0" w:color="auto"/>
        <w:bottom w:val="none" w:sz="0" w:space="0" w:color="auto"/>
        <w:right w:val="none" w:sz="0" w:space="0" w:color="auto"/>
      </w:divBdr>
    </w:div>
    <w:div w:id="1742941238">
      <w:bodyDiv w:val="1"/>
      <w:marLeft w:val="0"/>
      <w:marRight w:val="0"/>
      <w:marTop w:val="0"/>
      <w:marBottom w:val="0"/>
      <w:divBdr>
        <w:top w:val="none" w:sz="0" w:space="0" w:color="auto"/>
        <w:left w:val="none" w:sz="0" w:space="0" w:color="auto"/>
        <w:bottom w:val="none" w:sz="0" w:space="0" w:color="auto"/>
        <w:right w:val="none" w:sz="0" w:space="0" w:color="auto"/>
      </w:divBdr>
    </w:div>
    <w:div w:id="1878199013">
      <w:bodyDiv w:val="1"/>
      <w:marLeft w:val="0"/>
      <w:marRight w:val="0"/>
      <w:marTop w:val="0"/>
      <w:marBottom w:val="0"/>
      <w:divBdr>
        <w:top w:val="none" w:sz="0" w:space="0" w:color="auto"/>
        <w:left w:val="none" w:sz="0" w:space="0" w:color="auto"/>
        <w:bottom w:val="none" w:sz="0" w:space="0" w:color="auto"/>
        <w:right w:val="none" w:sz="0" w:space="0" w:color="auto"/>
      </w:divBdr>
    </w:div>
    <w:div w:id="1892500535">
      <w:bodyDiv w:val="1"/>
      <w:marLeft w:val="0"/>
      <w:marRight w:val="0"/>
      <w:marTop w:val="0"/>
      <w:marBottom w:val="0"/>
      <w:divBdr>
        <w:top w:val="none" w:sz="0" w:space="0" w:color="auto"/>
        <w:left w:val="none" w:sz="0" w:space="0" w:color="auto"/>
        <w:bottom w:val="none" w:sz="0" w:space="0" w:color="auto"/>
        <w:right w:val="none" w:sz="0" w:space="0" w:color="auto"/>
      </w:divBdr>
    </w:div>
    <w:div w:id="1906063907">
      <w:bodyDiv w:val="1"/>
      <w:marLeft w:val="0"/>
      <w:marRight w:val="0"/>
      <w:marTop w:val="0"/>
      <w:marBottom w:val="0"/>
      <w:divBdr>
        <w:top w:val="none" w:sz="0" w:space="0" w:color="auto"/>
        <w:left w:val="none" w:sz="0" w:space="0" w:color="auto"/>
        <w:bottom w:val="none" w:sz="0" w:space="0" w:color="auto"/>
        <w:right w:val="none" w:sz="0" w:space="0" w:color="auto"/>
      </w:divBdr>
    </w:div>
    <w:div w:id="1989821559">
      <w:bodyDiv w:val="1"/>
      <w:marLeft w:val="0"/>
      <w:marRight w:val="0"/>
      <w:marTop w:val="0"/>
      <w:marBottom w:val="0"/>
      <w:divBdr>
        <w:top w:val="none" w:sz="0" w:space="0" w:color="auto"/>
        <w:left w:val="none" w:sz="0" w:space="0" w:color="auto"/>
        <w:bottom w:val="none" w:sz="0" w:space="0" w:color="auto"/>
        <w:right w:val="none" w:sz="0" w:space="0" w:color="auto"/>
      </w:divBdr>
      <w:divsChild>
        <w:div w:id="274213831">
          <w:marLeft w:val="0"/>
          <w:marRight w:val="0"/>
          <w:marTop w:val="0"/>
          <w:marBottom w:val="0"/>
          <w:divBdr>
            <w:top w:val="none" w:sz="0" w:space="0" w:color="auto"/>
            <w:left w:val="none" w:sz="0" w:space="0" w:color="auto"/>
            <w:bottom w:val="none" w:sz="0" w:space="0" w:color="auto"/>
            <w:right w:val="none" w:sz="0" w:space="0" w:color="auto"/>
          </w:divBdr>
        </w:div>
        <w:div w:id="748044224">
          <w:marLeft w:val="0"/>
          <w:marRight w:val="0"/>
          <w:marTop w:val="0"/>
          <w:marBottom w:val="0"/>
          <w:divBdr>
            <w:top w:val="none" w:sz="0" w:space="0" w:color="auto"/>
            <w:left w:val="none" w:sz="0" w:space="0" w:color="auto"/>
            <w:bottom w:val="none" w:sz="0" w:space="0" w:color="auto"/>
            <w:right w:val="none" w:sz="0" w:space="0" w:color="auto"/>
          </w:divBdr>
        </w:div>
        <w:div w:id="999382565">
          <w:marLeft w:val="0"/>
          <w:marRight w:val="0"/>
          <w:marTop w:val="0"/>
          <w:marBottom w:val="0"/>
          <w:divBdr>
            <w:top w:val="none" w:sz="0" w:space="0" w:color="auto"/>
            <w:left w:val="none" w:sz="0" w:space="0" w:color="auto"/>
            <w:bottom w:val="none" w:sz="0" w:space="0" w:color="auto"/>
            <w:right w:val="none" w:sz="0" w:space="0" w:color="auto"/>
          </w:divBdr>
        </w:div>
        <w:div w:id="1100950020">
          <w:marLeft w:val="0"/>
          <w:marRight w:val="0"/>
          <w:marTop w:val="0"/>
          <w:marBottom w:val="0"/>
          <w:divBdr>
            <w:top w:val="none" w:sz="0" w:space="0" w:color="auto"/>
            <w:left w:val="none" w:sz="0" w:space="0" w:color="auto"/>
            <w:bottom w:val="none" w:sz="0" w:space="0" w:color="auto"/>
            <w:right w:val="none" w:sz="0" w:space="0" w:color="auto"/>
          </w:divBdr>
        </w:div>
        <w:div w:id="1262378451">
          <w:marLeft w:val="0"/>
          <w:marRight w:val="0"/>
          <w:marTop w:val="0"/>
          <w:marBottom w:val="0"/>
          <w:divBdr>
            <w:top w:val="none" w:sz="0" w:space="0" w:color="auto"/>
            <w:left w:val="none" w:sz="0" w:space="0" w:color="auto"/>
            <w:bottom w:val="none" w:sz="0" w:space="0" w:color="auto"/>
            <w:right w:val="none" w:sz="0" w:space="0" w:color="auto"/>
          </w:divBdr>
        </w:div>
        <w:div w:id="1575891677">
          <w:marLeft w:val="0"/>
          <w:marRight w:val="0"/>
          <w:marTop w:val="0"/>
          <w:marBottom w:val="0"/>
          <w:divBdr>
            <w:top w:val="none" w:sz="0" w:space="0" w:color="auto"/>
            <w:left w:val="none" w:sz="0" w:space="0" w:color="auto"/>
            <w:bottom w:val="none" w:sz="0" w:space="0" w:color="auto"/>
            <w:right w:val="none" w:sz="0" w:space="0" w:color="auto"/>
          </w:divBdr>
        </w:div>
        <w:div w:id="1643341389">
          <w:marLeft w:val="0"/>
          <w:marRight w:val="0"/>
          <w:marTop w:val="0"/>
          <w:marBottom w:val="0"/>
          <w:divBdr>
            <w:top w:val="none" w:sz="0" w:space="0" w:color="auto"/>
            <w:left w:val="none" w:sz="0" w:space="0" w:color="auto"/>
            <w:bottom w:val="none" w:sz="0" w:space="0" w:color="auto"/>
            <w:right w:val="none" w:sz="0" w:space="0" w:color="auto"/>
          </w:divBdr>
        </w:div>
      </w:divsChild>
    </w:div>
    <w:div w:id="2030524783">
      <w:bodyDiv w:val="1"/>
      <w:marLeft w:val="0"/>
      <w:marRight w:val="0"/>
      <w:marTop w:val="0"/>
      <w:marBottom w:val="0"/>
      <w:divBdr>
        <w:top w:val="none" w:sz="0" w:space="0" w:color="auto"/>
        <w:left w:val="none" w:sz="0" w:space="0" w:color="auto"/>
        <w:bottom w:val="none" w:sz="0" w:space="0" w:color="auto"/>
        <w:right w:val="none" w:sz="0" w:space="0" w:color="auto"/>
      </w:divBdr>
    </w:div>
    <w:div w:id="2068066913">
      <w:bodyDiv w:val="1"/>
      <w:marLeft w:val="0"/>
      <w:marRight w:val="0"/>
      <w:marTop w:val="0"/>
      <w:marBottom w:val="0"/>
      <w:divBdr>
        <w:top w:val="none" w:sz="0" w:space="0" w:color="auto"/>
        <w:left w:val="none" w:sz="0" w:space="0" w:color="auto"/>
        <w:bottom w:val="none" w:sz="0" w:space="0" w:color="auto"/>
        <w:right w:val="none" w:sz="0" w:space="0" w:color="auto"/>
      </w:divBdr>
    </w:div>
    <w:div w:id="2082287177">
      <w:bodyDiv w:val="1"/>
      <w:marLeft w:val="0"/>
      <w:marRight w:val="0"/>
      <w:marTop w:val="0"/>
      <w:marBottom w:val="0"/>
      <w:divBdr>
        <w:top w:val="none" w:sz="0" w:space="0" w:color="auto"/>
        <w:left w:val="none" w:sz="0" w:space="0" w:color="auto"/>
        <w:bottom w:val="none" w:sz="0" w:space="0" w:color="auto"/>
        <w:right w:val="none" w:sz="0" w:space="0" w:color="auto"/>
      </w:divBdr>
    </w:div>
    <w:div w:id="2121492754">
      <w:bodyDiv w:val="1"/>
      <w:marLeft w:val="0"/>
      <w:marRight w:val="0"/>
      <w:marTop w:val="0"/>
      <w:marBottom w:val="0"/>
      <w:divBdr>
        <w:top w:val="none" w:sz="0" w:space="0" w:color="auto"/>
        <w:left w:val="none" w:sz="0" w:space="0" w:color="auto"/>
        <w:bottom w:val="none" w:sz="0" w:space="0" w:color="auto"/>
        <w:right w:val="none" w:sz="0" w:space="0" w:color="auto"/>
      </w:divBdr>
    </w:div>
    <w:div w:id="212522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9" Type="http://schemas.openxmlformats.org/officeDocument/2006/relationships/header" Target="header13.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11.xml"/><Relationship Id="rId42" Type="http://schemas.openxmlformats.org/officeDocument/2006/relationships/footer" Target="footer1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header" Target="header10.xml"/><Relationship Id="rId38" Type="http://schemas.openxmlformats.org/officeDocument/2006/relationships/footer" Target="footer12.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footer" Target="footer8.xm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chart" Target="charts/chart1.xml"/><Relationship Id="rId37"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footer" Target="footer11.xml"/><Relationship Id="rId10" Type="http://schemas.openxmlformats.org/officeDocument/2006/relationships/footnotes" Target="footnotes.xml"/><Relationship Id="rId19" Type="http://schemas.openxmlformats.org/officeDocument/2006/relationships/hyperlink" Target="http://www.iosco.org/about/?subsection=monitoring_group" TargetMode="External"/><Relationship Id="rId31" Type="http://schemas.openxmlformats.org/officeDocument/2006/relationships/footer" Target="footer9.xml"/><Relationship Id="rId44"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0.xml"/><Relationship Id="rId43" Type="http://schemas.openxmlformats.org/officeDocument/2006/relationships/header" Target="header15.xml"/></Relationships>
</file>

<file path=word/_rels/footnotes.xml.rels><?xml version="1.0" encoding="UTF-8" standalone="yes"?>
<Relationships xmlns="http://schemas.openxmlformats.org/package/2006/relationships"><Relationship Id="rId3" Type="http://schemas.openxmlformats.org/officeDocument/2006/relationships/hyperlink" Target="https://www.ifrs.org/-/media/feature/groups/trustees/ifrs-reputation-research-report-jul-2017.pdf?la=en" TargetMode="External"/><Relationship Id="rId2" Type="http://schemas.openxmlformats.org/officeDocument/2006/relationships/hyperlink" Target="https://www.iosco.org/about/monitoring_group/pdf/2018-05-31-Monitoring-Group-Summary-of-Feedback.pdf" TargetMode="External"/><Relationship Id="rId1" Type="http://schemas.openxmlformats.org/officeDocument/2006/relationships/hyperlink" Target="http://www.ipiob.org/media/files/attach/2018PIOB_Report.pdf"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net1.cec.eu.int\FISMA\C\C1\1.Accounting%20organisations\1.10%20Funding%20IASCF,%20EFRAG,%20PIOB%202014-2020\ANNUAL%20REPORT%202019\Back-up%20Doc\Copy%20of%20PIOB%20Budget%20diversification%202018.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35"/>
    </mc:Choice>
    <mc:Fallback>
      <c:style val="35"/>
    </mc:Fallback>
  </mc:AlternateContent>
  <c:clrMapOvr bg1="lt1" tx1="dk1" bg2="lt2" tx2="dk2" accent1="accent1" accent2="accent2" accent3="accent3" accent4="accent4" accent5="accent5" accent6="accent6" hlink="hlink" folHlink="folHlink"/>
  <c:chart>
    <c:title>
      <c:tx>
        <c:rich>
          <a:bodyPr/>
          <a:lstStyle/>
          <a:p>
            <a:pPr>
              <a:defRPr sz="1600">
                <a:solidFill>
                  <a:schemeClr val="tx2"/>
                </a:solidFill>
                <a:latin typeface="Times New Roman" panose="02020603050405020304" pitchFamily="18" charset="0"/>
                <a:cs typeface="Times New Roman" panose="02020603050405020304" pitchFamily="18" charset="0"/>
              </a:defRPr>
            </a:pPr>
            <a:r>
              <a:rPr lang="en-US" sz="1600">
                <a:solidFill>
                  <a:sysClr val="windowText" lastClr="000000"/>
                </a:solidFill>
                <a:latin typeface="Times New Roman" panose="02020603050405020304" pitchFamily="18" charset="0"/>
                <a:cs typeface="Times New Roman" panose="02020603050405020304" pitchFamily="18" charset="0"/>
              </a:rPr>
              <a:t>2018 contributions % </a:t>
            </a:r>
          </a:p>
        </c:rich>
      </c:tx>
      <c:layout>
        <c:manualLayout>
          <c:xMode val="edge"/>
          <c:yMode val="edge"/>
          <c:x val="2.9534708320306077E-2"/>
          <c:y val="2.1334173228346458E-2"/>
        </c:manualLayout>
      </c:layout>
      <c:overlay val="0"/>
    </c:title>
    <c:autoTitleDeleted val="0"/>
    <c:plotArea>
      <c:layout/>
      <c:pieChart>
        <c:varyColors val="1"/>
        <c:ser>
          <c:idx val="0"/>
          <c:order val="0"/>
          <c:tx>
            <c:strRef>
              <c:f>Sheet1!$B$1:$B$2</c:f>
              <c:strCache>
                <c:ptCount val="1"/>
                <c:pt idx="0">
                  <c:v>PIOB Budget Diversification – 2018 contributions Amount</c:v>
                </c:pt>
              </c:strCache>
            </c:strRef>
          </c:tx>
          <c:explosion val="4"/>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Sheet1!$A$3:$A$7</c:f>
              <c:strCache>
                <c:ptCount val="5"/>
                <c:pt idx="0">
                  <c:v>International Federation of Accountants (IFAC)</c:v>
                </c:pt>
                <c:pt idx="1">
                  <c:v>European Commission (EC)</c:v>
                </c:pt>
                <c:pt idx="2">
                  <c:v>International Organization of Securities Commissions (IOSCO)</c:v>
                </c:pt>
                <c:pt idx="3">
                  <c:v>Financial Reporting Council</c:v>
                </c:pt>
                <c:pt idx="4">
                  <c:v>Bank for International Settlements (BIS)</c:v>
                </c:pt>
              </c:strCache>
            </c:strRef>
          </c:cat>
          <c:val>
            <c:numRef>
              <c:f>Sheet1!$B$3:$B$7</c:f>
              <c:numCache>
                <c:formatCode>0</c:formatCode>
                <c:ptCount val="5"/>
                <c:pt idx="0">
                  <c:v>1135302</c:v>
                </c:pt>
                <c:pt idx="1">
                  <c:v>331000</c:v>
                </c:pt>
                <c:pt idx="2">
                  <c:v>100000</c:v>
                </c:pt>
                <c:pt idx="3">
                  <c:v>40000</c:v>
                </c:pt>
                <c:pt idx="4">
                  <c:v>30000</c:v>
                </c:pt>
              </c:numCache>
            </c:numRef>
          </c:val>
          <c:extLst xmlns:c16r2="http://schemas.microsoft.com/office/drawing/2015/06/chart">
            <c:ext xmlns:c16="http://schemas.microsoft.com/office/drawing/2014/chart" uri="{C3380CC4-5D6E-409C-BE32-E72D297353CC}">
              <c16:uniqueId val="{00000000-A1AA-445A-817C-CCDCF2E8A1A6}"/>
            </c:ext>
          </c:extLst>
        </c:ser>
        <c:ser>
          <c:idx val="1"/>
          <c:order val="1"/>
          <c:tx>
            <c:strRef>
              <c:f>Sheet1!$C$1:$C$2</c:f>
              <c:strCache>
                <c:ptCount val="1"/>
                <c:pt idx="0">
                  <c:v>PIOB Budget Diversification – 2018 contributions % of Total</c:v>
                </c:pt>
              </c:strCache>
            </c:strRef>
          </c:tx>
          <c:explosion val="25"/>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Sheet1!$A$3:$A$7</c:f>
              <c:strCache>
                <c:ptCount val="5"/>
                <c:pt idx="0">
                  <c:v>International Federation of Accountants (IFAC)</c:v>
                </c:pt>
                <c:pt idx="1">
                  <c:v>European Commission (EC)</c:v>
                </c:pt>
                <c:pt idx="2">
                  <c:v>International Organization of Securities Commissions (IOSCO)</c:v>
                </c:pt>
                <c:pt idx="3">
                  <c:v>Financial Reporting Council</c:v>
                </c:pt>
                <c:pt idx="4">
                  <c:v>Bank for International Settlements (BIS)</c:v>
                </c:pt>
              </c:strCache>
            </c:strRef>
          </c:cat>
          <c:val>
            <c:numRef>
              <c:f>Sheet1!$C$3:$C$7</c:f>
              <c:numCache>
                <c:formatCode>0%</c:formatCode>
                <c:ptCount val="5"/>
                <c:pt idx="0">
                  <c:v>0.69382180062115673</c:v>
                </c:pt>
                <c:pt idx="1">
                  <c:v>0.20228539719440544</c:v>
                </c:pt>
                <c:pt idx="2">
                  <c:v>6.1113413049669316E-2</c:v>
                </c:pt>
                <c:pt idx="3">
                  <c:v>2.4445365219867725E-2</c:v>
                </c:pt>
                <c:pt idx="4">
                  <c:v>1.8334023914900795E-2</c:v>
                </c:pt>
              </c:numCache>
            </c:numRef>
          </c:val>
          <c:extLst xmlns:c16r2="http://schemas.microsoft.com/office/drawing/2015/06/chart">
            <c:ext xmlns:c16="http://schemas.microsoft.com/office/drawing/2014/chart" uri="{C3380CC4-5D6E-409C-BE32-E72D297353CC}">
              <c16:uniqueId val="{00000001-A1AA-445A-817C-CCDCF2E8A1A6}"/>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90d30a07-5553-4a74-aefd-4f7a30add3e1">EN</EC_Collab_DocumentLanguage>
    <EC_Collab_Reference xmlns="90d30a07-5553-4a74-aefd-4f7a30add3e1" xsi:nil="true"/>
    <_Status xmlns="http://schemas.microsoft.com/sharepoint/v3/fields">Not Started</_Status>
    <EC_Collab_Status xmlns="90d30a07-5553-4a74-aefd-4f7a30add3e1">Draft</EC_Collab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191339A33A221D419972EF309040AE7D" ma:contentTypeVersion="0" ma:contentTypeDescription="Create a new document in this library." ma:contentTypeScope="" ma:versionID="7d80c83825bcc5511b922e57669a8f4c">
  <xsd:schema xmlns:xsd="http://www.w3.org/2001/XMLSchema" xmlns:xs="http://www.w3.org/2001/XMLSchema" xmlns:p="http://schemas.microsoft.com/office/2006/metadata/properties" xmlns:ns2="http://schemas.microsoft.com/sharepoint/v3/fields" xmlns:ns3="90d30a07-5553-4a74-aefd-4f7a30add3e1" targetNamespace="http://schemas.microsoft.com/office/2006/metadata/properties" ma:root="true" ma:fieldsID="d41f6404abaa18e11f4209d77d0930b5" ns2:_="" ns3:_="">
    <xsd:import namespace="http://schemas.microsoft.com/sharepoint/v3/fields"/>
    <xsd:import namespace="90d30a07-5553-4a74-aefd-4f7a30add3e1"/>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0d30a07-5553-4a74-aefd-4f7a30add3e1"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6D047-307E-4F5B-B9A1-CDA9331E3ADA}">
  <ds:schemaRefs>
    <ds:schemaRef ds:uri="90d30a07-5553-4a74-aefd-4f7a30add3e1"/>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4BEE7857-1672-47EF-8B16-097DB173B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90d30a07-5553-4a74-aefd-4f7a30add3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862A30-BD2C-4D55-95AD-2513DD4013C3}">
  <ds:schemaRefs>
    <ds:schemaRef ds:uri="http://schemas.microsoft.com/sharepoint/v3/contenttype/forms"/>
  </ds:schemaRefs>
</ds:datastoreItem>
</file>

<file path=customXml/itemProps4.xml><?xml version="1.0" encoding="utf-8"?>
<ds:datastoreItem xmlns:ds="http://schemas.openxmlformats.org/officeDocument/2006/customXml" ds:itemID="{7763861E-F55F-4BB2-B266-BECC8134B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15634</Words>
  <Characters>88961</Characters>
  <Application>Microsoft Office Word</Application>
  <DocSecurity>0</DocSecurity>
  <Lines>2021</Lines>
  <Paragraphs>917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Report from EC to EP and Council on the activities and achievements of IFRSF, EFRAG and PIOB -2019</vt:lpstr>
      <vt:lpstr>Report from EC to EP and Council on the evaluation of the IAS Regulation</vt:lpstr>
    </vt:vector>
  </TitlesOfParts>
  <Manager/>
  <Company/>
  <LinksUpToDate>false</LinksUpToDate>
  <CharactersWithSpaces>103678</CharactersWithSpaces>
  <SharedDoc>false</SharedDoc>
  <HLinks>
    <vt:vector size="18" baseType="variant">
      <vt:variant>
        <vt:i4>5570567</vt:i4>
      </vt:variant>
      <vt:variant>
        <vt:i4>0</vt:i4>
      </vt:variant>
      <vt:variant>
        <vt:i4>0</vt:i4>
      </vt:variant>
      <vt:variant>
        <vt:i4>5</vt:i4>
      </vt:variant>
      <vt:variant>
        <vt:lpwstr>https://www.ifrs.org/</vt:lpwstr>
      </vt:variant>
      <vt:variant>
        <vt:lpwstr/>
      </vt:variant>
      <vt:variant>
        <vt:i4>4522033</vt:i4>
      </vt:variant>
      <vt:variant>
        <vt:i4>3</vt:i4>
      </vt:variant>
      <vt:variant>
        <vt:i4>0</vt:i4>
      </vt:variant>
      <vt:variant>
        <vt:i4>5</vt:i4>
      </vt:variant>
      <vt:variant>
        <vt:lpwstr>https://www.iosco.org/about/monitoring_group/pdf/2018-05-31-Monitoring-Group-Summary-of-Feedback.pdf</vt:lpwstr>
      </vt:variant>
      <vt:variant>
        <vt:lpwstr/>
      </vt:variant>
      <vt:variant>
        <vt:i4>4456469</vt:i4>
      </vt:variant>
      <vt:variant>
        <vt:i4>0</vt:i4>
      </vt:variant>
      <vt:variant>
        <vt:i4>0</vt:i4>
      </vt:variant>
      <vt:variant>
        <vt:i4>5</vt:i4>
      </vt:variant>
      <vt:variant>
        <vt:lpwstr>http://www.efrag.org/About/AnnualReports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from EC to EP and Council on the activities and achievements of IFRSF, EFRAG and PIOB -2019</dc:title>
  <dc:subject/>
  <dc:creator/>
  <cp:keywords/>
  <dc:description/>
  <cp:lastModifiedBy>WES PDFC Administrator</cp:lastModifiedBy>
  <cp:revision>14</cp:revision>
  <cp:lastPrinted>2019-09-04T14:30:00Z</cp:lastPrinted>
  <dcterms:created xsi:type="dcterms:W3CDTF">2019-10-07T15:29:00Z</dcterms:created>
  <dcterms:modified xsi:type="dcterms:W3CDTF">2019-10-23T11:38:00Z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ontentTypeId">
    <vt:lpwstr>0x010100258AA79CEB83498886A3A0868112325000191339A33A221D419972EF309040AE7D</vt:lpwstr>
  </property>
</Properties>
</file>