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E89" w:rsidRPr="00ED366C" w:rsidRDefault="00942E9F" w:rsidP="00942E9F">
      <w:pPr>
        <w:pStyle w:val="Pagedecouverture"/>
      </w:pPr>
      <w:bookmarkStart w:id="0" w:name="_GoBack"/>
      <w:bookmarkEnd w:id="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E582BA19-BB81-4D3A-8120-056797FE42EC" style="width:450.75pt;height:338.25pt">
            <v:imagedata r:id="rId8" o:title=""/>
          </v:shape>
        </w:pict>
      </w:r>
    </w:p>
    <w:p w:rsidR="00212E89" w:rsidRPr="00ED366C" w:rsidRDefault="00212E89">
      <w:pPr>
        <w:sectPr w:rsidR="00212E89" w:rsidRPr="00ED366C" w:rsidSect="00942E9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2"/>
          <w:cols w:space="720"/>
          <w:docGrid w:linePitch="360"/>
        </w:sectPr>
      </w:pPr>
    </w:p>
    <w:p w:rsidR="00212E89" w:rsidRPr="00ED366C" w:rsidRDefault="003E1C21">
      <w:pPr>
        <w:pStyle w:val="Exposdesmotifstitre"/>
      </w:pPr>
      <w:r w:rsidRPr="00ED366C">
        <w:lastRenderedPageBreak/>
        <w:t>ОБЯСНИТЕЛЕН МЕМОРАНДУМ</w:t>
      </w:r>
    </w:p>
    <w:p w:rsidR="00212E89" w:rsidRPr="00ED366C" w:rsidRDefault="003E1C21">
      <w:pPr>
        <w:pStyle w:val="ManualHeading1"/>
      </w:pPr>
      <w:r w:rsidRPr="00ED366C">
        <w:t>1.</w:t>
      </w:r>
      <w:r w:rsidRPr="00ED366C">
        <w:tab/>
        <w:t>Контекст на предложението</w:t>
      </w:r>
    </w:p>
    <w:p w:rsidR="00212E89" w:rsidRPr="00ED366C" w:rsidRDefault="003E1C21">
      <w:r w:rsidRPr="00ED366C">
        <w:t>Настоящото решение се отнася до мобилизирането на средства от фонд „Солидарност“ на Европейския съюз (ФСЕС) в съответствие с Регламент (ЕО) № 2012/2002 на Съвета от 11 ноември 2002 г.</w:t>
      </w:r>
      <w:r w:rsidRPr="00ED366C">
        <w:rPr>
          <w:rStyle w:val="FootnoteReference"/>
        </w:rPr>
        <w:footnoteReference w:id="1"/>
      </w:r>
      <w:r w:rsidRPr="00ED366C">
        <w:t xml:space="preserve"> (наричан по-долу „Регламентът“) в размер на 4 552 517 EUR за оказване на помощ на Гърция вследствие на наводненията и свлачищата, засегнали страната през 2019 г. Това мобилизиране на средства ще бъде финансирано изцяло, като се използват частично бюджетни кредити за поети задължения и бюджетни кредити за плащания, които вече са вписани в бюджета за 2019 г. за покриване на авансови плащания, след приспадане на вече изплатения аванс в размер на 455 252 EUR. Поради това не е необходим коригиращ бюджет. </w:t>
      </w:r>
    </w:p>
    <w:p w:rsidR="00212E89" w:rsidRPr="00ED366C" w:rsidRDefault="003E1C21">
      <w:pPr>
        <w:pStyle w:val="ManualHeading1"/>
      </w:pPr>
      <w:r w:rsidRPr="00ED366C">
        <w:t>2.</w:t>
      </w:r>
      <w:r w:rsidRPr="00ED366C">
        <w:tab/>
        <w:t>Информация и условия</w:t>
      </w:r>
    </w:p>
    <w:p w:rsidR="00212E89" w:rsidRPr="00ED366C" w:rsidRDefault="003E1C21">
      <w:r w:rsidRPr="00ED366C">
        <w:t>Между 23 и 26 февруари 2019 г. изключително проливни валежи и силни бури удариха остров Крит, и по-специално неговата западна част. Причинените от тях наводнения и свлачища взеха жертви и се отразиха катастрофално върху инфраструктурата и икономическите дейности, по-специално пътищата и селското стопанство.</w:t>
      </w:r>
    </w:p>
    <w:p w:rsidR="00212E89" w:rsidRPr="00ED366C" w:rsidRDefault="003E1C21">
      <w:pPr>
        <w:pStyle w:val="Point0number"/>
        <w:numPr>
          <w:ilvl w:val="0"/>
          <w:numId w:val="1"/>
        </w:numPr>
        <w:spacing w:before="240" w:after="0"/>
      </w:pPr>
      <w:r w:rsidRPr="00ED366C">
        <w:t>Гърция подаде заявление за отпускане на средства от ФСЕС на 15 май 2018 г., в рамките на срока от 12 седмици след регистрирането на първите щети. Заявлението беше подадено за категорията „регионално природно бедствие“ по член 2, параграф 3 от Регламента.</w:t>
      </w:r>
    </w:p>
    <w:p w:rsidR="00212E89" w:rsidRPr="00ED366C" w:rsidRDefault="003E1C21">
      <w:pPr>
        <w:pStyle w:val="Point0number"/>
        <w:numPr>
          <w:ilvl w:val="0"/>
          <w:numId w:val="1"/>
        </w:numPr>
        <w:spacing w:before="240" w:after="0"/>
      </w:pPr>
      <w:r w:rsidRPr="00ED366C">
        <w:t>Бедствието е с природен характер, поради което попада в сферата на приложение на ФСЕС.</w:t>
      </w:r>
    </w:p>
    <w:p w:rsidR="00212E89" w:rsidRPr="00ED366C" w:rsidRDefault="003E1C21">
      <w:pPr>
        <w:pStyle w:val="Point0number"/>
        <w:numPr>
          <w:ilvl w:val="0"/>
          <w:numId w:val="1"/>
        </w:numPr>
        <w:spacing w:before="240"/>
      </w:pPr>
      <w:r w:rsidRPr="00ED366C">
        <w:t>Гърция оцени преките щети на общо 182,1 милиона евро. Щетите, причинени на остров Крит, представляват 2,1 % от БВП на засегнатия регион Kriti на ниво NUTS 2 и следователно надвишават прага от 129,8 милиона евро, т.е. 1,5 % от регионалния БВП, предвиден в Регламента.</w:t>
      </w:r>
    </w:p>
    <w:p w:rsidR="00212E89" w:rsidRPr="00ED366C" w:rsidRDefault="003E1C21">
      <w:pPr>
        <w:pStyle w:val="Point0number"/>
        <w:numPr>
          <w:ilvl w:val="0"/>
          <w:numId w:val="1"/>
        </w:numPr>
        <w:spacing w:before="240" w:after="0"/>
      </w:pPr>
      <w:r w:rsidRPr="00ED366C">
        <w:t>В заявлението си Гърция поиска авансово плащане съгласно предвиденото в член 4а от Регламента. На 19 юли 2019 г. Комисията прие Решение за изпълнение C(2019) 5514 за предоставяне на аванс от 10 % в размер на 455 252 EUR от очакваната финансова помощ от ФСЕС, която впоследствие беше изплатена в пълен размер на Гърция.</w:t>
      </w:r>
    </w:p>
    <w:p w:rsidR="00212E89" w:rsidRPr="00ED366C" w:rsidRDefault="003E1C21">
      <w:pPr>
        <w:pStyle w:val="Point0number"/>
        <w:numPr>
          <w:ilvl w:val="0"/>
          <w:numId w:val="1"/>
        </w:numPr>
        <w:rPr>
          <w:rFonts w:cs="Arial"/>
        </w:rPr>
      </w:pPr>
      <w:r w:rsidRPr="00ED366C">
        <w:t xml:space="preserve">В своето заявление гръцките органи описват подробно ситуацията след тежките климатични бедствия и усилията, положени за подпомагане на засегнатото население. Циклонът, който удари остров Крит на 23 февруари, е взел една жертва, която се е удавила във водния поток, и е причинил сериозни щети най-вече в областите Chania и Rethymnon, където е отчетено най-голямо общо количество на валежите. Най-големи щети са нанесени на общинската и областната пътна мрежа, включително Северната автомагистрала на остров Крит, върху насажденията и добитъка в селското стопанство, но и върху частни </w:t>
      </w:r>
      <w:r w:rsidRPr="00ED366C">
        <w:lastRenderedPageBreak/>
        <w:t>домове. Засегнати са седем моста, като единият от тях се е срутил изцяло. Десетки свлачища и паднали дървета са блокирали пътищата и са прекъснали достъпа до цели области. Ерозията е навредила на дигите и е унищожила дренажни системи. Електроенергийната мрежа също е понесла щети.</w:t>
      </w:r>
    </w:p>
    <w:p w:rsidR="00212E89" w:rsidRPr="00ED366C" w:rsidRDefault="003E1C21">
      <w:pPr>
        <w:pStyle w:val="Point0number"/>
        <w:numPr>
          <w:ilvl w:val="0"/>
          <w:numId w:val="1"/>
        </w:numPr>
        <w:spacing w:before="240" w:after="0"/>
      </w:pPr>
      <w:r w:rsidRPr="00ED366C">
        <w:t>Гърция оцени разходите за спешни и възстановителни действия, отговарящи на условията по член 3, параграф 2 от Регламента, на 173,9 милиона евро и представи разбивка по вид действие. Най-големият дял (над 145 милиона евро) се отнася до разходите за възстановяване на транспортната инфраструктура (пътища и мостове), следвани от разходите за операции по почистване в размер на 20 милиона евро.</w:t>
      </w:r>
    </w:p>
    <w:p w:rsidR="00212E89" w:rsidRPr="00ED366C" w:rsidRDefault="003E1C21">
      <w:pPr>
        <w:pStyle w:val="Point0number"/>
        <w:numPr>
          <w:ilvl w:val="0"/>
          <w:numId w:val="1"/>
        </w:numPr>
        <w:spacing w:before="240" w:after="0"/>
      </w:pPr>
      <w:r w:rsidRPr="00ED366C">
        <w:t>Гръцките органи потвърдиха, че допустимите разходи нямат застрахователно покритие.</w:t>
      </w:r>
    </w:p>
    <w:p w:rsidR="00212E89" w:rsidRPr="00ED366C" w:rsidRDefault="003E1C21">
      <w:pPr>
        <w:pStyle w:val="Point0number"/>
        <w:numPr>
          <w:ilvl w:val="0"/>
          <w:numId w:val="1"/>
        </w:numPr>
        <w:spacing w:before="240" w:after="0"/>
      </w:pPr>
      <w:r w:rsidRPr="00ED366C">
        <w:t>Засегнатият регион е „регион в преход“ по линия на европейските структурни и инвестиционни фондове (за периода 2014—2020 г.). В заявлението си гръцките органи не са уведомили Комисията за намерението си да пренасочат средства от програмите по европейските структурни и инвестиционни фондове към мерки за възстановяване.</w:t>
      </w:r>
    </w:p>
    <w:p w:rsidR="00212E89" w:rsidRPr="00ED366C" w:rsidRDefault="003E1C21">
      <w:pPr>
        <w:pStyle w:val="Point0number"/>
        <w:numPr>
          <w:ilvl w:val="0"/>
          <w:numId w:val="1"/>
        </w:numPr>
        <w:spacing w:before="240" w:after="0"/>
      </w:pPr>
      <w:r w:rsidRPr="00ED366C">
        <w:t xml:space="preserve">Гърция не е задействала механизма на ЕС за гражданска защита. </w:t>
      </w:r>
    </w:p>
    <w:p w:rsidR="00212E89" w:rsidRPr="00ED366C" w:rsidRDefault="003E1C21">
      <w:pPr>
        <w:pStyle w:val="Point0number"/>
        <w:numPr>
          <w:ilvl w:val="0"/>
          <w:numId w:val="1"/>
        </w:numPr>
        <w:spacing w:before="240" w:after="0"/>
      </w:pPr>
      <w:r w:rsidRPr="00ED366C">
        <w:t>Що се отнася до прилагането на законодателството на Съюза относно предотвратяването и управлението на риска от бедствия, в момента не е в ход производство за установяване на нарушение.</w:t>
      </w:r>
    </w:p>
    <w:p w:rsidR="00212E89" w:rsidRPr="00ED366C" w:rsidRDefault="003E1C21">
      <w:pPr>
        <w:pStyle w:val="Point0number"/>
        <w:numPr>
          <w:ilvl w:val="0"/>
          <w:numId w:val="1"/>
        </w:numPr>
        <w:spacing w:before="240" w:after="0"/>
      </w:pPr>
      <w:r w:rsidRPr="00ED366C">
        <w:t xml:space="preserve">В контекста на прилагането на Директива 2007/60/ЕО относно оценката и управлението на риска от наводнения бяха приключени следните действия: предварителеният доклад за оценка на риска от наводнения (март 2012 г.), установяването на потенциалните зони с висок риск от наводнения в 14-те водни области на страната и актуализацията на предварителния доклад за оценка на риска от наводнения (ноември 2012 г.). Предварителната оценка на риска от наводнения за басейна на река Марица (Еврос) беше актуализирана (ноември 2014 г.). Беше допълнена информацията за рисковете от наводнения за 14-те водни камери на страната (март 2017 г.). Бяха определени плановете за управление на риска от наводнения на всички водни обекти в страната, включително плана за управление на риска от наводнения на речните басейни на остров Крит. </w:t>
      </w:r>
    </w:p>
    <w:p w:rsidR="00212E89" w:rsidRPr="00ED366C" w:rsidRDefault="003E1C21">
      <w:pPr>
        <w:pStyle w:val="ManualHeading2"/>
        <w:spacing w:before="240"/>
        <w:ind w:left="851" w:hanging="851"/>
      </w:pPr>
      <w:r w:rsidRPr="00ED366C">
        <w:t>2.5</w:t>
      </w:r>
      <w:r w:rsidRPr="00ED366C">
        <w:tab/>
        <w:t>Заключение</w:t>
      </w:r>
    </w:p>
    <w:p w:rsidR="00212E89" w:rsidRPr="00ED366C" w:rsidRDefault="003E1C21">
      <w:pPr>
        <w:spacing w:before="360"/>
      </w:pPr>
      <w:r w:rsidRPr="00ED366C">
        <w:t>Поради причините, изложени по-горе, бедствието, посочено в заявлението, подадено от Гърция, отговаря на условията, предвидени в Регламента за мобилизиране на средства от ФСЕС.</w:t>
      </w:r>
    </w:p>
    <w:p w:rsidR="00212E89" w:rsidRPr="00ED366C" w:rsidRDefault="003E1C21">
      <w:pPr>
        <w:pStyle w:val="ManualHeading1"/>
      </w:pPr>
      <w:r w:rsidRPr="00ED366C">
        <w:lastRenderedPageBreak/>
        <w:t>3.</w:t>
      </w:r>
      <w:r w:rsidRPr="00ED366C">
        <w:tab/>
        <w:t>Финансиране със средствата на ФСЕС за 2019 г.</w:t>
      </w:r>
    </w:p>
    <w:p w:rsidR="00212E89" w:rsidRPr="00ED366C" w:rsidRDefault="003E1C21">
      <w:r w:rsidRPr="00ED366C">
        <w:t>В Регламент (ЕС, Евратом) № 1311/2013 на Съвета от 2 декември 2013 г. за определяне на многогодишната финансова рамка за годините 2014—2020</w:t>
      </w:r>
      <w:r w:rsidRPr="00ED366C">
        <w:rPr>
          <w:rStyle w:val="FootnoteReference"/>
        </w:rPr>
        <w:footnoteReference w:id="2"/>
      </w:r>
      <w:r w:rsidRPr="00ED366C">
        <w:t xml:space="preserve"> (наричан по-долу „Регламентът за МФР“), и по-специално в член 10 от него, се предвижда възможност за мобилизиране на средства от ФСЕС в рамките на годишен таван от 500 000 000 EUR (по цени от 2011 г.). В точка 11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sidRPr="00ED366C">
        <w:rPr>
          <w:rStyle w:val="FootnoteReference"/>
        </w:rPr>
        <w:footnoteReference w:id="3"/>
      </w:r>
      <w:r w:rsidRPr="00ED366C">
        <w:t xml:space="preserve"> са определени редът и условията за мобилизиране на средства от ФСЕС.</w:t>
      </w:r>
    </w:p>
    <w:p w:rsidR="00212E89" w:rsidRPr="00ED366C" w:rsidRDefault="003E1C21">
      <w:pPr>
        <w:rPr>
          <w:snapToGrid w:val="0"/>
        </w:rPr>
      </w:pPr>
      <w:r w:rsidRPr="00ED366C">
        <w:t>Тъй като солидарността бе главното основание за създаването на ФСЕС, Комисията счита, че помощта следва да бъде прогресивна. Това означава, че според досегашната практика частта от щетите, надвишаваща прага за „големи природни бедствия“ за мобилизиране на средства от ФСЕС (т.е. 0,6 % от БНД или 3 милиарда евро по цени от 2011 г., в зависимост от това коя е по-малката сума), следва да води до по-голям интензитет на помощта в сравнение с щетите до този праг. Процентът, прилаган в миналото при определянето на отпусканите за големи бедствия средства, е 2,5 % от общите преки щети под прага и 6 % от щетите над прага. Що се отнася до регионалните бедствия и бедствията, приети съгласно разпоредбата за съседна държава, ставката е 2,5 %.</w:t>
      </w:r>
    </w:p>
    <w:p w:rsidR="00212E89" w:rsidRPr="00ED366C" w:rsidRDefault="003E1C21">
      <w:pPr>
        <w:rPr>
          <w:snapToGrid w:val="0"/>
        </w:rPr>
      </w:pPr>
      <w:r w:rsidRPr="00ED366C">
        <w:t>Помощта не може да надвишава прогнозната обща стойност на допустимите действия. Методиката за изчисляване на помощта бе изложена в годишния доклад относно ФСЕС за периода 2002—2003 г. и бе приета от Съвета и от Европейския парламент.</w:t>
      </w:r>
    </w:p>
    <w:p w:rsidR="00212E89" w:rsidRPr="00ED366C" w:rsidRDefault="003E1C21">
      <w:r w:rsidRPr="00ED366C">
        <w:t>Въз основа на заявлението на Гърция изчислението на финансовия принос от ФСЕС, което се основава на оценка на причинените общи преки щети, е както следва:</w:t>
      </w:r>
    </w:p>
    <w:tbl>
      <w:tblPr>
        <w:tblW w:w="10289" w:type="dxa"/>
        <w:jc w:val="center"/>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4A0" w:firstRow="1" w:lastRow="0" w:firstColumn="1" w:lastColumn="0" w:noHBand="0" w:noVBand="1"/>
      </w:tblPr>
      <w:tblGrid>
        <w:gridCol w:w="1248"/>
        <w:gridCol w:w="1329"/>
        <w:gridCol w:w="1320"/>
        <w:gridCol w:w="1370"/>
        <w:gridCol w:w="1290"/>
        <w:gridCol w:w="1239"/>
        <w:gridCol w:w="1385"/>
        <w:gridCol w:w="1108"/>
      </w:tblGrid>
      <w:tr w:rsidR="00212E89" w:rsidRPr="00ED366C">
        <w:trPr>
          <w:trHeight w:val="788"/>
          <w:jc w:val="center"/>
        </w:trPr>
        <w:tc>
          <w:tcPr>
            <w:tcW w:w="1248" w:type="dxa"/>
            <w:tcBorders>
              <w:bottom w:val="dotted" w:sz="4" w:space="0" w:color="auto"/>
            </w:tcBorders>
            <w:shd w:val="clear" w:color="auto" w:fill="EEECE1"/>
            <w:vAlign w:val="center"/>
            <w:hideMark/>
          </w:tcPr>
          <w:p w:rsidR="00212E89" w:rsidRPr="00ED366C" w:rsidRDefault="003E1C21">
            <w:pPr>
              <w:keepNext/>
              <w:keepLines/>
              <w:spacing w:after="0"/>
              <w:rPr>
                <w:b/>
                <w:snapToGrid w:val="0"/>
                <w:sz w:val="18"/>
                <w:szCs w:val="18"/>
              </w:rPr>
            </w:pPr>
            <w:r w:rsidRPr="00ED366C">
              <w:rPr>
                <w:b/>
                <w:sz w:val="18"/>
                <w:szCs w:val="18"/>
              </w:rPr>
              <w:t>Държави членки</w:t>
            </w:r>
          </w:p>
        </w:tc>
        <w:tc>
          <w:tcPr>
            <w:tcW w:w="1329" w:type="dxa"/>
            <w:tcBorders>
              <w:bottom w:val="dotted" w:sz="4" w:space="0" w:color="auto"/>
            </w:tcBorders>
            <w:shd w:val="clear" w:color="auto" w:fill="EEECE1"/>
          </w:tcPr>
          <w:p w:rsidR="00212E89" w:rsidRPr="00ED366C" w:rsidRDefault="003E1C21">
            <w:pPr>
              <w:keepNext/>
              <w:keepLines/>
              <w:spacing w:after="0"/>
              <w:ind w:right="59"/>
              <w:jc w:val="center"/>
              <w:rPr>
                <w:i/>
                <w:snapToGrid w:val="0"/>
                <w:sz w:val="18"/>
                <w:szCs w:val="18"/>
              </w:rPr>
            </w:pPr>
            <w:r w:rsidRPr="00ED366C">
              <w:rPr>
                <w:i/>
                <w:sz w:val="18"/>
                <w:szCs w:val="18"/>
              </w:rPr>
              <w:t>Определяне на бедствието</w:t>
            </w:r>
          </w:p>
        </w:tc>
        <w:tc>
          <w:tcPr>
            <w:tcW w:w="1320" w:type="dxa"/>
            <w:tcBorders>
              <w:bottom w:val="dotted" w:sz="4" w:space="0" w:color="auto"/>
            </w:tcBorders>
            <w:shd w:val="clear" w:color="auto" w:fill="EEECE1"/>
          </w:tcPr>
          <w:p w:rsidR="00212E89" w:rsidRPr="00ED366C" w:rsidRDefault="003E1C21">
            <w:pPr>
              <w:keepNext/>
              <w:keepLines/>
              <w:spacing w:after="0"/>
              <w:ind w:right="59"/>
              <w:jc w:val="center"/>
              <w:rPr>
                <w:i/>
                <w:snapToGrid w:val="0"/>
                <w:sz w:val="18"/>
                <w:szCs w:val="18"/>
              </w:rPr>
            </w:pPr>
            <w:r w:rsidRPr="00ED366C">
              <w:rPr>
                <w:i/>
                <w:sz w:val="18"/>
                <w:szCs w:val="18"/>
              </w:rPr>
              <w:t>Общ размер на преките щети</w:t>
            </w:r>
          </w:p>
          <w:p w:rsidR="00212E89" w:rsidRPr="00ED366C" w:rsidRDefault="00212E89">
            <w:pPr>
              <w:keepNext/>
              <w:keepLines/>
              <w:spacing w:before="0" w:after="0"/>
              <w:ind w:right="59"/>
              <w:rPr>
                <w:i/>
                <w:snapToGrid w:val="0"/>
                <w:sz w:val="18"/>
                <w:szCs w:val="18"/>
              </w:rPr>
            </w:pPr>
          </w:p>
          <w:p w:rsidR="00212E89" w:rsidRPr="00ED366C" w:rsidRDefault="003E1C21">
            <w:pPr>
              <w:keepNext/>
              <w:keepLines/>
              <w:spacing w:after="0"/>
              <w:ind w:right="59"/>
              <w:rPr>
                <w:i/>
                <w:snapToGrid w:val="0"/>
                <w:sz w:val="18"/>
                <w:szCs w:val="18"/>
              </w:rPr>
            </w:pPr>
            <w:r w:rsidRPr="00ED366C">
              <w:rPr>
                <w:i/>
                <w:sz w:val="18"/>
                <w:szCs w:val="18"/>
              </w:rPr>
              <w:t>(в млн. евро)</w:t>
            </w:r>
          </w:p>
        </w:tc>
        <w:tc>
          <w:tcPr>
            <w:tcW w:w="1370" w:type="dxa"/>
            <w:tcBorders>
              <w:bottom w:val="dotted" w:sz="4" w:space="0" w:color="auto"/>
            </w:tcBorders>
            <w:shd w:val="clear" w:color="auto" w:fill="EEECE1"/>
          </w:tcPr>
          <w:p w:rsidR="00212E89" w:rsidRPr="00ED366C" w:rsidRDefault="003E1C21">
            <w:pPr>
              <w:keepNext/>
              <w:keepLines/>
              <w:spacing w:after="0"/>
              <w:jc w:val="center"/>
              <w:rPr>
                <w:i/>
                <w:snapToGrid w:val="0"/>
                <w:sz w:val="18"/>
                <w:szCs w:val="18"/>
              </w:rPr>
            </w:pPr>
            <w:r w:rsidRPr="00ED366C">
              <w:rPr>
                <w:i/>
                <w:sz w:val="18"/>
                <w:szCs w:val="18"/>
              </w:rPr>
              <w:t>Праг за големи бедствия</w:t>
            </w:r>
          </w:p>
          <w:p w:rsidR="00212E89" w:rsidRPr="00ED366C" w:rsidRDefault="00212E89">
            <w:pPr>
              <w:keepNext/>
              <w:keepLines/>
              <w:spacing w:before="0" w:after="0"/>
              <w:jc w:val="center"/>
              <w:rPr>
                <w:i/>
                <w:snapToGrid w:val="0"/>
                <w:sz w:val="18"/>
                <w:szCs w:val="18"/>
              </w:rPr>
            </w:pPr>
          </w:p>
          <w:p w:rsidR="00212E89" w:rsidRPr="00ED366C" w:rsidRDefault="003E1C21">
            <w:pPr>
              <w:keepNext/>
              <w:keepLines/>
              <w:spacing w:after="0"/>
              <w:jc w:val="center"/>
              <w:rPr>
                <w:i/>
                <w:snapToGrid w:val="0"/>
                <w:sz w:val="18"/>
                <w:szCs w:val="18"/>
              </w:rPr>
            </w:pPr>
            <w:r w:rsidRPr="00ED366C">
              <w:rPr>
                <w:i/>
                <w:sz w:val="18"/>
                <w:szCs w:val="18"/>
              </w:rPr>
              <w:t>(в млн. евро)</w:t>
            </w:r>
          </w:p>
        </w:tc>
        <w:tc>
          <w:tcPr>
            <w:tcW w:w="1290" w:type="dxa"/>
            <w:tcBorders>
              <w:bottom w:val="dotted" w:sz="4" w:space="0" w:color="auto"/>
            </w:tcBorders>
            <w:shd w:val="clear" w:color="auto" w:fill="EEECE1"/>
          </w:tcPr>
          <w:p w:rsidR="00212E89" w:rsidRPr="00ED366C" w:rsidRDefault="003E1C21">
            <w:pPr>
              <w:keepNext/>
              <w:keepLines/>
              <w:spacing w:after="0"/>
              <w:jc w:val="center"/>
              <w:rPr>
                <w:i/>
                <w:snapToGrid w:val="0"/>
                <w:sz w:val="18"/>
                <w:szCs w:val="18"/>
              </w:rPr>
            </w:pPr>
            <w:r w:rsidRPr="00ED366C">
              <w:rPr>
                <w:i/>
                <w:sz w:val="18"/>
                <w:szCs w:val="18"/>
              </w:rPr>
              <w:t xml:space="preserve">2,5 % от преките щети до прага </w:t>
            </w:r>
          </w:p>
          <w:p w:rsidR="00212E89" w:rsidRPr="00ED366C" w:rsidRDefault="003E1C21">
            <w:pPr>
              <w:keepNext/>
              <w:keepLines/>
              <w:spacing w:after="0"/>
              <w:jc w:val="center"/>
              <w:rPr>
                <w:i/>
                <w:snapToGrid w:val="0"/>
                <w:sz w:val="18"/>
                <w:szCs w:val="18"/>
              </w:rPr>
            </w:pPr>
            <w:r w:rsidRPr="00ED366C">
              <w:rPr>
                <w:i/>
                <w:sz w:val="18"/>
                <w:szCs w:val="18"/>
              </w:rPr>
              <w:t>(в евро)</w:t>
            </w:r>
          </w:p>
        </w:tc>
        <w:tc>
          <w:tcPr>
            <w:tcW w:w="1239" w:type="dxa"/>
            <w:tcBorders>
              <w:bottom w:val="dotted" w:sz="4" w:space="0" w:color="auto"/>
            </w:tcBorders>
            <w:shd w:val="clear" w:color="auto" w:fill="EEECE1"/>
          </w:tcPr>
          <w:p w:rsidR="00212E89" w:rsidRPr="00ED366C" w:rsidRDefault="003E1C21">
            <w:pPr>
              <w:keepNext/>
              <w:keepLines/>
              <w:spacing w:after="0"/>
              <w:jc w:val="center"/>
              <w:rPr>
                <w:i/>
                <w:snapToGrid w:val="0"/>
                <w:sz w:val="18"/>
                <w:szCs w:val="18"/>
              </w:rPr>
            </w:pPr>
            <w:r w:rsidRPr="00ED366C">
              <w:rPr>
                <w:i/>
                <w:sz w:val="18"/>
                <w:szCs w:val="18"/>
              </w:rPr>
              <w:t>6 % от преките щети над прага</w:t>
            </w:r>
          </w:p>
          <w:p w:rsidR="00212E89" w:rsidRPr="00ED366C" w:rsidRDefault="003E1C21">
            <w:pPr>
              <w:keepNext/>
              <w:keepLines/>
              <w:spacing w:after="0"/>
              <w:jc w:val="center"/>
              <w:rPr>
                <w:b/>
                <w:i/>
                <w:snapToGrid w:val="0"/>
                <w:sz w:val="18"/>
                <w:szCs w:val="18"/>
              </w:rPr>
            </w:pPr>
            <w:r w:rsidRPr="00ED366C">
              <w:rPr>
                <w:i/>
                <w:sz w:val="18"/>
                <w:szCs w:val="18"/>
              </w:rPr>
              <w:t>(в евро)</w:t>
            </w:r>
          </w:p>
        </w:tc>
        <w:tc>
          <w:tcPr>
            <w:tcW w:w="1385" w:type="dxa"/>
            <w:tcBorders>
              <w:bottom w:val="dotted" w:sz="4" w:space="0" w:color="auto"/>
            </w:tcBorders>
            <w:shd w:val="clear" w:color="auto" w:fill="EEECE1"/>
          </w:tcPr>
          <w:p w:rsidR="00212E89" w:rsidRPr="00ED366C" w:rsidRDefault="003E1C21">
            <w:pPr>
              <w:keepNext/>
              <w:keepLines/>
              <w:spacing w:after="0"/>
              <w:jc w:val="center"/>
              <w:rPr>
                <w:b/>
                <w:i/>
                <w:snapToGrid w:val="0"/>
                <w:sz w:val="18"/>
                <w:szCs w:val="18"/>
              </w:rPr>
            </w:pPr>
            <w:r w:rsidRPr="00ED366C">
              <w:rPr>
                <w:b/>
                <w:i/>
                <w:sz w:val="18"/>
                <w:szCs w:val="18"/>
              </w:rPr>
              <w:t>Общ размер на предложената помощ</w:t>
            </w:r>
          </w:p>
          <w:p w:rsidR="00212E89" w:rsidRPr="00ED366C" w:rsidRDefault="00212E89">
            <w:pPr>
              <w:keepNext/>
              <w:keepLines/>
              <w:spacing w:before="0" w:after="0"/>
              <w:jc w:val="center"/>
              <w:rPr>
                <w:b/>
                <w:i/>
                <w:snapToGrid w:val="0"/>
                <w:sz w:val="18"/>
                <w:szCs w:val="18"/>
              </w:rPr>
            </w:pPr>
          </w:p>
          <w:p w:rsidR="00212E89" w:rsidRPr="00ED366C" w:rsidRDefault="003E1C21">
            <w:pPr>
              <w:keepNext/>
              <w:keepLines/>
              <w:spacing w:after="0"/>
              <w:jc w:val="center"/>
              <w:rPr>
                <w:i/>
                <w:snapToGrid w:val="0"/>
                <w:sz w:val="18"/>
                <w:szCs w:val="18"/>
              </w:rPr>
            </w:pPr>
            <w:r w:rsidRPr="00ED366C">
              <w:rPr>
                <w:b/>
                <w:i/>
                <w:sz w:val="18"/>
                <w:szCs w:val="18"/>
              </w:rPr>
              <w:t>(в евро)</w:t>
            </w:r>
          </w:p>
        </w:tc>
        <w:tc>
          <w:tcPr>
            <w:tcW w:w="1108" w:type="dxa"/>
            <w:tcBorders>
              <w:bottom w:val="dotted" w:sz="4" w:space="0" w:color="auto"/>
            </w:tcBorders>
            <w:shd w:val="clear" w:color="auto" w:fill="EEECE1"/>
          </w:tcPr>
          <w:p w:rsidR="00212E89" w:rsidRPr="00DD4245" w:rsidRDefault="003E1C21">
            <w:pPr>
              <w:keepNext/>
              <w:keepLines/>
              <w:spacing w:after="0"/>
              <w:jc w:val="center"/>
              <w:rPr>
                <w:b/>
                <w:i/>
                <w:snapToGrid w:val="0"/>
                <w:spacing w:val="-6"/>
                <w:sz w:val="18"/>
                <w:szCs w:val="18"/>
              </w:rPr>
            </w:pPr>
            <w:r w:rsidRPr="00DD4245">
              <w:rPr>
                <w:b/>
                <w:i/>
                <w:spacing w:val="-6"/>
                <w:sz w:val="18"/>
                <w:szCs w:val="18"/>
              </w:rPr>
              <w:t>Изплатени аванси</w:t>
            </w:r>
          </w:p>
          <w:p w:rsidR="00212E89" w:rsidRPr="00ED366C" w:rsidRDefault="00212E89">
            <w:pPr>
              <w:keepNext/>
              <w:keepLines/>
              <w:spacing w:before="0" w:after="0"/>
              <w:jc w:val="center"/>
              <w:rPr>
                <w:b/>
                <w:i/>
                <w:snapToGrid w:val="0"/>
                <w:sz w:val="18"/>
                <w:szCs w:val="18"/>
              </w:rPr>
            </w:pPr>
          </w:p>
          <w:p w:rsidR="00212E89" w:rsidRPr="00ED366C" w:rsidRDefault="003E1C21">
            <w:pPr>
              <w:keepNext/>
              <w:keepLines/>
              <w:spacing w:after="0"/>
              <w:jc w:val="center"/>
              <w:rPr>
                <w:b/>
                <w:i/>
                <w:snapToGrid w:val="0"/>
                <w:sz w:val="18"/>
                <w:szCs w:val="18"/>
              </w:rPr>
            </w:pPr>
            <w:r w:rsidRPr="00ED366C">
              <w:rPr>
                <w:b/>
                <w:i/>
                <w:sz w:val="18"/>
                <w:szCs w:val="18"/>
              </w:rPr>
              <w:t>(в евро)</w:t>
            </w:r>
          </w:p>
        </w:tc>
      </w:tr>
      <w:tr w:rsidR="00212E89" w:rsidRPr="00ED366C">
        <w:trPr>
          <w:jc w:val="center"/>
        </w:trPr>
        <w:tc>
          <w:tcPr>
            <w:tcW w:w="1248" w:type="dxa"/>
            <w:tcBorders>
              <w:top w:val="dotted" w:sz="4" w:space="0" w:color="auto"/>
              <w:bottom w:val="dotted" w:sz="4" w:space="0" w:color="auto"/>
            </w:tcBorders>
            <w:shd w:val="clear" w:color="auto" w:fill="EEECE1"/>
            <w:vAlign w:val="center"/>
          </w:tcPr>
          <w:p w:rsidR="00212E89" w:rsidRPr="00ED366C" w:rsidRDefault="003E1C21">
            <w:pPr>
              <w:keepNext/>
              <w:keepLines/>
              <w:spacing w:before="40" w:after="40"/>
              <w:jc w:val="left"/>
              <w:rPr>
                <w:snapToGrid w:val="0"/>
                <w:sz w:val="18"/>
                <w:szCs w:val="18"/>
              </w:rPr>
            </w:pPr>
            <w:r w:rsidRPr="00ED366C">
              <w:rPr>
                <w:sz w:val="18"/>
                <w:szCs w:val="18"/>
              </w:rPr>
              <w:t>ГЪРЦИЯ</w:t>
            </w:r>
          </w:p>
        </w:tc>
        <w:tc>
          <w:tcPr>
            <w:tcW w:w="1329" w:type="dxa"/>
            <w:tcBorders>
              <w:top w:val="dotted" w:sz="4" w:space="0" w:color="auto"/>
              <w:bottom w:val="dotted" w:sz="4" w:space="0" w:color="auto"/>
            </w:tcBorders>
          </w:tcPr>
          <w:p w:rsidR="00212E89" w:rsidRPr="00ED366C" w:rsidRDefault="003E1C21">
            <w:pPr>
              <w:keepNext/>
              <w:keepLines/>
              <w:spacing w:before="0" w:after="0"/>
              <w:jc w:val="center"/>
              <w:rPr>
                <w:i/>
                <w:iCs/>
                <w:sz w:val="18"/>
                <w:szCs w:val="18"/>
              </w:rPr>
            </w:pPr>
            <w:r w:rsidRPr="00ED366C">
              <w:rPr>
                <w:i/>
                <w:iCs/>
                <w:sz w:val="18"/>
                <w:szCs w:val="18"/>
              </w:rPr>
              <w:t>Регионално</w:t>
            </w:r>
          </w:p>
          <w:p w:rsidR="00212E89" w:rsidRPr="00ED366C" w:rsidRDefault="003E1C21">
            <w:pPr>
              <w:keepNext/>
              <w:keepLines/>
              <w:spacing w:before="0" w:after="0"/>
              <w:jc w:val="center"/>
              <w:rPr>
                <w:i/>
                <w:iCs/>
                <w:sz w:val="18"/>
                <w:szCs w:val="18"/>
              </w:rPr>
            </w:pPr>
            <w:r w:rsidRPr="00ED366C">
              <w:rPr>
                <w:i/>
                <w:iCs/>
                <w:sz w:val="18"/>
                <w:szCs w:val="18"/>
              </w:rPr>
              <w:t>(член 2, параграф 3)</w:t>
            </w:r>
          </w:p>
        </w:tc>
        <w:tc>
          <w:tcPr>
            <w:tcW w:w="1320" w:type="dxa"/>
            <w:tcBorders>
              <w:top w:val="dotted" w:sz="4" w:space="0" w:color="auto"/>
              <w:bottom w:val="dotted" w:sz="4" w:space="0" w:color="auto"/>
            </w:tcBorders>
            <w:vAlign w:val="center"/>
          </w:tcPr>
          <w:p w:rsidR="00212E89" w:rsidRPr="00ED366C" w:rsidRDefault="003E1C21">
            <w:pPr>
              <w:keepNext/>
              <w:keepLines/>
              <w:jc w:val="right"/>
              <w:rPr>
                <w:i/>
                <w:sz w:val="18"/>
                <w:szCs w:val="18"/>
              </w:rPr>
            </w:pPr>
            <w:r w:rsidRPr="00ED366C">
              <w:rPr>
                <w:i/>
                <w:sz w:val="20"/>
                <w:szCs w:val="18"/>
              </w:rPr>
              <w:t>182,1</w:t>
            </w:r>
          </w:p>
        </w:tc>
        <w:tc>
          <w:tcPr>
            <w:tcW w:w="1370" w:type="dxa"/>
            <w:tcBorders>
              <w:top w:val="dotted" w:sz="4" w:space="0" w:color="auto"/>
              <w:bottom w:val="dotted" w:sz="4" w:space="0" w:color="auto"/>
            </w:tcBorders>
            <w:vAlign w:val="center"/>
          </w:tcPr>
          <w:p w:rsidR="00212E89" w:rsidRPr="00ED366C" w:rsidRDefault="003E1C21">
            <w:pPr>
              <w:keepNext/>
              <w:keepLines/>
              <w:jc w:val="right"/>
            </w:pPr>
            <w:r w:rsidRPr="00ED366C">
              <w:rPr>
                <w:i/>
                <w:iCs/>
                <w:sz w:val="20"/>
                <w:szCs w:val="18"/>
              </w:rPr>
              <w:t>1 086,1</w:t>
            </w:r>
          </w:p>
        </w:tc>
        <w:tc>
          <w:tcPr>
            <w:tcW w:w="1290" w:type="dxa"/>
            <w:tcBorders>
              <w:top w:val="dotted" w:sz="4" w:space="0" w:color="auto"/>
              <w:bottom w:val="dotted" w:sz="4" w:space="0" w:color="auto"/>
            </w:tcBorders>
            <w:vAlign w:val="center"/>
          </w:tcPr>
          <w:p w:rsidR="00212E89" w:rsidRPr="00ED366C" w:rsidRDefault="003E1C21">
            <w:pPr>
              <w:keepNext/>
              <w:keepLines/>
              <w:jc w:val="right"/>
            </w:pPr>
            <w:r w:rsidRPr="00ED366C">
              <w:rPr>
                <w:i/>
                <w:iCs/>
                <w:sz w:val="20"/>
                <w:szCs w:val="18"/>
              </w:rPr>
              <w:t>4 552 517</w:t>
            </w:r>
          </w:p>
        </w:tc>
        <w:tc>
          <w:tcPr>
            <w:tcW w:w="1239" w:type="dxa"/>
            <w:tcBorders>
              <w:top w:val="dotted" w:sz="4" w:space="0" w:color="auto"/>
              <w:bottom w:val="dotted" w:sz="4" w:space="0" w:color="auto"/>
            </w:tcBorders>
            <w:shd w:val="clear" w:color="auto" w:fill="auto"/>
          </w:tcPr>
          <w:p w:rsidR="00212E89" w:rsidRPr="00ED366C" w:rsidRDefault="003E1C21">
            <w:pPr>
              <w:keepNext/>
              <w:keepLines/>
              <w:jc w:val="right"/>
            </w:pPr>
            <w:r w:rsidRPr="00ED366C">
              <w:t>-</w:t>
            </w:r>
          </w:p>
        </w:tc>
        <w:tc>
          <w:tcPr>
            <w:tcW w:w="1385" w:type="dxa"/>
            <w:tcBorders>
              <w:top w:val="dotted" w:sz="4" w:space="0" w:color="auto"/>
              <w:bottom w:val="dotted" w:sz="4" w:space="0" w:color="auto"/>
            </w:tcBorders>
            <w:shd w:val="clear" w:color="auto" w:fill="auto"/>
            <w:vAlign w:val="center"/>
          </w:tcPr>
          <w:p w:rsidR="00212E89" w:rsidRPr="00ED366C" w:rsidRDefault="003E1C21">
            <w:pPr>
              <w:keepNext/>
              <w:keepLines/>
              <w:jc w:val="right"/>
              <w:rPr>
                <w:b/>
                <w:bCs/>
                <w:i/>
                <w:iCs/>
                <w:sz w:val="18"/>
                <w:szCs w:val="18"/>
              </w:rPr>
            </w:pPr>
            <w:r w:rsidRPr="00ED366C">
              <w:rPr>
                <w:b/>
                <w:bCs/>
                <w:i/>
                <w:iCs/>
                <w:sz w:val="20"/>
                <w:szCs w:val="18"/>
              </w:rPr>
              <w:t>4 552 517</w:t>
            </w:r>
          </w:p>
        </w:tc>
        <w:tc>
          <w:tcPr>
            <w:tcW w:w="1108" w:type="dxa"/>
            <w:tcBorders>
              <w:top w:val="dotted" w:sz="4" w:space="0" w:color="auto"/>
              <w:bottom w:val="dotted" w:sz="4" w:space="0" w:color="auto"/>
            </w:tcBorders>
          </w:tcPr>
          <w:p w:rsidR="00212E89" w:rsidRPr="00ED366C" w:rsidRDefault="003E1C21">
            <w:pPr>
              <w:keepNext/>
              <w:keepLines/>
              <w:jc w:val="right"/>
              <w:rPr>
                <w:b/>
                <w:bCs/>
                <w:i/>
                <w:iCs/>
                <w:sz w:val="18"/>
                <w:szCs w:val="18"/>
              </w:rPr>
            </w:pPr>
            <w:r w:rsidRPr="00ED366C">
              <w:rPr>
                <w:b/>
                <w:bCs/>
                <w:i/>
                <w:iCs/>
                <w:sz w:val="18"/>
                <w:szCs w:val="18"/>
              </w:rPr>
              <w:t>455 252</w:t>
            </w:r>
          </w:p>
        </w:tc>
      </w:tr>
      <w:tr w:rsidR="00212E89" w:rsidRPr="00ED366C">
        <w:trPr>
          <w:jc w:val="center"/>
        </w:trPr>
        <w:tc>
          <w:tcPr>
            <w:tcW w:w="1248" w:type="dxa"/>
            <w:tcBorders>
              <w:top w:val="single" w:sz="4" w:space="0" w:color="auto"/>
              <w:bottom w:val="single" w:sz="4" w:space="0" w:color="auto"/>
            </w:tcBorders>
            <w:shd w:val="clear" w:color="auto" w:fill="EEECE1"/>
          </w:tcPr>
          <w:p w:rsidR="00212E89" w:rsidRPr="00ED366C" w:rsidRDefault="00212E89">
            <w:pPr>
              <w:keepNext/>
              <w:keepLines/>
              <w:jc w:val="left"/>
              <w:rPr>
                <w:b/>
                <w:snapToGrid w:val="0"/>
                <w:sz w:val="18"/>
                <w:szCs w:val="18"/>
              </w:rPr>
            </w:pPr>
          </w:p>
        </w:tc>
        <w:tc>
          <w:tcPr>
            <w:tcW w:w="6548" w:type="dxa"/>
            <w:gridSpan w:val="5"/>
            <w:tcBorders>
              <w:top w:val="single" w:sz="4" w:space="0" w:color="auto"/>
              <w:bottom w:val="single" w:sz="4" w:space="0" w:color="auto"/>
            </w:tcBorders>
            <w:shd w:val="clear" w:color="auto" w:fill="EEECE1"/>
            <w:vAlign w:val="center"/>
          </w:tcPr>
          <w:p w:rsidR="00212E89" w:rsidRPr="00ED366C" w:rsidRDefault="003E1C21">
            <w:pPr>
              <w:keepNext/>
              <w:keepLines/>
              <w:jc w:val="left"/>
              <w:rPr>
                <w:i/>
                <w:iCs/>
                <w:sz w:val="18"/>
                <w:szCs w:val="18"/>
                <w:highlight w:val="yellow"/>
              </w:rPr>
            </w:pPr>
            <w:r w:rsidRPr="00ED366C">
              <w:rPr>
                <w:b/>
                <w:sz w:val="18"/>
                <w:szCs w:val="18"/>
              </w:rPr>
              <w:t>ОБЩО</w:t>
            </w:r>
          </w:p>
        </w:tc>
        <w:tc>
          <w:tcPr>
            <w:tcW w:w="1385" w:type="dxa"/>
            <w:tcBorders>
              <w:top w:val="single" w:sz="4" w:space="0" w:color="auto"/>
              <w:bottom w:val="single" w:sz="4" w:space="0" w:color="auto"/>
            </w:tcBorders>
            <w:vAlign w:val="center"/>
          </w:tcPr>
          <w:p w:rsidR="00212E89" w:rsidRPr="00ED366C" w:rsidRDefault="003E1C21">
            <w:pPr>
              <w:keepNext/>
              <w:keepLines/>
              <w:jc w:val="right"/>
              <w:rPr>
                <w:b/>
                <w:bCs/>
                <w:i/>
                <w:iCs/>
                <w:sz w:val="18"/>
                <w:szCs w:val="18"/>
              </w:rPr>
            </w:pPr>
            <w:r w:rsidRPr="00ED366C">
              <w:rPr>
                <w:b/>
                <w:bCs/>
                <w:i/>
                <w:iCs/>
                <w:sz w:val="20"/>
                <w:szCs w:val="18"/>
              </w:rPr>
              <w:t>4 552 517</w:t>
            </w:r>
          </w:p>
        </w:tc>
        <w:tc>
          <w:tcPr>
            <w:tcW w:w="1108" w:type="dxa"/>
            <w:tcBorders>
              <w:top w:val="single" w:sz="4" w:space="0" w:color="auto"/>
              <w:bottom w:val="single" w:sz="4" w:space="0" w:color="auto"/>
            </w:tcBorders>
          </w:tcPr>
          <w:p w:rsidR="00212E89" w:rsidRPr="00ED366C" w:rsidRDefault="003E1C21">
            <w:pPr>
              <w:keepNext/>
              <w:keepLines/>
              <w:jc w:val="right"/>
              <w:rPr>
                <w:b/>
                <w:bCs/>
                <w:i/>
                <w:iCs/>
                <w:sz w:val="18"/>
                <w:szCs w:val="18"/>
              </w:rPr>
            </w:pPr>
            <w:r w:rsidRPr="00ED366C">
              <w:rPr>
                <w:b/>
                <w:bCs/>
                <w:i/>
                <w:iCs/>
                <w:sz w:val="18"/>
                <w:szCs w:val="18"/>
              </w:rPr>
              <w:t>455 252</w:t>
            </w:r>
          </w:p>
        </w:tc>
      </w:tr>
    </w:tbl>
    <w:p w:rsidR="00212E89" w:rsidRPr="00ED366C" w:rsidRDefault="003E1C21">
      <w:pPr>
        <w:rPr>
          <w:rFonts w:eastAsia="Times New Roman"/>
          <w:szCs w:val="24"/>
        </w:rPr>
      </w:pPr>
      <w:r w:rsidRPr="00ED366C">
        <w:t>В съответствие с член 10, параграф 1 от Регламента за МФР общата налична сума за мобилизиране на средства от ФСЕС в началото на 2019 г. беше 851 082 072 EUR. Тя представлява сборът от средствата за 2019 г. в размер на 585 829 691 EUR и останалите средства за 2018 г. в размер на 265 252 381 EUR, които останаха неизразходени и бяха пренесени за 2019 г.</w:t>
      </w:r>
    </w:p>
    <w:p w:rsidR="00212E89" w:rsidRPr="00ED366C" w:rsidRDefault="003E1C21">
      <w:pPr>
        <w:rPr>
          <w:rFonts w:eastAsia="Times New Roman"/>
          <w:szCs w:val="24"/>
        </w:rPr>
      </w:pPr>
      <w:r w:rsidRPr="00ED366C">
        <w:t>Сумата, която може да бъде мобилизирана на този етап от 2019 г., е 557 530 278 EUR. Тя съответства на общата сума, налична за мобилизиране на средства от ФСЕС в началото на 2019 г. (851 082 072 EUR), минус средствата от предходното мобилизиране</w:t>
      </w:r>
      <w:r w:rsidRPr="00ED366C">
        <w:rPr>
          <w:rStyle w:val="FootnoteReference"/>
        </w:rPr>
        <w:footnoteReference w:id="4"/>
      </w:r>
      <w:r w:rsidRPr="00ED366C">
        <w:t xml:space="preserve"> (293 551 794 EUR). В съответствие с член 10, параграф 1 от Регламента </w:t>
      </w:r>
      <w:r w:rsidRPr="00ED366C">
        <w:lastRenderedPageBreak/>
        <w:t xml:space="preserve">за МФР до октомври 2019 г. трябва да останат 25 % от първоначалната сума от средствата за 2019 г. Тъй като обаче плащането на Гърция ще бъде извършено след 1 октомври, тази разпоредба не е от значение за настоящия случай. </w:t>
      </w:r>
    </w:p>
    <w:p w:rsidR="00212E89" w:rsidRPr="00ED366C" w:rsidRDefault="00212E89">
      <w:pPr>
        <w:rPr>
          <w:rFonts w:eastAsia="Times New Roman"/>
          <w:szCs w:val="24"/>
        </w:rPr>
      </w:pPr>
    </w:p>
    <w:tbl>
      <w:tblPr>
        <w:tblW w:w="8885" w:type="dxa"/>
        <w:tblInd w:w="103" w:type="dxa"/>
        <w:tblLook w:val="04A0" w:firstRow="1" w:lastRow="0" w:firstColumn="1" w:lastColumn="0" w:noHBand="0" w:noVBand="1"/>
      </w:tblPr>
      <w:tblGrid>
        <w:gridCol w:w="6582"/>
        <w:gridCol w:w="2303"/>
      </w:tblGrid>
      <w:tr w:rsidR="00212E89" w:rsidRPr="00ED366C" w:rsidTr="00A32CD5">
        <w:trPr>
          <w:trHeight w:val="452"/>
        </w:trPr>
        <w:tc>
          <w:tcPr>
            <w:tcW w:w="6582" w:type="dxa"/>
            <w:tcBorders>
              <w:top w:val="single" w:sz="4" w:space="0" w:color="auto"/>
              <w:left w:val="single" w:sz="4" w:space="0" w:color="auto"/>
              <w:bottom w:val="single" w:sz="4" w:space="0" w:color="auto"/>
              <w:right w:val="nil"/>
            </w:tcBorders>
            <w:shd w:val="clear" w:color="auto" w:fill="EEECE1" w:themeFill="background2"/>
            <w:vAlign w:val="bottom"/>
            <w:hideMark/>
          </w:tcPr>
          <w:p w:rsidR="00212E89" w:rsidRPr="00ED366C" w:rsidRDefault="003E1C21">
            <w:pPr>
              <w:spacing w:line="276" w:lineRule="auto"/>
              <w:jc w:val="left"/>
              <w:rPr>
                <w:b/>
                <w:bCs/>
                <w:sz w:val="18"/>
                <w:szCs w:val="18"/>
              </w:rPr>
            </w:pPr>
            <w:r w:rsidRPr="00ED366C">
              <w:rPr>
                <w:b/>
                <w:bCs/>
                <w:sz w:val="18"/>
                <w:szCs w:val="18"/>
              </w:rPr>
              <w:t>Налична понастоящем сума от фонд „Солидарност“:</w:t>
            </w:r>
          </w:p>
        </w:tc>
        <w:tc>
          <w:tcPr>
            <w:tcW w:w="2303" w:type="dxa"/>
            <w:tcBorders>
              <w:top w:val="single" w:sz="4" w:space="0" w:color="auto"/>
              <w:left w:val="nil"/>
              <w:bottom w:val="single" w:sz="4" w:space="0" w:color="auto"/>
              <w:right w:val="single" w:sz="4" w:space="0" w:color="auto"/>
            </w:tcBorders>
            <w:shd w:val="clear" w:color="auto" w:fill="EEECE1" w:themeFill="background2"/>
            <w:vAlign w:val="bottom"/>
            <w:hideMark/>
          </w:tcPr>
          <w:p w:rsidR="00212E89" w:rsidRPr="00ED366C" w:rsidRDefault="003E1C21">
            <w:pPr>
              <w:spacing w:line="276" w:lineRule="auto"/>
              <w:jc w:val="left"/>
              <w:rPr>
                <w:sz w:val="18"/>
                <w:szCs w:val="18"/>
              </w:rPr>
            </w:pPr>
            <w:r w:rsidRPr="00ED366C">
              <w:rPr>
                <w:sz w:val="18"/>
                <w:szCs w:val="18"/>
              </w:rPr>
              <w:t> </w:t>
            </w:r>
          </w:p>
        </w:tc>
      </w:tr>
      <w:tr w:rsidR="00212E89" w:rsidRPr="00ED366C" w:rsidTr="00A32CD5">
        <w:trPr>
          <w:trHeight w:val="287"/>
        </w:trPr>
        <w:tc>
          <w:tcPr>
            <w:tcW w:w="6582" w:type="dxa"/>
            <w:tcBorders>
              <w:top w:val="single" w:sz="4" w:space="0" w:color="auto"/>
              <w:left w:val="single" w:sz="4" w:space="0" w:color="auto"/>
              <w:bottom w:val="single" w:sz="4" w:space="0" w:color="auto"/>
              <w:right w:val="single" w:sz="4" w:space="0" w:color="auto"/>
            </w:tcBorders>
            <w:noWrap/>
            <w:vAlign w:val="bottom"/>
            <w:hideMark/>
          </w:tcPr>
          <w:p w:rsidR="00212E89" w:rsidRPr="00ED366C" w:rsidRDefault="003E1C21">
            <w:pPr>
              <w:spacing w:before="40" w:after="40" w:line="276" w:lineRule="auto"/>
              <w:jc w:val="left"/>
              <w:rPr>
                <w:color w:val="000000"/>
                <w:sz w:val="18"/>
                <w:szCs w:val="18"/>
              </w:rPr>
            </w:pPr>
            <w:r w:rsidRPr="00ED366C">
              <w:rPr>
                <w:sz w:val="18"/>
                <w:szCs w:val="18"/>
              </w:rPr>
              <w:t>Годишна сума за 2019 г.  </w:t>
            </w:r>
          </w:p>
        </w:tc>
        <w:tc>
          <w:tcPr>
            <w:tcW w:w="2303" w:type="dxa"/>
            <w:tcBorders>
              <w:top w:val="single" w:sz="4" w:space="0" w:color="auto"/>
              <w:left w:val="nil"/>
              <w:bottom w:val="single" w:sz="4" w:space="0" w:color="auto"/>
              <w:right w:val="single" w:sz="4" w:space="0" w:color="auto"/>
            </w:tcBorders>
            <w:shd w:val="clear" w:color="auto" w:fill="EEECE1" w:themeFill="background2"/>
            <w:vAlign w:val="center"/>
            <w:hideMark/>
          </w:tcPr>
          <w:p w:rsidR="00212E89" w:rsidRPr="00ED366C" w:rsidRDefault="003E1C21">
            <w:pPr>
              <w:spacing w:before="40" w:after="40" w:line="276" w:lineRule="auto"/>
              <w:jc w:val="center"/>
              <w:rPr>
                <w:bCs/>
                <w:i/>
                <w:iCs/>
                <w:sz w:val="18"/>
                <w:szCs w:val="18"/>
                <w:highlight w:val="yellow"/>
              </w:rPr>
            </w:pPr>
            <w:r w:rsidRPr="00ED366C">
              <w:rPr>
                <w:bCs/>
                <w:i/>
                <w:iCs/>
                <w:sz w:val="18"/>
                <w:szCs w:val="18"/>
              </w:rPr>
              <w:t>585 829 691 EUR</w:t>
            </w:r>
          </w:p>
        </w:tc>
      </w:tr>
      <w:tr w:rsidR="00212E89" w:rsidRPr="00ED366C" w:rsidTr="00A32CD5">
        <w:trPr>
          <w:trHeight w:val="287"/>
        </w:trPr>
        <w:tc>
          <w:tcPr>
            <w:tcW w:w="6582" w:type="dxa"/>
            <w:tcBorders>
              <w:top w:val="single" w:sz="4" w:space="0" w:color="auto"/>
              <w:left w:val="single" w:sz="4" w:space="0" w:color="auto"/>
              <w:bottom w:val="single" w:sz="4" w:space="0" w:color="auto"/>
              <w:right w:val="single" w:sz="4" w:space="0" w:color="auto"/>
            </w:tcBorders>
            <w:vAlign w:val="center"/>
            <w:hideMark/>
          </w:tcPr>
          <w:p w:rsidR="00212E89" w:rsidRPr="00ED366C" w:rsidRDefault="003E1C21">
            <w:pPr>
              <w:spacing w:before="40" w:after="40" w:line="276" w:lineRule="auto"/>
              <w:jc w:val="left"/>
              <w:rPr>
                <w:color w:val="000000"/>
                <w:sz w:val="18"/>
                <w:szCs w:val="18"/>
              </w:rPr>
            </w:pPr>
            <w:r w:rsidRPr="00ED366C">
              <w:rPr>
                <w:sz w:val="18"/>
                <w:szCs w:val="18"/>
              </w:rPr>
              <w:t>Плюс неизразходвана сума от средствата за 2018 г., пренесени за 2019 г.</w:t>
            </w:r>
          </w:p>
        </w:tc>
        <w:tc>
          <w:tcPr>
            <w:tcW w:w="2303" w:type="dxa"/>
            <w:tcBorders>
              <w:top w:val="single" w:sz="4" w:space="0" w:color="auto"/>
              <w:left w:val="nil"/>
              <w:bottom w:val="single" w:sz="4" w:space="0" w:color="auto"/>
              <w:right w:val="single" w:sz="4" w:space="0" w:color="auto"/>
            </w:tcBorders>
            <w:shd w:val="clear" w:color="auto" w:fill="EEECE1" w:themeFill="background2"/>
            <w:vAlign w:val="center"/>
            <w:hideMark/>
          </w:tcPr>
          <w:p w:rsidR="00212E89" w:rsidRPr="00ED366C" w:rsidRDefault="003E1C21">
            <w:pPr>
              <w:spacing w:before="40" w:after="40" w:line="276" w:lineRule="auto"/>
              <w:jc w:val="center"/>
              <w:rPr>
                <w:bCs/>
                <w:i/>
                <w:iCs/>
                <w:sz w:val="18"/>
                <w:szCs w:val="18"/>
                <w:highlight w:val="yellow"/>
              </w:rPr>
            </w:pPr>
            <w:r w:rsidRPr="00ED366C">
              <w:rPr>
                <w:bCs/>
                <w:i/>
                <w:iCs/>
                <w:sz w:val="18"/>
                <w:szCs w:val="18"/>
              </w:rPr>
              <w:t>+ 265 252 381 EUR</w:t>
            </w:r>
          </w:p>
        </w:tc>
      </w:tr>
      <w:tr w:rsidR="00212E89" w:rsidRPr="00ED366C" w:rsidTr="00A32CD5">
        <w:trPr>
          <w:trHeight w:val="287"/>
        </w:trPr>
        <w:tc>
          <w:tcPr>
            <w:tcW w:w="6582" w:type="dxa"/>
            <w:tcBorders>
              <w:top w:val="single" w:sz="4" w:space="0" w:color="auto"/>
              <w:left w:val="single" w:sz="4" w:space="0" w:color="auto"/>
              <w:bottom w:val="nil"/>
              <w:right w:val="single" w:sz="4" w:space="0" w:color="000000"/>
            </w:tcBorders>
            <w:noWrap/>
            <w:vAlign w:val="bottom"/>
            <w:hideMark/>
          </w:tcPr>
          <w:p w:rsidR="00212E89" w:rsidRPr="00ED366C" w:rsidRDefault="003E1C21">
            <w:pPr>
              <w:spacing w:before="40" w:after="40" w:line="276" w:lineRule="auto"/>
              <w:jc w:val="left"/>
              <w:rPr>
                <w:color w:val="000000"/>
                <w:sz w:val="18"/>
                <w:szCs w:val="18"/>
              </w:rPr>
            </w:pPr>
            <w:r w:rsidRPr="00ED366C">
              <w:rPr>
                <w:sz w:val="18"/>
                <w:szCs w:val="18"/>
              </w:rPr>
              <w:t>Минус сумата, мобилизирана за Румъния, Италия и Австрия (КБ 3)</w:t>
            </w:r>
          </w:p>
        </w:tc>
        <w:tc>
          <w:tcPr>
            <w:tcW w:w="2303" w:type="dxa"/>
            <w:tcBorders>
              <w:top w:val="nil"/>
              <w:left w:val="nil"/>
              <w:bottom w:val="nil"/>
              <w:right w:val="single" w:sz="4" w:space="0" w:color="auto"/>
            </w:tcBorders>
            <w:shd w:val="clear" w:color="auto" w:fill="EEECE1" w:themeFill="background2"/>
            <w:vAlign w:val="center"/>
            <w:hideMark/>
          </w:tcPr>
          <w:p w:rsidR="00212E89" w:rsidRPr="00ED366C" w:rsidRDefault="003E1C21">
            <w:pPr>
              <w:spacing w:before="40" w:after="40" w:line="276" w:lineRule="auto"/>
              <w:jc w:val="center"/>
              <w:rPr>
                <w:bCs/>
                <w:i/>
                <w:iCs/>
                <w:sz w:val="18"/>
                <w:szCs w:val="18"/>
              </w:rPr>
            </w:pPr>
            <w:r w:rsidRPr="00ED366C">
              <w:rPr>
                <w:bCs/>
                <w:i/>
                <w:iCs/>
                <w:sz w:val="18"/>
                <w:szCs w:val="18"/>
              </w:rPr>
              <w:t>- 293 551 794 EUR</w:t>
            </w:r>
          </w:p>
        </w:tc>
      </w:tr>
      <w:tr w:rsidR="00212E89" w:rsidRPr="00ED366C" w:rsidTr="00A32CD5">
        <w:trPr>
          <w:trHeight w:val="438"/>
        </w:trPr>
        <w:tc>
          <w:tcPr>
            <w:tcW w:w="6582" w:type="dxa"/>
            <w:tcBorders>
              <w:top w:val="single" w:sz="4" w:space="0" w:color="auto"/>
              <w:left w:val="single" w:sz="4" w:space="0" w:color="auto"/>
              <w:bottom w:val="single" w:sz="4" w:space="0" w:color="auto"/>
              <w:right w:val="single" w:sz="4" w:space="0" w:color="auto"/>
            </w:tcBorders>
            <w:shd w:val="clear" w:color="auto" w:fill="EEECE1" w:themeFill="background2"/>
            <w:noWrap/>
            <w:vAlign w:val="bottom"/>
            <w:hideMark/>
          </w:tcPr>
          <w:p w:rsidR="00212E89" w:rsidRPr="00ED366C" w:rsidRDefault="003E1C21">
            <w:pPr>
              <w:spacing w:before="40" w:after="40" w:line="276" w:lineRule="auto"/>
              <w:jc w:val="left"/>
              <w:rPr>
                <w:b/>
                <w:bCs/>
                <w:sz w:val="18"/>
                <w:szCs w:val="18"/>
              </w:rPr>
            </w:pPr>
            <w:r w:rsidRPr="00ED366C">
              <w:rPr>
                <w:b/>
                <w:bCs/>
                <w:sz w:val="18"/>
                <w:szCs w:val="18"/>
              </w:rPr>
              <w:t>ОБЩО налични средства до декември 2019 г. </w:t>
            </w:r>
          </w:p>
        </w:tc>
        <w:tc>
          <w:tcPr>
            <w:tcW w:w="2303" w:type="dxa"/>
            <w:tcBorders>
              <w:top w:val="single" w:sz="4" w:space="0" w:color="auto"/>
              <w:left w:val="nil"/>
              <w:bottom w:val="single" w:sz="4" w:space="0" w:color="auto"/>
              <w:right w:val="single" w:sz="4" w:space="0" w:color="auto"/>
            </w:tcBorders>
            <w:shd w:val="clear" w:color="auto" w:fill="EEECE1" w:themeFill="background2"/>
            <w:vAlign w:val="bottom"/>
            <w:hideMark/>
          </w:tcPr>
          <w:p w:rsidR="00212E89" w:rsidRPr="00ED366C" w:rsidRDefault="003E1C21">
            <w:pPr>
              <w:spacing w:before="40" w:after="40" w:line="276" w:lineRule="auto"/>
              <w:jc w:val="center"/>
              <w:rPr>
                <w:b/>
                <w:bCs/>
                <w:i/>
                <w:iCs/>
                <w:sz w:val="18"/>
                <w:szCs w:val="18"/>
                <w:highlight w:val="yellow"/>
              </w:rPr>
            </w:pPr>
            <w:r w:rsidRPr="00ED366C">
              <w:rPr>
                <w:b/>
                <w:bCs/>
                <w:i/>
                <w:iCs/>
                <w:sz w:val="18"/>
                <w:szCs w:val="18"/>
              </w:rPr>
              <w:t>557 530 278 EUR</w:t>
            </w:r>
          </w:p>
        </w:tc>
      </w:tr>
    </w:tbl>
    <w:p w:rsidR="00212E89" w:rsidRPr="00ED366C" w:rsidRDefault="00212E89">
      <w:pPr>
        <w:sectPr w:rsidR="00212E89" w:rsidRPr="00ED366C" w:rsidSect="00942E9F">
          <w:footerReference w:type="default" r:id="rId15"/>
          <w:footerReference w:type="first" r:id="rId16"/>
          <w:pgSz w:w="11907" w:h="16839"/>
          <w:pgMar w:top="1134" w:right="1417" w:bottom="1134" w:left="1417" w:header="709" w:footer="709" w:gutter="0"/>
          <w:pgNumType w:start="2"/>
          <w:cols w:space="720"/>
          <w:docGrid w:linePitch="360"/>
        </w:sectPr>
      </w:pPr>
    </w:p>
    <w:p w:rsidR="00212E89" w:rsidRPr="00ED366C" w:rsidRDefault="00ED366C" w:rsidP="00ED366C">
      <w:pPr>
        <w:pStyle w:val="Statut"/>
      </w:pPr>
      <w:r w:rsidRPr="00ED366C">
        <w:lastRenderedPageBreak/>
        <w:t>Предложение за</w:t>
      </w:r>
    </w:p>
    <w:p w:rsidR="00212E89" w:rsidRPr="00ED366C" w:rsidRDefault="00ED366C" w:rsidP="00ED366C">
      <w:pPr>
        <w:pStyle w:val="Typedudocument"/>
      </w:pPr>
      <w:r w:rsidRPr="00ED366C">
        <w:t>РЕШЕНИЕ НА ЕВРОПЕЙСКИЯ ПАРЛАМЕНТ И НА СЪВЕТА</w:t>
      </w:r>
    </w:p>
    <w:p w:rsidR="00212E89" w:rsidRPr="00ED366C" w:rsidRDefault="00ED366C" w:rsidP="00ED366C">
      <w:pPr>
        <w:pStyle w:val="Titreobjet"/>
      </w:pPr>
      <w:r w:rsidRPr="00ED366C">
        <w:t>за мобилизирането на средства от фонд „Солидарност“ на Европейския съюз с цел предоставяне на помощ на Гърция</w:t>
      </w:r>
    </w:p>
    <w:p w:rsidR="00212E89" w:rsidRPr="00ED366C" w:rsidRDefault="003E1C21">
      <w:pPr>
        <w:pStyle w:val="Institutionquiagit"/>
        <w:spacing w:before="480" w:after="360"/>
      </w:pPr>
      <w:r w:rsidRPr="00ED366C">
        <w:t>ЕВРОПЕЙСКИЯТ ПАРЛАМЕНТ И СЪВЕТЪТ НА ЕВРОПЕЙСКИЯ СЪЮЗ,</w:t>
      </w:r>
    </w:p>
    <w:p w:rsidR="00212E89" w:rsidRPr="00ED366C" w:rsidRDefault="003E1C21">
      <w:r w:rsidRPr="00ED366C">
        <w:t>като взеха предвид Договора за функционирането на Европейския съюз,</w:t>
      </w:r>
    </w:p>
    <w:p w:rsidR="00212E89" w:rsidRPr="00ED366C" w:rsidRDefault="003E1C21">
      <w:r w:rsidRPr="00ED366C">
        <w:t>като взеха предвид Регламент (ЕО) № 2012/2002 на Съвета от 11 ноември 2002 г. за създаване на фонд „Солидарност“ на Европейския съюз</w:t>
      </w:r>
      <w:r w:rsidRPr="00ED366C">
        <w:rPr>
          <w:rStyle w:val="FootnoteReference"/>
        </w:rPr>
        <w:footnoteReference w:id="5"/>
      </w:r>
      <w:r w:rsidRPr="00ED366C">
        <w:t>, и по-специално член 4, параграф 3 от него,</w:t>
      </w:r>
    </w:p>
    <w:p w:rsidR="00212E89" w:rsidRPr="00ED366C" w:rsidRDefault="003E1C21">
      <w:r w:rsidRPr="00ED366C">
        <w:t>като взеха предвид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sidRPr="00ED366C">
        <w:rPr>
          <w:rStyle w:val="FootnoteReference"/>
        </w:rPr>
        <w:footnoteReference w:id="6"/>
      </w:r>
      <w:r w:rsidRPr="00ED366C">
        <w:t>, и по-специално точка 11 от него,</w:t>
      </w:r>
    </w:p>
    <w:p w:rsidR="00212E89" w:rsidRPr="00ED366C" w:rsidRDefault="003E1C21">
      <w:r w:rsidRPr="00ED366C">
        <w:t>като взеха предвид предложението на Европейската комисия,</w:t>
      </w:r>
    </w:p>
    <w:p w:rsidR="00212E89" w:rsidRPr="00ED366C" w:rsidRDefault="003E1C21">
      <w:pPr>
        <w:spacing w:after="360"/>
      </w:pPr>
      <w:r w:rsidRPr="00ED366C">
        <w:t>като имат предвид, че:</w:t>
      </w:r>
    </w:p>
    <w:p w:rsidR="00212E89" w:rsidRPr="00ED366C" w:rsidRDefault="003E1C21">
      <w:pPr>
        <w:pStyle w:val="ManualConsidrant"/>
      </w:pPr>
      <w:r w:rsidRPr="00ED366C">
        <w:t>(1)</w:t>
      </w:r>
      <w:r w:rsidRPr="00ED366C">
        <w:tab/>
        <w:t>Фонд „Солидарност“ на Европейския съюз („Фондът“) има за цел да се осигури възможност на Съюза да реагира по бърз, ефективен и гъвкав начин на извънредни ситуации с цел да се покаже солидарност с населението на регионите, засегнати от природни бедствия.</w:t>
      </w:r>
    </w:p>
    <w:p w:rsidR="00212E89" w:rsidRPr="00ED366C" w:rsidRDefault="003E1C21">
      <w:pPr>
        <w:pStyle w:val="ManualConsidrant"/>
      </w:pPr>
      <w:r w:rsidRPr="00ED366C">
        <w:t>(2)</w:t>
      </w:r>
      <w:r w:rsidRPr="00ED366C">
        <w:tab/>
        <w:t>Съгласно член 10 от Регламент (ЕС, Евратом) № 1311/2013 на Съвета</w:t>
      </w:r>
      <w:r w:rsidRPr="00ED366C">
        <w:rPr>
          <w:rStyle w:val="FootnoteReference"/>
        </w:rPr>
        <w:footnoteReference w:id="7"/>
      </w:r>
      <w:r w:rsidRPr="00ED366C">
        <w:t xml:space="preserve"> максималната годишна сума, която Фондът не трябва да надхвърля, е 500 000 000 EUR (по цени от 2011 г.).</w:t>
      </w:r>
    </w:p>
    <w:p w:rsidR="00212E89" w:rsidRPr="00ED366C" w:rsidRDefault="003E1C21">
      <w:pPr>
        <w:pStyle w:val="ManualConsidrant"/>
      </w:pPr>
      <w:r w:rsidRPr="00ED366C">
        <w:t>(3)</w:t>
      </w:r>
      <w:r w:rsidRPr="00ED366C">
        <w:tab/>
        <w:t>На 15 май 2019 г. Гърция подаде заявление за мобилизиране на средства от Фонда след изключително проливни дъждове и силни бури, които удариха остров Крит между 23 и 26 февруари 2019 г. и предизвикаха наводнения и свлачища.</w:t>
      </w:r>
    </w:p>
    <w:p w:rsidR="00212E89" w:rsidRPr="00ED366C" w:rsidRDefault="003E1C21">
      <w:pPr>
        <w:pStyle w:val="ManualConsidrant"/>
        <w:rPr>
          <w:sz w:val="22"/>
        </w:rPr>
      </w:pPr>
      <w:r w:rsidRPr="00ED366C">
        <w:t>(4)</w:t>
      </w:r>
      <w:r w:rsidRPr="00ED366C">
        <w:tab/>
        <w:t>Заявлението на Гърция отговаря на условията за отпускане на средства от Фонда, определени в член 4 от Регламент (ЕО) № 2012/2002.</w:t>
      </w:r>
    </w:p>
    <w:p w:rsidR="00212E89" w:rsidRPr="00ED366C" w:rsidRDefault="003E1C21">
      <w:pPr>
        <w:pStyle w:val="ManualConsidrant"/>
      </w:pPr>
      <w:r w:rsidRPr="00ED366C">
        <w:t>(5)</w:t>
      </w:r>
      <w:r w:rsidRPr="00ED366C">
        <w:tab/>
        <w:t>Поради това следва да бъдат мобилизирани средства от Фонда, за да се предостави финансова помощ на Гърция.</w:t>
      </w:r>
    </w:p>
    <w:p w:rsidR="00212E89" w:rsidRPr="00ED366C" w:rsidRDefault="008914EC">
      <w:pPr>
        <w:pStyle w:val="ManualConsidrant"/>
      </w:pPr>
      <w:r w:rsidRPr="00ED366C">
        <w:t>(6)</w:t>
      </w:r>
      <w:r w:rsidRPr="00ED366C">
        <w:tab/>
        <w:t>С Решение (ЕС) 2019/277 на Европейския парламент и на Съвета</w:t>
      </w:r>
      <w:r w:rsidRPr="00ED366C">
        <w:rPr>
          <w:rStyle w:val="FootnoteReference"/>
        </w:rPr>
        <w:footnoteReference w:id="8"/>
      </w:r>
      <w:r w:rsidRPr="00ED366C">
        <w:t xml:space="preserve"> от Фонда бяха мобилизирани средства за предоставяне на сумата от 50 000 000 EUR под формата на бюджетни кредити за поети задължения и бюджетни кредити за плащания, предназначени за извършване на авансови плащания за финансовата </w:t>
      </w:r>
      <w:r w:rsidRPr="00ED366C">
        <w:lastRenderedPageBreak/>
        <w:t>2019 година. Тези бюджетни кредити са усвоени в много малка степен. Следователно съществува възможност цялата сума за настоящото мобилизиране на средства да бъде финансирана чрез преразпределяне на бюджетните кредити, налични за извършването на авансови плащания в общия бюджет на Съюза за финансовата 2019 година.</w:t>
      </w:r>
    </w:p>
    <w:p w:rsidR="00212E89" w:rsidRPr="00ED366C" w:rsidRDefault="008914EC">
      <w:pPr>
        <w:pStyle w:val="ManualConsidrant"/>
      </w:pPr>
      <w:r w:rsidRPr="00ED366C">
        <w:t>(7)</w:t>
      </w:r>
      <w:r w:rsidRPr="00ED366C">
        <w:tab/>
        <w:t>За да се сведе до минимум времето за мобилизиране на средства от Фонда, настоящото решение следва да се прилага от датата на приемането му,</w:t>
      </w:r>
    </w:p>
    <w:p w:rsidR="00212E89" w:rsidRPr="00ED366C" w:rsidRDefault="003E1C21">
      <w:pPr>
        <w:pStyle w:val="Formuledadoption"/>
      </w:pPr>
      <w:r w:rsidRPr="00ED366C">
        <w:t>ПРИЕХА НАСТОЯЩОТО РЕШЕНИЕ:</w:t>
      </w:r>
    </w:p>
    <w:p w:rsidR="00212E89" w:rsidRPr="00ED366C" w:rsidRDefault="003E1C21">
      <w:pPr>
        <w:pStyle w:val="Titrearticle"/>
        <w:spacing w:before="240"/>
      </w:pPr>
      <w:r w:rsidRPr="00ED366C">
        <w:t>Член 1</w:t>
      </w:r>
    </w:p>
    <w:p w:rsidR="00212E89" w:rsidRPr="00ED366C" w:rsidRDefault="003E1C21">
      <w:pPr>
        <w:spacing w:before="0" w:after="0"/>
      </w:pPr>
      <w:r w:rsidRPr="00ED366C">
        <w:t>За общия бюджет на Съюза за финансовата 2019 година фонд „Солидарност“ на Европейския съюз се мобилизира за предоставянето на сумата от 4 552 517 EUR на Гърция под формата на бюджетни кредити за поети задължения и бюджетни кредити за плащания.</w:t>
      </w:r>
    </w:p>
    <w:p w:rsidR="00212E89" w:rsidRPr="00ED366C" w:rsidRDefault="00212E89">
      <w:pPr>
        <w:spacing w:before="0" w:after="0"/>
      </w:pPr>
    </w:p>
    <w:p w:rsidR="00212E89" w:rsidRPr="00ED366C" w:rsidRDefault="003E1C21">
      <w:pPr>
        <w:spacing w:before="0" w:after="0"/>
      </w:pPr>
      <w:r w:rsidRPr="00ED366C">
        <w:t>Сумата, посочена в първа алинея, се финансира от бюджетните кредити, мобилизирани за извършването на авансови плащания в бюджета на Съюза за финансовата 2019 година. Наличните бюджетни кредити за извършването на авансови плащания съответно се намаляват.</w:t>
      </w:r>
    </w:p>
    <w:p w:rsidR="00212E89" w:rsidRPr="00ED366C" w:rsidRDefault="003E1C21">
      <w:pPr>
        <w:pStyle w:val="Titrearticle"/>
      </w:pPr>
      <w:r w:rsidRPr="00ED366C">
        <w:t>Член 2</w:t>
      </w:r>
    </w:p>
    <w:p w:rsidR="00212E89" w:rsidRPr="00ED366C" w:rsidRDefault="003E1C21">
      <w:r w:rsidRPr="00ED366C">
        <w:t xml:space="preserve">Настоящото решение влиза в сила в деня на публикуването му в </w:t>
      </w:r>
      <w:r w:rsidRPr="00ED366C">
        <w:rPr>
          <w:i/>
          <w:iCs/>
        </w:rPr>
        <w:t>Официален вестник на Европейския съюз</w:t>
      </w:r>
      <w:r w:rsidRPr="00ED366C">
        <w:t>.</w:t>
      </w:r>
    </w:p>
    <w:p w:rsidR="00212E89" w:rsidRPr="00ED366C" w:rsidRDefault="003E1C21">
      <w:pPr>
        <w:rPr>
          <w:i/>
        </w:rPr>
      </w:pPr>
      <w:r w:rsidRPr="00ED366C">
        <w:t>То се прилага от … [</w:t>
      </w:r>
      <w:r w:rsidRPr="00ED366C">
        <w:rPr>
          <w:i/>
        </w:rPr>
        <w:t>датата на приемането му</w:t>
      </w:r>
      <w:r w:rsidRPr="00ED366C">
        <w:t>]</w:t>
      </w:r>
      <w:r w:rsidRPr="00ED366C">
        <w:footnoteReference w:customMarkFollows="1" w:id="9"/>
        <w:sym w:font="Symbol" w:char="F02A"/>
      </w:r>
      <w:r w:rsidRPr="00ED366C">
        <w:sym w:font="Symbol" w:char="F02A"/>
      </w:r>
      <w:r w:rsidRPr="00ED366C">
        <w:rPr>
          <w:i/>
        </w:rPr>
        <w:t>.</w:t>
      </w:r>
    </w:p>
    <w:p w:rsidR="00212E89" w:rsidRPr="00ED366C" w:rsidRDefault="00942E9F" w:rsidP="00942E9F">
      <w:pPr>
        <w:pStyle w:val="Fait"/>
      </w:pPr>
      <w:r w:rsidRPr="00942E9F">
        <w:t>Съставено в Брюксел на  година.</w:t>
      </w:r>
    </w:p>
    <w:p w:rsidR="00212E89" w:rsidRPr="00942E9F" w:rsidRDefault="003E1C21">
      <w:pPr>
        <w:pStyle w:val="Institutionquisigne"/>
      </w:pPr>
      <w:r w:rsidRPr="00ED366C">
        <w:t>За Европейския парламент</w:t>
      </w:r>
      <w:r w:rsidRPr="00ED366C">
        <w:tab/>
        <w:t>За Съвета</w:t>
      </w:r>
    </w:p>
    <w:sectPr w:rsidR="00212E89" w:rsidRPr="00942E9F" w:rsidSect="00942E9F">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E89" w:rsidRDefault="003E1C21">
      <w:pPr>
        <w:spacing w:before="0" w:after="0"/>
      </w:pPr>
      <w:r>
        <w:separator/>
      </w:r>
    </w:p>
  </w:endnote>
  <w:endnote w:type="continuationSeparator" w:id="0">
    <w:p w:rsidR="00212E89" w:rsidRDefault="003E1C2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9F" w:rsidRPr="00942E9F" w:rsidRDefault="00942E9F" w:rsidP="00942E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86" w:rsidRPr="00942E9F" w:rsidRDefault="00942E9F" w:rsidP="00942E9F">
    <w:pPr>
      <w:pStyle w:val="Footer"/>
      <w:rPr>
        <w:rFonts w:ascii="Arial" w:hAnsi="Arial" w:cs="Arial"/>
        <w:b/>
        <w:sz w:val="48"/>
      </w:rPr>
    </w:pPr>
    <w:r w:rsidRPr="00942E9F">
      <w:rPr>
        <w:rFonts w:ascii="Arial" w:hAnsi="Arial" w:cs="Arial"/>
        <w:b/>
        <w:sz w:val="48"/>
      </w:rPr>
      <w:t>BG</w:t>
    </w:r>
    <w:r w:rsidRPr="00942E9F">
      <w:rPr>
        <w:rFonts w:ascii="Arial" w:hAnsi="Arial" w:cs="Arial"/>
        <w:b/>
        <w:sz w:val="48"/>
      </w:rPr>
      <w:tab/>
    </w:r>
    <w:r w:rsidRPr="00942E9F">
      <w:rPr>
        <w:rFonts w:ascii="Arial" w:hAnsi="Arial" w:cs="Arial"/>
        <w:b/>
        <w:sz w:val="48"/>
      </w:rPr>
      <w:tab/>
    </w:r>
    <w:r w:rsidRPr="00942E9F">
      <w:tab/>
    </w:r>
    <w:r w:rsidRPr="00942E9F">
      <w:rPr>
        <w:rFonts w:ascii="Arial" w:hAnsi="Arial" w:cs="Arial"/>
        <w:b/>
        <w:sz w:val="48"/>
      </w:rPr>
      <w:t>BG</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9F" w:rsidRPr="00942E9F" w:rsidRDefault="00942E9F" w:rsidP="00942E9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C86" w:rsidRPr="00942E9F" w:rsidRDefault="00942E9F" w:rsidP="00942E9F">
    <w:pPr>
      <w:pStyle w:val="Footer"/>
      <w:rPr>
        <w:rFonts w:ascii="Arial" w:hAnsi="Arial" w:cs="Arial"/>
        <w:b/>
        <w:sz w:val="48"/>
      </w:rPr>
    </w:pPr>
    <w:r w:rsidRPr="00942E9F">
      <w:rPr>
        <w:rFonts w:ascii="Arial" w:hAnsi="Arial" w:cs="Arial"/>
        <w:b/>
        <w:sz w:val="48"/>
      </w:rPr>
      <w:t>BG</w:t>
    </w:r>
    <w:r w:rsidRPr="00942E9F">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942E9F">
      <w:tab/>
    </w:r>
    <w:r w:rsidRPr="00942E9F">
      <w:rPr>
        <w:rFonts w:ascii="Arial" w:hAnsi="Arial" w:cs="Arial"/>
        <w:b/>
        <w:sz w:val="48"/>
      </w:rPr>
      <w:t>BG</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9F" w:rsidRPr="00942E9F" w:rsidRDefault="00942E9F" w:rsidP="00942E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E89" w:rsidRDefault="003E1C21">
      <w:pPr>
        <w:spacing w:before="0" w:after="0"/>
      </w:pPr>
      <w:r>
        <w:separator/>
      </w:r>
    </w:p>
  </w:footnote>
  <w:footnote w:type="continuationSeparator" w:id="0">
    <w:p w:rsidR="00212E89" w:rsidRDefault="003E1C21">
      <w:pPr>
        <w:spacing w:before="0" w:after="0"/>
      </w:pPr>
      <w:r>
        <w:continuationSeparator/>
      </w:r>
    </w:p>
  </w:footnote>
  <w:footnote w:id="1">
    <w:p w:rsidR="00212E89" w:rsidRDefault="003E1C21">
      <w:pPr>
        <w:pStyle w:val="FootnoteText"/>
      </w:pPr>
      <w:r>
        <w:rPr>
          <w:rStyle w:val="FootnoteReference"/>
        </w:rPr>
        <w:footnoteRef/>
      </w:r>
      <w:r>
        <w:tab/>
        <w:t>Регламент (ЕО) № 2012/2002 на Съвета от 11 ноември 2002 г. за създаване на фонд „Солидарност“ на Европейския съюз (ОВ L 311, 14.11.2002 г., стр. 3), изменен с Регламент (ЕС) № 661/2014 на Европейския парламент и на Съвета от 15 май 2014 г. (ОВ L 189, 27.6.2014 г., стр. 143).</w:t>
      </w:r>
    </w:p>
  </w:footnote>
  <w:footnote w:id="2">
    <w:p w:rsidR="00212E89" w:rsidRDefault="003E1C21">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3">
    <w:p w:rsidR="00212E89" w:rsidRDefault="003E1C21">
      <w:pPr>
        <w:pStyle w:val="FootnoteText"/>
      </w:pPr>
      <w:r>
        <w:rPr>
          <w:rStyle w:val="FootnoteReference"/>
        </w:rPr>
        <w:footnoteRef/>
      </w:r>
      <w:r>
        <w:tab/>
        <w:t>ОВ С 373, 20.12.2013 г., стр. 1.</w:t>
      </w:r>
    </w:p>
  </w:footnote>
  <w:footnote w:id="4">
    <w:p w:rsidR="00212E89" w:rsidRDefault="003E1C21">
      <w:pPr>
        <w:pStyle w:val="FootnoteText"/>
      </w:pPr>
      <w:r>
        <w:rPr>
          <w:rStyle w:val="FootnoteReference"/>
        </w:rPr>
        <w:footnoteRef/>
      </w:r>
      <w:r>
        <w:tab/>
        <w:t>Приети текстове P9_TA-PROV(2019)0013 и P9_TA-PROV(2019)0014</w:t>
      </w:r>
      <w:r>
        <w:rPr>
          <w:sz w:val="18"/>
          <w:szCs w:val="18"/>
        </w:rPr>
        <w:t>.</w:t>
      </w:r>
    </w:p>
  </w:footnote>
  <w:footnote w:id="5">
    <w:p w:rsidR="00212E89" w:rsidRDefault="003E1C21">
      <w:pPr>
        <w:pStyle w:val="FootnoteText"/>
      </w:pPr>
      <w:r>
        <w:rPr>
          <w:rStyle w:val="FootnoteReference"/>
        </w:rPr>
        <w:footnoteRef/>
      </w:r>
      <w:r>
        <w:tab/>
      </w:r>
      <w:r>
        <w:rPr>
          <w:shd w:val="clear" w:color="auto" w:fill="FFFFFF"/>
        </w:rPr>
        <w:t>ОВ L 311, 14.11.2002 г., стр. 3.</w:t>
      </w:r>
    </w:p>
  </w:footnote>
  <w:footnote w:id="6">
    <w:p w:rsidR="00212E89" w:rsidRDefault="003E1C21">
      <w:pPr>
        <w:pStyle w:val="FootnoteText"/>
      </w:pPr>
      <w:r>
        <w:rPr>
          <w:rStyle w:val="FootnoteReference"/>
        </w:rPr>
        <w:footnoteRef/>
      </w:r>
      <w:r>
        <w:tab/>
        <w:t>ОВ С 373, 20.12.2013 г., стр. 1.</w:t>
      </w:r>
    </w:p>
  </w:footnote>
  <w:footnote w:id="7">
    <w:p w:rsidR="00212E89" w:rsidRDefault="003E1C21">
      <w:pPr>
        <w:pStyle w:val="FootnoteText"/>
      </w:pPr>
      <w:r>
        <w:rPr>
          <w:rStyle w:val="FootnoteReference"/>
        </w:rPr>
        <w:footnoteRef/>
      </w:r>
      <w:r>
        <w:tab/>
        <w:t>Регламент (EC, Евратом) № 1311/2013 на Съвета от 2 декември 2013 г. за определяне на многогодишната финансова рамка за годините 2014—2020 (ОВ L 347, 20.12.2013 г., стр. 884).</w:t>
      </w:r>
    </w:p>
  </w:footnote>
  <w:footnote w:id="8">
    <w:p w:rsidR="00212E89" w:rsidRDefault="003E1C21">
      <w:pPr>
        <w:pStyle w:val="FootnoteText"/>
      </w:pPr>
      <w:r>
        <w:rPr>
          <w:rStyle w:val="FootnoteReference"/>
        </w:rPr>
        <w:footnoteRef/>
      </w:r>
      <w:r>
        <w:tab/>
        <w:t>ОВ L 54, 22.2.2019 г., стр. 5.</w:t>
      </w:r>
    </w:p>
  </w:footnote>
  <w:footnote w:id="9">
    <w:p w:rsidR="00212E89" w:rsidRDefault="003E1C21">
      <w:pPr>
        <w:pStyle w:val="FootnoteText"/>
      </w:pPr>
      <w:r>
        <w:sym w:font="Symbol" w:char="F02A"/>
      </w:r>
      <w:r>
        <w:sym w:font="Symbol" w:char="F02A"/>
      </w:r>
      <w:r>
        <w:t xml:space="preserve"> </w:t>
      </w:r>
      <w:r>
        <w:rPr>
          <w:i/>
        </w:rPr>
        <w:t>Датата да се попълни от Парламента преди публикуването в 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9F" w:rsidRPr="00942E9F" w:rsidRDefault="00942E9F" w:rsidP="00942E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9F" w:rsidRPr="00942E9F" w:rsidRDefault="00942E9F" w:rsidP="00942E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E9F" w:rsidRPr="00942E9F" w:rsidRDefault="00942E9F" w:rsidP="00942E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93E3D4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357C2E0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3E095F6"/>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9B14E41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956E09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1B06E1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224AD14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4FCD1B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hideSpellingErrors/>
  <w:hideGrammaticalErrors/>
  <w:attachedTemplate r:id="rId1"/>
  <w:defaultTabStop w:val="720"/>
  <w:hyphenationZone w:val="425"/>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8 15:34:36"/>
    <w:docVar w:name="DQCResult_Distribution" w:val="0;1"/>
    <w:docVar w:name="DQCResult_DocumentContent" w:val="0;0"/>
    <w:docVar w:name="DQCResult_DocumentSize" w:val="0;0"/>
    <w:docVar w:name="DQCResult_DocumentVersions" w:val="0;0"/>
    <w:docVar w:name="DQCResult_InvalidFootnotes" w:val="0;1"/>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E582BA19-BB81-4D3A-8120-056797FE42EC"/>
    <w:docVar w:name="LW_COVERPAGE_TYPE" w:val="1"/>
    <w:docVar w:name="LW_CROSSREFERENCE" w:val="&lt;UNUSED&gt;"/>
    <w:docVar w:name="LW_DocType" w:val="COM"/>
    <w:docVar w:name="LW_EMISSION" w:val="18.10.2019"/>
    <w:docVar w:name="LW_EMISSION_ISODATE" w:val="2019-10-18"/>
    <w:docVar w:name="LW_EMISSION_LOCATION" w:val="BRX"/>
    <w:docVar w:name="LW_EMISSION_PREFIX" w:val="\u1041?\u1088?\u1102?\u1082?\u1089?\u1077?\u1083?, "/>
    <w:docVar w:name="LW_EMISSION_SUFFIX" w:val="&lt;EMPTY&gt;"/>
    <w:docVar w:name="LW_ID_DOCMODEL" w:val="SJ-026"/>
    <w:docVar w:name="LW_ID_DOCSIGNATURE" w:val="SJ-026"/>
    <w:docVar w:name="LW_ID_DOCSTRUCTURE" w:val="COM/PL/ORG"/>
    <w:docVar w:name="LW_ID_DOCTYPE" w:val="SJ-026"/>
    <w:docVar w:name="LW_ID_EXP.MOTIFS.NEW" w:val="EM_PL_"/>
    <w:docVar w:name="LW_ID_STATUT" w:val="SJ-02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4?\u1086?\u1073?\u1080?\u1083?\u1080?\u1079?\u1080?\u1088?\u1072?\u1085?\u1077?\u1090?\u1086? \u1085?\u1072? \u1089?\u1088?\u1077?\u1076?\u1089?\u1090?\u1074?\u1072? \u1086?\u1090? \u1092?\u1086?\u1085?\u1076? \u8222?\u1057?\u1086?\u1083?\u1080?\u1076?\u1072?\u1088?\u1085?\u1086?\u1089?\u1090?\u8220? \u1085?\u1072? \u1045?\u1074?\u1088?\u1086?\u1087?\u1077?\u1081?\u1089?\u1082?\u1080?\u1103? \u1089?\u1098?\u1102?\u1079? \u1089? \u1094?\u1077?\u1083? \u1087?\u1088?\u1077?\u1076?\u1086?\u1089?\u1090?\u1072?\u1074?\u1103?\u1085?\u1077? \u1085?\u1072? \u1087?\u1086?\u1084?\u1086?\u1097? \u1085?\u1072? \u1043?\u1098?\u1088?\u1094?\u1080?\u1103?"/>
    <w:docVar w:name="LW_TYPE.DOC.CP" w:val="\u1056?\u1045?\u1064?\u1045?\u1053?\u1048?\u1045? \u1053?\u1040? \u1045?\u1042?\u1056?\u1054?\u1055?\u1045?\u1049?\u1057?\u1050?\u1048?\u1071? \u1055?\u1040?\u1056?\u1051?\u1040?\u1052?\u1045?\u1053?\u1058? \u1048? \u1053?\u1040? \u1057?\u1066?\u1042?\u1045?\u1058?\u1040?"/>
  </w:docVars>
  <w:rsids>
    <w:rsidRoot w:val="00531862"/>
    <w:rsid w:val="00075208"/>
    <w:rsid w:val="00212E89"/>
    <w:rsid w:val="00254016"/>
    <w:rsid w:val="003620D5"/>
    <w:rsid w:val="00362C86"/>
    <w:rsid w:val="0038414B"/>
    <w:rsid w:val="003E1C21"/>
    <w:rsid w:val="004652D6"/>
    <w:rsid w:val="004F4EDE"/>
    <w:rsid w:val="00531862"/>
    <w:rsid w:val="005A52EB"/>
    <w:rsid w:val="006065DD"/>
    <w:rsid w:val="006F31F3"/>
    <w:rsid w:val="00886997"/>
    <w:rsid w:val="008914EC"/>
    <w:rsid w:val="00902C81"/>
    <w:rsid w:val="00936FD0"/>
    <w:rsid w:val="00942E9F"/>
    <w:rsid w:val="00971FE1"/>
    <w:rsid w:val="009D50E5"/>
    <w:rsid w:val="00A26707"/>
    <w:rsid w:val="00AA1692"/>
    <w:rsid w:val="00C94514"/>
    <w:rsid w:val="00CE063A"/>
    <w:rsid w:val="00D77CBD"/>
    <w:rsid w:val="00DC6894"/>
    <w:rsid w:val="00DD4245"/>
    <w:rsid w:val="00ED366C"/>
    <w:rsid w:val="00F35061"/>
    <w:rsid w:val="00FE5ED9"/>
    <w:rsid w:val="00FE639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5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rsid w:val="009B713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al"/>
    <w:pPr>
      <w:spacing w:before="240"/>
      <w:jc w:val="center"/>
    </w:pPr>
    <w:rPr>
      <w:rFonts w:eastAsia="Times New Roman"/>
      <w:b/>
      <w:bCs/>
      <w:szCs w:val="24"/>
      <w:lang w:eastAsia="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rsid w:val="00942E9F"/>
    <w:pPr>
      <w:tabs>
        <w:tab w:val="center" w:pos="4535"/>
        <w:tab w:val="right" w:pos="9071"/>
      </w:tabs>
      <w:spacing w:before="0"/>
    </w:pPr>
  </w:style>
  <w:style w:type="character" w:customStyle="1" w:styleId="HeaderChar">
    <w:name w:val="Header Char"/>
    <w:basedOn w:val="DefaultParagraphFont"/>
    <w:link w:val="Header"/>
    <w:uiPriority w:val="99"/>
    <w:rsid w:val="00942E9F"/>
    <w:rPr>
      <w:rFonts w:ascii="Times New Roman" w:hAnsi="Times New Roman" w:cs="Times New Roman"/>
      <w:sz w:val="24"/>
      <w:lang w:val="bg-BG"/>
    </w:rPr>
  </w:style>
  <w:style w:type="paragraph" w:styleId="Footer">
    <w:name w:val="footer"/>
    <w:basedOn w:val="Normal"/>
    <w:link w:val="FooterChar"/>
    <w:uiPriority w:val="99"/>
    <w:unhideWhenUsed/>
    <w:rsid w:val="00942E9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42E9F"/>
    <w:rPr>
      <w:rFonts w:ascii="Times New Roman" w:hAnsi="Times New Roman" w:cs="Times New Roman"/>
      <w:sz w:val="24"/>
      <w:lang w:val="bg-BG"/>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42E9F"/>
    <w:pPr>
      <w:tabs>
        <w:tab w:val="center" w:pos="7285"/>
        <w:tab w:val="right" w:pos="14003"/>
      </w:tabs>
      <w:spacing w:before="0"/>
    </w:pPr>
  </w:style>
  <w:style w:type="paragraph" w:customStyle="1" w:styleId="FooterLandscape">
    <w:name w:val="FooterLandscape"/>
    <w:basedOn w:val="Normal"/>
    <w:rsid w:val="00942E9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42E9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42E9F"/>
    <w:pPr>
      <w:spacing w:before="0"/>
      <w:jc w:val="right"/>
    </w:pPr>
    <w:rPr>
      <w:sz w:val="28"/>
    </w:rPr>
  </w:style>
  <w:style w:type="paragraph" w:customStyle="1" w:styleId="FooterSensitivity">
    <w:name w:val="Footer Sensitivity"/>
    <w:basedOn w:val="Normal"/>
    <w:rsid w:val="00942E9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5"/>
      </w:numPr>
    </w:pPr>
  </w:style>
  <w:style w:type="paragraph" w:customStyle="1" w:styleId="NumPar2">
    <w:name w:val="NumPar 2"/>
    <w:basedOn w:val="Normal"/>
    <w:next w:val="Text1"/>
    <w:rsid w:val="009B7138"/>
    <w:pPr>
      <w:numPr>
        <w:ilvl w:val="1"/>
        <w:numId w:val="15"/>
      </w:numPr>
    </w:pPr>
  </w:style>
  <w:style w:type="paragraph" w:customStyle="1" w:styleId="NumPar3">
    <w:name w:val="NumPar 3"/>
    <w:basedOn w:val="Normal"/>
    <w:next w:val="Text1"/>
    <w:rsid w:val="009B7138"/>
    <w:pPr>
      <w:numPr>
        <w:ilvl w:val="2"/>
        <w:numId w:val="15"/>
      </w:numPr>
    </w:pPr>
  </w:style>
  <w:style w:type="paragraph" w:customStyle="1" w:styleId="NumPar4">
    <w:name w:val="NumPar 4"/>
    <w:basedOn w:val="Normal"/>
    <w:next w:val="Text1"/>
    <w:rsid w:val="009B7138"/>
    <w:pPr>
      <w:numPr>
        <w:ilvl w:val="3"/>
        <w:numId w:val="1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805304">
      <w:bodyDiv w:val="1"/>
      <w:marLeft w:val="0"/>
      <w:marRight w:val="0"/>
      <w:marTop w:val="0"/>
      <w:marBottom w:val="0"/>
      <w:divBdr>
        <w:top w:val="none" w:sz="0" w:space="0" w:color="auto"/>
        <w:left w:val="none" w:sz="0" w:space="0" w:color="auto"/>
        <w:bottom w:val="none" w:sz="0" w:space="0" w:color="auto"/>
        <w:right w:val="none" w:sz="0" w:space="0" w:color="auto"/>
      </w:divBdr>
    </w:div>
    <w:div w:id="281229382">
      <w:bodyDiv w:val="1"/>
      <w:marLeft w:val="0"/>
      <w:marRight w:val="0"/>
      <w:marTop w:val="0"/>
      <w:marBottom w:val="0"/>
      <w:divBdr>
        <w:top w:val="none" w:sz="0" w:space="0" w:color="auto"/>
        <w:left w:val="none" w:sz="0" w:space="0" w:color="auto"/>
        <w:bottom w:val="none" w:sz="0" w:space="0" w:color="auto"/>
        <w:right w:val="none" w:sz="0" w:space="0" w:color="auto"/>
      </w:divBdr>
    </w:div>
    <w:div w:id="302009955">
      <w:bodyDiv w:val="1"/>
      <w:marLeft w:val="0"/>
      <w:marRight w:val="0"/>
      <w:marTop w:val="0"/>
      <w:marBottom w:val="0"/>
      <w:divBdr>
        <w:top w:val="none" w:sz="0" w:space="0" w:color="auto"/>
        <w:left w:val="none" w:sz="0" w:space="0" w:color="auto"/>
        <w:bottom w:val="none" w:sz="0" w:space="0" w:color="auto"/>
        <w:right w:val="none" w:sz="0" w:space="0" w:color="auto"/>
      </w:divBdr>
    </w:div>
    <w:div w:id="483743024">
      <w:bodyDiv w:val="1"/>
      <w:marLeft w:val="0"/>
      <w:marRight w:val="0"/>
      <w:marTop w:val="0"/>
      <w:marBottom w:val="0"/>
      <w:divBdr>
        <w:top w:val="none" w:sz="0" w:space="0" w:color="auto"/>
        <w:left w:val="none" w:sz="0" w:space="0" w:color="auto"/>
        <w:bottom w:val="none" w:sz="0" w:space="0" w:color="auto"/>
        <w:right w:val="none" w:sz="0" w:space="0" w:color="auto"/>
      </w:divBdr>
    </w:div>
    <w:div w:id="565840724">
      <w:bodyDiv w:val="1"/>
      <w:marLeft w:val="0"/>
      <w:marRight w:val="0"/>
      <w:marTop w:val="0"/>
      <w:marBottom w:val="0"/>
      <w:divBdr>
        <w:top w:val="none" w:sz="0" w:space="0" w:color="auto"/>
        <w:left w:val="none" w:sz="0" w:space="0" w:color="auto"/>
        <w:bottom w:val="none" w:sz="0" w:space="0" w:color="auto"/>
        <w:right w:val="none" w:sz="0" w:space="0" w:color="auto"/>
      </w:divBdr>
    </w:div>
    <w:div w:id="186817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C0EF3-287E-40F3-8A46-24AC9ED43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7</Pages>
  <Words>1848</Words>
  <Characters>9708</Characters>
  <Application>Microsoft Office Word</Application>
  <DocSecurity>0</DocSecurity>
  <Lines>231</Lines>
  <Paragraphs>114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2019-10-28T14:34:00Z</dcterms:created>
  <dcterms:modified xsi:type="dcterms:W3CDTF">2019-10-29T09:43:00Z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Yellow (DQC version 03)</vt:lpwstr>
  </property>
</Properties>
</file>