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51E" w:rsidRPr="000778D6" w:rsidRDefault="0020445A" w:rsidP="0020445A">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2888B29-5795-4E60-99F1-ADE550CF6DD4" style="width:450.75pt;height:338.25pt">
            <v:imagedata r:id="rId8" o:title=""/>
          </v:shape>
        </w:pict>
      </w:r>
    </w:p>
    <w:p w:rsidR="001A551E" w:rsidRPr="000778D6" w:rsidRDefault="001A551E">
      <w:pPr>
        <w:sectPr w:rsidR="001A551E" w:rsidRPr="000778D6" w:rsidSect="0020445A">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2"/>
          <w:cols w:space="720"/>
          <w:docGrid w:linePitch="360"/>
        </w:sectPr>
      </w:pPr>
    </w:p>
    <w:p w:rsidR="001A551E" w:rsidRPr="000778D6" w:rsidRDefault="003E1C21">
      <w:pPr>
        <w:pStyle w:val="Exposdesmotifstitre"/>
      </w:pPr>
      <w:bookmarkStart w:id="0" w:name="_GoBack"/>
      <w:bookmarkEnd w:id="0"/>
      <w:r w:rsidRPr="000778D6">
        <w:lastRenderedPageBreak/>
        <w:t>EXPOSÉ DES MOTIFS</w:t>
      </w:r>
    </w:p>
    <w:p w:rsidR="001A551E" w:rsidRPr="000778D6" w:rsidRDefault="003E1C21">
      <w:pPr>
        <w:pStyle w:val="ManualHeading1"/>
      </w:pPr>
      <w:r w:rsidRPr="001A6DED">
        <w:t>1</w:t>
      </w:r>
      <w:r w:rsidRPr="000778D6">
        <w:t>.</w:t>
      </w:r>
      <w:r w:rsidRPr="000778D6">
        <w:tab/>
        <w:t>Contexte de la proposition</w:t>
      </w:r>
    </w:p>
    <w:p w:rsidR="001A551E" w:rsidRPr="000778D6" w:rsidRDefault="003E1C21">
      <w:r w:rsidRPr="000778D6">
        <w:t xml:space="preserve">La présente décision porte sur la mobilisation du Fonds de solidarité de l’Union européenne (FSUE), conformément au règlement (CE) nº </w:t>
      </w:r>
      <w:r w:rsidRPr="001A6DED">
        <w:t>2012</w:t>
      </w:r>
      <w:r w:rsidRPr="000778D6">
        <w:t>/</w:t>
      </w:r>
      <w:r w:rsidRPr="001A6DED">
        <w:t>2002</w:t>
      </w:r>
      <w:r w:rsidRPr="000778D6">
        <w:t xml:space="preserve"> du Conseil du </w:t>
      </w:r>
      <w:r w:rsidRPr="001A6DED">
        <w:t>11</w:t>
      </w:r>
      <w:r w:rsidRPr="000778D6">
        <w:t xml:space="preserve"> novembre </w:t>
      </w:r>
      <w:r w:rsidRPr="001A6DED">
        <w:t>2002</w:t>
      </w:r>
      <w:r w:rsidRPr="000778D6">
        <w:rPr>
          <w:rStyle w:val="FootnoteReference"/>
        </w:rPr>
        <w:footnoteReference w:id="1"/>
      </w:r>
      <w:r w:rsidRPr="000778D6">
        <w:t xml:space="preserve"> (ci-après le «règlement»), pour un montant de </w:t>
      </w:r>
      <w:r w:rsidRPr="001A6DED">
        <w:t>4</w:t>
      </w:r>
      <w:r w:rsidRPr="000778D6">
        <w:t> </w:t>
      </w:r>
      <w:r w:rsidRPr="001A6DED">
        <w:t>552</w:t>
      </w:r>
      <w:r w:rsidRPr="000778D6">
        <w:t> </w:t>
      </w:r>
      <w:r w:rsidRPr="001A6DED">
        <w:t>517</w:t>
      </w:r>
      <w:r w:rsidRPr="000778D6">
        <w:t xml:space="preserve"> EUR, afin de venir en aide à la Grèce à la suite des inondations et des glissements de terrain survenus en </w:t>
      </w:r>
      <w:r w:rsidRPr="001A6DED">
        <w:t>2019</w:t>
      </w:r>
      <w:r w:rsidRPr="000778D6">
        <w:t xml:space="preserve">. Cette intervention sera intégralement financée par l’utilisation partielle des crédits d’engagement et de paiement déjà inscrits au budget </w:t>
      </w:r>
      <w:r w:rsidRPr="001A6DED">
        <w:t>2019</w:t>
      </w:r>
      <w:r w:rsidRPr="000778D6">
        <w:t xml:space="preserve"> pour couvrir les avances, après déduction de l’avance déjà versée de </w:t>
      </w:r>
      <w:r w:rsidRPr="001A6DED">
        <w:t>455</w:t>
      </w:r>
      <w:r w:rsidRPr="000778D6">
        <w:t> </w:t>
      </w:r>
      <w:r w:rsidRPr="001A6DED">
        <w:t>252</w:t>
      </w:r>
      <w:r w:rsidRPr="000778D6">
        <w:t xml:space="preserve"> EUR. Un budget rectificatif n’est donc pas nécessaire. </w:t>
      </w:r>
    </w:p>
    <w:p w:rsidR="001A551E" w:rsidRPr="000778D6" w:rsidRDefault="003E1C21">
      <w:pPr>
        <w:pStyle w:val="ManualHeading1"/>
      </w:pPr>
      <w:r w:rsidRPr="001A6DED">
        <w:t>2</w:t>
      </w:r>
      <w:r w:rsidRPr="000778D6">
        <w:t>.</w:t>
      </w:r>
      <w:r w:rsidRPr="000778D6">
        <w:tab/>
        <w:t>Informations et conditions</w:t>
      </w:r>
    </w:p>
    <w:p w:rsidR="001A551E" w:rsidRPr="000778D6" w:rsidRDefault="003E1C21">
      <w:r w:rsidRPr="000778D6">
        <w:t xml:space="preserve">Entre le </w:t>
      </w:r>
      <w:r w:rsidRPr="001A6DED">
        <w:t>23</w:t>
      </w:r>
      <w:r w:rsidRPr="000778D6">
        <w:t xml:space="preserve"> et le </w:t>
      </w:r>
      <w:r w:rsidRPr="001A6DED">
        <w:t>26</w:t>
      </w:r>
      <w:r w:rsidRPr="000778D6">
        <w:t xml:space="preserve"> février </w:t>
      </w:r>
      <w:r w:rsidRPr="001A6DED">
        <w:t>2019</w:t>
      </w:r>
      <w:r w:rsidRPr="000778D6">
        <w:t>, des précipitations et une tempête d’une violence exceptionnelle ont frappé la Crète, en particulier la partie occidentale de l’île. Les inondations et les glissements de terrain qui en ont résulté ont causé des pertes en vies humaines et ont eu des conséquences dramatiques pour les infrastructures et les activités économiques, notamment le réseau routier et l'agriculture.</w:t>
      </w:r>
    </w:p>
    <w:p w:rsidR="001A551E" w:rsidRPr="000778D6" w:rsidRDefault="003E1C21">
      <w:pPr>
        <w:pStyle w:val="Point0number"/>
        <w:numPr>
          <w:ilvl w:val="0"/>
          <w:numId w:val="1"/>
        </w:numPr>
        <w:spacing w:before="240" w:after="0"/>
      </w:pPr>
      <w:r w:rsidRPr="000778D6">
        <w:t xml:space="preserve">La Grèce a demandé une contribution financière du FSUE le </w:t>
      </w:r>
      <w:r w:rsidRPr="001A6DED">
        <w:t>15</w:t>
      </w:r>
      <w:r w:rsidRPr="000778D6">
        <w:t xml:space="preserve"> mai </w:t>
      </w:r>
      <w:r w:rsidRPr="001A6DED">
        <w:t>2019</w:t>
      </w:r>
      <w:r w:rsidRPr="000778D6">
        <w:t>, dans le délai de douze semaines à compter de la date à laquelle le premier dommage est survenu. La demande a été introduite à titre de «catastrophe naturelle régionale» au sens de l'article </w:t>
      </w:r>
      <w:r w:rsidRPr="001A6DED">
        <w:t>2</w:t>
      </w:r>
      <w:r w:rsidRPr="000778D6">
        <w:t>, paragraphe </w:t>
      </w:r>
      <w:r w:rsidRPr="001A6DED">
        <w:t>3</w:t>
      </w:r>
      <w:r w:rsidRPr="000778D6">
        <w:t>, du règlement.</w:t>
      </w:r>
    </w:p>
    <w:p w:rsidR="001A551E" w:rsidRPr="000778D6" w:rsidRDefault="003E1C21">
      <w:pPr>
        <w:pStyle w:val="Point0number"/>
        <w:numPr>
          <w:ilvl w:val="0"/>
          <w:numId w:val="1"/>
        </w:numPr>
        <w:spacing w:before="240" w:after="0"/>
      </w:pPr>
      <w:r w:rsidRPr="000778D6">
        <w:t>La catastrophe est d’origine naturelle et relève donc du champ d’intervention du FSUE.</w:t>
      </w:r>
    </w:p>
    <w:p w:rsidR="001A551E" w:rsidRPr="000778D6" w:rsidRDefault="003E1C21">
      <w:pPr>
        <w:pStyle w:val="Point0number"/>
        <w:numPr>
          <w:ilvl w:val="0"/>
          <w:numId w:val="1"/>
        </w:numPr>
        <w:spacing w:before="240"/>
      </w:pPr>
      <w:r w:rsidRPr="000778D6">
        <w:t>La Grèce a estimé le montant total des dommages directs à </w:t>
      </w:r>
      <w:r w:rsidRPr="001A6DED">
        <w:t>182</w:t>
      </w:r>
      <w:r w:rsidRPr="000778D6">
        <w:t>,</w:t>
      </w:r>
      <w:r w:rsidRPr="001A6DED">
        <w:t>1</w:t>
      </w:r>
      <w:r w:rsidRPr="000778D6">
        <w:t xml:space="preserve"> millions d’EUR. Les dommages causés en Crète représentent </w:t>
      </w:r>
      <w:r w:rsidRPr="001A6DED">
        <w:t>2</w:t>
      </w:r>
      <w:r w:rsidRPr="000778D6">
        <w:t>,</w:t>
      </w:r>
      <w:r w:rsidRPr="001A6DED">
        <w:t>1</w:t>
      </w:r>
      <w:r w:rsidRPr="000778D6">
        <w:t> % du PIB de la région Kriti (Κρήτη) de niveau NUTS </w:t>
      </w:r>
      <w:r w:rsidRPr="001A6DED">
        <w:t>2</w:t>
      </w:r>
      <w:r w:rsidRPr="000778D6">
        <w:t xml:space="preserve"> concernée, et dépassent donc le seuil de </w:t>
      </w:r>
      <w:r w:rsidRPr="001A6DED">
        <w:t>129</w:t>
      </w:r>
      <w:r w:rsidRPr="000778D6">
        <w:t>,</w:t>
      </w:r>
      <w:r w:rsidRPr="001A6DED">
        <w:t>8</w:t>
      </w:r>
      <w:r w:rsidRPr="000778D6">
        <w:t xml:space="preserve"> millions d’EUR qui correspond à </w:t>
      </w:r>
      <w:r w:rsidRPr="001A6DED">
        <w:t>1</w:t>
      </w:r>
      <w:r w:rsidRPr="000778D6">
        <w:t>,</w:t>
      </w:r>
      <w:r w:rsidRPr="001A6DED">
        <w:t>5</w:t>
      </w:r>
      <w:r w:rsidRPr="000778D6">
        <w:t> % du PIB régional prévu par le règlement.</w:t>
      </w:r>
    </w:p>
    <w:p w:rsidR="001A551E" w:rsidRPr="000778D6" w:rsidRDefault="003E1C21">
      <w:pPr>
        <w:pStyle w:val="Point0number"/>
        <w:numPr>
          <w:ilvl w:val="0"/>
          <w:numId w:val="1"/>
        </w:numPr>
        <w:spacing w:before="240" w:after="0"/>
      </w:pPr>
      <w:r w:rsidRPr="000778D6">
        <w:t>Dans sa demande, la Grèce a sollicité le paiement d’une avance conformément à l’article </w:t>
      </w:r>
      <w:r w:rsidRPr="001A6DED">
        <w:t>4</w:t>
      </w:r>
      <w:r w:rsidRPr="000778D6">
        <w:t> </w:t>
      </w:r>
      <w:r w:rsidRPr="000778D6">
        <w:rPr>
          <w:i/>
          <w:iCs/>
        </w:rPr>
        <w:t>bis</w:t>
      </w:r>
      <w:r w:rsidRPr="000778D6">
        <w:t xml:space="preserve"> dudit règlement. Dans </w:t>
      </w:r>
      <w:r w:rsidR="000778D6">
        <w:t>sa décision d’exécution C(</w:t>
      </w:r>
      <w:r w:rsidR="000778D6" w:rsidRPr="001A6DED">
        <w:t>2019</w:t>
      </w:r>
      <w:r w:rsidR="000778D6">
        <w:t>) </w:t>
      </w:r>
      <w:r w:rsidRPr="001A6DED">
        <w:t>5514</w:t>
      </w:r>
      <w:r w:rsidRPr="000778D6">
        <w:t xml:space="preserve"> du </w:t>
      </w:r>
      <w:r w:rsidRPr="001A6DED">
        <w:t>19</w:t>
      </w:r>
      <w:r w:rsidRPr="000778D6">
        <w:t> juillet </w:t>
      </w:r>
      <w:r w:rsidRPr="001A6DED">
        <w:t>2019</w:t>
      </w:r>
      <w:r w:rsidRPr="000778D6">
        <w:t xml:space="preserve">, la Commission a octroyé une avance d’un montant de </w:t>
      </w:r>
      <w:r w:rsidRPr="001A6DED">
        <w:t>455</w:t>
      </w:r>
      <w:r w:rsidRPr="000778D6">
        <w:t> </w:t>
      </w:r>
      <w:r w:rsidRPr="001A6DED">
        <w:t>252</w:t>
      </w:r>
      <w:r w:rsidRPr="000778D6">
        <w:t xml:space="preserve"> EUR, soit </w:t>
      </w:r>
      <w:r w:rsidRPr="001A6DED">
        <w:t>10</w:t>
      </w:r>
      <w:r w:rsidRPr="000778D6">
        <w:t> % de la contribution financière attendue du Fonds, qu’elle a ensuite versée intégralement à la Grèce.</w:t>
      </w:r>
    </w:p>
    <w:p w:rsidR="001A551E" w:rsidRPr="000778D6" w:rsidRDefault="003E1C21">
      <w:pPr>
        <w:pStyle w:val="Point0number"/>
        <w:numPr>
          <w:ilvl w:val="0"/>
          <w:numId w:val="1"/>
        </w:numPr>
        <w:rPr>
          <w:rFonts w:cs="Arial"/>
        </w:rPr>
      </w:pPr>
      <w:r w:rsidRPr="000778D6">
        <w:t xml:space="preserve">Dans leur demande, les autorités grecques décrivent en détail la situation consécutive aux violentes intempéries et les efforts déployés pour venir en aide aux populations touchées. Le cyclone qui a frappé la Crète à partir du </w:t>
      </w:r>
      <w:r w:rsidRPr="001A6DED">
        <w:t>23</w:t>
      </w:r>
      <w:r w:rsidRPr="000778D6">
        <w:t xml:space="preserve"> février a tué une personne emportée par un courant et a provoqué des dégâts importants essentiellement dans les districts de La Canée et de Réthymnon, où les précipitations cumulées les plus fortes ont été enregistrées. Les dégâts les plus importants ont été causés au réseau routier municipal et provincial, y compris l’autoroute du nord de la Crète, aux récoltes et au bétail dans la production rurale, ainsi qu’à des habitations privées. Sept ponts ont été endommagés, dont l’un s’est complètement effondré. De très nombreux glissements de terrain et des chutes d’arbres ont bloqué les routes et isolé des zones entières. </w:t>
      </w:r>
      <w:r w:rsidRPr="000778D6">
        <w:lastRenderedPageBreak/>
        <w:t>L’érosion a occasionné des problèmes sur des berges et provoqué la destruction de systèmes de drainage. Le réseau électrique a également été endommagé.</w:t>
      </w:r>
    </w:p>
    <w:p w:rsidR="001A551E" w:rsidRPr="000778D6" w:rsidRDefault="003E1C21">
      <w:pPr>
        <w:pStyle w:val="Point0number"/>
        <w:numPr>
          <w:ilvl w:val="0"/>
          <w:numId w:val="1"/>
        </w:numPr>
        <w:spacing w:before="240" w:after="0"/>
      </w:pPr>
      <w:r w:rsidRPr="000778D6">
        <w:t xml:space="preserve">La Grèce a estimé le coût des actions d'urgence et de remise en état admissibles au titre de l’article </w:t>
      </w:r>
      <w:r w:rsidRPr="001A6DED">
        <w:t>3</w:t>
      </w:r>
      <w:r w:rsidRPr="000778D6">
        <w:t xml:space="preserve">, paragraphe </w:t>
      </w:r>
      <w:r w:rsidRPr="001A6DED">
        <w:t>2</w:t>
      </w:r>
      <w:r w:rsidRPr="000778D6">
        <w:t xml:space="preserve">, du règlement à </w:t>
      </w:r>
      <w:r w:rsidRPr="001A6DED">
        <w:t>173</w:t>
      </w:r>
      <w:r w:rsidRPr="000778D6">
        <w:t>,</w:t>
      </w:r>
      <w:r w:rsidRPr="001A6DED">
        <w:t>9</w:t>
      </w:r>
      <w:r w:rsidRPr="000778D6">
        <w:t xml:space="preserve"> millions d’EUR et l’a ventilé par type d’actions. La part la plus importante (plus de </w:t>
      </w:r>
      <w:r w:rsidRPr="001A6DED">
        <w:t>145</w:t>
      </w:r>
      <w:r w:rsidRPr="000778D6">
        <w:t xml:space="preserve"> millions d’EUR) concerne les coûts de restauration des infrastructures de transport (routes et ponts), suivie du coût des opérations de nettoyage qui s'établit à </w:t>
      </w:r>
      <w:r w:rsidRPr="001A6DED">
        <w:t>20</w:t>
      </w:r>
      <w:r w:rsidRPr="000778D6">
        <w:t> millions d’EUR.</w:t>
      </w:r>
    </w:p>
    <w:p w:rsidR="001A551E" w:rsidRPr="000778D6" w:rsidRDefault="003E1C21">
      <w:pPr>
        <w:pStyle w:val="Point0number"/>
        <w:numPr>
          <w:ilvl w:val="0"/>
          <w:numId w:val="1"/>
        </w:numPr>
        <w:spacing w:before="240" w:after="0"/>
      </w:pPr>
      <w:r w:rsidRPr="000778D6">
        <w:t>Les autorités grecques ont fait savoir que les coûts admissibles n'étaient pas couverts par une assurance.</w:t>
      </w:r>
    </w:p>
    <w:p w:rsidR="001A551E" w:rsidRPr="000778D6" w:rsidRDefault="003E1C21">
      <w:pPr>
        <w:pStyle w:val="Point0number"/>
        <w:numPr>
          <w:ilvl w:val="0"/>
          <w:numId w:val="1"/>
        </w:numPr>
        <w:spacing w:before="240" w:after="0"/>
      </w:pPr>
      <w:r w:rsidRPr="000778D6">
        <w:t>La région sinistrée est admissible au bénéfice des Fonds structurels et d’investissement européens (</w:t>
      </w:r>
      <w:r w:rsidRPr="001A6DED">
        <w:t>2014</w:t>
      </w:r>
      <w:r w:rsidRPr="000778D6">
        <w:t>-</w:t>
      </w:r>
      <w:r w:rsidRPr="001A6DED">
        <w:t>2020</w:t>
      </w:r>
      <w:r w:rsidRPr="000778D6">
        <w:t>) en tant que «région en transition». Dans leur demande, les autorités grecques n'ont pas indiqué à la Commission qu'elles avaient l'intention de réaffecter des crédits provenant des programmes des Fonds ESI vers des mesures de remise en état.</w:t>
      </w:r>
    </w:p>
    <w:p w:rsidR="001A551E" w:rsidRPr="000778D6" w:rsidRDefault="003E1C21">
      <w:pPr>
        <w:pStyle w:val="Point0number"/>
        <w:numPr>
          <w:ilvl w:val="0"/>
          <w:numId w:val="1"/>
        </w:numPr>
        <w:spacing w:before="240" w:after="0"/>
      </w:pPr>
      <w:r w:rsidRPr="000778D6">
        <w:t xml:space="preserve">La Grèce n’a pas déclenché le mécanisme de protection civile de l’Union. </w:t>
      </w:r>
    </w:p>
    <w:p w:rsidR="001A551E" w:rsidRPr="000778D6" w:rsidRDefault="003E1C21">
      <w:pPr>
        <w:pStyle w:val="Point0number"/>
        <w:numPr>
          <w:ilvl w:val="0"/>
          <w:numId w:val="1"/>
        </w:numPr>
        <w:spacing w:before="240" w:after="0"/>
      </w:pPr>
      <w:r w:rsidRPr="000778D6">
        <w:t>En ce qui concerne la mise en œuvre de la législation de l’Union sur la prévention et la gestion des risques de catastrophes, il n’y a actuellement aucune procédure d’infraction en cours.</w:t>
      </w:r>
    </w:p>
    <w:p w:rsidR="001A551E" w:rsidRPr="000778D6" w:rsidRDefault="003E1C21">
      <w:pPr>
        <w:pStyle w:val="Point0number"/>
        <w:numPr>
          <w:ilvl w:val="0"/>
          <w:numId w:val="1"/>
        </w:numPr>
        <w:spacing w:before="240" w:after="0"/>
      </w:pPr>
      <w:r w:rsidRPr="000778D6">
        <w:t xml:space="preserve">Dans le contexte de la mise en œuvre de la directive </w:t>
      </w:r>
      <w:r w:rsidRPr="001A6DED">
        <w:t>2007</w:t>
      </w:r>
      <w:r w:rsidRPr="000778D6">
        <w:t>/</w:t>
      </w:r>
      <w:r w:rsidRPr="001A6DED">
        <w:t>60</w:t>
      </w:r>
      <w:r w:rsidRPr="000778D6">
        <w:t>/CE relative à l’évaluation et à la gestion des risques d’inondation, les actions suivantes ont été menées à bien: rapport d’évaluation préliminaire des risques d’inondation (mars </w:t>
      </w:r>
      <w:r w:rsidRPr="001A6DED">
        <w:t>2012</w:t>
      </w:r>
      <w:r w:rsidRPr="000778D6">
        <w:t xml:space="preserve">), recensement des zones à haut risque potentiellement inondables dans les </w:t>
      </w:r>
      <w:r w:rsidRPr="001A6DED">
        <w:t>14</w:t>
      </w:r>
      <w:r w:rsidRPr="000778D6">
        <w:t xml:space="preserve"> districts hydrographiques du pays, et mise à jour du rapport d’évaluation préliminaire des risques d’inondation (novembre</w:t>
      </w:r>
      <w:r w:rsidR="000778D6">
        <w:t> </w:t>
      </w:r>
      <w:r w:rsidRPr="001A6DED">
        <w:t>2012</w:t>
      </w:r>
      <w:r w:rsidRPr="000778D6">
        <w:t xml:space="preserve">). L’évaluation préliminaire des risques d’inondation pour le bassin hydrographique de l’Evros a été mise à jour (novembre </w:t>
      </w:r>
      <w:r w:rsidRPr="001A6DED">
        <w:t>2014</w:t>
      </w:r>
      <w:r w:rsidRPr="000778D6">
        <w:t xml:space="preserve">). Les dangers en termes d’inondation et autres ont été recensés pour les </w:t>
      </w:r>
      <w:r w:rsidRPr="001A6DED">
        <w:t>14</w:t>
      </w:r>
      <w:r w:rsidRPr="000778D6">
        <w:t xml:space="preserve"> réservoirs d’eau du pays (mars</w:t>
      </w:r>
      <w:r w:rsidR="000778D6">
        <w:t> </w:t>
      </w:r>
      <w:r w:rsidRPr="001A6DED">
        <w:t>2017</w:t>
      </w:r>
      <w:r w:rsidRPr="000778D6">
        <w:t xml:space="preserve">). Les plans de gestion des risques d’inondation pour l’ensemble des masses d’eau du pays ont été établis, y compris le plan de gestion des dangers et risques d’inondation pour les bassins hydrographiques de la Crète. </w:t>
      </w:r>
    </w:p>
    <w:p w:rsidR="001A551E" w:rsidRPr="000778D6" w:rsidRDefault="003E1C21">
      <w:pPr>
        <w:pStyle w:val="ManualHeading2"/>
        <w:spacing w:before="240"/>
        <w:ind w:left="851" w:hanging="851"/>
      </w:pPr>
      <w:r w:rsidRPr="001A6DED">
        <w:t>2</w:t>
      </w:r>
      <w:r w:rsidRPr="000778D6">
        <w:t>.</w:t>
      </w:r>
      <w:r w:rsidRPr="001A6DED">
        <w:t>5</w:t>
      </w:r>
      <w:r w:rsidRPr="000778D6">
        <w:tab/>
        <w:t>Conclusion</w:t>
      </w:r>
    </w:p>
    <w:p w:rsidR="001A551E" w:rsidRPr="000778D6" w:rsidRDefault="003E1C21">
      <w:pPr>
        <w:spacing w:before="360"/>
      </w:pPr>
      <w:r w:rsidRPr="000778D6">
        <w:t>Pour les raisons exposées ci-dessus, la catastrophe visée dans la demande présentée par la Grèce satisfait aux conditions prévues par le règlement pour une intervention du FSUE.</w:t>
      </w:r>
    </w:p>
    <w:p w:rsidR="001A551E" w:rsidRPr="000778D6" w:rsidRDefault="003E1C21">
      <w:pPr>
        <w:pStyle w:val="ManualHeading1"/>
      </w:pPr>
      <w:r w:rsidRPr="001A6DED">
        <w:t>3</w:t>
      </w:r>
      <w:r w:rsidRPr="000778D6">
        <w:t>.</w:t>
      </w:r>
      <w:r w:rsidRPr="000778D6">
        <w:tab/>
        <w:t xml:space="preserve">Financement provenant des dotations du FSUE pour </w:t>
      </w:r>
      <w:r w:rsidRPr="001A6DED">
        <w:t>2019</w:t>
      </w:r>
    </w:p>
    <w:p w:rsidR="001A551E" w:rsidRPr="000778D6" w:rsidRDefault="003E1C21">
      <w:r w:rsidRPr="000778D6">
        <w:t>Le règlement (UE, Euratom) nº </w:t>
      </w:r>
      <w:r w:rsidRPr="001A6DED">
        <w:t>1311</w:t>
      </w:r>
      <w:r w:rsidRPr="000778D6">
        <w:t>/</w:t>
      </w:r>
      <w:r w:rsidRPr="001A6DED">
        <w:t>2013</w:t>
      </w:r>
      <w:r w:rsidRPr="000778D6">
        <w:t xml:space="preserve"> du Conseil du </w:t>
      </w:r>
      <w:r w:rsidRPr="001A6DED">
        <w:t>2</w:t>
      </w:r>
      <w:r w:rsidRPr="000778D6">
        <w:t> décembre </w:t>
      </w:r>
      <w:r w:rsidRPr="001A6DED">
        <w:t>2013</w:t>
      </w:r>
      <w:r w:rsidRPr="000778D6">
        <w:t xml:space="preserve"> fixant le cadre financier pluriannuel pour la période </w:t>
      </w:r>
      <w:r w:rsidRPr="001A6DED">
        <w:t>2014</w:t>
      </w:r>
      <w:r w:rsidRPr="000778D6">
        <w:t>-</w:t>
      </w:r>
      <w:r w:rsidRPr="001A6DED">
        <w:t>2020</w:t>
      </w:r>
      <w:r w:rsidRPr="000778D6">
        <w:rPr>
          <w:rStyle w:val="FootnoteReference"/>
        </w:rPr>
        <w:footnoteReference w:id="2"/>
      </w:r>
      <w:r w:rsidRPr="000778D6">
        <w:t xml:space="preserve"> (ci-après le «règlement CFP»), et notamment son article </w:t>
      </w:r>
      <w:r w:rsidRPr="001A6DED">
        <w:t>10</w:t>
      </w:r>
      <w:r w:rsidRPr="000778D6">
        <w:t>, permet de mobiliser le FSUE à concurrence d'un plafond annuel de </w:t>
      </w:r>
      <w:r w:rsidRPr="001A6DED">
        <w:t>500</w:t>
      </w:r>
      <w:r w:rsidRPr="000778D6">
        <w:t> </w:t>
      </w:r>
      <w:r w:rsidRPr="001A6DED">
        <w:t>000</w:t>
      </w:r>
      <w:r w:rsidRPr="000778D6">
        <w:t> </w:t>
      </w:r>
      <w:r w:rsidRPr="001A6DED">
        <w:t>000</w:t>
      </w:r>
      <w:r w:rsidRPr="000778D6">
        <w:t> EUR (aux prix de </w:t>
      </w:r>
      <w:r w:rsidRPr="001A6DED">
        <w:t>2011</w:t>
      </w:r>
      <w:r w:rsidRPr="000778D6">
        <w:t>). Le point </w:t>
      </w:r>
      <w:r w:rsidRPr="001A6DED">
        <w:t>11</w:t>
      </w:r>
      <w:r w:rsidRPr="000778D6">
        <w:t xml:space="preserve"> de l'accord interinstitutionnel du </w:t>
      </w:r>
      <w:r w:rsidRPr="001A6DED">
        <w:t>2</w:t>
      </w:r>
      <w:r w:rsidRPr="000778D6">
        <w:t> décembre </w:t>
      </w:r>
      <w:r w:rsidRPr="001A6DED">
        <w:t>2013</w:t>
      </w:r>
      <w:r w:rsidRPr="000778D6">
        <w:t xml:space="preserve"> entre le Parlement européen, le Conseil et la Commission sur la discipline </w:t>
      </w:r>
      <w:r w:rsidRPr="000778D6">
        <w:lastRenderedPageBreak/>
        <w:t>budgétaire, la coopération en matière budgétaire et la bonne gestion financière</w:t>
      </w:r>
      <w:r w:rsidRPr="000778D6">
        <w:rPr>
          <w:rStyle w:val="FootnoteReference"/>
        </w:rPr>
        <w:footnoteReference w:id="3"/>
      </w:r>
      <w:r w:rsidRPr="000778D6">
        <w:t xml:space="preserve"> (AII) fixe les modalités de la mobilisation du FSUE.</w:t>
      </w:r>
    </w:p>
    <w:p w:rsidR="001A551E" w:rsidRPr="000778D6" w:rsidRDefault="003E1C21">
      <w:pPr>
        <w:rPr>
          <w:snapToGrid w:val="0"/>
        </w:rPr>
      </w:pPr>
      <w:r w:rsidRPr="000778D6">
        <w:t>La solidarité ayant été la principale justification de la création du FSUE, la Commission estime que l'aide doit être progressive. Cela signifie que, conformément à la pratique antérieure, la part des dommages dépassant le seuil d'intervention du FSUE pour une catastrophe dite «majeure» (soit </w:t>
      </w:r>
      <w:r w:rsidRPr="001A6DED">
        <w:t>0</w:t>
      </w:r>
      <w:r w:rsidRPr="000778D6">
        <w:t>,</w:t>
      </w:r>
      <w:r w:rsidRPr="001A6DED">
        <w:t>6</w:t>
      </w:r>
      <w:r w:rsidRPr="000778D6">
        <w:t xml:space="preserve"> % du RNB ou </w:t>
      </w:r>
      <w:r w:rsidRPr="001A6DED">
        <w:t>3</w:t>
      </w:r>
      <w:r w:rsidRPr="000778D6">
        <w:t> milliards d'EUR aux prix de </w:t>
      </w:r>
      <w:r w:rsidRPr="001A6DED">
        <w:t>2011</w:t>
      </w:r>
      <w:r w:rsidRPr="000778D6">
        <w:t xml:space="preserve">, le montant le moins élevé étant retenu) devrait bénéficier d'une intensité d'aide supérieure à celle accordée pour la part des dommages qui ne dépasse pas le seuil. Les taux appliqués jusqu'ici pour calculer les subventions allouées lors de catastrophes majeures sont de </w:t>
      </w:r>
      <w:r w:rsidRPr="001A6DED">
        <w:t>2</w:t>
      </w:r>
      <w:r w:rsidRPr="000778D6">
        <w:t>,</w:t>
      </w:r>
      <w:r w:rsidRPr="001A6DED">
        <w:t>5</w:t>
      </w:r>
      <w:r w:rsidRPr="000778D6">
        <w:t> % du total des dommages directs au-dessous du seuil et de </w:t>
      </w:r>
      <w:r w:rsidRPr="001A6DED">
        <w:t>6</w:t>
      </w:r>
      <w:r w:rsidRPr="000778D6">
        <w:t xml:space="preserve"> % au-dessus. En ce qui concerne les catastrophes régionales et les catastrophes reconnues en vertu de la disposition relative aux pays voisins, le taux s'élève à </w:t>
      </w:r>
      <w:r w:rsidRPr="001A6DED">
        <w:t>2</w:t>
      </w:r>
      <w:r w:rsidRPr="000778D6">
        <w:t>,</w:t>
      </w:r>
      <w:r w:rsidRPr="001A6DED">
        <w:t>5</w:t>
      </w:r>
      <w:r w:rsidRPr="000778D6">
        <w:t> %.</w:t>
      </w:r>
    </w:p>
    <w:p w:rsidR="001A551E" w:rsidRPr="000778D6" w:rsidRDefault="003E1C21">
      <w:pPr>
        <w:rPr>
          <w:snapToGrid w:val="0"/>
        </w:rPr>
      </w:pPr>
      <w:r w:rsidRPr="000778D6">
        <w:t>La contribution ne peut excéder le coût total estimé des actions admissibles. La méthode permettant de calculer l’aide a été exposée dans le rapport annuel </w:t>
      </w:r>
      <w:r w:rsidRPr="001A6DED">
        <w:t>2002</w:t>
      </w:r>
      <w:r w:rsidRPr="000778D6">
        <w:t>-</w:t>
      </w:r>
      <w:r w:rsidRPr="001A6DED">
        <w:t>2003</w:t>
      </w:r>
      <w:r w:rsidRPr="000778D6">
        <w:t xml:space="preserve"> sur le FSUE et approuvée par le Conseil et le Parlement européen.</w:t>
      </w:r>
    </w:p>
    <w:p w:rsidR="001A551E" w:rsidRPr="000778D6" w:rsidRDefault="003E1C21">
      <w:r w:rsidRPr="000778D6">
        <w:t>Sur la base de la demande d’intervention présentée par la Grèce, la contribution financière du FSUE, qui repose sur l'estimation des montants totaux des dommages directs causés, est calculée comme suit:</w:t>
      </w:r>
    </w:p>
    <w:tbl>
      <w:tblPr>
        <w:tblW w:w="10289"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248"/>
        <w:gridCol w:w="1329"/>
        <w:gridCol w:w="1320"/>
        <w:gridCol w:w="1370"/>
        <w:gridCol w:w="1290"/>
        <w:gridCol w:w="1239"/>
        <w:gridCol w:w="1385"/>
        <w:gridCol w:w="1108"/>
      </w:tblGrid>
      <w:tr w:rsidR="001A551E" w:rsidRPr="000778D6">
        <w:trPr>
          <w:trHeight w:val="788"/>
          <w:jc w:val="center"/>
        </w:trPr>
        <w:tc>
          <w:tcPr>
            <w:tcW w:w="1248" w:type="dxa"/>
            <w:tcBorders>
              <w:bottom w:val="dotted" w:sz="4" w:space="0" w:color="auto"/>
            </w:tcBorders>
            <w:shd w:val="clear" w:color="auto" w:fill="EEECE1"/>
            <w:vAlign w:val="center"/>
            <w:hideMark/>
          </w:tcPr>
          <w:p w:rsidR="001A551E" w:rsidRPr="000778D6" w:rsidRDefault="003E1C21">
            <w:pPr>
              <w:keepNext/>
              <w:keepLines/>
              <w:spacing w:after="0"/>
              <w:rPr>
                <w:b/>
                <w:snapToGrid w:val="0"/>
                <w:sz w:val="18"/>
                <w:szCs w:val="18"/>
              </w:rPr>
            </w:pPr>
            <w:r w:rsidRPr="000778D6">
              <w:rPr>
                <w:b/>
                <w:sz w:val="18"/>
                <w:szCs w:val="18"/>
              </w:rPr>
              <w:t>États membres</w:t>
            </w:r>
          </w:p>
        </w:tc>
        <w:tc>
          <w:tcPr>
            <w:tcW w:w="1329" w:type="dxa"/>
            <w:tcBorders>
              <w:bottom w:val="dotted" w:sz="4" w:space="0" w:color="auto"/>
            </w:tcBorders>
            <w:shd w:val="clear" w:color="auto" w:fill="EEECE1"/>
          </w:tcPr>
          <w:p w:rsidR="001A551E" w:rsidRPr="000778D6" w:rsidRDefault="003E1C21">
            <w:pPr>
              <w:keepNext/>
              <w:keepLines/>
              <w:spacing w:after="0"/>
              <w:ind w:right="59"/>
              <w:jc w:val="center"/>
              <w:rPr>
                <w:i/>
                <w:snapToGrid w:val="0"/>
                <w:sz w:val="18"/>
                <w:szCs w:val="18"/>
              </w:rPr>
            </w:pPr>
            <w:r w:rsidRPr="000778D6">
              <w:rPr>
                <w:i/>
                <w:sz w:val="18"/>
                <w:szCs w:val="18"/>
              </w:rPr>
              <w:t>Qualification de la catastrophe</w:t>
            </w:r>
          </w:p>
        </w:tc>
        <w:tc>
          <w:tcPr>
            <w:tcW w:w="1320" w:type="dxa"/>
            <w:tcBorders>
              <w:bottom w:val="dotted" w:sz="4" w:space="0" w:color="auto"/>
            </w:tcBorders>
            <w:shd w:val="clear" w:color="auto" w:fill="EEECE1"/>
          </w:tcPr>
          <w:p w:rsidR="001A551E" w:rsidRPr="000778D6" w:rsidRDefault="003E1C21">
            <w:pPr>
              <w:keepNext/>
              <w:keepLines/>
              <w:spacing w:after="0"/>
              <w:ind w:right="59"/>
              <w:jc w:val="center"/>
              <w:rPr>
                <w:i/>
                <w:snapToGrid w:val="0"/>
                <w:sz w:val="18"/>
                <w:szCs w:val="18"/>
              </w:rPr>
            </w:pPr>
            <w:r w:rsidRPr="000778D6">
              <w:rPr>
                <w:i/>
                <w:sz w:val="18"/>
                <w:szCs w:val="18"/>
              </w:rPr>
              <w:t>Total des dommages directs</w:t>
            </w:r>
          </w:p>
          <w:p w:rsidR="001A551E" w:rsidRPr="000778D6" w:rsidRDefault="001A551E">
            <w:pPr>
              <w:keepNext/>
              <w:keepLines/>
              <w:spacing w:before="0" w:after="0"/>
              <w:ind w:right="59"/>
              <w:rPr>
                <w:i/>
                <w:snapToGrid w:val="0"/>
                <w:sz w:val="18"/>
                <w:szCs w:val="18"/>
              </w:rPr>
            </w:pPr>
          </w:p>
          <w:p w:rsidR="001A551E" w:rsidRPr="000778D6" w:rsidRDefault="003E1C21">
            <w:pPr>
              <w:keepNext/>
              <w:keepLines/>
              <w:spacing w:after="0"/>
              <w:ind w:right="59"/>
              <w:rPr>
                <w:i/>
                <w:snapToGrid w:val="0"/>
                <w:sz w:val="18"/>
                <w:szCs w:val="18"/>
              </w:rPr>
            </w:pPr>
            <w:r w:rsidRPr="000778D6">
              <w:rPr>
                <w:i/>
                <w:sz w:val="18"/>
                <w:szCs w:val="18"/>
              </w:rPr>
              <w:t>(en millions d’EUR)</w:t>
            </w:r>
          </w:p>
        </w:tc>
        <w:tc>
          <w:tcPr>
            <w:tcW w:w="1370" w:type="dxa"/>
            <w:tcBorders>
              <w:bottom w:val="dotted" w:sz="4" w:space="0" w:color="auto"/>
            </w:tcBorders>
            <w:shd w:val="clear" w:color="auto" w:fill="EEECE1"/>
          </w:tcPr>
          <w:p w:rsidR="001A551E" w:rsidRPr="000778D6" w:rsidRDefault="003E1C21">
            <w:pPr>
              <w:keepNext/>
              <w:keepLines/>
              <w:spacing w:after="0"/>
              <w:jc w:val="center"/>
              <w:rPr>
                <w:i/>
                <w:snapToGrid w:val="0"/>
                <w:sz w:val="18"/>
                <w:szCs w:val="18"/>
              </w:rPr>
            </w:pPr>
            <w:r w:rsidRPr="000778D6">
              <w:rPr>
                <w:i/>
                <w:sz w:val="18"/>
                <w:szCs w:val="18"/>
              </w:rPr>
              <w:t>Seuil «catastrophe majeure»</w:t>
            </w:r>
          </w:p>
          <w:p w:rsidR="001A551E" w:rsidRPr="000778D6" w:rsidRDefault="001A551E">
            <w:pPr>
              <w:keepNext/>
              <w:keepLines/>
              <w:spacing w:before="0" w:after="0"/>
              <w:jc w:val="center"/>
              <w:rPr>
                <w:i/>
                <w:snapToGrid w:val="0"/>
                <w:sz w:val="18"/>
                <w:szCs w:val="18"/>
              </w:rPr>
            </w:pPr>
          </w:p>
          <w:p w:rsidR="001A551E" w:rsidRPr="000778D6" w:rsidRDefault="003E1C21">
            <w:pPr>
              <w:keepNext/>
              <w:keepLines/>
              <w:spacing w:after="0"/>
              <w:jc w:val="center"/>
              <w:rPr>
                <w:i/>
                <w:snapToGrid w:val="0"/>
                <w:sz w:val="18"/>
                <w:szCs w:val="18"/>
              </w:rPr>
            </w:pPr>
            <w:r w:rsidRPr="000778D6">
              <w:rPr>
                <w:i/>
                <w:sz w:val="18"/>
                <w:szCs w:val="18"/>
              </w:rPr>
              <w:t>(en millions d’EUR)</w:t>
            </w:r>
          </w:p>
        </w:tc>
        <w:tc>
          <w:tcPr>
            <w:tcW w:w="1290" w:type="dxa"/>
            <w:tcBorders>
              <w:bottom w:val="dotted" w:sz="4" w:space="0" w:color="auto"/>
            </w:tcBorders>
            <w:shd w:val="clear" w:color="auto" w:fill="EEECE1"/>
          </w:tcPr>
          <w:p w:rsidR="001A551E" w:rsidRPr="000778D6" w:rsidRDefault="003E1C21">
            <w:pPr>
              <w:keepNext/>
              <w:keepLines/>
              <w:spacing w:after="0"/>
              <w:jc w:val="center"/>
              <w:rPr>
                <w:i/>
                <w:snapToGrid w:val="0"/>
                <w:sz w:val="18"/>
                <w:szCs w:val="18"/>
              </w:rPr>
            </w:pPr>
            <w:r w:rsidRPr="001A6DED">
              <w:rPr>
                <w:i/>
                <w:sz w:val="18"/>
                <w:szCs w:val="18"/>
              </w:rPr>
              <w:t>2</w:t>
            </w:r>
            <w:r w:rsidRPr="000778D6">
              <w:rPr>
                <w:i/>
                <w:sz w:val="18"/>
                <w:szCs w:val="18"/>
              </w:rPr>
              <w:t>,</w:t>
            </w:r>
            <w:r w:rsidRPr="001A6DED">
              <w:rPr>
                <w:i/>
                <w:sz w:val="18"/>
                <w:szCs w:val="18"/>
              </w:rPr>
              <w:t>5</w:t>
            </w:r>
            <w:r w:rsidRPr="000778D6">
              <w:rPr>
                <w:i/>
                <w:sz w:val="18"/>
                <w:szCs w:val="18"/>
              </w:rPr>
              <w:t xml:space="preserve"> % des dommages directs à hauteur du seuil </w:t>
            </w:r>
          </w:p>
          <w:p w:rsidR="001A551E" w:rsidRPr="000778D6" w:rsidRDefault="003E1C21">
            <w:pPr>
              <w:keepNext/>
              <w:keepLines/>
              <w:spacing w:after="0"/>
              <w:jc w:val="center"/>
              <w:rPr>
                <w:i/>
                <w:snapToGrid w:val="0"/>
                <w:sz w:val="18"/>
                <w:szCs w:val="18"/>
              </w:rPr>
            </w:pPr>
            <w:r w:rsidRPr="000778D6">
              <w:rPr>
                <w:i/>
                <w:sz w:val="18"/>
                <w:szCs w:val="18"/>
              </w:rPr>
              <w:t>(en EUR)</w:t>
            </w:r>
          </w:p>
        </w:tc>
        <w:tc>
          <w:tcPr>
            <w:tcW w:w="1239" w:type="dxa"/>
            <w:tcBorders>
              <w:bottom w:val="dotted" w:sz="4" w:space="0" w:color="auto"/>
            </w:tcBorders>
            <w:shd w:val="clear" w:color="auto" w:fill="EEECE1"/>
          </w:tcPr>
          <w:p w:rsidR="001A551E" w:rsidRPr="000778D6" w:rsidRDefault="003E1C21">
            <w:pPr>
              <w:keepNext/>
              <w:keepLines/>
              <w:spacing w:after="0"/>
              <w:jc w:val="center"/>
              <w:rPr>
                <w:i/>
                <w:snapToGrid w:val="0"/>
                <w:sz w:val="18"/>
                <w:szCs w:val="18"/>
              </w:rPr>
            </w:pPr>
            <w:r w:rsidRPr="001A6DED">
              <w:rPr>
                <w:i/>
                <w:sz w:val="18"/>
                <w:szCs w:val="18"/>
              </w:rPr>
              <w:t>6</w:t>
            </w:r>
            <w:r w:rsidRPr="000778D6">
              <w:rPr>
                <w:i/>
                <w:sz w:val="18"/>
                <w:szCs w:val="18"/>
              </w:rPr>
              <w:t> % des dommages directs au-dessus du seuil</w:t>
            </w:r>
          </w:p>
          <w:p w:rsidR="001A551E" w:rsidRPr="000778D6" w:rsidRDefault="003E1C21">
            <w:pPr>
              <w:keepNext/>
              <w:keepLines/>
              <w:spacing w:after="0"/>
              <w:jc w:val="center"/>
              <w:rPr>
                <w:b/>
                <w:i/>
                <w:snapToGrid w:val="0"/>
                <w:sz w:val="18"/>
                <w:szCs w:val="18"/>
              </w:rPr>
            </w:pPr>
            <w:r w:rsidRPr="000778D6">
              <w:rPr>
                <w:i/>
                <w:sz w:val="18"/>
                <w:szCs w:val="18"/>
              </w:rPr>
              <w:t>(en EUR)</w:t>
            </w:r>
          </w:p>
        </w:tc>
        <w:tc>
          <w:tcPr>
            <w:tcW w:w="1385" w:type="dxa"/>
            <w:tcBorders>
              <w:bottom w:val="dotted" w:sz="4" w:space="0" w:color="auto"/>
            </w:tcBorders>
            <w:shd w:val="clear" w:color="auto" w:fill="EEECE1"/>
          </w:tcPr>
          <w:p w:rsidR="001A551E" w:rsidRPr="000778D6" w:rsidRDefault="003E1C21">
            <w:pPr>
              <w:keepNext/>
              <w:keepLines/>
              <w:spacing w:after="0"/>
              <w:jc w:val="center"/>
              <w:rPr>
                <w:b/>
                <w:i/>
                <w:snapToGrid w:val="0"/>
                <w:sz w:val="18"/>
                <w:szCs w:val="18"/>
              </w:rPr>
            </w:pPr>
            <w:r w:rsidRPr="000778D6">
              <w:rPr>
                <w:b/>
                <w:i/>
                <w:sz w:val="18"/>
                <w:szCs w:val="18"/>
              </w:rPr>
              <w:t>Montant total de l’aide proposée</w:t>
            </w:r>
          </w:p>
          <w:p w:rsidR="001A551E" w:rsidRPr="000778D6" w:rsidRDefault="001A551E">
            <w:pPr>
              <w:keepNext/>
              <w:keepLines/>
              <w:spacing w:before="0" w:after="0"/>
              <w:jc w:val="center"/>
              <w:rPr>
                <w:b/>
                <w:i/>
                <w:snapToGrid w:val="0"/>
                <w:sz w:val="18"/>
                <w:szCs w:val="18"/>
              </w:rPr>
            </w:pPr>
          </w:p>
          <w:p w:rsidR="001A551E" w:rsidRPr="000778D6" w:rsidRDefault="003E1C21">
            <w:pPr>
              <w:keepNext/>
              <w:keepLines/>
              <w:spacing w:after="0"/>
              <w:jc w:val="center"/>
              <w:rPr>
                <w:i/>
                <w:snapToGrid w:val="0"/>
                <w:sz w:val="18"/>
                <w:szCs w:val="18"/>
              </w:rPr>
            </w:pPr>
            <w:r w:rsidRPr="000778D6">
              <w:rPr>
                <w:b/>
                <w:i/>
                <w:sz w:val="18"/>
                <w:szCs w:val="18"/>
              </w:rPr>
              <w:t>(en EUR)</w:t>
            </w:r>
          </w:p>
        </w:tc>
        <w:tc>
          <w:tcPr>
            <w:tcW w:w="1108" w:type="dxa"/>
            <w:tcBorders>
              <w:bottom w:val="dotted" w:sz="4" w:space="0" w:color="auto"/>
            </w:tcBorders>
            <w:shd w:val="clear" w:color="auto" w:fill="EEECE1"/>
          </w:tcPr>
          <w:p w:rsidR="001A551E" w:rsidRPr="000778D6" w:rsidRDefault="003E1C21">
            <w:pPr>
              <w:keepNext/>
              <w:keepLines/>
              <w:spacing w:after="0"/>
              <w:jc w:val="center"/>
              <w:rPr>
                <w:b/>
                <w:i/>
                <w:snapToGrid w:val="0"/>
                <w:sz w:val="18"/>
                <w:szCs w:val="18"/>
              </w:rPr>
            </w:pPr>
            <w:r w:rsidRPr="000778D6">
              <w:rPr>
                <w:b/>
                <w:i/>
                <w:sz w:val="18"/>
                <w:szCs w:val="18"/>
              </w:rPr>
              <w:t>Avances versées</w:t>
            </w:r>
          </w:p>
          <w:p w:rsidR="001A551E" w:rsidRPr="000778D6" w:rsidRDefault="001A551E">
            <w:pPr>
              <w:keepNext/>
              <w:keepLines/>
              <w:spacing w:before="0" w:after="0"/>
              <w:jc w:val="center"/>
              <w:rPr>
                <w:b/>
                <w:i/>
                <w:snapToGrid w:val="0"/>
                <w:sz w:val="18"/>
                <w:szCs w:val="18"/>
              </w:rPr>
            </w:pPr>
          </w:p>
          <w:p w:rsidR="001A551E" w:rsidRPr="000778D6" w:rsidRDefault="003E1C21">
            <w:pPr>
              <w:keepNext/>
              <w:keepLines/>
              <w:spacing w:after="0"/>
              <w:jc w:val="center"/>
              <w:rPr>
                <w:b/>
                <w:i/>
                <w:snapToGrid w:val="0"/>
                <w:sz w:val="18"/>
                <w:szCs w:val="18"/>
              </w:rPr>
            </w:pPr>
            <w:r w:rsidRPr="000778D6">
              <w:rPr>
                <w:b/>
                <w:i/>
                <w:sz w:val="18"/>
                <w:szCs w:val="18"/>
              </w:rPr>
              <w:t>(en EUR)</w:t>
            </w:r>
          </w:p>
        </w:tc>
      </w:tr>
      <w:tr w:rsidR="001A551E" w:rsidRPr="000778D6">
        <w:trPr>
          <w:jc w:val="center"/>
        </w:trPr>
        <w:tc>
          <w:tcPr>
            <w:tcW w:w="1248" w:type="dxa"/>
            <w:tcBorders>
              <w:top w:val="dotted" w:sz="4" w:space="0" w:color="auto"/>
              <w:bottom w:val="dotted" w:sz="4" w:space="0" w:color="auto"/>
            </w:tcBorders>
            <w:shd w:val="clear" w:color="auto" w:fill="EEECE1"/>
            <w:vAlign w:val="center"/>
          </w:tcPr>
          <w:p w:rsidR="001A551E" w:rsidRPr="000778D6" w:rsidRDefault="003E1C21">
            <w:pPr>
              <w:keepNext/>
              <w:keepLines/>
              <w:spacing w:before="40" w:after="40"/>
              <w:jc w:val="left"/>
              <w:rPr>
                <w:snapToGrid w:val="0"/>
                <w:sz w:val="18"/>
                <w:szCs w:val="18"/>
              </w:rPr>
            </w:pPr>
            <w:r w:rsidRPr="000778D6">
              <w:rPr>
                <w:sz w:val="18"/>
                <w:szCs w:val="18"/>
              </w:rPr>
              <w:t>GRÈCE</w:t>
            </w:r>
          </w:p>
        </w:tc>
        <w:tc>
          <w:tcPr>
            <w:tcW w:w="1329" w:type="dxa"/>
            <w:tcBorders>
              <w:top w:val="dotted" w:sz="4" w:space="0" w:color="auto"/>
              <w:bottom w:val="dotted" w:sz="4" w:space="0" w:color="auto"/>
            </w:tcBorders>
          </w:tcPr>
          <w:p w:rsidR="001A551E" w:rsidRPr="000778D6" w:rsidRDefault="003E1C21">
            <w:pPr>
              <w:keepNext/>
              <w:keepLines/>
              <w:spacing w:before="0" w:after="0"/>
              <w:jc w:val="center"/>
              <w:rPr>
                <w:i/>
                <w:iCs/>
                <w:sz w:val="18"/>
                <w:szCs w:val="18"/>
              </w:rPr>
            </w:pPr>
            <w:r w:rsidRPr="000778D6">
              <w:rPr>
                <w:i/>
                <w:iCs/>
                <w:sz w:val="18"/>
                <w:szCs w:val="18"/>
              </w:rPr>
              <w:t>Régionale</w:t>
            </w:r>
          </w:p>
          <w:p w:rsidR="001A551E" w:rsidRPr="000778D6" w:rsidRDefault="003E1C21">
            <w:pPr>
              <w:keepNext/>
              <w:keepLines/>
              <w:spacing w:before="0" w:after="0"/>
              <w:jc w:val="center"/>
              <w:rPr>
                <w:i/>
                <w:iCs/>
                <w:sz w:val="18"/>
                <w:szCs w:val="18"/>
              </w:rPr>
            </w:pPr>
            <w:r w:rsidRPr="000778D6">
              <w:rPr>
                <w:i/>
                <w:iCs/>
                <w:sz w:val="18"/>
                <w:szCs w:val="18"/>
              </w:rPr>
              <w:t>(article </w:t>
            </w:r>
            <w:r w:rsidRPr="001A6DED">
              <w:rPr>
                <w:i/>
                <w:iCs/>
                <w:sz w:val="18"/>
                <w:szCs w:val="18"/>
              </w:rPr>
              <w:t>2</w:t>
            </w:r>
            <w:r w:rsidRPr="000778D6">
              <w:rPr>
                <w:i/>
                <w:iCs/>
                <w:sz w:val="18"/>
                <w:szCs w:val="18"/>
              </w:rPr>
              <w:t xml:space="preserve">, paragraphe </w:t>
            </w:r>
            <w:r w:rsidRPr="001A6DED">
              <w:rPr>
                <w:i/>
                <w:iCs/>
                <w:sz w:val="18"/>
                <w:szCs w:val="18"/>
              </w:rPr>
              <w:t>3</w:t>
            </w:r>
            <w:r w:rsidRPr="000778D6">
              <w:rPr>
                <w:i/>
                <w:iCs/>
                <w:sz w:val="18"/>
                <w:szCs w:val="18"/>
              </w:rPr>
              <w:t>)</w:t>
            </w:r>
          </w:p>
        </w:tc>
        <w:tc>
          <w:tcPr>
            <w:tcW w:w="1320" w:type="dxa"/>
            <w:tcBorders>
              <w:top w:val="dotted" w:sz="4" w:space="0" w:color="auto"/>
              <w:bottom w:val="dotted" w:sz="4" w:space="0" w:color="auto"/>
            </w:tcBorders>
            <w:vAlign w:val="center"/>
          </w:tcPr>
          <w:p w:rsidR="001A551E" w:rsidRPr="000778D6" w:rsidRDefault="003E1C21">
            <w:pPr>
              <w:keepNext/>
              <w:keepLines/>
              <w:jc w:val="right"/>
              <w:rPr>
                <w:i/>
                <w:sz w:val="18"/>
                <w:szCs w:val="18"/>
              </w:rPr>
            </w:pPr>
            <w:r w:rsidRPr="001A6DED">
              <w:rPr>
                <w:i/>
                <w:sz w:val="20"/>
                <w:szCs w:val="18"/>
              </w:rPr>
              <w:t>182</w:t>
            </w:r>
            <w:r w:rsidRPr="000778D6">
              <w:rPr>
                <w:i/>
                <w:sz w:val="20"/>
                <w:szCs w:val="18"/>
              </w:rPr>
              <w:t>,</w:t>
            </w:r>
            <w:r w:rsidRPr="001A6DED">
              <w:rPr>
                <w:i/>
                <w:sz w:val="20"/>
                <w:szCs w:val="18"/>
              </w:rPr>
              <w:t>1</w:t>
            </w:r>
          </w:p>
        </w:tc>
        <w:tc>
          <w:tcPr>
            <w:tcW w:w="1370" w:type="dxa"/>
            <w:tcBorders>
              <w:top w:val="dotted" w:sz="4" w:space="0" w:color="auto"/>
              <w:bottom w:val="dotted" w:sz="4" w:space="0" w:color="auto"/>
            </w:tcBorders>
            <w:vAlign w:val="center"/>
          </w:tcPr>
          <w:p w:rsidR="001A551E" w:rsidRPr="000778D6" w:rsidRDefault="003E1C21">
            <w:pPr>
              <w:keepNext/>
              <w:keepLines/>
              <w:jc w:val="right"/>
            </w:pPr>
            <w:r w:rsidRPr="001A6DED">
              <w:rPr>
                <w:i/>
                <w:iCs/>
                <w:sz w:val="20"/>
                <w:szCs w:val="18"/>
              </w:rPr>
              <w:t>1</w:t>
            </w:r>
            <w:r w:rsidRPr="000778D6">
              <w:rPr>
                <w:i/>
                <w:iCs/>
                <w:sz w:val="20"/>
                <w:szCs w:val="18"/>
              </w:rPr>
              <w:t xml:space="preserve"> </w:t>
            </w:r>
            <w:r w:rsidRPr="001A6DED">
              <w:rPr>
                <w:i/>
                <w:iCs/>
                <w:sz w:val="20"/>
                <w:szCs w:val="18"/>
              </w:rPr>
              <w:t>086</w:t>
            </w:r>
            <w:r w:rsidRPr="000778D6">
              <w:rPr>
                <w:i/>
                <w:iCs/>
                <w:sz w:val="20"/>
                <w:szCs w:val="18"/>
              </w:rPr>
              <w:t>,</w:t>
            </w:r>
            <w:r w:rsidRPr="001A6DED">
              <w:rPr>
                <w:i/>
                <w:iCs/>
                <w:sz w:val="20"/>
                <w:szCs w:val="18"/>
              </w:rPr>
              <w:t>1</w:t>
            </w:r>
          </w:p>
        </w:tc>
        <w:tc>
          <w:tcPr>
            <w:tcW w:w="1290" w:type="dxa"/>
            <w:tcBorders>
              <w:top w:val="dotted" w:sz="4" w:space="0" w:color="auto"/>
              <w:bottom w:val="dotted" w:sz="4" w:space="0" w:color="auto"/>
            </w:tcBorders>
            <w:vAlign w:val="center"/>
          </w:tcPr>
          <w:p w:rsidR="001A551E" w:rsidRPr="000778D6" w:rsidRDefault="003E1C21">
            <w:pPr>
              <w:keepNext/>
              <w:keepLines/>
              <w:jc w:val="right"/>
            </w:pPr>
            <w:r w:rsidRPr="001A6DED">
              <w:rPr>
                <w:i/>
                <w:iCs/>
                <w:sz w:val="20"/>
                <w:szCs w:val="18"/>
              </w:rPr>
              <w:t>4</w:t>
            </w:r>
            <w:r w:rsidRPr="000778D6">
              <w:rPr>
                <w:i/>
                <w:iCs/>
                <w:sz w:val="20"/>
                <w:szCs w:val="18"/>
              </w:rPr>
              <w:t xml:space="preserve"> </w:t>
            </w:r>
            <w:r w:rsidRPr="001A6DED">
              <w:rPr>
                <w:i/>
                <w:iCs/>
                <w:sz w:val="20"/>
                <w:szCs w:val="18"/>
              </w:rPr>
              <w:t>552</w:t>
            </w:r>
            <w:r w:rsidRPr="000778D6">
              <w:rPr>
                <w:i/>
                <w:iCs/>
                <w:sz w:val="20"/>
                <w:szCs w:val="18"/>
              </w:rPr>
              <w:t xml:space="preserve"> </w:t>
            </w:r>
            <w:r w:rsidRPr="001A6DED">
              <w:rPr>
                <w:i/>
                <w:iCs/>
                <w:sz w:val="20"/>
                <w:szCs w:val="18"/>
              </w:rPr>
              <w:t>517</w:t>
            </w:r>
          </w:p>
        </w:tc>
        <w:tc>
          <w:tcPr>
            <w:tcW w:w="1239" w:type="dxa"/>
            <w:tcBorders>
              <w:top w:val="dotted" w:sz="4" w:space="0" w:color="auto"/>
              <w:bottom w:val="dotted" w:sz="4" w:space="0" w:color="auto"/>
            </w:tcBorders>
            <w:shd w:val="clear" w:color="auto" w:fill="auto"/>
          </w:tcPr>
          <w:p w:rsidR="001A551E" w:rsidRPr="000778D6" w:rsidRDefault="003E1C21">
            <w:pPr>
              <w:keepNext/>
              <w:keepLines/>
              <w:jc w:val="right"/>
            </w:pPr>
            <w:r w:rsidRPr="000778D6">
              <w:t>-</w:t>
            </w:r>
          </w:p>
        </w:tc>
        <w:tc>
          <w:tcPr>
            <w:tcW w:w="1385" w:type="dxa"/>
            <w:tcBorders>
              <w:top w:val="dotted" w:sz="4" w:space="0" w:color="auto"/>
              <w:bottom w:val="dotted" w:sz="4" w:space="0" w:color="auto"/>
            </w:tcBorders>
            <w:shd w:val="clear" w:color="auto" w:fill="auto"/>
            <w:vAlign w:val="center"/>
          </w:tcPr>
          <w:p w:rsidR="001A551E" w:rsidRPr="000778D6" w:rsidRDefault="003E1C21">
            <w:pPr>
              <w:keepNext/>
              <w:keepLines/>
              <w:jc w:val="right"/>
              <w:rPr>
                <w:b/>
                <w:bCs/>
                <w:i/>
                <w:iCs/>
                <w:sz w:val="18"/>
                <w:szCs w:val="18"/>
              </w:rPr>
            </w:pPr>
            <w:r w:rsidRPr="001A6DED">
              <w:rPr>
                <w:b/>
                <w:bCs/>
                <w:i/>
                <w:iCs/>
                <w:sz w:val="20"/>
                <w:szCs w:val="18"/>
              </w:rPr>
              <w:t>4</w:t>
            </w:r>
            <w:r w:rsidRPr="000778D6">
              <w:rPr>
                <w:b/>
                <w:bCs/>
                <w:i/>
                <w:iCs/>
                <w:sz w:val="20"/>
                <w:szCs w:val="18"/>
              </w:rPr>
              <w:t xml:space="preserve"> </w:t>
            </w:r>
            <w:r w:rsidRPr="001A6DED">
              <w:rPr>
                <w:b/>
                <w:bCs/>
                <w:i/>
                <w:iCs/>
                <w:sz w:val="20"/>
                <w:szCs w:val="18"/>
              </w:rPr>
              <w:t>552</w:t>
            </w:r>
            <w:r w:rsidRPr="000778D6">
              <w:rPr>
                <w:b/>
                <w:bCs/>
                <w:i/>
                <w:iCs/>
                <w:sz w:val="20"/>
                <w:szCs w:val="18"/>
              </w:rPr>
              <w:t xml:space="preserve"> </w:t>
            </w:r>
            <w:r w:rsidRPr="001A6DED">
              <w:rPr>
                <w:b/>
                <w:bCs/>
                <w:i/>
                <w:iCs/>
                <w:sz w:val="20"/>
                <w:szCs w:val="18"/>
              </w:rPr>
              <w:t>517</w:t>
            </w:r>
          </w:p>
        </w:tc>
        <w:tc>
          <w:tcPr>
            <w:tcW w:w="1108" w:type="dxa"/>
            <w:tcBorders>
              <w:top w:val="dotted" w:sz="4" w:space="0" w:color="auto"/>
              <w:bottom w:val="dotted" w:sz="4" w:space="0" w:color="auto"/>
            </w:tcBorders>
          </w:tcPr>
          <w:p w:rsidR="001A551E" w:rsidRPr="000778D6" w:rsidRDefault="003E1C21">
            <w:pPr>
              <w:keepNext/>
              <w:keepLines/>
              <w:jc w:val="right"/>
              <w:rPr>
                <w:b/>
                <w:bCs/>
                <w:i/>
                <w:iCs/>
                <w:sz w:val="18"/>
                <w:szCs w:val="18"/>
              </w:rPr>
            </w:pPr>
            <w:r w:rsidRPr="001A6DED">
              <w:rPr>
                <w:b/>
                <w:bCs/>
                <w:i/>
                <w:iCs/>
                <w:sz w:val="18"/>
                <w:szCs w:val="18"/>
              </w:rPr>
              <w:t>455</w:t>
            </w:r>
            <w:r w:rsidRPr="000778D6">
              <w:rPr>
                <w:b/>
                <w:bCs/>
                <w:i/>
                <w:iCs/>
                <w:sz w:val="18"/>
                <w:szCs w:val="18"/>
              </w:rPr>
              <w:t xml:space="preserve"> </w:t>
            </w:r>
            <w:r w:rsidRPr="001A6DED">
              <w:rPr>
                <w:b/>
                <w:bCs/>
                <w:i/>
                <w:iCs/>
                <w:sz w:val="18"/>
                <w:szCs w:val="18"/>
              </w:rPr>
              <w:t>252</w:t>
            </w:r>
          </w:p>
        </w:tc>
      </w:tr>
      <w:tr w:rsidR="001A551E" w:rsidRPr="000778D6">
        <w:trPr>
          <w:jc w:val="center"/>
        </w:trPr>
        <w:tc>
          <w:tcPr>
            <w:tcW w:w="1248" w:type="dxa"/>
            <w:tcBorders>
              <w:top w:val="single" w:sz="4" w:space="0" w:color="auto"/>
              <w:bottom w:val="single" w:sz="4" w:space="0" w:color="auto"/>
            </w:tcBorders>
            <w:shd w:val="clear" w:color="auto" w:fill="EEECE1"/>
          </w:tcPr>
          <w:p w:rsidR="001A551E" w:rsidRPr="000778D6" w:rsidRDefault="001A551E">
            <w:pPr>
              <w:keepNext/>
              <w:keepLines/>
              <w:jc w:val="left"/>
              <w:rPr>
                <w:b/>
                <w:snapToGrid w:val="0"/>
                <w:sz w:val="18"/>
                <w:szCs w:val="18"/>
              </w:rPr>
            </w:pPr>
          </w:p>
        </w:tc>
        <w:tc>
          <w:tcPr>
            <w:tcW w:w="6548" w:type="dxa"/>
            <w:gridSpan w:val="5"/>
            <w:tcBorders>
              <w:top w:val="single" w:sz="4" w:space="0" w:color="auto"/>
              <w:bottom w:val="single" w:sz="4" w:space="0" w:color="auto"/>
            </w:tcBorders>
            <w:shd w:val="clear" w:color="auto" w:fill="EEECE1"/>
            <w:vAlign w:val="center"/>
          </w:tcPr>
          <w:p w:rsidR="001A551E" w:rsidRPr="000778D6" w:rsidRDefault="003E1C21">
            <w:pPr>
              <w:keepNext/>
              <w:keepLines/>
              <w:jc w:val="left"/>
              <w:rPr>
                <w:i/>
                <w:iCs/>
                <w:sz w:val="18"/>
                <w:szCs w:val="18"/>
                <w:highlight w:val="yellow"/>
              </w:rPr>
            </w:pPr>
            <w:r w:rsidRPr="000778D6">
              <w:rPr>
                <w:b/>
                <w:sz w:val="18"/>
                <w:szCs w:val="18"/>
              </w:rPr>
              <w:t>TOTAL</w:t>
            </w:r>
          </w:p>
        </w:tc>
        <w:tc>
          <w:tcPr>
            <w:tcW w:w="1385" w:type="dxa"/>
            <w:tcBorders>
              <w:top w:val="single" w:sz="4" w:space="0" w:color="auto"/>
              <w:bottom w:val="single" w:sz="4" w:space="0" w:color="auto"/>
            </w:tcBorders>
            <w:vAlign w:val="center"/>
          </w:tcPr>
          <w:p w:rsidR="001A551E" w:rsidRPr="000778D6" w:rsidRDefault="003E1C21">
            <w:pPr>
              <w:keepNext/>
              <w:keepLines/>
              <w:jc w:val="right"/>
              <w:rPr>
                <w:b/>
                <w:bCs/>
                <w:i/>
                <w:iCs/>
                <w:sz w:val="18"/>
                <w:szCs w:val="18"/>
              </w:rPr>
            </w:pPr>
            <w:r w:rsidRPr="001A6DED">
              <w:rPr>
                <w:b/>
                <w:bCs/>
                <w:i/>
                <w:iCs/>
                <w:sz w:val="20"/>
                <w:szCs w:val="18"/>
              </w:rPr>
              <w:t>4</w:t>
            </w:r>
            <w:r w:rsidRPr="000778D6">
              <w:rPr>
                <w:b/>
                <w:bCs/>
                <w:i/>
                <w:iCs/>
                <w:sz w:val="20"/>
                <w:szCs w:val="18"/>
              </w:rPr>
              <w:t xml:space="preserve"> </w:t>
            </w:r>
            <w:r w:rsidRPr="001A6DED">
              <w:rPr>
                <w:b/>
                <w:bCs/>
                <w:i/>
                <w:iCs/>
                <w:sz w:val="20"/>
                <w:szCs w:val="18"/>
              </w:rPr>
              <w:t>552</w:t>
            </w:r>
            <w:r w:rsidRPr="000778D6">
              <w:rPr>
                <w:b/>
                <w:bCs/>
                <w:i/>
                <w:iCs/>
                <w:sz w:val="20"/>
                <w:szCs w:val="18"/>
              </w:rPr>
              <w:t xml:space="preserve"> </w:t>
            </w:r>
            <w:r w:rsidRPr="001A6DED">
              <w:rPr>
                <w:b/>
                <w:bCs/>
                <w:i/>
                <w:iCs/>
                <w:sz w:val="20"/>
                <w:szCs w:val="18"/>
              </w:rPr>
              <w:t>517</w:t>
            </w:r>
          </w:p>
        </w:tc>
        <w:tc>
          <w:tcPr>
            <w:tcW w:w="1108" w:type="dxa"/>
            <w:tcBorders>
              <w:top w:val="single" w:sz="4" w:space="0" w:color="auto"/>
              <w:bottom w:val="single" w:sz="4" w:space="0" w:color="auto"/>
            </w:tcBorders>
          </w:tcPr>
          <w:p w:rsidR="001A551E" w:rsidRPr="000778D6" w:rsidRDefault="003E1C21">
            <w:pPr>
              <w:keepNext/>
              <w:keepLines/>
              <w:jc w:val="right"/>
              <w:rPr>
                <w:b/>
                <w:bCs/>
                <w:i/>
                <w:iCs/>
                <w:sz w:val="18"/>
                <w:szCs w:val="18"/>
              </w:rPr>
            </w:pPr>
            <w:r w:rsidRPr="001A6DED">
              <w:rPr>
                <w:b/>
                <w:bCs/>
                <w:i/>
                <w:iCs/>
                <w:sz w:val="18"/>
                <w:szCs w:val="18"/>
              </w:rPr>
              <w:t>455</w:t>
            </w:r>
            <w:r w:rsidRPr="000778D6">
              <w:rPr>
                <w:b/>
                <w:bCs/>
                <w:i/>
                <w:iCs/>
                <w:sz w:val="18"/>
                <w:szCs w:val="18"/>
              </w:rPr>
              <w:t xml:space="preserve"> </w:t>
            </w:r>
            <w:r w:rsidRPr="001A6DED">
              <w:rPr>
                <w:b/>
                <w:bCs/>
                <w:i/>
                <w:iCs/>
                <w:sz w:val="18"/>
                <w:szCs w:val="18"/>
              </w:rPr>
              <w:t>252</w:t>
            </w:r>
          </w:p>
        </w:tc>
      </w:tr>
    </w:tbl>
    <w:p w:rsidR="001A551E" w:rsidRPr="000778D6" w:rsidRDefault="003E1C21">
      <w:pPr>
        <w:rPr>
          <w:rFonts w:eastAsia="Times New Roman"/>
          <w:szCs w:val="24"/>
        </w:rPr>
      </w:pPr>
      <w:r w:rsidRPr="000778D6">
        <w:t>Conformément à l’article </w:t>
      </w:r>
      <w:r w:rsidRPr="001A6DED">
        <w:t>10</w:t>
      </w:r>
      <w:r w:rsidRPr="000778D6">
        <w:t>, paragraphe </w:t>
      </w:r>
      <w:r w:rsidRPr="001A6DED">
        <w:t>1</w:t>
      </w:r>
      <w:r w:rsidRPr="000778D6">
        <w:t xml:space="preserve">, du règlement CFP, le montant total disponible début </w:t>
      </w:r>
      <w:r w:rsidRPr="001A6DED">
        <w:t>2019</w:t>
      </w:r>
      <w:r w:rsidRPr="000778D6">
        <w:t xml:space="preserve"> pour l’intervention du FSUE était de </w:t>
      </w:r>
      <w:r w:rsidRPr="001A6DED">
        <w:t>851</w:t>
      </w:r>
      <w:r w:rsidRPr="000778D6">
        <w:t> </w:t>
      </w:r>
      <w:r w:rsidRPr="001A6DED">
        <w:t>082</w:t>
      </w:r>
      <w:r w:rsidRPr="000778D6">
        <w:t> </w:t>
      </w:r>
      <w:r w:rsidRPr="001A6DED">
        <w:t>072</w:t>
      </w:r>
      <w:r w:rsidRPr="000778D6">
        <w:t xml:space="preserve"> EUR, ce montant correspondant à la dotation pour </w:t>
      </w:r>
      <w:r w:rsidRPr="001A6DED">
        <w:t>2019</w:t>
      </w:r>
      <w:r w:rsidRPr="000778D6">
        <w:t xml:space="preserve"> de </w:t>
      </w:r>
      <w:r w:rsidRPr="001A6DED">
        <w:t>585</w:t>
      </w:r>
      <w:r w:rsidRPr="000778D6">
        <w:t> </w:t>
      </w:r>
      <w:r w:rsidRPr="001A6DED">
        <w:t>829</w:t>
      </w:r>
      <w:r w:rsidRPr="000778D6">
        <w:t> </w:t>
      </w:r>
      <w:r w:rsidRPr="001A6DED">
        <w:t>691</w:t>
      </w:r>
      <w:r w:rsidRPr="000778D6">
        <w:t xml:space="preserve"> EUR, majorée de la dotation restante pour </w:t>
      </w:r>
      <w:r w:rsidRPr="001A6DED">
        <w:t>2018</w:t>
      </w:r>
      <w:r w:rsidRPr="000778D6">
        <w:t xml:space="preserve"> de </w:t>
      </w:r>
      <w:r w:rsidRPr="001A6DED">
        <w:t>265</w:t>
      </w:r>
      <w:r w:rsidRPr="000778D6">
        <w:t> </w:t>
      </w:r>
      <w:r w:rsidRPr="001A6DED">
        <w:t>252</w:t>
      </w:r>
      <w:r w:rsidRPr="000778D6">
        <w:t> </w:t>
      </w:r>
      <w:r w:rsidRPr="001A6DED">
        <w:t>381</w:t>
      </w:r>
      <w:r w:rsidRPr="000778D6">
        <w:t xml:space="preserve"> EUR qui, n’ayant pas été dépensés, ont été reportés à l’année </w:t>
      </w:r>
      <w:r w:rsidRPr="001A6DED">
        <w:t>2019</w:t>
      </w:r>
      <w:r w:rsidRPr="000778D6">
        <w:t>.</w:t>
      </w:r>
    </w:p>
    <w:p w:rsidR="001A551E" w:rsidRPr="000778D6" w:rsidRDefault="003E1C21">
      <w:pPr>
        <w:rPr>
          <w:rFonts w:eastAsia="Times New Roman"/>
          <w:szCs w:val="24"/>
        </w:rPr>
      </w:pPr>
      <w:r w:rsidRPr="000778D6">
        <w:t>Le montant qui peut être mobilisé à ce stade de l’année </w:t>
      </w:r>
      <w:r w:rsidRPr="001A6DED">
        <w:t>2019</w:t>
      </w:r>
      <w:r w:rsidRPr="000778D6">
        <w:t xml:space="preserve"> est de </w:t>
      </w:r>
      <w:r w:rsidRPr="001A6DED">
        <w:t>557</w:t>
      </w:r>
      <w:r w:rsidRPr="000778D6">
        <w:t> </w:t>
      </w:r>
      <w:r w:rsidRPr="001A6DED">
        <w:t>530</w:t>
      </w:r>
      <w:r w:rsidRPr="000778D6">
        <w:t> </w:t>
      </w:r>
      <w:r w:rsidRPr="001A6DED">
        <w:t>278</w:t>
      </w:r>
      <w:r w:rsidRPr="000778D6">
        <w:t> EUR. Celui</w:t>
      </w:r>
      <w:r w:rsidRPr="000778D6">
        <w:noBreakHyphen/>
        <w:t>ci correspond au montant total disponible au début de </w:t>
      </w:r>
      <w:r w:rsidRPr="001A6DED">
        <w:t>2019</w:t>
      </w:r>
      <w:r w:rsidRPr="000778D6">
        <w:t xml:space="preserve"> pour l’intervention du FSUE (</w:t>
      </w:r>
      <w:r w:rsidRPr="001A6DED">
        <w:t>851</w:t>
      </w:r>
      <w:r w:rsidRPr="000778D6">
        <w:t> </w:t>
      </w:r>
      <w:r w:rsidRPr="001A6DED">
        <w:t>082</w:t>
      </w:r>
      <w:r w:rsidRPr="000778D6">
        <w:t> </w:t>
      </w:r>
      <w:r w:rsidRPr="001A6DED">
        <w:t>072</w:t>
      </w:r>
      <w:r w:rsidRPr="000778D6">
        <w:t> EUR), déduction faite de la mobilisation précédente</w:t>
      </w:r>
      <w:r w:rsidRPr="000778D6">
        <w:rPr>
          <w:rStyle w:val="FootnoteReference"/>
        </w:rPr>
        <w:footnoteReference w:id="4"/>
      </w:r>
      <w:r w:rsidRPr="000778D6">
        <w:t xml:space="preserve"> (</w:t>
      </w:r>
      <w:r w:rsidRPr="001A6DED">
        <w:t>293</w:t>
      </w:r>
      <w:r w:rsidRPr="000778D6">
        <w:t> </w:t>
      </w:r>
      <w:r w:rsidRPr="001A6DED">
        <w:t>551</w:t>
      </w:r>
      <w:r w:rsidRPr="000778D6">
        <w:t> </w:t>
      </w:r>
      <w:r w:rsidRPr="001A6DED">
        <w:t>794</w:t>
      </w:r>
      <w:r w:rsidRPr="000778D6">
        <w:t xml:space="preserve"> EUR). Conformément à l’article </w:t>
      </w:r>
      <w:r w:rsidRPr="001A6DED">
        <w:t>10</w:t>
      </w:r>
      <w:r w:rsidRPr="000778D6">
        <w:t xml:space="preserve">, paragraphe </w:t>
      </w:r>
      <w:r w:rsidRPr="001A6DED">
        <w:t>1</w:t>
      </w:r>
      <w:r w:rsidRPr="000778D6">
        <w:t xml:space="preserve">, du règlement CFP, </w:t>
      </w:r>
      <w:r w:rsidRPr="001A6DED">
        <w:t>25</w:t>
      </w:r>
      <w:r w:rsidRPr="000778D6">
        <w:t xml:space="preserve"> % de la dotation initiale de </w:t>
      </w:r>
      <w:r w:rsidRPr="001A6DED">
        <w:t>2019</w:t>
      </w:r>
      <w:r w:rsidRPr="000778D6">
        <w:t xml:space="preserve"> doivent être conservés jusqu’en octobre </w:t>
      </w:r>
      <w:r w:rsidRPr="001A6DED">
        <w:t>2019</w:t>
      </w:r>
      <w:r w:rsidRPr="000778D6">
        <w:t xml:space="preserve">. Or, comme le paiement en faveur de la Grèce aura lieu après le </w:t>
      </w:r>
      <w:r w:rsidRPr="001A6DED">
        <w:t>1</w:t>
      </w:r>
      <w:r w:rsidRPr="000778D6">
        <w:rPr>
          <w:vertAlign w:val="superscript"/>
        </w:rPr>
        <w:t>er</w:t>
      </w:r>
      <w:r w:rsidRPr="000778D6">
        <w:t xml:space="preserve"> octobre, la disposition en question n’est pas pertinente en l’espèce. </w:t>
      </w:r>
    </w:p>
    <w:p w:rsidR="001A551E" w:rsidRPr="000778D6" w:rsidRDefault="001A551E">
      <w:pPr>
        <w:rPr>
          <w:rFonts w:eastAsia="Times New Roman"/>
          <w:szCs w:val="24"/>
        </w:rPr>
      </w:pPr>
    </w:p>
    <w:tbl>
      <w:tblPr>
        <w:tblW w:w="8885" w:type="dxa"/>
        <w:tblInd w:w="103" w:type="dxa"/>
        <w:tblLook w:val="04A0" w:firstRow="1" w:lastRow="0" w:firstColumn="1" w:lastColumn="0" w:noHBand="0" w:noVBand="1"/>
      </w:tblPr>
      <w:tblGrid>
        <w:gridCol w:w="6582"/>
        <w:gridCol w:w="2303"/>
      </w:tblGrid>
      <w:tr w:rsidR="001A551E" w:rsidRPr="000778D6" w:rsidTr="00A32CD5">
        <w:trPr>
          <w:trHeight w:val="452"/>
        </w:trPr>
        <w:tc>
          <w:tcPr>
            <w:tcW w:w="6582" w:type="dxa"/>
            <w:tcBorders>
              <w:top w:val="single" w:sz="4" w:space="0" w:color="auto"/>
              <w:left w:val="single" w:sz="4" w:space="0" w:color="auto"/>
              <w:bottom w:val="single" w:sz="4" w:space="0" w:color="auto"/>
              <w:right w:val="nil"/>
            </w:tcBorders>
            <w:shd w:val="clear" w:color="auto" w:fill="EEECE1" w:themeFill="background2"/>
            <w:vAlign w:val="bottom"/>
            <w:hideMark/>
          </w:tcPr>
          <w:p w:rsidR="001A551E" w:rsidRPr="000778D6" w:rsidRDefault="003E1C21">
            <w:pPr>
              <w:spacing w:line="276" w:lineRule="auto"/>
              <w:jc w:val="left"/>
              <w:rPr>
                <w:b/>
                <w:bCs/>
                <w:sz w:val="18"/>
                <w:szCs w:val="18"/>
              </w:rPr>
            </w:pPr>
            <w:r w:rsidRPr="000778D6">
              <w:rPr>
                <w:b/>
                <w:bCs/>
                <w:sz w:val="18"/>
                <w:szCs w:val="18"/>
              </w:rPr>
              <w:t>Montant actuellement disponible au titre du Fonds de solidarité:</w:t>
            </w:r>
          </w:p>
        </w:tc>
        <w:tc>
          <w:tcPr>
            <w:tcW w:w="2303" w:type="dxa"/>
            <w:tcBorders>
              <w:top w:val="single" w:sz="4" w:space="0" w:color="auto"/>
              <w:left w:val="nil"/>
              <w:bottom w:val="single" w:sz="4" w:space="0" w:color="auto"/>
              <w:right w:val="single" w:sz="4" w:space="0" w:color="auto"/>
            </w:tcBorders>
            <w:shd w:val="clear" w:color="auto" w:fill="EEECE1" w:themeFill="background2"/>
            <w:vAlign w:val="bottom"/>
            <w:hideMark/>
          </w:tcPr>
          <w:p w:rsidR="001A551E" w:rsidRPr="000778D6" w:rsidRDefault="003E1C21">
            <w:pPr>
              <w:spacing w:line="276" w:lineRule="auto"/>
              <w:jc w:val="left"/>
              <w:rPr>
                <w:sz w:val="18"/>
                <w:szCs w:val="18"/>
              </w:rPr>
            </w:pPr>
            <w:r w:rsidRPr="000778D6">
              <w:rPr>
                <w:sz w:val="18"/>
                <w:szCs w:val="18"/>
              </w:rPr>
              <w:t> </w:t>
            </w:r>
          </w:p>
        </w:tc>
      </w:tr>
      <w:tr w:rsidR="001A551E" w:rsidRPr="000778D6" w:rsidTr="00A32CD5">
        <w:trPr>
          <w:trHeight w:val="287"/>
        </w:trPr>
        <w:tc>
          <w:tcPr>
            <w:tcW w:w="6582" w:type="dxa"/>
            <w:tcBorders>
              <w:top w:val="single" w:sz="4" w:space="0" w:color="auto"/>
              <w:left w:val="single" w:sz="4" w:space="0" w:color="auto"/>
              <w:bottom w:val="single" w:sz="4" w:space="0" w:color="auto"/>
              <w:right w:val="single" w:sz="4" w:space="0" w:color="auto"/>
            </w:tcBorders>
            <w:noWrap/>
            <w:vAlign w:val="bottom"/>
            <w:hideMark/>
          </w:tcPr>
          <w:p w:rsidR="001A551E" w:rsidRPr="000778D6" w:rsidRDefault="003E1C21">
            <w:pPr>
              <w:spacing w:before="40" w:after="40" w:line="276" w:lineRule="auto"/>
              <w:jc w:val="left"/>
              <w:rPr>
                <w:color w:val="000000"/>
                <w:sz w:val="18"/>
                <w:szCs w:val="18"/>
              </w:rPr>
            </w:pPr>
            <w:r w:rsidRPr="000778D6">
              <w:rPr>
                <w:sz w:val="18"/>
                <w:szCs w:val="18"/>
              </w:rPr>
              <w:t xml:space="preserve">Dotation annuelle de </w:t>
            </w:r>
            <w:r w:rsidRPr="001A6DED">
              <w:rPr>
                <w:sz w:val="18"/>
                <w:szCs w:val="18"/>
              </w:rPr>
              <w:t>2019</w:t>
            </w:r>
            <w:r w:rsidRPr="000778D6">
              <w:rPr>
                <w:sz w:val="18"/>
                <w:szCs w:val="18"/>
              </w:rPr>
              <w:t xml:space="preserve">  </w:t>
            </w:r>
          </w:p>
        </w:tc>
        <w:tc>
          <w:tcPr>
            <w:tcW w:w="2303" w:type="dxa"/>
            <w:tcBorders>
              <w:top w:val="single" w:sz="4" w:space="0" w:color="auto"/>
              <w:left w:val="nil"/>
              <w:bottom w:val="single" w:sz="4" w:space="0" w:color="auto"/>
              <w:right w:val="single" w:sz="4" w:space="0" w:color="auto"/>
            </w:tcBorders>
            <w:shd w:val="clear" w:color="auto" w:fill="EEECE1" w:themeFill="background2"/>
            <w:vAlign w:val="center"/>
            <w:hideMark/>
          </w:tcPr>
          <w:p w:rsidR="001A551E" w:rsidRPr="000778D6" w:rsidRDefault="003E1C21">
            <w:pPr>
              <w:spacing w:before="40" w:after="40" w:line="276" w:lineRule="auto"/>
              <w:jc w:val="center"/>
              <w:rPr>
                <w:bCs/>
                <w:i/>
                <w:iCs/>
                <w:sz w:val="18"/>
                <w:szCs w:val="18"/>
                <w:highlight w:val="yellow"/>
              </w:rPr>
            </w:pPr>
            <w:r w:rsidRPr="001A6DED">
              <w:rPr>
                <w:bCs/>
                <w:i/>
                <w:iCs/>
                <w:sz w:val="18"/>
                <w:szCs w:val="18"/>
              </w:rPr>
              <w:t>585</w:t>
            </w:r>
            <w:r w:rsidRPr="000778D6">
              <w:rPr>
                <w:bCs/>
                <w:i/>
                <w:iCs/>
                <w:sz w:val="18"/>
                <w:szCs w:val="18"/>
              </w:rPr>
              <w:t> </w:t>
            </w:r>
            <w:r w:rsidRPr="001A6DED">
              <w:rPr>
                <w:bCs/>
                <w:i/>
                <w:iCs/>
                <w:sz w:val="18"/>
                <w:szCs w:val="18"/>
              </w:rPr>
              <w:t>829</w:t>
            </w:r>
            <w:r w:rsidRPr="000778D6">
              <w:rPr>
                <w:bCs/>
                <w:i/>
                <w:iCs/>
                <w:sz w:val="18"/>
                <w:szCs w:val="18"/>
              </w:rPr>
              <w:t> </w:t>
            </w:r>
            <w:r w:rsidRPr="001A6DED">
              <w:rPr>
                <w:bCs/>
                <w:i/>
                <w:iCs/>
                <w:sz w:val="18"/>
                <w:szCs w:val="18"/>
              </w:rPr>
              <w:t>691</w:t>
            </w:r>
            <w:r w:rsidRPr="000778D6">
              <w:rPr>
                <w:bCs/>
                <w:i/>
                <w:iCs/>
                <w:sz w:val="18"/>
                <w:szCs w:val="18"/>
              </w:rPr>
              <w:t xml:space="preserve"> EUR</w:t>
            </w:r>
          </w:p>
        </w:tc>
      </w:tr>
      <w:tr w:rsidR="001A551E" w:rsidRPr="000778D6" w:rsidTr="00A32CD5">
        <w:trPr>
          <w:trHeight w:val="287"/>
        </w:trPr>
        <w:tc>
          <w:tcPr>
            <w:tcW w:w="6582" w:type="dxa"/>
            <w:tcBorders>
              <w:top w:val="single" w:sz="4" w:space="0" w:color="auto"/>
              <w:left w:val="single" w:sz="4" w:space="0" w:color="auto"/>
              <w:bottom w:val="single" w:sz="4" w:space="0" w:color="auto"/>
              <w:right w:val="single" w:sz="4" w:space="0" w:color="auto"/>
            </w:tcBorders>
            <w:vAlign w:val="center"/>
            <w:hideMark/>
          </w:tcPr>
          <w:p w:rsidR="001A551E" w:rsidRPr="000778D6" w:rsidRDefault="003E1C21">
            <w:pPr>
              <w:spacing w:before="40" w:after="40" w:line="276" w:lineRule="auto"/>
              <w:jc w:val="left"/>
              <w:rPr>
                <w:color w:val="000000"/>
                <w:sz w:val="18"/>
                <w:szCs w:val="18"/>
              </w:rPr>
            </w:pPr>
            <w:r w:rsidRPr="000778D6">
              <w:rPr>
                <w:sz w:val="18"/>
                <w:szCs w:val="18"/>
              </w:rPr>
              <w:t xml:space="preserve">Majorée du montant non dépensé de la dotation </w:t>
            </w:r>
            <w:r w:rsidRPr="001A6DED">
              <w:rPr>
                <w:sz w:val="18"/>
                <w:szCs w:val="18"/>
              </w:rPr>
              <w:t>2018</w:t>
            </w:r>
            <w:r w:rsidRPr="000778D6">
              <w:rPr>
                <w:sz w:val="18"/>
                <w:szCs w:val="18"/>
              </w:rPr>
              <w:t xml:space="preserve"> reporté à </w:t>
            </w:r>
            <w:r w:rsidRPr="001A6DED">
              <w:rPr>
                <w:sz w:val="18"/>
                <w:szCs w:val="18"/>
              </w:rPr>
              <w:t>2019</w:t>
            </w:r>
          </w:p>
        </w:tc>
        <w:tc>
          <w:tcPr>
            <w:tcW w:w="2303" w:type="dxa"/>
            <w:tcBorders>
              <w:top w:val="single" w:sz="4" w:space="0" w:color="auto"/>
              <w:left w:val="nil"/>
              <w:bottom w:val="single" w:sz="4" w:space="0" w:color="auto"/>
              <w:right w:val="single" w:sz="4" w:space="0" w:color="auto"/>
            </w:tcBorders>
            <w:shd w:val="clear" w:color="auto" w:fill="EEECE1" w:themeFill="background2"/>
            <w:vAlign w:val="center"/>
            <w:hideMark/>
          </w:tcPr>
          <w:p w:rsidR="001A551E" w:rsidRPr="000778D6" w:rsidRDefault="003E1C21">
            <w:pPr>
              <w:spacing w:before="40" w:after="40" w:line="276" w:lineRule="auto"/>
              <w:jc w:val="center"/>
              <w:rPr>
                <w:bCs/>
                <w:i/>
                <w:iCs/>
                <w:sz w:val="18"/>
                <w:szCs w:val="18"/>
                <w:highlight w:val="yellow"/>
              </w:rPr>
            </w:pPr>
            <w:r w:rsidRPr="000778D6">
              <w:rPr>
                <w:bCs/>
                <w:i/>
                <w:iCs/>
                <w:sz w:val="18"/>
                <w:szCs w:val="18"/>
              </w:rPr>
              <w:t>+ EUR </w:t>
            </w:r>
            <w:r w:rsidRPr="001A6DED">
              <w:rPr>
                <w:bCs/>
                <w:i/>
                <w:iCs/>
                <w:sz w:val="18"/>
                <w:szCs w:val="18"/>
              </w:rPr>
              <w:t>265</w:t>
            </w:r>
            <w:r w:rsidRPr="000778D6">
              <w:rPr>
                <w:bCs/>
                <w:i/>
                <w:iCs/>
                <w:sz w:val="18"/>
                <w:szCs w:val="18"/>
              </w:rPr>
              <w:t> </w:t>
            </w:r>
            <w:r w:rsidRPr="001A6DED">
              <w:rPr>
                <w:bCs/>
                <w:i/>
                <w:iCs/>
                <w:sz w:val="18"/>
                <w:szCs w:val="18"/>
              </w:rPr>
              <w:t>252</w:t>
            </w:r>
            <w:r w:rsidRPr="000778D6">
              <w:rPr>
                <w:bCs/>
                <w:i/>
                <w:iCs/>
                <w:sz w:val="18"/>
                <w:szCs w:val="18"/>
              </w:rPr>
              <w:t> </w:t>
            </w:r>
            <w:r w:rsidRPr="001A6DED">
              <w:rPr>
                <w:bCs/>
                <w:i/>
                <w:iCs/>
                <w:sz w:val="18"/>
                <w:szCs w:val="18"/>
              </w:rPr>
              <w:t>381</w:t>
            </w:r>
          </w:p>
        </w:tc>
      </w:tr>
      <w:tr w:rsidR="001A551E" w:rsidRPr="000778D6" w:rsidTr="00A32CD5">
        <w:trPr>
          <w:trHeight w:val="287"/>
        </w:trPr>
        <w:tc>
          <w:tcPr>
            <w:tcW w:w="6582" w:type="dxa"/>
            <w:tcBorders>
              <w:top w:val="single" w:sz="4" w:space="0" w:color="auto"/>
              <w:left w:val="single" w:sz="4" w:space="0" w:color="auto"/>
              <w:bottom w:val="nil"/>
              <w:right w:val="single" w:sz="4" w:space="0" w:color="000000"/>
            </w:tcBorders>
            <w:noWrap/>
            <w:vAlign w:val="bottom"/>
            <w:hideMark/>
          </w:tcPr>
          <w:p w:rsidR="001A551E" w:rsidRPr="000778D6" w:rsidRDefault="003E1C21">
            <w:pPr>
              <w:spacing w:before="40" w:after="40" w:line="276" w:lineRule="auto"/>
              <w:jc w:val="left"/>
              <w:rPr>
                <w:color w:val="000000"/>
                <w:sz w:val="18"/>
                <w:szCs w:val="18"/>
              </w:rPr>
            </w:pPr>
            <w:r w:rsidRPr="000778D6">
              <w:rPr>
                <w:sz w:val="18"/>
                <w:szCs w:val="18"/>
              </w:rPr>
              <w:t xml:space="preserve">Diminuée du montant mobilisé pour la Roumanie, l’Italie et l’Autriche (BR </w:t>
            </w:r>
            <w:r w:rsidRPr="001A6DED">
              <w:rPr>
                <w:sz w:val="18"/>
                <w:szCs w:val="18"/>
              </w:rPr>
              <w:t>3</w:t>
            </w:r>
            <w:r w:rsidRPr="000778D6">
              <w:rPr>
                <w:sz w:val="18"/>
                <w:szCs w:val="18"/>
              </w:rPr>
              <w:t>)</w:t>
            </w:r>
          </w:p>
        </w:tc>
        <w:tc>
          <w:tcPr>
            <w:tcW w:w="2303" w:type="dxa"/>
            <w:tcBorders>
              <w:top w:val="nil"/>
              <w:left w:val="nil"/>
              <w:bottom w:val="nil"/>
              <w:right w:val="single" w:sz="4" w:space="0" w:color="auto"/>
            </w:tcBorders>
            <w:shd w:val="clear" w:color="auto" w:fill="EEECE1" w:themeFill="background2"/>
            <w:vAlign w:val="center"/>
            <w:hideMark/>
          </w:tcPr>
          <w:p w:rsidR="001A551E" w:rsidRPr="000778D6" w:rsidRDefault="003E1C21">
            <w:pPr>
              <w:spacing w:before="40" w:after="40" w:line="276" w:lineRule="auto"/>
              <w:jc w:val="center"/>
              <w:rPr>
                <w:bCs/>
                <w:i/>
                <w:iCs/>
                <w:sz w:val="18"/>
                <w:szCs w:val="18"/>
              </w:rPr>
            </w:pPr>
            <w:r w:rsidRPr="000778D6">
              <w:rPr>
                <w:bCs/>
                <w:i/>
                <w:iCs/>
                <w:sz w:val="18"/>
                <w:szCs w:val="18"/>
              </w:rPr>
              <w:t>- EUR </w:t>
            </w:r>
            <w:r w:rsidRPr="001A6DED">
              <w:rPr>
                <w:bCs/>
                <w:i/>
                <w:iCs/>
                <w:sz w:val="18"/>
                <w:szCs w:val="18"/>
              </w:rPr>
              <w:t>293</w:t>
            </w:r>
            <w:r w:rsidRPr="000778D6">
              <w:rPr>
                <w:bCs/>
                <w:i/>
                <w:iCs/>
                <w:sz w:val="18"/>
                <w:szCs w:val="18"/>
              </w:rPr>
              <w:t> </w:t>
            </w:r>
            <w:r w:rsidRPr="001A6DED">
              <w:rPr>
                <w:bCs/>
                <w:i/>
                <w:iCs/>
                <w:sz w:val="18"/>
                <w:szCs w:val="18"/>
              </w:rPr>
              <w:t>551</w:t>
            </w:r>
            <w:r w:rsidRPr="000778D6">
              <w:rPr>
                <w:bCs/>
                <w:i/>
                <w:iCs/>
                <w:sz w:val="18"/>
                <w:szCs w:val="18"/>
              </w:rPr>
              <w:t> </w:t>
            </w:r>
            <w:r w:rsidRPr="001A6DED">
              <w:rPr>
                <w:bCs/>
                <w:i/>
                <w:iCs/>
                <w:sz w:val="18"/>
                <w:szCs w:val="18"/>
              </w:rPr>
              <w:t>794</w:t>
            </w:r>
          </w:p>
        </w:tc>
      </w:tr>
      <w:tr w:rsidR="001A551E" w:rsidRPr="000778D6" w:rsidTr="00A32CD5">
        <w:trPr>
          <w:trHeight w:val="438"/>
        </w:trPr>
        <w:tc>
          <w:tcPr>
            <w:tcW w:w="6582"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1A551E" w:rsidRPr="000778D6" w:rsidRDefault="003E1C21">
            <w:pPr>
              <w:spacing w:before="40" w:after="40" w:line="276" w:lineRule="auto"/>
              <w:jc w:val="left"/>
              <w:rPr>
                <w:b/>
                <w:bCs/>
                <w:sz w:val="18"/>
                <w:szCs w:val="18"/>
              </w:rPr>
            </w:pPr>
            <w:r w:rsidRPr="000778D6">
              <w:rPr>
                <w:b/>
                <w:bCs/>
                <w:sz w:val="18"/>
                <w:szCs w:val="18"/>
              </w:rPr>
              <w:t xml:space="preserve">TOTAL disponible jusqu’en décembre </w:t>
            </w:r>
            <w:r w:rsidRPr="001A6DED">
              <w:rPr>
                <w:b/>
                <w:bCs/>
                <w:sz w:val="18"/>
                <w:szCs w:val="18"/>
              </w:rPr>
              <w:t>2019</w:t>
            </w:r>
            <w:r w:rsidRPr="000778D6">
              <w:rPr>
                <w:b/>
                <w:bCs/>
                <w:sz w:val="18"/>
                <w:szCs w:val="18"/>
              </w:rPr>
              <w:t> </w:t>
            </w:r>
          </w:p>
        </w:tc>
        <w:tc>
          <w:tcPr>
            <w:tcW w:w="2303" w:type="dxa"/>
            <w:tcBorders>
              <w:top w:val="single" w:sz="4" w:space="0" w:color="auto"/>
              <w:left w:val="nil"/>
              <w:bottom w:val="single" w:sz="4" w:space="0" w:color="auto"/>
              <w:right w:val="single" w:sz="4" w:space="0" w:color="auto"/>
            </w:tcBorders>
            <w:shd w:val="clear" w:color="auto" w:fill="EEECE1" w:themeFill="background2"/>
            <w:vAlign w:val="bottom"/>
            <w:hideMark/>
          </w:tcPr>
          <w:p w:rsidR="001A551E" w:rsidRPr="000778D6" w:rsidRDefault="003E1C21">
            <w:pPr>
              <w:spacing w:before="40" w:after="40" w:line="276" w:lineRule="auto"/>
              <w:jc w:val="center"/>
              <w:rPr>
                <w:b/>
                <w:bCs/>
                <w:i/>
                <w:iCs/>
                <w:sz w:val="18"/>
                <w:szCs w:val="18"/>
                <w:highlight w:val="yellow"/>
              </w:rPr>
            </w:pPr>
            <w:r w:rsidRPr="001A6DED">
              <w:rPr>
                <w:b/>
                <w:bCs/>
                <w:i/>
                <w:iCs/>
                <w:sz w:val="18"/>
                <w:szCs w:val="18"/>
              </w:rPr>
              <w:t>557</w:t>
            </w:r>
            <w:r w:rsidRPr="000778D6">
              <w:rPr>
                <w:b/>
                <w:bCs/>
                <w:i/>
                <w:iCs/>
                <w:sz w:val="18"/>
                <w:szCs w:val="18"/>
              </w:rPr>
              <w:t> </w:t>
            </w:r>
            <w:r w:rsidRPr="001A6DED">
              <w:rPr>
                <w:b/>
                <w:bCs/>
                <w:i/>
                <w:iCs/>
                <w:sz w:val="18"/>
                <w:szCs w:val="18"/>
              </w:rPr>
              <w:t>530</w:t>
            </w:r>
            <w:r w:rsidRPr="000778D6">
              <w:rPr>
                <w:b/>
                <w:bCs/>
                <w:i/>
                <w:iCs/>
                <w:sz w:val="18"/>
                <w:szCs w:val="18"/>
              </w:rPr>
              <w:t> </w:t>
            </w:r>
            <w:r w:rsidRPr="001A6DED">
              <w:rPr>
                <w:b/>
                <w:bCs/>
                <w:i/>
                <w:iCs/>
                <w:sz w:val="18"/>
                <w:szCs w:val="18"/>
              </w:rPr>
              <w:t>278</w:t>
            </w:r>
            <w:r w:rsidRPr="000778D6">
              <w:rPr>
                <w:b/>
                <w:bCs/>
                <w:i/>
                <w:iCs/>
                <w:sz w:val="18"/>
                <w:szCs w:val="18"/>
              </w:rPr>
              <w:t xml:space="preserve"> EUR</w:t>
            </w:r>
          </w:p>
        </w:tc>
      </w:tr>
    </w:tbl>
    <w:p w:rsidR="001A551E" w:rsidRPr="000778D6" w:rsidRDefault="001A551E">
      <w:pPr>
        <w:sectPr w:rsidR="001A551E" w:rsidRPr="000778D6" w:rsidSect="0020445A">
          <w:footerReference w:type="default" r:id="rId15"/>
          <w:footerReference w:type="first" r:id="rId16"/>
          <w:pgSz w:w="11907" w:h="16839"/>
          <w:pgMar w:top="1134" w:right="1417" w:bottom="1134" w:left="1417" w:header="709" w:footer="709" w:gutter="0"/>
          <w:pgNumType w:start="2"/>
          <w:cols w:space="720"/>
          <w:docGrid w:linePitch="360"/>
        </w:sectPr>
      </w:pPr>
    </w:p>
    <w:p w:rsidR="001A551E" w:rsidRPr="000778D6" w:rsidRDefault="0020445A" w:rsidP="0020445A">
      <w:pPr>
        <w:pStyle w:val="Statut"/>
      </w:pPr>
      <w:r w:rsidRPr="0020445A">
        <w:t>Proposition de</w:t>
      </w:r>
    </w:p>
    <w:p w:rsidR="001A551E" w:rsidRPr="000778D6" w:rsidRDefault="0020445A" w:rsidP="0020445A">
      <w:pPr>
        <w:pStyle w:val="Typedudocument"/>
      </w:pPr>
      <w:r w:rsidRPr="0020445A">
        <w:t>DÉCISION DU PARLEMENT EUROPÉEN ET DU CONSEIL</w:t>
      </w:r>
    </w:p>
    <w:p w:rsidR="001A551E" w:rsidRPr="000778D6" w:rsidRDefault="0020445A" w:rsidP="0020445A">
      <w:pPr>
        <w:pStyle w:val="Titreobjet"/>
      </w:pPr>
      <w:r w:rsidRPr="0020445A">
        <w:t>relative à la mobilisation du Fonds de solidarité de l'Union européenne pour venir en aide à la Grèce</w:t>
      </w:r>
    </w:p>
    <w:p w:rsidR="001A551E" w:rsidRPr="000778D6" w:rsidRDefault="003E1C21">
      <w:pPr>
        <w:pStyle w:val="Institutionquiagit"/>
        <w:spacing w:before="480" w:after="360"/>
      </w:pPr>
      <w:r w:rsidRPr="000778D6">
        <w:t>LE PARLEMENT EUROPÉEN ET LE CONSEIL DE L'UNION EUROPÉENNE,</w:t>
      </w:r>
    </w:p>
    <w:p w:rsidR="001A551E" w:rsidRPr="000778D6" w:rsidRDefault="003E1C21">
      <w:r w:rsidRPr="000778D6">
        <w:t>vu le traité sur le fonctionnement de l'Union européenne,</w:t>
      </w:r>
    </w:p>
    <w:p w:rsidR="001A551E" w:rsidRPr="000778D6" w:rsidRDefault="003E1C21">
      <w:r w:rsidRPr="000778D6">
        <w:t>vu le règlement (CE) nº </w:t>
      </w:r>
      <w:r w:rsidRPr="001A6DED">
        <w:t>2012</w:t>
      </w:r>
      <w:r w:rsidRPr="000778D6">
        <w:t>/</w:t>
      </w:r>
      <w:r w:rsidRPr="001A6DED">
        <w:t>2002</w:t>
      </w:r>
      <w:r w:rsidRPr="000778D6">
        <w:t xml:space="preserve"> du Conseil du </w:t>
      </w:r>
      <w:r w:rsidRPr="001A6DED">
        <w:t>11</w:t>
      </w:r>
      <w:r w:rsidRPr="000778D6">
        <w:t xml:space="preserve"> novembre </w:t>
      </w:r>
      <w:r w:rsidRPr="001A6DED">
        <w:t>2002</w:t>
      </w:r>
      <w:r w:rsidRPr="000778D6">
        <w:t xml:space="preserve"> instituant le Fonds de solidarité de l’Union européenne</w:t>
      </w:r>
      <w:r w:rsidRPr="000778D6">
        <w:rPr>
          <w:rStyle w:val="FootnoteReference"/>
        </w:rPr>
        <w:footnoteReference w:id="5"/>
      </w:r>
      <w:r w:rsidRPr="000778D6">
        <w:t>, et notamment son article </w:t>
      </w:r>
      <w:r w:rsidRPr="001A6DED">
        <w:t>4</w:t>
      </w:r>
      <w:r w:rsidRPr="000778D6">
        <w:t>, paragraphe </w:t>
      </w:r>
      <w:r w:rsidRPr="001A6DED">
        <w:t>3</w:t>
      </w:r>
      <w:r w:rsidRPr="000778D6">
        <w:t>,</w:t>
      </w:r>
    </w:p>
    <w:p w:rsidR="001A551E" w:rsidRPr="000778D6" w:rsidRDefault="003E1C21">
      <w:r w:rsidRPr="000778D6">
        <w:t xml:space="preserve">vu l'accord interinstitutionnel du </w:t>
      </w:r>
      <w:r w:rsidRPr="001A6DED">
        <w:t>2</w:t>
      </w:r>
      <w:r w:rsidRPr="000778D6">
        <w:t xml:space="preserve"> décembre </w:t>
      </w:r>
      <w:r w:rsidRPr="001A6DED">
        <w:t>2013</w:t>
      </w:r>
      <w:r w:rsidRPr="000778D6">
        <w:t xml:space="preserve"> entre le Parlement européen, le Conseil et la Commission sur la discipline budgétaire, la coopération en matière budgétaire et la bonne gestion financière</w:t>
      </w:r>
      <w:r w:rsidRPr="000778D6">
        <w:rPr>
          <w:rStyle w:val="FootnoteReference"/>
        </w:rPr>
        <w:footnoteReference w:id="6"/>
      </w:r>
      <w:r w:rsidRPr="000778D6">
        <w:t>, et notamment son point </w:t>
      </w:r>
      <w:r w:rsidRPr="001A6DED">
        <w:t>11</w:t>
      </w:r>
      <w:r w:rsidRPr="000778D6">
        <w:t>,</w:t>
      </w:r>
    </w:p>
    <w:p w:rsidR="001A551E" w:rsidRPr="000778D6" w:rsidRDefault="003E1C21">
      <w:r w:rsidRPr="000778D6">
        <w:t>vu la proposition de la Commission européenne,</w:t>
      </w:r>
    </w:p>
    <w:p w:rsidR="001A551E" w:rsidRPr="000778D6" w:rsidRDefault="003E1C21">
      <w:pPr>
        <w:spacing w:after="360"/>
      </w:pPr>
      <w:r w:rsidRPr="000778D6">
        <w:t>considérant ce qui suit:</w:t>
      </w:r>
    </w:p>
    <w:p w:rsidR="001A551E" w:rsidRPr="000778D6" w:rsidRDefault="003E1C21">
      <w:pPr>
        <w:pStyle w:val="ManualConsidrant"/>
      </w:pPr>
      <w:r w:rsidRPr="000778D6">
        <w:t>(</w:t>
      </w:r>
      <w:r w:rsidRPr="001A6DED">
        <w:t>1</w:t>
      </w:r>
      <w:r w:rsidRPr="000778D6">
        <w:t>)</w:t>
      </w:r>
      <w:r w:rsidRPr="000778D6">
        <w:tab/>
        <w:t>Le Fonds de solidarité de l'Union européenne (ci-après le «Fonds») vise à permettre à l'Union de répondre de façon rapide, efficace et souple à des situations d'urgence pour exprimer sa solidarité à l'égard de la population de régions touchées par des catastrophes naturelles.</w:t>
      </w:r>
    </w:p>
    <w:p w:rsidR="001A551E" w:rsidRPr="000778D6" w:rsidRDefault="003E1C21">
      <w:pPr>
        <w:pStyle w:val="ManualConsidrant"/>
      </w:pPr>
      <w:r w:rsidRPr="000778D6">
        <w:t>(</w:t>
      </w:r>
      <w:r w:rsidRPr="001A6DED">
        <w:t>2</w:t>
      </w:r>
      <w:r w:rsidRPr="000778D6">
        <w:t>)</w:t>
      </w:r>
      <w:r w:rsidRPr="000778D6">
        <w:tab/>
        <w:t xml:space="preserve">Le montant annuel maximal alloué au Fonds ne peut pas excéder </w:t>
      </w:r>
      <w:r w:rsidRPr="001A6DED">
        <w:t>500</w:t>
      </w:r>
      <w:r w:rsidRPr="000778D6">
        <w:t> </w:t>
      </w:r>
      <w:r w:rsidRPr="001A6DED">
        <w:t>000</w:t>
      </w:r>
      <w:r w:rsidRPr="000778D6">
        <w:t> </w:t>
      </w:r>
      <w:r w:rsidRPr="001A6DED">
        <w:t>000</w:t>
      </w:r>
      <w:r w:rsidRPr="000778D6">
        <w:t xml:space="preserve"> EUR (aux prix de </w:t>
      </w:r>
      <w:r w:rsidRPr="001A6DED">
        <w:t>2011</w:t>
      </w:r>
      <w:r w:rsidRPr="000778D6">
        <w:t>), comme le prévoit l'article </w:t>
      </w:r>
      <w:r w:rsidRPr="001A6DED">
        <w:t>10</w:t>
      </w:r>
      <w:r w:rsidRPr="000778D6">
        <w:t xml:space="preserve"> du règlement (UE, Euratom) nº </w:t>
      </w:r>
      <w:r w:rsidRPr="001A6DED">
        <w:t>1311</w:t>
      </w:r>
      <w:r w:rsidRPr="000778D6">
        <w:t>/</w:t>
      </w:r>
      <w:r w:rsidRPr="001A6DED">
        <w:t>2013</w:t>
      </w:r>
      <w:r w:rsidRPr="000778D6">
        <w:t xml:space="preserve"> du Conseil</w:t>
      </w:r>
      <w:r w:rsidRPr="000778D6">
        <w:rPr>
          <w:rStyle w:val="FootnoteReference"/>
        </w:rPr>
        <w:footnoteReference w:id="7"/>
      </w:r>
      <w:r w:rsidRPr="000778D6">
        <w:t>.</w:t>
      </w:r>
    </w:p>
    <w:p w:rsidR="001A551E" w:rsidRPr="000778D6" w:rsidRDefault="003E1C21">
      <w:pPr>
        <w:pStyle w:val="ManualConsidrant"/>
      </w:pPr>
      <w:r w:rsidRPr="000778D6">
        <w:t>(</w:t>
      </w:r>
      <w:r w:rsidRPr="001A6DED">
        <w:t>3</w:t>
      </w:r>
      <w:r w:rsidRPr="000778D6">
        <w:t>)</w:t>
      </w:r>
      <w:r w:rsidRPr="000778D6">
        <w:tab/>
        <w:t xml:space="preserve">Le </w:t>
      </w:r>
      <w:r w:rsidRPr="001A6DED">
        <w:t>15</w:t>
      </w:r>
      <w:r w:rsidRPr="000778D6">
        <w:t xml:space="preserve"> mai </w:t>
      </w:r>
      <w:r w:rsidRPr="001A6DED">
        <w:t>2019</w:t>
      </w:r>
      <w:r w:rsidRPr="000778D6">
        <w:t xml:space="preserve">, la Grèce a introduit une demande d’intervention du Fonds à la suite de précipitations et d’une tempête d'une violence exceptionnelle qui ont frappé la Crète entre le </w:t>
      </w:r>
      <w:r w:rsidRPr="001A6DED">
        <w:t>23</w:t>
      </w:r>
      <w:r w:rsidRPr="000778D6">
        <w:t xml:space="preserve"> et le </w:t>
      </w:r>
      <w:r w:rsidRPr="001A6DED">
        <w:t>26</w:t>
      </w:r>
      <w:r w:rsidRPr="000778D6">
        <w:t xml:space="preserve"> février </w:t>
      </w:r>
      <w:r w:rsidRPr="001A6DED">
        <w:t>2019</w:t>
      </w:r>
      <w:r w:rsidRPr="000778D6">
        <w:t xml:space="preserve"> et provoqué des inondations et des glissements de terrain.</w:t>
      </w:r>
    </w:p>
    <w:p w:rsidR="001A551E" w:rsidRPr="000778D6" w:rsidRDefault="003E1C21">
      <w:pPr>
        <w:pStyle w:val="ManualConsidrant"/>
        <w:rPr>
          <w:sz w:val="22"/>
        </w:rPr>
      </w:pPr>
      <w:r w:rsidRPr="000778D6">
        <w:t>(</w:t>
      </w:r>
      <w:r w:rsidRPr="001A6DED">
        <w:t>4</w:t>
      </w:r>
      <w:r w:rsidRPr="000778D6">
        <w:t>)</w:t>
      </w:r>
      <w:r w:rsidRPr="000778D6">
        <w:tab/>
        <w:t>La demande de la Grèce remplit les conditions d'octroi d'une contribution financière au titre du Fonds, telles qu'elles sont énoncées à l'article </w:t>
      </w:r>
      <w:r w:rsidRPr="001A6DED">
        <w:t>4</w:t>
      </w:r>
      <w:r w:rsidRPr="000778D6">
        <w:t xml:space="preserve"> du règlement (CE) nº </w:t>
      </w:r>
      <w:r w:rsidRPr="001A6DED">
        <w:t>2012</w:t>
      </w:r>
      <w:r w:rsidRPr="000778D6">
        <w:t>/</w:t>
      </w:r>
      <w:r w:rsidRPr="001A6DED">
        <w:t>2002</w:t>
      </w:r>
      <w:r w:rsidRPr="000778D6">
        <w:t>.</w:t>
      </w:r>
    </w:p>
    <w:p w:rsidR="001A551E" w:rsidRPr="000778D6" w:rsidRDefault="003E1C21">
      <w:pPr>
        <w:pStyle w:val="ManualConsidrant"/>
      </w:pPr>
      <w:r w:rsidRPr="000778D6">
        <w:t>(</w:t>
      </w:r>
      <w:r w:rsidRPr="001A6DED">
        <w:t>5</w:t>
      </w:r>
      <w:r w:rsidRPr="000778D6">
        <w:t>)</w:t>
      </w:r>
      <w:r w:rsidRPr="000778D6">
        <w:tab/>
        <w:t>Il convient par conséquent de mobiliser le Fonds en vue d'octroyer une contribution financière à la Grèce.</w:t>
      </w:r>
    </w:p>
    <w:p w:rsidR="001A551E" w:rsidRPr="000778D6" w:rsidRDefault="008914EC">
      <w:pPr>
        <w:pStyle w:val="ManualConsidrant"/>
      </w:pPr>
      <w:r w:rsidRPr="000778D6">
        <w:t>(</w:t>
      </w:r>
      <w:r w:rsidRPr="001A6DED">
        <w:t>6</w:t>
      </w:r>
      <w:r w:rsidRPr="000778D6">
        <w:t>)</w:t>
      </w:r>
      <w:r w:rsidRPr="000778D6">
        <w:tab/>
        <w:t xml:space="preserve">Par la décision (UE) </w:t>
      </w:r>
      <w:r w:rsidRPr="001A6DED">
        <w:t>2019</w:t>
      </w:r>
      <w:r w:rsidRPr="000778D6">
        <w:t>/</w:t>
      </w:r>
      <w:r w:rsidRPr="001A6DED">
        <w:t>277</w:t>
      </w:r>
      <w:r w:rsidRPr="000778D6">
        <w:t xml:space="preserve"> du Parlement européen et du Conseil</w:t>
      </w:r>
      <w:r w:rsidRPr="000778D6">
        <w:rPr>
          <w:rStyle w:val="FootnoteReference"/>
        </w:rPr>
        <w:footnoteReference w:id="8"/>
      </w:r>
      <w:r w:rsidRPr="000778D6">
        <w:t xml:space="preserve">, une somme de </w:t>
      </w:r>
      <w:r w:rsidRPr="001A6DED">
        <w:t>50</w:t>
      </w:r>
      <w:r w:rsidRPr="000778D6">
        <w:t> </w:t>
      </w:r>
      <w:r w:rsidRPr="001A6DED">
        <w:t>000</w:t>
      </w:r>
      <w:r w:rsidRPr="000778D6">
        <w:t> </w:t>
      </w:r>
      <w:r w:rsidRPr="001A6DED">
        <w:t>000</w:t>
      </w:r>
      <w:r w:rsidRPr="000778D6">
        <w:t xml:space="preserve"> EUR en crédits d’engagement et de paiement a été mobilisée au titre du Fonds pour le versement d’avances au titre de l’exercice </w:t>
      </w:r>
      <w:r w:rsidRPr="001A6DED">
        <w:t>2019</w:t>
      </w:r>
      <w:r w:rsidRPr="000778D6">
        <w:t xml:space="preserve">. Ces crédits n'ont été utilisés que dans une très faible mesure. Par conséquent, il est possible de financer le montant total de l'intervention dont il est question en l'espèce, par une réaffectation des crédits disponibles pour le paiement d'avances dans le budget général de l'Union pour l'exercice </w:t>
      </w:r>
      <w:r w:rsidRPr="001A6DED">
        <w:t>2019</w:t>
      </w:r>
      <w:r w:rsidRPr="000778D6">
        <w:t>.</w:t>
      </w:r>
    </w:p>
    <w:p w:rsidR="001A551E" w:rsidRPr="000778D6" w:rsidRDefault="008914EC">
      <w:pPr>
        <w:pStyle w:val="ManualConsidrant"/>
      </w:pPr>
      <w:r w:rsidRPr="000778D6">
        <w:t>(</w:t>
      </w:r>
      <w:r w:rsidRPr="001A6DED">
        <w:t>7</w:t>
      </w:r>
      <w:r w:rsidRPr="000778D6">
        <w:t>)</w:t>
      </w:r>
      <w:r w:rsidRPr="000778D6">
        <w:tab/>
        <w:t>Afin de limiter au maximum le délai d'intervention du Fonds, il convient que la présente décision soit applicable à partir de la date de son adoption,</w:t>
      </w:r>
    </w:p>
    <w:p w:rsidR="001A551E" w:rsidRPr="000778D6" w:rsidRDefault="003E1C21">
      <w:pPr>
        <w:pStyle w:val="Formuledadoption"/>
      </w:pPr>
      <w:r w:rsidRPr="000778D6">
        <w:t>ONT ADOPTÉ LA PRÉSENTE DÉCISION:</w:t>
      </w:r>
    </w:p>
    <w:p w:rsidR="001A551E" w:rsidRPr="000778D6" w:rsidRDefault="003E1C21">
      <w:pPr>
        <w:pStyle w:val="Titrearticle"/>
        <w:spacing w:before="240"/>
      </w:pPr>
      <w:r w:rsidRPr="000778D6">
        <w:t>Article premier</w:t>
      </w:r>
    </w:p>
    <w:p w:rsidR="001A551E" w:rsidRPr="000778D6" w:rsidRDefault="003E1C21">
      <w:pPr>
        <w:spacing w:before="0" w:after="0"/>
      </w:pPr>
      <w:r w:rsidRPr="000778D6">
        <w:t xml:space="preserve">Dans le cadre du budget général de l'Union établi pour l'exercice </w:t>
      </w:r>
      <w:r w:rsidRPr="001A6DED">
        <w:t>2019</w:t>
      </w:r>
      <w:r w:rsidRPr="000778D6">
        <w:t xml:space="preserve">, une somme de </w:t>
      </w:r>
      <w:r w:rsidRPr="001A6DED">
        <w:t>4</w:t>
      </w:r>
      <w:r w:rsidRPr="000778D6">
        <w:t> </w:t>
      </w:r>
      <w:r w:rsidRPr="001A6DED">
        <w:t>552</w:t>
      </w:r>
      <w:r w:rsidRPr="000778D6">
        <w:t> </w:t>
      </w:r>
      <w:r w:rsidRPr="001A6DED">
        <w:t>517</w:t>
      </w:r>
      <w:r w:rsidRPr="000778D6">
        <w:t> EUR en crédits d'engagement et de paiement est mobilisée en faveur de la Grèce au titre du Fonds de solidarité de l'Union européenne.</w:t>
      </w:r>
    </w:p>
    <w:p w:rsidR="001A551E" w:rsidRPr="000778D6" w:rsidRDefault="001A551E">
      <w:pPr>
        <w:spacing w:before="0" w:after="0"/>
      </w:pPr>
    </w:p>
    <w:p w:rsidR="001A551E" w:rsidRPr="000778D6" w:rsidRDefault="003E1C21">
      <w:pPr>
        <w:spacing w:before="0" w:after="0"/>
      </w:pPr>
      <w:r w:rsidRPr="000778D6">
        <w:t xml:space="preserve">Le montant visé au premier alinéa est financé sur les crédits mobilisés pour le paiement d'avances dans le budget de l'Union pour l'exercice </w:t>
      </w:r>
      <w:r w:rsidRPr="001A6DED">
        <w:t>2019</w:t>
      </w:r>
      <w:r w:rsidRPr="000778D6">
        <w:t>. Les crédits disponibles pour le paiement d'avances sont réduits en conséquence.</w:t>
      </w:r>
    </w:p>
    <w:p w:rsidR="001A551E" w:rsidRPr="000778D6" w:rsidRDefault="003E1C21">
      <w:pPr>
        <w:pStyle w:val="Titrearticle"/>
      </w:pPr>
      <w:r w:rsidRPr="000778D6">
        <w:t>Article </w:t>
      </w:r>
      <w:r w:rsidRPr="001A6DED">
        <w:t>2</w:t>
      </w:r>
    </w:p>
    <w:p w:rsidR="001A551E" w:rsidRPr="000778D6" w:rsidRDefault="003E1C21">
      <w:r w:rsidRPr="000778D6">
        <w:t xml:space="preserve">La présente décision entre en vigueur le jour de sa publication au </w:t>
      </w:r>
      <w:r w:rsidRPr="000778D6">
        <w:rPr>
          <w:i/>
        </w:rPr>
        <w:t>Journal officiel de l’Union européenne</w:t>
      </w:r>
      <w:r w:rsidRPr="000778D6">
        <w:t>.</w:t>
      </w:r>
    </w:p>
    <w:p w:rsidR="001A551E" w:rsidRPr="000778D6" w:rsidRDefault="003E1C21">
      <w:pPr>
        <w:rPr>
          <w:i/>
        </w:rPr>
      </w:pPr>
      <w:r w:rsidRPr="000778D6">
        <w:t>Elle est applicable à partir du … [</w:t>
      </w:r>
      <w:r w:rsidRPr="000778D6">
        <w:rPr>
          <w:i/>
        </w:rPr>
        <w:t>date de son adoption</w:t>
      </w:r>
      <w:r w:rsidRPr="000778D6">
        <w:t>]</w:t>
      </w:r>
      <w:r w:rsidRPr="000778D6">
        <w:footnoteReference w:customMarkFollows="1" w:id="9"/>
        <w:sym w:font="Symbol" w:char="F02A"/>
      </w:r>
      <w:r w:rsidRPr="000778D6">
        <w:sym w:font="Symbol" w:char="F02A"/>
      </w:r>
      <w:r w:rsidRPr="000778D6">
        <w:rPr>
          <w:i/>
        </w:rPr>
        <w:t>.</w:t>
      </w:r>
    </w:p>
    <w:p w:rsidR="001A551E" w:rsidRPr="000778D6" w:rsidRDefault="0020445A" w:rsidP="0020445A">
      <w:pPr>
        <w:pStyle w:val="Fait"/>
      </w:pPr>
      <w:r w:rsidRPr="0020445A">
        <w:t>Fait à Bruxelles, le</w:t>
      </w:r>
    </w:p>
    <w:p w:rsidR="001A551E" w:rsidRPr="000778D6" w:rsidRDefault="003E1C21">
      <w:pPr>
        <w:pStyle w:val="Institutionquisigne"/>
      </w:pPr>
      <w:r w:rsidRPr="000778D6">
        <w:t>Par le Parlement européen</w:t>
      </w:r>
      <w:r w:rsidRPr="000778D6">
        <w:tab/>
        <w:t>Par le Conseil</w:t>
      </w:r>
    </w:p>
    <w:sectPr w:rsidR="001A551E" w:rsidRPr="000778D6" w:rsidSect="0020445A">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51E" w:rsidRDefault="003E1C21">
      <w:pPr>
        <w:spacing w:before="0" w:after="0"/>
      </w:pPr>
      <w:r>
        <w:separator/>
      </w:r>
    </w:p>
  </w:endnote>
  <w:endnote w:type="continuationSeparator" w:id="0">
    <w:p w:rsidR="001A551E" w:rsidRDefault="003E1C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45A" w:rsidRPr="0020445A" w:rsidRDefault="0020445A" w:rsidP="002044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8D6" w:rsidRPr="0020445A" w:rsidRDefault="0020445A" w:rsidP="0020445A">
    <w:pPr>
      <w:pStyle w:val="Footer"/>
      <w:rPr>
        <w:rFonts w:ascii="Arial" w:hAnsi="Arial" w:cs="Arial"/>
        <w:b/>
        <w:sz w:val="48"/>
      </w:rPr>
    </w:pPr>
    <w:r w:rsidRPr="0020445A">
      <w:rPr>
        <w:rFonts w:ascii="Arial" w:hAnsi="Arial" w:cs="Arial"/>
        <w:b/>
        <w:sz w:val="48"/>
      </w:rPr>
      <w:t>FR</w:t>
    </w:r>
    <w:r w:rsidRPr="0020445A">
      <w:rPr>
        <w:rFonts w:ascii="Arial" w:hAnsi="Arial" w:cs="Arial"/>
        <w:b/>
        <w:sz w:val="48"/>
      </w:rPr>
      <w:tab/>
    </w:r>
    <w:r w:rsidRPr="0020445A">
      <w:rPr>
        <w:rFonts w:ascii="Arial" w:hAnsi="Arial" w:cs="Arial"/>
        <w:b/>
        <w:sz w:val="48"/>
      </w:rPr>
      <w:tab/>
    </w:r>
    <w:r w:rsidRPr="0020445A">
      <w:tab/>
    </w:r>
    <w:r w:rsidRPr="0020445A">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45A" w:rsidRPr="0020445A" w:rsidRDefault="0020445A" w:rsidP="002044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45A" w:rsidRPr="0020445A" w:rsidRDefault="0020445A" w:rsidP="0020445A">
    <w:pPr>
      <w:pStyle w:val="Footer"/>
      <w:rPr>
        <w:rFonts w:ascii="Arial" w:hAnsi="Arial" w:cs="Arial"/>
        <w:b/>
        <w:sz w:val="48"/>
      </w:rPr>
    </w:pPr>
    <w:r w:rsidRPr="0020445A">
      <w:rPr>
        <w:rFonts w:ascii="Arial" w:hAnsi="Arial" w:cs="Arial"/>
        <w:b/>
        <w:sz w:val="48"/>
      </w:rPr>
      <w:t>FR</w:t>
    </w:r>
    <w:r w:rsidRPr="0020445A">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rsidRPr="0020445A">
      <w:tab/>
    </w:r>
    <w:r w:rsidRPr="0020445A">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45A" w:rsidRPr="0020445A" w:rsidRDefault="0020445A" w:rsidP="00204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51E" w:rsidRDefault="003E1C21">
      <w:pPr>
        <w:spacing w:before="0" w:after="0"/>
      </w:pPr>
      <w:r>
        <w:separator/>
      </w:r>
    </w:p>
  </w:footnote>
  <w:footnote w:type="continuationSeparator" w:id="0">
    <w:p w:rsidR="001A551E" w:rsidRDefault="003E1C21">
      <w:pPr>
        <w:spacing w:before="0" w:after="0"/>
      </w:pPr>
      <w:r>
        <w:continuationSeparator/>
      </w:r>
    </w:p>
  </w:footnote>
  <w:footnote w:id="1">
    <w:p w:rsidR="001A551E" w:rsidRDefault="003E1C21">
      <w:pPr>
        <w:pStyle w:val="FootnoteText"/>
      </w:pPr>
      <w:r>
        <w:rPr>
          <w:rStyle w:val="FootnoteReference"/>
        </w:rPr>
        <w:footnoteRef/>
      </w:r>
      <w:r>
        <w:tab/>
        <w:t>Règlement (CE) nº </w:t>
      </w:r>
      <w:r w:rsidRPr="001A6DED">
        <w:t>2012</w:t>
      </w:r>
      <w:r>
        <w:t>/</w:t>
      </w:r>
      <w:r w:rsidRPr="001A6DED">
        <w:t>2002</w:t>
      </w:r>
      <w:r>
        <w:t xml:space="preserve"> du Conseil du </w:t>
      </w:r>
      <w:r w:rsidRPr="001A6DED">
        <w:t>11</w:t>
      </w:r>
      <w:r>
        <w:t> novembre </w:t>
      </w:r>
      <w:r w:rsidRPr="001A6DED">
        <w:t>2002</w:t>
      </w:r>
      <w:r>
        <w:t xml:space="preserve"> instituant le Fonds de solidarité de l’Union européenne (JO L </w:t>
      </w:r>
      <w:r w:rsidRPr="001A6DED">
        <w:t>311</w:t>
      </w:r>
      <w:r>
        <w:t xml:space="preserve"> du </w:t>
      </w:r>
      <w:r w:rsidRPr="001A6DED">
        <w:t>14</w:t>
      </w:r>
      <w:r>
        <w:t>.</w:t>
      </w:r>
      <w:r w:rsidRPr="001A6DED">
        <w:t>11</w:t>
      </w:r>
      <w:r>
        <w:t>.</w:t>
      </w:r>
      <w:r w:rsidRPr="001A6DED">
        <w:t>2002</w:t>
      </w:r>
      <w:r>
        <w:t>, p. </w:t>
      </w:r>
      <w:r w:rsidRPr="001A6DED">
        <w:t>3</w:t>
      </w:r>
      <w:r>
        <w:t>), tel que modifié par le règlement (UE) nº </w:t>
      </w:r>
      <w:r w:rsidRPr="001A6DED">
        <w:t>661</w:t>
      </w:r>
      <w:r>
        <w:t>/</w:t>
      </w:r>
      <w:r w:rsidRPr="001A6DED">
        <w:t>2014</w:t>
      </w:r>
      <w:r>
        <w:t xml:space="preserve"> du Parlement européen et du Conseil du </w:t>
      </w:r>
      <w:r w:rsidRPr="001A6DED">
        <w:t>15</w:t>
      </w:r>
      <w:r>
        <w:t> mai </w:t>
      </w:r>
      <w:r w:rsidRPr="001A6DED">
        <w:t>2014</w:t>
      </w:r>
      <w:r>
        <w:t xml:space="preserve"> (JO L </w:t>
      </w:r>
      <w:r w:rsidRPr="001A6DED">
        <w:t>189</w:t>
      </w:r>
      <w:r>
        <w:t xml:space="preserve"> du </w:t>
      </w:r>
      <w:r w:rsidRPr="001A6DED">
        <w:t>27</w:t>
      </w:r>
      <w:r>
        <w:t>.</w:t>
      </w:r>
      <w:r w:rsidRPr="001A6DED">
        <w:t>6</w:t>
      </w:r>
      <w:r>
        <w:t>.</w:t>
      </w:r>
      <w:r w:rsidRPr="001A6DED">
        <w:t>2014</w:t>
      </w:r>
      <w:r>
        <w:t>, p. </w:t>
      </w:r>
      <w:r w:rsidRPr="001A6DED">
        <w:t>143</w:t>
      </w:r>
      <w:r>
        <w:t>).</w:t>
      </w:r>
    </w:p>
  </w:footnote>
  <w:footnote w:id="2">
    <w:p w:rsidR="001A551E" w:rsidRDefault="003E1C21">
      <w:pPr>
        <w:pStyle w:val="FootnoteText"/>
      </w:pPr>
      <w:r>
        <w:rPr>
          <w:rStyle w:val="FootnoteReference"/>
        </w:rPr>
        <w:footnoteRef/>
      </w:r>
      <w:r>
        <w:tab/>
        <w:t>Règlement (UE, Eurato</w:t>
      </w:r>
      <w:r w:rsidR="00806120">
        <w:t>m) nº </w:t>
      </w:r>
      <w:r w:rsidR="00806120" w:rsidRPr="001A6DED">
        <w:t>1311</w:t>
      </w:r>
      <w:r w:rsidR="00806120">
        <w:t>/</w:t>
      </w:r>
      <w:r w:rsidR="00806120" w:rsidRPr="001A6DED">
        <w:t>2013</w:t>
      </w:r>
      <w:r w:rsidR="00806120">
        <w:t xml:space="preserve"> du Conseil du </w:t>
      </w:r>
      <w:r w:rsidR="00806120" w:rsidRPr="001A6DED">
        <w:t>2</w:t>
      </w:r>
      <w:r w:rsidR="00806120">
        <w:t> </w:t>
      </w:r>
      <w:r>
        <w:t>décembre</w:t>
      </w:r>
      <w:r w:rsidR="00806120">
        <w:t> </w:t>
      </w:r>
      <w:r w:rsidRPr="001A6DED">
        <w:t>2013</w:t>
      </w:r>
      <w:r>
        <w:t xml:space="preserve"> fixant le cadre financier pluriannuel pour la période </w:t>
      </w:r>
      <w:r w:rsidRPr="001A6DED">
        <w:t>2014</w:t>
      </w:r>
      <w:r>
        <w:t>-</w:t>
      </w:r>
      <w:r w:rsidRPr="001A6DED">
        <w:t>2020</w:t>
      </w:r>
      <w:r>
        <w:t xml:space="preserve"> (JO L </w:t>
      </w:r>
      <w:r w:rsidRPr="001A6DED">
        <w:t>347</w:t>
      </w:r>
      <w:r>
        <w:t xml:space="preserve"> du </w:t>
      </w:r>
      <w:r w:rsidRPr="001A6DED">
        <w:t>20</w:t>
      </w:r>
      <w:r>
        <w:t>.</w:t>
      </w:r>
      <w:r w:rsidRPr="001A6DED">
        <w:t>12</w:t>
      </w:r>
      <w:r>
        <w:t>.</w:t>
      </w:r>
      <w:r w:rsidRPr="001A6DED">
        <w:t>2013</w:t>
      </w:r>
      <w:r>
        <w:t xml:space="preserve">, p. </w:t>
      </w:r>
      <w:r w:rsidRPr="001A6DED">
        <w:t>884</w:t>
      </w:r>
      <w:r>
        <w:t>).</w:t>
      </w:r>
    </w:p>
  </w:footnote>
  <w:footnote w:id="3">
    <w:p w:rsidR="001A551E" w:rsidRDefault="003E1C21">
      <w:pPr>
        <w:pStyle w:val="FootnoteText"/>
      </w:pPr>
      <w:r>
        <w:rPr>
          <w:rStyle w:val="FootnoteReference"/>
        </w:rPr>
        <w:footnoteRef/>
      </w:r>
      <w:r>
        <w:tab/>
        <w:t xml:space="preserve">JO C </w:t>
      </w:r>
      <w:r w:rsidRPr="001A6DED">
        <w:t>373</w:t>
      </w:r>
      <w:r>
        <w:t xml:space="preserve"> du </w:t>
      </w:r>
      <w:r w:rsidRPr="001A6DED">
        <w:t>20</w:t>
      </w:r>
      <w:r>
        <w:t>.</w:t>
      </w:r>
      <w:r w:rsidRPr="001A6DED">
        <w:t>12</w:t>
      </w:r>
      <w:r>
        <w:t>.</w:t>
      </w:r>
      <w:r w:rsidRPr="001A6DED">
        <w:t>2013</w:t>
      </w:r>
      <w:r>
        <w:t>, p. </w:t>
      </w:r>
      <w:r w:rsidRPr="001A6DED">
        <w:t>1</w:t>
      </w:r>
      <w:r>
        <w:t>.</w:t>
      </w:r>
    </w:p>
  </w:footnote>
  <w:footnote w:id="4">
    <w:p w:rsidR="001A551E" w:rsidRDefault="003E1C21">
      <w:pPr>
        <w:pStyle w:val="FootnoteText"/>
      </w:pPr>
      <w:r>
        <w:rPr>
          <w:rStyle w:val="FootnoteReference"/>
        </w:rPr>
        <w:footnoteRef/>
      </w:r>
      <w:r>
        <w:tab/>
        <w:t>Textes adoptés P</w:t>
      </w:r>
      <w:r w:rsidRPr="001A6DED">
        <w:t>9</w:t>
      </w:r>
      <w:r>
        <w:t>_TA-PROV(</w:t>
      </w:r>
      <w:r w:rsidRPr="001A6DED">
        <w:t>2019</w:t>
      </w:r>
      <w:r>
        <w:t>)</w:t>
      </w:r>
      <w:r w:rsidRPr="001A6DED">
        <w:t>0013</w:t>
      </w:r>
      <w:r>
        <w:t xml:space="preserve"> et P</w:t>
      </w:r>
      <w:r w:rsidRPr="001A6DED">
        <w:t>9</w:t>
      </w:r>
      <w:r>
        <w:t>_TA-PROV(</w:t>
      </w:r>
      <w:r w:rsidRPr="001A6DED">
        <w:t>2019</w:t>
      </w:r>
      <w:r>
        <w:t>)</w:t>
      </w:r>
      <w:r w:rsidRPr="001A6DED">
        <w:t>0014</w:t>
      </w:r>
      <w:r>
        <w:rPr>
          <w:sz w:val="18"/>
          <w:szCs w:val="18"/>
        </w:rPr>
        <w:t>.</w:t>
      </w:r>
    </w:p>
  </w:footnote>
  <w:footnote w:id="5">
    <w:p w:rsidR="001A551E" w:rsidRDefault="003E1C21">
      <w:pPr>
        <w:pStyle w:val="FootnoteText"/>
      </w:pPr>
      <w:r>
        <w:rPr>
          <w:rStyle w:val="FootnoteReference"/>
        </w:rPr>
        <w:footnoteRef/>
      </w:r>
      <w:r>
        <w:tab/>
      </w:r>
      <w:r>
        <w:rPr>
          <w:shd w:val="clear" w:color="auto" w:fill="FFFFFF"/>
        </w:rPr>
        <w:t xml:space="preserve">JO L </w:t>
      </w:r>
      <w:r w:rsidRPr="001A6DED">
        <w:rPr>
          <w:shd w:val="clear" w:color="auto" w:fill="FFFFFF"/>
        </w:rPr>
        <w:t>311</w:t>
      </w:r>
      <w:r>
        <w:rPr>
          <w:shd w:val="clear" w:color="auto" w:fill="FFFFFF"/>
        </w:rPr>
        <w:t xml:space="preserve"> du </w:t>
      </w:r>
      <w:r w:rsidRPr="001A6DED">
        <w:rPr>
          <w:shd w:val="clear" w:color="auto" w:fill="FFFFFF"/>
        </w:rPr>
        <w:t>14</w:t>
      </w:r>
      <w:r>
        <w:rPr>
          <w:shd w:val="clear" w:color="auto" w:fill="FFFFFF"/>
        </w:rPr>
        <w:t>.</w:t>
      </w:r>
      <w:r w:rsidRPr="001A6DED">
        <w:rPr>
          <w:shd w:val="clear" w:color="auto" w:fill="FFFFFF"/>
        </w:rPr>
        <w:t>11</w:t>
      </w:r>
      <w:r>
        <w:rPr>
          <w:shd w:val="clear" w:color="auto" w:fill="FFFFFF"/>
        </w:rPr>
        <w:t>.</w:t>
      </w:r>
      <w:r w:rsidRPr="001A6DED">
        <w:rPr>
          <w:shd w:val="clear" w:color="auto" w:fill="FFFFFF"/>
        </w:rPr>
        <w:t>2002</w:t>
      </w:r>
      <w:r>
        <w:rPr>
          <w:shd w:val="clear" w:color="auto" w:fill="FFFFFF"/>
        </w:rPr>
        <w:t xml:space="preserve">, p. </w:t>
      </w:r>
      <w:r w:rsidRPr="001A6DED">
        <w:rPr>
          <w:shd w:val="clear" w:color="auto" w:fill="FFFFFF"/>
        </w:rPr>
        <w:t>3</w:t>
      </w:r>
      <w:r>
        <w:rPr>
          <w:shd w:val="clear" w:color="auto" w:fill="FFFFFF"/>
        </w:rPr>
        <w:t>.</w:t>
      </w:r>
    </w:p>
  </w:footnote>
  <w:footnote w:id="6">
    <w:p w:rsidR="001A551E" w:rsidRDefault="003E1C21">
      <w:pPr>
        <w:pStyle w:val="FootnoteText"/>
      </w:pPr>
      <w:r>
        <w:rPr>
          <w:rStyle w:val="FootnoteReference"/>
        </w:rPr>
        <w:footnoteRef/>
      </w:r>
      <w:r>
        <w:tab/>
        <w:t>JO C </w:t>
      </w:r>
      <w:r w:rsidRPr="001A6DED">
        <w:t>373</w:t>
      </w:r>
      <w:r>
        <w:t xml:space="preserve"> du </w:t>
      </w:r>
      <w:r w:rsidRPr="001A6DED">
        <w:t>20</w:t>
      </w:r>
      <w:r>
        <w:t>.</w:t>
      </w:r>
      <w:r w:rsidRPr="001A6DED">
        <w:t>12</w:t>
      </w:r>
      <w:r>
        <w:t>.</w:t>
      </w:r>
      <w:r w:rsidRPr="001A6DED">
        <w:t>2013</w:t>
      </w:r>
      <w:r>
        <w:t>, p. </w:t>
      </w:r>
      <w:r w:rsidRPr="001A6DED">
        <w:t>1</w:t>
      </w:r>
      <w:r>
        <w:t>.</w:t>
      </w:r>
    </w:p>
  </w:footnote>
  <w:footnote w:id="7">
    <w:p w:rsidR="001A551E" w:rsidRDefault="003E1C21">
      <w:pPr>
        <w:pStyle w:val="FootnoteText"/>
      </w:pPr>
      <w:r>
        <w:rPr>
          <w:rStyle w:val="FootnoteReference"/>
        </w:rPr>
        <w:footnoteRef/>
      </w:r>
      <w:r>
        <w:tab/>
        <w:t>Règlement (UE, Euratom) nº </w:t>
      </w:r>
      <w:r w:rsidRPr="001A6DED">
        <w:t>1311</w:t>
      </w:r>
      <w:r>
        <w:t>/</w:t>
      </w:r>
      <w:r w:rsidRPr="001A6DED">
        <w:t>2013</w:t>
      </w:r>
      <w:r>
        <w:t xml:space="preserve"> du Conseil du </w:t>
      </w:r>
      <w:r w:rsidRPr="001A6DED">
        <w:t>2</w:t>
      </w:r>
      <w:r>
        <w:t xml:space="preserve"> décembre </w:t>
      </w:r>
      <w:r w:rsidRPr="001A6DED">
        <w:t>2013</w:t>
      </w:r>
      <w:r>
        <w:t xml:space="preserve"> fixant le cadre financier pluriannuel pour la période </w:t>
      </w:r>
      <w:r w:rsidRPr="001A6DED">
        <w:t>2014</w:t>
      </w:r>
      <w:r>
        <w:t>-</w:t>
      </w:r>
      <w:r w:rsidRPr="001A6DED">
        <w:t>2020</w:t>
      </w:r>
      <w:r>
        <w:t xml:space="preserve"> (JO L </w:t>
      </w:r>
      <w:r w:rsidRPr="001A6DED">
        <w:t>347</w:t>
      </w:r>
      <w:r>
        <w:t xml:space="preserve"> du </w:t>
      </w:r>
      <w:r w:rsidRPr="001A6DED">
        <w:t>20</w:t>
      </w:r>
      <w:r>
        <w:t>.</w:t>
      </w:r>
      <w:r w:rsidRPr="001A6DED">
        <w:t>12</w:t>
      </w:r>
      <w:r>
        <w:t>.</w:t>
      </w:r>
      <w:r w:rsidRPr="001A6DED">
        <w:t>2013</w:t>
      </w:r>
      <w:r>
        <w:t xml:space="preserve">, p. </w:t>
      </w:r>
      <w:r w:rsidRPr="001A6DED">
        <w:t>884</w:t>
      </w:r>
      <w:r>
        <w:t>).</w:t>
      </w:r>
    </w:p>
  </w:footnote>
  <w:footnote w:id="8">
    <w:p w:rsidR="001A551E" w:rsidRDefault="003E1C21">
      <w:pPr>
        <w:pStyle w:val="FootnoteText"/>
      </w:pPr>
      <w:r>
        <w:rPr>
          <w:rStyle w:val="FootnoteReference"/>
        </w:rPr>
        <w:footnoteRef/>
      </w:r>
      <w:r>
        <w:tab/>
        <w:t xml:space="preserve">JO L </w:t>
      </w:r>
      <w:r w:rsidRPr="001A6DED">
        <w:t>54</w:t>
      </w:r>
      <w:r>
        <w:t xml:space="preserve"> du </w:t>
      </w:r>
      <w:r w:rsidRPr="001A6DED">
        <w:t>22</w:t>
      </w:r>
      <w:r>
        <w:t>.</w:t>
      </w:r>
      <w:r w:rsidRPr="001A6DED">
        <w:t>2</w:t>
      </w:r>
      <w:r>
        <w:t>.</w:t>
      </w:r>
      <w:r w:rsidRPr="001A6DED">
        <w:t>2019</w:t>
      </w:r>
      <w:r>
        <w:t xml:space="preserve">, p. </w:t>
      </w:r>
      <w:r w:rsidRPr="001A6DED">
        <w:t>5</w:t>
      </w:r>
      <w:r>
        <w:t>.</w:t>
      </w:r>
    </w:p>
  </w:footnote>
  <w:footnote w:id="9">
    <w:p w:rsidR="001A551E" w:rsidRDefault="003E1C21">
      <w:pPr>
        <w:pStyle w:val="FootnoteText"/>
      </w:pPr>
      <w:r>
        <w:sym w:font="Symbol" w:char="F02A"/>
      </w:r>
      <w:r>
        <w:sym w:font="Symbol" w:char="F02A"/>
      </w:r>
      <w:r>
        <w:rPr>
          <w:i/>
        </w:rPr>
        <w:t>Date à insérer par le Parlement européen avant la publication au JO.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45A" w:rsidRPr="0020445A" w:rsidRDefault="0020445A" w:rsidP="002044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45A" w:rsidRPr="0020445A" w:rsidRDefault="0020445A" w:rsidP="002044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45A" w:rsidRPr="0020445A" w:rsidRDefault="0020445A" w:rsidP="00204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93E3D4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57C2E0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3E095F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9B14E41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956E09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1B06E1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224AD14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B4FCD1B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ttachedTemplate r:id="rId1"/>
  <w:defaultTabStop w:val="720"/>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29 16:18:19"/>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3"/>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22888B29-5795-4E60-99F1-ADE550CF6DD4"/>
    <w:docVar w:name="LW_COVERPAGE_TYPE" w:val="1"/>
    <w:docVar w:name="LW_CROSSREFERENCE" w:val="&lt;UNUSED&gt;"/>
    <w:docVar w:name="LW_DocType" w:val="COM"/>
    <w:docVar w:name="LW_EMISSION" w:val="18.10.2019"/>
    <w:docVar w:name="LW_EMISSION_ISODATE" w:val="2019-10-18"/>
    <w:docVar w:name="LW_EMISSION_LOCATION" w:val="BRX"/>
    <w:docVar w:name="LW_EMISSION_PREFIX" w:val="Bruxelles, le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4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mobilisation du Fonds de solidarité de l'Union européenne pour venir en aide à la Grèce"/>
    <w:docVar w:name="LW_TYPE.DOC.CP" w:val="DÉCISION DU PARLEMENT EUROPÉEN ET DU CONSEIL"/>
  </w:docVars>
  <w:rsids>
    <w:rsidRoot w:val="00531862"/>
    <w:rsid w:val="00075208"/>
    <w:rsid w:val="000778D6"/>
    <w:rsid w:val="001A551E"/>
    <w:rsid w:val="001A6DED"/>
    <w:rsid w:val="0020445A"/>
    <w:rsid w:val="00254016"/>
    <w:rsid w:val="003620D5"/>
    <w:rsid w:val="00362C86"/>
    <w:rsid w:val="003E1C21"/>
    <w:rsid w:val="004652D6"/>
    <w:rsid w:val="004F4EDE"/>
    <w:rsid w:val="00531862"/>
    <w:rsid w:val="006065DD"/>
    <w:rsid w:val="006F31F3"/>
    <w:rsid w:val="00806120"/>
    <w:rsid w:val="008914EC"/>
    <w:rsid w:val="008D53CF"/>
    <w:rsid w:val="00936FD0"/>
    <w:rsid w:val="00971FE1"/>
    <w:rsid w:val="009B54F2"/>
    <w:rsid w:val="009D50E5"/>
    <w:rsid w:val="00A26707"/>
    <w:rsid w:val="00AA1692"/>
    <w:rsid w:val="00B30859"/>
    <w:rsid w:val="00C94514"/>
    <w:rsid w:val="00CE063A"/>
    <w:rsid w:val="00D77CBD"/>
    <w:rsid w:val="00DC6894"/>
    <w:rsid w:val="00E36563"/>
    <w:rsid w:val="00F85E3D"/>
    <w:rsid w:val="00FE5ED9"/>
    <w:rsid w:val="00FE639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9B7138"/>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pPr>
      <w:spacing w:before="240"/>
      <w:jc w:val="center"/>
    </w:pPr>
    <w:rPr>
      <w:rFonts w:eastAsia="Times New Roman"/>
      <w:b/>
      <w:bCs/>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20445A"/>
    <w:pPr>
      <w:tabs>
        <w:tab w:val="center" w:pos="4535"/>
        <w:tab w:val="right" w:pos="9071"/>
      </w:tabs>
      <w:spacing w:before="0"/>
    </w:pPr>
  </w:style>
  <w:style w:type="character" w:customStyle="1" w:styleId="HeaderChar">
    <w:name w:val="Header Char"/>
    <w:basedOn w:val="DefaultParagraphFont"/>
    <w:link w:val="Header"/>
    <w:uiPriority w:val="99"/>
    <w:rsid w:val="0020445A"/>
    <w:rPr>
      <w:rFonts w:ascii="Times New Roman" w:hAnsi="Times New Roman" w:cs="Times New Roman"/>
      <w:sz w:val="24"/>
      <w:lang w:val="fr-FR"/>
    </w:rPr>
  </w:style>
  <w:style w:type="paragraph" w:styleId="Footer">
    <w:name w:val="footer"/>
    <w:basedOn w:val="Normal"/>
    <w:link w:val="FooterChar"/>
    <w:uiPriority w:val="99"/>
    <w:unhideWhenUsed/>
    <w:rsid w:val="0020445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0445A"/>
    <w:rPr>
      <w:rFonts w:ascii="Times New Roman" w:hAnsi="Times New Roman" w:cs="Times New Roman"/>
      <w:sz w:val="24"/>
      <w:lang w:val="fr-FR"/>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20445A"/>
    <w:pPr>
      <w:tabs>
        <w:tab w:val="center" w:pos="7285"/>
        <w:tab w:val="right" w:pos="14003"/>
      </w:tabs>
      <w:spacing w:before="0"/>
    </w:pPr>
  </w:style>
  <w:style w:type="paragraph" w:customStyle="1" w:styleId="FooterLandscape">
    <w:name w:val="FooterLandscape"/>
    <w:basedOn w:val="Normal"/>
    <w:rsid w:val="0020445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20445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20445A"/>
    <w:pPr>
      <w:spacing w:before="0"/>
      <w:jc w:val="right"/>
    </w:pPr>
    <w:rPr>
      <w:sz w:val="28"/>
    </w:rPr>
  </w:style>
  <w:style w:type="paragraph" w:customStyle="1" w:styleId="FooterSensitivity">
    <w:name w:val="Footer Sensitivity"/>
    <w:basedOn w:val="Normal"/>
    <w:rsid w:val="0020445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10"/>
      </w:numPr>
    </w:pPr>
  </w:style>
  <w:style w:type="paragraph" w:customStyle="1" w:styleId="Tiret1">
    <w:name w:val="Tiret 1"/>
    <w:basedOn w:val="Point1"/>
    <w:rsid w:val="009B7138"/>
    <w:pPr>
      <w:numPr>
        <w:numId w:val="11"/>
      </w:numPr>
    </w:pPr>
  </w:style>
  <w:style w:type="paragraph" w:customStyle="1" w:styleId="Tiret2">
    <w:name w:val="Tiret 2"/>
    <w:basedOn w:val="Point2"/>
    <w:rsid w:val="009B7138"/>
    <w:pPr>
      <w:numPr>
        <w:numId w:val="12"/>
      </w:numPr>
    </w:pPr>
  </w:style>
  <w:style w:type="paragraph" w:customStyle="1" w:styleId="Tiret3">
    <w:name w:val="Tiret 3"/>
    <w:basedOn w:val="Point3"/>
    <w:rsid w:val="009B7138"/>
    <w:pPr>
      <w:numPr>
        <w:numId w:val="13"/>
      </w:numPr>
    </w:pPr>
  </w:style>
  <w:style w:type="paragraph" w:customStyle="1" w:styleId="Tiret4">
    <w:name w:val="Tiret 4"/>
    <w:basedOn w:val="Point4"/>
    <w:rsid w:val="009B7138"/>
    <w:pPr>
      <w:numPr>
        <w:numId w:val="14"/>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15"/>
      </w:numPr>
    </w:pPr>
  </w:style>
  <w:style w:type="paragraph" w:customStyle="1" w:styleId="NumPar2">
    <w:name w:val="NumPar 2"/>
    <w:basedOn w:val="Normal"/>
    <w:next w:val="Text1"/>
    <w:rsid w:val="009B7138"/>
    <w:pPr>
      <w:numPr>
        <w:ilvl w:val="1"/>
        <w:numId w:val="15"/>
      </w:numPr>
    </w:pPr>
  </w:style>
  <w:style w:type="paragraph" w:customStyle="1" w:styleId="NumPar3">
    <w:name w:val="NumPar 3"/>
    <w:basedOn w:val="Normal"/>
    <w:next w:val="Text1"/>
    <w:rsid w:val="009B7138"/>
    <w:pPr>
      <w:numPr>
        <w:ilvl w:val="2"/>
        <w:numId w:val="15"/>
      </w:numPr>
    </w:pPr>
  </w:style>
  <w:style w:type="paragraph" w:customStyle="1" w:styleId="NumPar4">
    <w:name w:val="NumPar 4"/>
    <w:basedOn w:val="Normal"/>
    <w:next w:val="Text1"/>
    <w:rsid w:val="009B7138"/>
    <w:pPr>
      <w:numPr>
        <w:ilvl w:val="3"/>
        <w:numId w:val="15"/>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17"/>
      </w:numPr>
    </w:pPr>
  </w:style>
  <w:style w:type="paragraph" w:customStyle="1" w:styleId="Point1number">
    <w:name w:val="Point 1 (number)"/>
    <w:basedOn w:val="Normal"/>
    <w:rsid w:val="009B7138"/>
    <w:pPr>
      <w:numPr>
        <w:ilvl w:val="2"/>
        <w:numId w:val="17"/>
      </w:numPr>
    </w:pPr>
  </w:style>
  <w:style w:type="paragraph" w:customStyle="1" w:styleId="Point2number">
    <w:name w:val="Point 2 (number)"/>
    <w:basedOn w:val="Normal"/>
    <w:rsid w:val="009B7138"/>
    <w:pPr>
      <w:numPr>
        <w:ilvl w:val="4"/>
        <w:numId w:val="17"/>
      </w:numPr>
    </w:pPr>
  </w:style>
  <w:style w:type="paragraph" w:customStyle="1" w:styleId="Point3number">
    <w:name w:val="Point 3 (number)"/>
    <w:basedOn w:val="Normal"/>
    <w:rsid w:val="009B7138"/>
    <w:pPr>
      <w:numPr>
        <w:ilvl w:val="6"/>
        <w:numId w:val="17"/>
      </w:numPr>
    </w:pPr>
  </w:style>
  <w:style w:type="paragraph" w:customStyle="1" w:styleId="Point0letter">
    <w:name w:val="Point 0 (letter)"/>
    <w:basedOn w:val="Normal"/>
    <w:rsid w:val="009B7138"/>
    <w:pPr>
      <w:numPr>
        <w:ilvl w:val="1"/>
        <w:numId w:val="17"/>
      </w:numPr>
    </w:pPr>
  </w:style>
  <w:style w:type="paragraph" w:customStyle="1" w:styleId="Point1letter">
    <w:name w:val="Point 1 (letter)"/>
    <w:basedOn w:val="Normal"/>
    <w:rsid w:val="009B7138"/>
    <w:pPr>
      <w:numPr>
        <w:ilvl w:val="3"/>
        <w:numId w:val="17"/>
      </w:numPr>
    </w:pPr>
  </w:style>
  <w:style w:type="paragraph" w:customStyle="1" w:styleId="Point2letter">
    <w:name w:val="Point 2 (letter)"/>
    <w:basedOn w:val="Normal"/>
    <w:rsid w:val="009B7138"/>
    <w:pPr>
      <w:numPr>
        <w:ilvl w:val="5"/>
        <w:numId w:val="17"/>
      </w:numPr>
    </w:pPr>
  </w:style>
  <w:style w:type="paragraph" w:customStyle="1" w:styleId="Point3letter">
    <w:name w:val="Point 3 (letter)"/>
    <w:basedOn w:val="Normal"/>
    <w:rsid w:val="009B7138"/>
    <w:pPr>
      <w:numPr>
        <w:ilvl w:val="7"/>
        <w:numId w:val="17"/>
      </w:numPr>
    </w:pPr>
  </w:style>
  <w:style w:type="paragraph" w:customStyle="1" w:styleId="Point4letter">
    <w:name w:val="Point 4 (letter)"/>
    <w:basedOn w:val="Normal"/>
    <w:rsid w:val="009B7138"/>
    <w:pPr>
      <w:numPr>
        <w:ilvl w:val="8"/>
        <w:numId w:val="17"/>
      </w:numPr>
    </w:pPr>
  </w:style>
  <w:style w:type="paragraph" w:customStyle="1" w:styleId="Bullet0">
    <w:name w:val="Bullet 0"/>
    <w:basedOn w:val="Normal"/>
    <w:rsid w:val="009B7138"/>
    <w:pPr>
      <w:numPr>
        <w:numId w:val="18"/>
      </w:numPr>
    </w:pPr>
  </w:style>
  <w:style w:type="paragraph" w:customStyle="1" w:styleId="Bullet1">
    <w:name w:val="Bullet 1"/>
    <w:basedOn w:val="Normal"/>
    <w:rsid w:val="009B7138"/>
    <w:pPr>
      <w:numPr>
        <w:numId w:val="19"/>
      </w:numPr>
    </w:pPr>
  </w:style>
  <w:style w:type="paragraph" w:customStyle="1" w:styleId="Bullet2">
    <w:name w:val="Bullet 2"/>
    <w:basedOn w:val="Normal"/>
    <w:rsid w:val="009B7138"/>
    <w:pPr>
      <w:numPr>
        <w:numId w:val="20"/>
      </w:numPr>
    </w:pPr>
  </w:style>
  <w:style w:type="paragraph" w:customStyle="1" w:styleId="Bullet3">
    <w:name w:val="Bullet 3"/>
    <w:basedOn w:val="Normal"/>
    <w:rsid w:val="009B7138"/>
    <w:pPr>
      <w:numPr>
        <w:numId w:val="21"/>
      </w:numPr>
    </w:pPr>
  </w:style>
  <w:style w:type="paragraph" w:customStyle="1" w:styleId="Bullet4">
    <w:name w:val="Bullet 4"/>
    <w:basedOn w:val="Normal"/>
    <w:rsid w:val="009B7138"/>
    <w:pPr>
      <w:numPr>
        <w:numId w:val="22"/>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23"/>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805304">
      <w:bodyDiv w:val="1"/>
      <w:marLeft w:val="0"/>
      <w:marRight w:val="0"/>
      <w:marTop w:val="0"/>
      <w:marBottom w:val="0"/>
      <w:divBdr>
        <w:top w:val="none" w:sz="0" w:space="0" w:color="auto"/>
        <w:left w:val="none" w:sz="0" w:space="0" w:color="auto"/>
        <w:bottom w:val="none" w:sz="0" w:space="0" w:color="auto"/>
        <w:right w:val="none" w:sz="0" w:space="0" w:color="auto"/>
      </w:divBdr>
    </w:div>
    <w:div w:id="281229382">
      <w:bodyDiv w:val="1"/>
      <w:marLeft w:val="0"/>
      <w:marRight w:val="0"/>
      <w:marTop w:val="0"/>
      <w:marBottom w:val="0"/>
      <w:divBdr>
        <w:top w:val="none" w:sz="0" w:space="0" w:color="auto"/>
        <w:left w:val="none" w:sz="0" w:space="0" w:color="auto"/>
        <w:bottom w:val="none" w:sz="0" w:space="0" w:color="auto"/>
        <w:right w:val="none" w:sz="0" w:space="0" w:color="auto"/>
      </w:divBdr>
    </w:div>
    <w:div w:id="302009955">
      <w:bodyDiv w:val="1"/>
      <w:marLeft w:val="0"/>
      <w:marRight w:val="0"/>
      <w:marTop w:val="0"/>
      <w:marBottom w:val="0"/>
      <w:divBdr>
        <w:top w:val="none" w:sz="0" w:space="0" w:color="auto"/>
        <w:left w:val="none" w:sz="0" w:space="0" w:color="auto"/>
        <w:bottom w:val="none" w:sz="0" w:space="0" w:color="auto"/>
        <w:right w:val="none" w:sz="0" w:space="0" w:color="auto"/>
      </w:divBdr>
    </w:div>
    <w:div w:id="483743024">
      <w:bodyDiv w:val="1"/>
      <w:marLeft w:val="0"/>
      <w:marRight w:val="0"/>
      <w:marTop w:val="0"/>
      <w:marBottom w:val="0"/>
      <w:divBdr>
        <w:top w:val="none" w:sz="0" w:space="0" w:color="auto"/>
        <w:left w:val="none" w:sz="0" w:space="0" w:color="auto"/>
        <w:bottom w:val="none" w:sz="0" w:space="0" w:color="auto"/>
        <w:right w:val="none" w:sz="0" w:space="0" w:color="auto"/>
      </w:divBdr>
    </w:div>
    <w:div w:id="565840724">
      <w:bodyDiv w:val="1"/>
      <w:marLeft w:val="0"/>
      <w:marRight w:val="0"/>
      <w:marTop w:val="0"/>
      <w:marBottom w:val="0"/>
      <w:divBdr>
        <w:top w:val="none" w:sz="0" w:space="0" w:color="auto"/>
        <w:left w:val="none" w:sz="0" w:space="0" w:color="auto"/>
        <w:bottom w:val="none" w:sz="0" w:space="0" w:color="auto"/>
        <w:right w:val="none" w:sz="0" w:space="0" w:color="auto"/>
      </w:divBdr>
    </w:div>
    <w:div w:id="186817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04BC9-D1FD-4E9A-9BC7-7B70836AA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7</Pages>
  <Words>1998</Words>
  <Characters>10195</Characters>
  <Application>Microsoft Office Word</Application>
  <DocSecurity>0</DocSecurity>
  <Lines>231</Lines>
  <Paragraphs>100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2019-10-29T15:18:00Z</dcterms:created>
  <dcterms:modified xsi:type="dcterms:W3CDTF">2019-10-29T15:41:00Z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SJ-026</vt:lpwstr>
  </property>
  <property fmtid="{D5CDD505-2E9C-101B-9397-08002B2CF9AE}" pid="8" name="DQCStatus">
    <vt:lpwstr>Yellow (DQC version 03)</vt:lpwstr>
  </property>
</Properties>
</file>