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C3AC1F9F-D01F-4BFB-919C-93AD04C1E7BA" style="width:450.55pt;height:424.8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szCs w:val="24"/>
          <w:u w:val="none"/>
        </w:rPr>
      </w:pPr>
      <w:bookmarkStart w:id="0" w:name="_GoBack"/>
      <w:bookmarkEnd w:id="0"/>
      <w:r>
        <w:rPr>
          <w:noProof/>
          <w:u w:val="none"/>
        </w:rPr>
        <w:lastRenderedPageBreak/>
        <w:t xml:space="preserve">ПРИЛОЖЕНИЕ </w:t>
      </w:r>
    </w:p>
    <w:p>
      <w:pPr>
        <w:spacing w:before="480" w:after="240"/>
        <w:contextualSpacing/>
        <w:jc w:val="center"/>
        <w:rPr>
          <w:rFonts w:eastAsiaTheme="majorEastAsia"/>
          <w:b/>
          <w:caps/>
          <w:noProof/>
          <w:kern w:val="28"/>
          <w:szCs w:val="24"/>
        </w:rPr>
      </w:pPr>
      <w:r>
        <w:rPr>
          <w:b/>
          <w:caps/>
          <w:noProof/>
        </w:rPr>
        <w:t>ПРЕГЛЕД НА ДЕЙСТВИЕТО НА РЕШЕНИЕТО ОТ БАЛИ ОТНОСНО УПРАВЛЕНИЕТО НА ТАРИФНИТЕ КВОТИ</w:t>
      </w:r>
    </w:p>
    <w:p>
      <w:pPr>
        <w:spacing w:before="0" w:after="360"/>
        <w:jc w:val="center"/>
        <w:rPr>
          <w:rFonts w:eastAsia="Calibri"/>
          <w:caps/>
          <w:noProof/>
          <w:szCs w:val="24"/>
        </w:rPr>
      </w:pPr>
      <w:r>
        <w:rPr>
          <w:caps/>
          <w:noProof/>
        </w:rPr>
        <w:t xml:space="preserve">Доклад до Общия съвет </w:t>
      </w:r>
    </w:p>
    <w:p>
      <w:pPr>
        <w:pStyle w:val="Point0number"/>
        <w:numPr>
          <w:ilvl w:val="0"/>
          <w:numId w:val="3"/>
        </w:numPr>
        <w:rPr>
          <w:noProof/>
          <w:szCs w:val="24"/>
        </w:rPr>
      </w:pPr>
      <w:r>
        <w:rPr>
          <w:noProof/>
        </w:rPr>
        <w:t>На деветата сесия на Министерската конференция  министрите приеха Решение относно Меморандум за разбирателство относно разпоредбите за управление на тарифните квоти за селскостопанските продукти, определени в член 2 от Споразумението за селското стопанство (WT/MIN (13)/39) („Решението от Бали за тарифните квоти“). Министрите дадоха указания на Комитета да направи преглед и да наблюдава прилагането на задълженията на членоветe, установени с Решението от Бали за тарифните квоти, с цел да се насърчи непрекъснатото подобряване на използването на тарифните квоти, който преглед да започне не по-късно от 2017 г., като се вземе предвид опитът, натрупан до този момент</w:t>
      </w:r>
      <w:r>
        <w:rPr>
          <w:rStyle w:val="FootnoteReference"/>
          <w:noProof/>
        </w:rPr>
        <w:footnoteReference w:id="1"/>
      </w:r>
      <w:r>
        <w:rPr>
          <w:noProof/>
        </w:rPr>
        <w:t>. Обсъжданията във връзка с прегледа започнаха на заседанието на Комитета през октомври 2017 г.</w:t>
      </w:r>
      <w:r>
        <w:rPr>
          <w:rStyle w:val="FootnoteReference"/>
          <w:noProof/>
        </w:rPr>
        <w:footnoteReference w:id="2"/>
      </w:r>
      <w:r>
        <w:rPr>
          <w:noProof/>
        </w:rPr>
        <w:t xml:space="preserve"> На заседанието през февруари 2018 г. Комитетът постигна съгласие относно процедурата и сроковете за извършване на прегледа, което беше изложено в документ G/AG/W/171</w:t>
      </w:r>
      <w:r>
        <w:rPr>
          <w:rStyle w:val="FootnoteReference"/>
          <w:noProof/>
        </w:rPr>
        <w:footnoteReference w:id="3"/>
      </w:r>
      <w:r>
        <w:rPr>
          <w:noProof/>
        </w:rPr>
        <w:t>. Съгласно договорената процедура прегледът беше направен на отворени неформални заседания на Комитета в кулоарите на неговите редовни заседания</w:t>
      </w:r>
      <w:r>
        <w:rPr>
          <w:rStyle w:val="FootnoteReference"/>
          <w:noProof/>
        </w:rPr>
        <w:footnoteReference w:id="4"/>
      </w:r>
      <w:r>
        <w:rPr>
          <w:noProof/>
        </w:rPr>
        <w:t>.</w:t>
      </w:r>
    </w:p>
    <w:p>
      <w:pPr>
        <w:pStyle w:val="Point0number"/>
        <w:rPr>
          <w:noProof/>
        </w:rPr>
      </w:pPr>
      <w:r>
        <w:rPr>
          <w:noProof/>
        </w:rPr>
        <w:t>Членовете обсъдиха прегледа на четири неформални заседания на Комитета през 2018 г. — на 20 февруари, 11 юни, 25 септември и 26 ноември. На ноемврийското неформално заседание беше проведено тематично заседание относно управлението на тарифните квоти и недостатъчното им използване с участието на представители на сектора. В рамките на обсъжданията по прегледа някои членове изпратиха писмено своите мнения. В отговор на исканията на членовете и в съответствие с договорената процедура и срокове за провеждане на прегледа Секретариатът подготви и информационен документ</w:t>
      </w:r>
      <w:r>
        <w:rPr>
          <w:rStyle w:val="FootnoteReference"/>
          <w:noProof/>
        </w:rPr>
        <w:footnoteReference w:id="5"/>
      </w:r>
      <w:r>
        <w:rPr>
          <w:noProof/>
        </w:rPr>
        <w:t xml:space="preserve"> относно управлението на тарифните квоти и процентите на използване, който да подпомогне прегледа. В </w:t>
      </w:r>
      <w:r>
        <w:rPr>
          <w:b/>
          <w:noProof/>
        </w:rPr>
        <w:t>приложение 1</w:t>
      </w:r>
      <w:r>
        <w:rPr>
          <w:noProof/>
        </w:rPr>
        <w:t xml:space="preserve"> се съдържа списък на всички писмени документи, разгледани до момента в рамките на прегледа. </w:t>
      </w:r>
    </w:p>
    <w:p>
      <w:pPr>
        <w:pStyle w:val="Point0number"/>
        <w:rPr>
          <w:noProof/>
        </w:rPr>
      </w:pPr>
      <w:r>
        <w:rPr>
          <w:noProof/>
        </w:rPr>
        <w:t>На обсъжданията във връзка с прегледа членовете откроиха следните теми: 1) Ефективно изпълнение и проследяване на материалноправните задължения, произтичащи от Решението от Бали за тарифните квоти; 2) Изисквания за прозрачност на тарифните квоти; 3) Механизъм при недостатъчно използване на квотите. По-долу са посочени някои елементи</w:t>
      </w:r>
      <w:r>
        <w:rPr>
          <w:rStyle w:val="FootnoteReference"/>
          <w:noProof/>
        </w:rPr>
        <w:footnoteReference w:id="6"/>
      </w:r>
      <w:r>
        <w:rPr>
          <w:noProof/>
        </w:rPr>
        <w:t>, откроени по всяка от трите теми, включително по време на тематичните обсъждания през ноември.</w:t>
      </w:r>
    </w:p>
    <w:p>
      <w:pPr>
        <w:spacing w:before="0" w:after="240"/>
        <w:outlineLvl w:val="1"/>
        <w:rPr>
          <w:b/>
          <w:noProof/>
          <w:szCs w:val="24"/>
        </w:rPr>
      </w:pPr>
      <w:r>
        <w:rPr>
          <w:b/>
          <w:noProof/>
        </w:rPr>
        <w:t xml:space="preserve">ЕФЕКТИВНО ИЗПЪЛНЕНИЕ И ПОСЛЕДВАЩИ ДЕЙСТВИЯ </w:t>
      </w:r>
    </w:p>
    <w:p>
      <w:pPr>
        <w:pStyle w:val="Point1"/>
        <w:rPr>
          <w:rFonts w:ascii="Verdana" w:hAnsi="Verdana"/>
          <w:noProof/>
          <w:sz w:val="16"/>
        </w:rPr>
      </w:pPr>
      <w:r>
        <w:rPr>
          <w:noProof/>
        </w:rPr>
        <w:t>i.</w:t>
      </w:r>
      <w:r>
        <w:rPr>
          <w:noProof/>
        </w:rPr>
        <w:tab/>
        <w:t>Преразпределяне на неизползвани лицензии в рамките на тарифна квота;</w:t>
      </w:r>
      <w:r>
        <w:rPr>
          <w:noProof/>
          <w:vertAlign w:val="superscript"/>
        </w:rPr>
        <w:t xml:space="preserve"> </w:t>
      </w:r>
    </w:p>
    <w:p>
      <w:pPr>
        <w:pStyle w:val="Point1"/>
        <w:rPr>
          <w:noProof/>
        </w:rPr>
      </w:pPr>
      <w:r>
        <w:rPr>
          <w:noProof/>
        </w:rPr>
        <w:t>ii.</w:t>
      </w:r>
      <w:r>
        <w:rPr>
          <w:noProof/>
        </w:rPr>
        <w:tab/>
        <w:t>Процедури за преразпределяне, включително по отношение на разпределеното за отделните държави членки</w:t>
      </w:r>
      <w:r>
        <w:rPr>
          <w:rStyle w:val="FootnoteReference"/>
          <w:noProof/>
        </w:rPr>
        <w:footnoteReference w:id="7"/>
      </w:r>
      <w:r>
        <w:rPr>
          <w:noProof/>
        </w:rPr>
        <w:t>;</w:t>
      </w:r>
    </w:p>
    <w:p>
      <w:pPr>
        <w:pStyle w:val="Point1"/>
        <w:rPr>
          <w:noProof/>
        </w:rPr>
      </w:pPr>
      <w:r>
        <w:rPr>
          <w:noProof/>
        </w:rPr>
        <w:t>iii.</w:t>
      </w:r>
      <w:r>
        <w:rPr>
          <w:noProof/>
        </w:rPr>
        <w:tab/>
        <w:t>Споделяне на опит и най-добри практики за подобряване на използването на тарифните квоти, включително за преразпределяне на тарифните квоти в рамките на регионалните търговски споразумения.</w:t>
      </w:r>
    </w:p>
    <w:p>
      <w:pPr>
        <w:rPr>
          <w:b/>
          <w:noProof/>
          <w:szCs w:val="24"/>
        </w:rPr>
      </w:pPr>
      <w:r>
        <w:rPr>
          <w:b/>
          <w:noProof/>
        </w:rPr>
        <w:t xml:space="preserve">ИЗИСКВАНИЯ ЗА ПРОЗРАЧНОСТ НА ТАРИФНИТЕ КВОТИ  </w:t>
      </w:r>
    </w:p>
    <w:p>
      <w:pPr>
        <w:pStyle w:val="Point1"/>
        <w:rPr>
          <w:noProof/>
        </w:rPr>
      </w:pPr>
      <w:r>
        <w:rPr>
          <w:noProof/>
        </w:rPr>
        <w:t>i.</w:t>
      </w:r>
      <w:r>
        <w:rPr>
          <w:noProof/>
        </w:rPr>
        <w:tab/>
        <w:t>Навременни и пълни уведомления за тарифните квоти;</w:t>
      </w:r>
    </w:p>
    <w:p>
      <w:pPr>
        <w:pStyle w:val="Point1"/>
        <w:rPr>
          <w:noProof/>
        </w:rPr>
      </w:pPr>
      <w:r>
        <w:rPr>
          <w:noProof/>
        </w:rPr>
        <w:t>ii.</w:t>
      </w:r>
      <w:r>
        <w:rPr>
          <w:noProof/>
        </w:rPr>
        <w:tab/>
        <w:t>Незабавно докладване на промени в управлението на тарифните квоти;</w:t>
      </w:r>
    </w:p>
    <w:p>
      <w:pPr>
        <w:pStyle w:val="Point1"/>
        <w:rPr>
          <w:noProof/>
        </w:rPr>
      </w:pPr>
      <w:r>
        <w:rPr>
          <w:noProof/>
        </w:rPr>
        <w:t>iii.</w:t>
      </w:r>
      <w:r>
        <w:rPr>
          <w:noProof/>
        </w:rPr>
        <w:tab/>
        <w:t>Последователно докладване на процентите на използване от всички членове с ангажименти по тарифните квоти;</w:t>
      </w:r>
    </w:p>
    <w:p>
      <w:pPr>
        <w:pStyle w:val="Point1"/>
        <w:rPr>
          <w:noProof/>
        </w:rPr>
      </w:pPr>
      <w:r>
        <w:rPr>
          <w:noProof/>
        </w:rPr>
        <w:t>iv.</w:t>
      </w:r>
      <w:r>
        <w:rPr>
          <w:noProof/>
        </w:rPr>
        <w:tab/>
        <w:t>Хармонизирани практики за уведомяване (например за тарифни квоти, които не са отворени, или за предвидените в графика тарифни квоти без тарифно предимство);</w:t>
      </w:r>
    </w:p>
    <w:p>
      <w:pPr>
        <w:pStyle w:val="Point1"/>
        <w:rPr>
          <w:noProof/>
        </w:rPr>
      </w:pPr>
      <w:r>
        <w:rPr>
          <w:noProof/>
        </w:rPr>
        <w:t>v.</w:t>
      </w:r>
      <w:r>
        <w:rPr>
          <w:noProof/>
        </w:rPr>
        <w:tab/>
        <w:t>Докладване на причините за недостатъчното използване;</w:t>
      </w:r>
    </w:p>
    <w:p>
      <w:pPr>
        <w:pStyle w:val="Point1"/>
        <w:rPr>
          <w:noProof/>
        </w:rPr>
      </w:pPr>
      <w:r>
        <w:rPr>
          <w:noProof/>
        </w:rPr>
        <w:t>vi.</w:t>
      </w:r>
      <w:r>
        <w:rPr>
          <w:noProof/>
        </w:rPr>
        <w:tab/>
        <w:t>Обмен на национален опит и най-добри практики в управлението на тарифните квоти;</w:t>
      </w:r>
    </w:p>
    <w:p>
      <w:pPr>
        <w:pStyle w:val="Point1"/>
        <w:rPr>
          <w:noProof/>
        </w:rPr>
      </w:pPr>
      <w:r>
        <w:rPr>
          <w:noProof/>
        </w:rPr>
        <w:t>vii.</w:t>
      </w:r>
      <w:r>
        <w:rPr>
          <w:noProof/>
        </w:rPr>
        <w:tab/>
        <w:t>Специално и диференцирано третиране (Тежест на изискванията за уведомяване);</w:t>
      </w:r>
    </w:p>
    <w:p>
      <w:pPr>
        <w:pStyle w:val="Point1"/>
        <w:rPr>
          <w:noProof/>
        </w:rPr>
      </w:pPr>
      <w:r>
        <w:rPr>
          <w:noProof/>
        </w:rPr>
        <w:t>viii.</w:t>
      </w:r>
      <w:r>
        <w:rPr>
          <w:noProof/>
        </w:rPr>
        <w:tab/>
        <w:t>Връзка с изискванията за уведомяване в областта на процедурите по лицензиране на вноса;</w:t>
      </w:r>
    </w:p>
    <w:p>
      <w:pPr>
        <w:pStyle w:val="Point1"/>
        <w:rPr>
          <w:noProof/>
        </w:rPr>
      </w:pPr>
      <w:r>
        <w:rPr>
          <w:noProof/>
        </w:rPr>
        <w:t>ix.</w:t>
      </w:r>
      <w:r>
        <w:rPr>
          <w:noProof/>
        </w:rPr>
        <w:tab/>
        <w:t>Техническа помощ от Секретариата за подобряване на спазването на правилата за уведомяване от страна на членовете.</w:t>
      </w:r>
    </w:p>
    <w:p>
      <w:pPr>
        <w:rPr>
          <w:b/>
          <w:noProof/>
          <w:szCs w:val="24"/>
        </w:rPr>
      </w:pPr>
      <w:r>
        <w:rPr>
          <w:b/>
          <w:noProof/>
        </w:rPr>
        <w:t>МЕХАНИЗЪМ ПРИ НЕДОСТАТЪЧНО ИЗПОЛЗВАНЕ НА КВОТИТЕ</w:t>
      </w:r>
    </w:p>
    <w:p>
      <w:pPr>
        <w:pStyle w:val="Point1"/>
        <w:rPr>
          <w:noProof/>
        </w:rPr>
      </w:pPr>
      <w:r>
        <w:rPr>
          <w:noProof/>
        </w:rPr>
        <w:t>i.</w:t>
      </w:r>
      <w:r>
        <w:rPr>
          <w:noProof/>
        </w:rPr>
        <w:tab/>
        <w:t>Различни задължения на членовете (параграф 4 от приложение А);</w:t>
      </w:r>
    </w:p>
    <w:p>
      <w:pPr>
        <w:pStyle w:val="Point1"/>
        <w:rPr>
          <w:noProof/>
        </w:rPr>
      </w:pPr>
      <w:r>
        <w:rPr>
          <w:noProof/>
        </w:rPr>
        <w:t>ii.</w:t>
      </w:r>
      <w:r>
        <w:rPr>
          <w:noProof/>
        </w:rPr>
        <w:tab/>
        <w:t>Специално и диференцирано третиране;</w:t>
      </w:r>
    </w:p>
    <w:p>
      <w:pPr>
        <w:pStyle w:val="Point1"/>
        <w:rPr>
          <w:noProof/>
        </w:rPr>
      </w:pPr>
      <w:r>
        <w:rPr>
          <w:noProof/>
        </w:rPr>
        <w:t>iii.</w:t>
      </w:r>
      <w:r>
        <w:rPr>
          <w:noProof/>
        </w:rPr>
        <w:tab/>
        <w:t>Потенциална неуниверсална приложимост в бъдеще;</w:t>
      </w:r>
    </w:p>
    <w:p>
      <w:pPr>
        <w:pStyle w:val="Point1"/>
        <w:rPr>
          <w:noProof/>
        </w:rPr>
      </w:pPr>
      <w:r>
        <w:rPr>
          <w:noProof/>
        </w:rPr>
        <w:t>iv.</w:t>
      </w:r>
      <w:r>
        <w:rPr>
          <w:noProof/>
        </w:rPr>
        <w:tab/>
        <w:t>Връзка между приложение Б и параграф 4 от приложение А;</w:t>
      </w:r>
    </w:p>
    <w:p>
      <w:pPr>
        <w:pStyle w:val="Point1"/>
        <w:rPr>
          <w:noProof/>
        </w:rPr>
      </w:pPr>
      <w:r>
        <w:rPr>
          <w:noProof/>
        </w:rPr>
        <w:t>v.</w:t>
      </w:r>
      <w:r>
        <w:rPr>
          <w:noProof/>
        </w:rPr>
        <w:tab/>
        <w:t>Изследване на причините за недостатъчното използване;</w:t>
      </w:r>
    </w:p>
    <w:p>
      <w:pPr>
        <w:pStyle w:val="Point1"/>
        <w:rPr>
          <w:noProof/>
        </w:rPr>
      </w:pPr>
      <w:r>
        <w:rPr>
          <w:noProof/>
        </w:rPr>
        <w:t>vi.</w:t>
      </w:r>
      <w:r>
        <w:rPr>
          <w:noProof/>
        </w:rPr>
        <w:tab/>
        <w:t>Целево разглеждане на недостатъчното използване на тарифните квоти в някои специфични сектори;</w:t>
      </w:r>
    </w:p>
    <w:p>
      <w:pPr>
        <w:pStyle w:val="Point1"/>
        <w:rPr>
          <w:noProof/>
        </w:rPr>
      </w:pPr>
      <w:r>
        <w:rPr>
          <w:noProof/>
        </w:rPr>
        <w:t>vii.</w:t>
      </w:r>
      <w:r>
        <w:rPr>
          <w:noProof/>
        </w:rPr>
        <w:tab/>
        <w:t>Практическа приложимост на Механизма при недостатъчно използване на квотите (проучване на причините, сред които евентуалната му сложност, поради които той не е бил използван до момента, споделяне на опит, опростяване на процедурните изисквания);</w:t>
      </w:r>
    </w:p>
    <w:p>
      <w:pPr>
        <w:pStyle w:val="Point1"/>
        <w:rPr>
          <w:noProof/>
        </w:rPr>
      </w:pPr>
      <w:r>
        <w:rPr>
          <w:noProof/>
        </w:rPr>
        <w:t>viii.</w:t>
      </w:r>
      <w:r>
        <w:rPr>
          <w:noProof/>
        </w:rPr>
        <w:tab/>
        <w:t>Водене от страна на Секретариата на списък на непълно използваните тарифни квоти.</w:t>
      </w:r>
    </w:p>
    <w:p>
      <w:pPr>
        <w:pStyle w:val="Point0number"/>
        <w:rPr>
          <w:noProof/>
        </w:rPr>
      </w:pPr>
      <w:r>
        <w:rPr>
          <w:noProof/>
        </w:rPr>
        <w:t xml:space="preserve">Членовете изразиха различни позиции по въпроса за бъдещото действие на параграф 4 от Механизма при недостатъчно използване на квотите и свързаното с него специално и диференцирано третиране.  Някои развиващи се държави членки поддържаха становището, че разпоредбите за специално и диференцирано третиране, предвидени в Решението от Бали за тарифните квоти, не следва да се размиват; други членки заявиха, че специалното и диференцираното третиране на развиващите се страни не следва да води до освобождаване от задължения и че развиващите се страни, които се ползват от тези условия, следва да поемат ангажименти по отношение на управлението на тарифните квоти, като отчитат степента си на развитие. </w:t>
      </w:r>
    </w:p>
    <w:p>
      <w:pPr>
        <w:pStyle w:val="Point0number"/>
        <w:rPr>
          <w:noProof/>
        </w:rPr>
      </w:pPr>
      <w:r>
        <w:rPr>
          <w:noProof/>
        </w:rPr>
        <w:t>Няколко членки изразиха мнение, че обхватът на прегледа следва да се ограничи до подобряване на управлението на тарифните квоти, за да бъде разграничен от преговорите относно достъпа до пазара. Трети посочиха възможността свързаните с тарифните квоти въпроси да бъдат разгледани в рамките на преговорите относно достъпа до пазара.</w:t>
      </w:r>
    </w:p>
    <w:p>
      <w:pPr>
        <w:pStyle w:val="Point0number"/>
        <w:rPr>
          <w:noProof/>
        </w:rPr>
      </w:pPr>
      <w:r>
        <w:rPr>
          <w:noProof/>
        </w:rPr>
        <w:t>Има и такива, които смятат, че въз основа на изпратените от членовете становища Комитетът следва да проучи причините, поради които все още не се използва Механизмът при недостатъчно използване на квотите.</w:t>
      </w:r>
    </w:p>
    <w:p>
      <w:pPr>
        <w:pStyle w:val="Point0number"/>
        <w:rPr>
          <w:noProof/>
        </w:rPr>
      </w:pPr>
      <w:r>
        <w:rPr>
          <w:noProof/>
        </w:rPr>
        <w:t xml:space="preserve">В съответствие с параграфи 13—15 от Решението от Бали за тарифните квоти (WT/MIN (13)/39) на заседанието си от 30 октомври 2019 г. Комитетът постигна съгласие по следните препоръки, включени в </w:t>
      </w:r>
      <w:r>
        <w:rPr>
          <w:b/>
          <w:noProof/>
        </w:rPr>
        <w:t>приложение 2</w:t>
      </w:r>
      <w:r>
        <w:rPr>
          <w:noProof/>
        </w:rPr>
        <w:t xml:space="preserve"> към настоящия доклад, които да бъдат разгледани от Общия съвет.  </w:t>
      </w:r>
    </w:p>
    <w:p>
      <w:pPr>
        <w:spacing w:before="0" w:after="200" w:line="276" w:lineRule="auto"/>
        <w:jc w:val="left"/>
        <w:rPr>
          <w:noProof/>
          <w:szCs w:val="24"/>
        </w:rPr>
      </w:pPr>
      <w:r>
        <w:rPr>
          <w:noProof/>
        </w:rPr>
        <w:br w:type="page"/>
      </w:r>
    </w:p>
    <w:p>
      <w:pPr>
        <w:spacing w:before="0" w:after="240"/>
        <w:jc w:val="center"/>
        <w:rPr>
          <w:noProof/>
          <w:szCs w:val="24"/>
        </w:rPr>
      </w:pPr>
      <w:r>
        <w:rPr>
          <w:b/>
          <w:noProof/>
        </w:rPr>
        <w:t>Приложение 1</w:t>
      </w:r>
    </w:p>
    <w:tbl>
      <w:tblPr>
        <w:tblStyle w:val="WTOTable1"/>
        <w:tblW w:w="5000" w:type="pct"/>
        <w:tblLook w:val="04A0" w:firstRow="1" w:lastRow="0" w:firstColumn="1" w:lastColumn="0" w:noHBand="0" w:noVBand="1"/>
      </w:tblPr>
      <w:tblGrid>
        <w:gridCol w:w="2332"/>
        <w:gridCol w:w="6957"/>
      </w:tblGrid>
      <w:tr>
        <w:trPr>
          <w:cnfStyle w:val="100000000000" w:firstRow="1" w:lastRow="0" w:firstColumn="0" w:lastColumn="0" w:oddVBand="0" w:evenVBand="0" w:oddHBand="0" w:evenHBand="0" w:firstRowFirstColumn="0" w:firstRowLastColumn="0" w:lastRowFirstColumn="0" w:lastRowLastColumn="0"/>
          <w:trHeight w:val="20"/>
        </w:trPr>
        <w:tc>
          <w:tcPr>
            <w:tcW w:w="9016" w:type="dxa"/>
            <w:gridSpan w:val="2"/>
          </w:tcPr>
          <w:p>
            <w:pPr>
              <w:spacing w:before="0" w:after="0" w:line="360" w:lineRule="auto"/>
              <w:jc w:val="center"/>
              <w:rPr>
                <w:b w:val="0"/>
                <w:noProof/>
                <w:color w:val="auto"/>
                <w:szCs w:val="24"/>
              </w:rPr>
            </w:pPr>
            <w:r>
              <w:rPr>
                <w:noProof/>
              </w:rPr>
              <w:t>Списък на документите</w:t>
            </w:r>
          </w:p>
        </w:tc>
      </w:tr>
      <w:tr>
        <w:trPr>
          <w:cnfStyle w:val="000000100000" w:firstRow="0" w:lastRow="0" w:firstColumn="0" w:lastColumn="0" w:oddVBand="0" w:evenVBand="0" w:oddHBand="1" w:evenHBand="0" w:firstRowFirstColumn="0" w:firstRowLastColumn="0" w:lastRowFirstColumn="0" w:lastRowLastColumn="0"/>
          <w:trHeight w:val="20"/>
        </w:trPr>
        <w:tc>
          <w:tcPr>
            <w:tcW w:w="2263" w:type="dxa"/>
          </w:tcPr>
          <w:p>
            <w:pPr>
              <w:spacing w:after="0"/>
              <w:jc w:val="left"/>
              <w:rPr>
                <w:rFonts w:eastAsia="Times New Roman"/>
                <w:bCs/>
                <w:noProof/>
                <w:szCs w:val="24"/>
              </w:rPr>
            </w:pPr>
            <w:r>
              <w:rPr>
                <w:noProof/>
              </w:rPr>
              <w:t>G/AG/W/169</w:t>
            </w:r>
          </w:p>
          <w:p>
            <w:pPr>
              <w:spacing w:before="0" w:after="0"/>
              <w:rPr>
                <w:noProof/>
                <w:szCs w:val="24"/>
              </w:rPr>
            </w:pPr>
            <w:r>
              <w:rPr>
                <w:noProof/>
              </w:rPr>
              <w:t>10 октомври 2017 г.</w:t>
            </w:r>
          </w:p>
        </w:tc>
        <w:tc>
          <w:tcPr>
            <w:tcW w:w="6753" w:type="dxa"/>
          </w:tcPr>
          <w:p>
            <w:pPr>
              <w:tabs>
                <w:tab w:val="left" w:pos="1134"/>
              </w:tabs>
              <w:spacing w:after="0"/>
              <w:jc w:val="left"/>
              <w:rPr>
                <w:noProof/>
                <w:szCs w:val="24"/>
              </w:rPr>
            </w:pPr>
            <w:r>
              <w:rPr>
                <w:noProof/>
              </w:rPr>
              <w:t>Мониторинг и преглед на задълженията на членовете, установени съгласно Решението от Бали относно управлението на тарифните квоти.</w:t>
            </w:r>
          </w:p>
          <w:p>
            <w:pPr>
              <w:tabs>
                <w:tab w:val="left" w:pos="1134"/>
              </w:tabs>
              <w:spacing w:before="0" w:after="0"/>
              <w:jc w:val="left"/>
              <w:rPr>
                <w:noProof/>
                <w:szCs w:val="24"/>
              </w:rPr>
            </w:pPr>
          </w:p>
          <w:p>
            <w:pPr>
              <w:tabs>
                <w:tab w:val="left" w:pos="1134"/>
              </w:tabs>
              <w:spacing w:before="0"/>
              <w:rPr>
                <w:noProof/>
                <w:szCs w:val="24"/>
              </w:rPr>
            </w:pPr>
            <w:r>
              <w:rPr>
                <w:noProof/>
              </w:rPr>
              <w:t>Бележка от Секретариата:</w:t>
            </w:r>
          </w:p>
        </w:tc>
      </w:tr>
      <w:tr>
        <w:trPr>
          <w:cnfStyle w:val="000000010000" w:firstRow="0" w:lastRow="0" w:firstColumn="0" w:lastColumn="0" w:oddVBand="0" w:evenVBand="0" w:oddHBand="0" w:evenHBand="1" w:firstRowFirstColumn="0" w:firstRowLastColumn="0" w:lastRowFirstColumn="0" w:lastRowLastColumn="0"/>
          <w:trHeight w:val="20"/>
        </w:trPr>
        <w:tc>
          <w:tcPr>
            <w:tcW w:w="2263" w:type="dxa"/>
          </w:tcPr>
          <w:p>
            <w:pPr>
              <w:spacing w:after="0"/>
              <w:jc w:val="left"/>
              <w:rPr>
                <w:rFonts w:eastAsia="Times New Roman"/>
                <w:bCs/>
                <w:noProof/>
                <w:szCs w:val="24"/>
              </w:rPr>
            </w:pPr>
            <w:r>
              <w:rPr>
                <w:noProof/>
              </w:rPr>
              <w:t>G/AG/W/171</w:t>
            </w:r>
          </w:p>
          <w:p>
            <w:pPr>
              <w:spacing w:before="0" w:after="0"/>
              <w:rPr>
                <w:rFonts w:eastAsia="Times New Roman"/>
                <w:bCs/>
                <w:noProof/>
                <w:szCs w:val="24"/>
              </w:rPr>
            </w:pPr>
            <w:r>
              <w:rPr>
                <w:noProof/>
              </w:rPr>
              <w:t>9 февруари 2018 г.</w:t>
            </w:r>
          </w:p>
        </w:tc>
        <w:tc>
          <w:tcPr>
            <w:tcW w:w="6753" w:type="dxa"/>
          </w:tcPr>
          <w:p>
            <w:pPr>
              <w:tabs>
                <w:tab w:val="left" w:pos="1134"/>
              </w:tabs>
              <w:spacing w:after="0"/>
              <w:jc w:val="left"/>
              <w:rPr>
                <w:rFonts w:eastAsia="Times New Roman"/>
                <w:bCs/>
                <w:noProof/>
                <w:szCs w:val="24"/>
              </w:rPr>
            </w:pPr>
            <w:r>
              <w:rPr>
                <w:noProof/>
              </w:rPr>
              <w:t>Предложена процедура за преглед на действието на Решението от Бали относно управлението на тарифните квоти</w:t>
            </w:r>
          </w:p>
          <w:p>
            <w:pPr>
              <w:tabs>
                <w:tab w:val="left" w:pos="1134"/>
              </w:tabs>
              <w:spacing w:before="0" w:after="0"/>
              <w:jc w:val="left"/>
              <w:rPr>
                <w:rFonts w:eastAsia="Times New Roman"/>
                <w:bCs/>
                <w:noProof/>
                <w:szCs w:val="24"/>
              </w:rPr>
            </w:pPr>
          </w:p>
          <w:p>
            <w:pPr>
              <w:tabs>
                <w:tab w:val="left" w:pos="1134"/>
              </w:tabs>
              <w:spacing w:before="0"/>
              <w:rPr>
                <w:rFonts w:eastAsia="Times New Roman"/>
                <w:bCs/>
                <w:noProof/>
                <w:szCs w:val="24"/>
              </w:rPr>
            </w:pPr>
            <w:r>
              <w:rPr>
                <w:noProof/>
              </w:rPr>
              <w:t>Бележка от Секретариата:</w:t>
            </w:r>
          </w:p>
        </w:tc>
      </w:tr>
      <w:tr>
        <w:trPr>
          <w:cnfStyle w:val="000000100000" w:firstRow="0" w:lastRow="0" w:firstColumn="0" w:lastColumn="0" w:oddVBand="0" w:evenVBand="0" w:oddHBand="1" w:evenHBand="0" w:firstRowFirstColumn="0" w:firstRowLastColumn="0" w:lastRowFirstColumn="0" w:lastRowLastColumn="0"/>
          <w:trHeight w:val="20"/>
        </w:trPr>
        <w:tc>
          <w:tcPr>
            <w:tcW w:w="2263" w:type="dxa"/>
          </w:tcPr>
          <w:p>
            <w:pPr>
              <w:spacing w:after="0"/>
              <w:jc w:val="left"/>
              <w:rPr>
                <w:rFonts w:eastAsia="Times New Roman"/>
                <w:bCs/>
                <w:noProof/>
                <w:szCs w:val="24"/>
              </w:rPr>
            </w:pPr>
            <w:r>
              <w:rPr>
                <w:noProof/>
              </w:rPr>
              <w:t>G/AG/W/175</w:t>
            </w:r>
          </w:p>
          <w:p>
            <w:pPr>
              <w:spacing w:before="0" w:after="0"/>
              <w:rPr>
                <w:noProof/>
                <w:szCs w:val="24"/>
              </w:rPr>
            </w:pPr>
            <w:r>
              <w:rPr>
                <w:noProof/>
              </w:rPr>
              <w:t>18 май 2018 г.</w:t>
            </w:r>
          </w:p>
          <w:p>
            <w:pPr>
              <w:spacing w:before="0" w:after="0"/>
              <w:rPr>
                <w:noProof/>
                <w:szCs w:val="24"/>
              </w:rPr>
            </w:pPr>
            <w:r>
              <w:rPr>
                <w:noProof/>
              </w:rPr>
              <w:t xml:space="preserve">       </w:t>
            </w:r>
          </w:p>
          <w:p>
            <w:pPr>
              <w:spacing w:before="0" w:after="0"/>
              <w:rPr>
                <w:noProof/>
                <w:szCs w:val="24"/>
              </w:rPr>
            </w:pPr>
            <w:r>
              <w:rPr>
                <w:noProof/>
              </w:rPr>
              <w:t xml:space="preserve">         както и</w:t>
            </w:r>
          </w:p>
          <w:p>
            <w:pPr>
              <w:spacing w:after="0"/>
              <w:jc w:val="left"/>
              <w:rPr>
                <w:rFonts w:eastAsia="Times New Roman"/>
                <w:bCs/>
                <w:noProof/>
                <w:szCs w:val="24"/>
              </w:rPr>
            </w:pPr>
            <w:r>
              <w:rPr>
                <w:noProof/>
              </w:rPr>
              <w:t>G/AG/W/175/Add.1</w:t>
            </w:r>
          </w:p>
          <w:p>
            <w:pPr>
              <w:spacing w:before="0" w:after="0"/>
              <w:rPr>
                <w:noProof/>
                <w:szCs w:val="24"/>
              </w:rPr>
            </w:pPr>
            <w:r>
              <w:rPr>
                <w:noProof/>
              </w:rPr>
              <w:t>7 май 2019 г.</w:t>
            </w:r>
          </w:p>
          <w:p>
            <w:pPr>
              <w:spacing w:before="0" w:after="0"/>
              <w:rPr>
                <w:noProof/>
                <w:szCs w:val="24"/>
              </w:rPr>
            </w:pPr>
          </w:p>
        </w:tc>
        <w:tc>
          <w:tcPr>
            <w:tcW w:w="6753" w:type="dxa"/>
          </w:tcPr>
          <w:p>
            <w:pPr>
              <w:spacing w:after="0"/>
              <w:jc w:val="left"/>
              <w:rPr>
                <w:noProof/>
                <w:szCs w:val="24"/>
              </w:rPr>
            </w:pPr>
          </w:p>
          <w:p>
            <w:pPr>
              <w:spacing w:after="0"/>
              <w:jc w:val="left"/>
              <w:rPr>
                <w:noProof/>
                <w:szCs w:val="24"/>
              </w:rPr>
            </w:pPr>
            <w:r>
              <w:rPr>
                <w:noProof/>
              </w:rPr>
              <w:t>Становище на Европейския съюз до Комитета по селско стопанство относно процедурата за прегледа на действието на Решението от Бали относно управлението на тарифните квоти</w:t>
            </w:r>
            <w:r>
              <w:rPr>
                <w:rStyle w:val="FootnoteReference"/>
                <w:noProof/>
              </w:rPr>
              <w:footnoteReference w:id="8"/>
            </w:r>
            <w:r>
              <w:rPr>
                <w:noProof/>
              </w:rPr>
              <w:t>.</w:t>
            </w:r>
          </w:p>
          <w:p>
            <w:pPr>
              <w:spacing w:before="0" w:after="0"/>
              <w:rPr>
                <w:noProof/>
                <w:szCs w:val="24"/>
              </w:rPr>
            </w:pPr>
          </w:p>
          <w:p>
            <w:pPr>
              <w:spacing w:before="0" w:after="0"/>
              <w:rPr>
                <w:noProof/>
                <w:szCs w:val="24"/>
              </w:rPr>
            </w:pPr>
          </w:p>
          <w:p>
            <w:pPr>
              <w:tabs>
                <w:tab w:val="left" w:pos="1134"/>
              </w:tabs>
              <w:spacing w:before="0"/>
              <w:rPr>
                <w:noProof/>
                <w:szCs w:val="24"/>
              </w:rPr>
            </w:pPr>
            <w:r>
              <w:rPr>
                <w:noProof/>
              </w:rPr>
              <w:t>Становище на Европейския съюз:</w:t>
            </w:r>
          </w:p>
        </w:tc>
      </w:tr>
      <w:tr>
        <w:trPr>
          <w:cnfStyle w:val="000000010000" w:firstRow="0" w:lastRow="0" w:firstColumn="0" w:lastColumn="0" w:oddVBand="0" w:evenVBand="0" w:oddHBand="0" w:evenHBand="1" w:firstRowFirstColumn="0" w:firstRowLastColumn="0" w:lastRowFirstColumn="0" w:lastRowLastColumn="0"/>
          <w:trHeight w:val="20"/>
        </w:trPr>
        <w:tc>
          <w:tcPr>
            <w:tcW w:w="2263" w:type="dxa"/>
          </w:tcPr>
          <w:p>
            <w:pPr>
              <w:spacing w:after="0"/>
              <w:jc w:val="left"/>
              <w:rPr>
                <w:rFonts w:eastAsia="Times New Roman"/>
                <w:bCs/>
                <w:noProof/>
                <w:szCs w:val="24"/>
              </w:rPr>
            </w:pPr>
            <w:r>
              <w:rPr>
                <w:noProof/>
              </w:rPr>
              <w:t>G/AG/W/179</w:t>
            </w:r>
          </w:p>
          <w:p>
            <w:pPr>
              <w:spacing w:before="0" w:after="0"/>
              <w:rPr>
                <w:noProof/>
                <w:szCs w:val="24"/>
              </w:rPr>
            </w:pPr>
            <w:r>
              <w:rPr>
                <w:noProof/>
              </w:rPr>
              <w:t>6 юни 2018 г.</w:t>
            </w:r>
          </w:p>
        </w:tc>
        <w:tc>
          <w:tcPr>
            <w:tcW w:w="6753" w:type="dxa"/>
          </w:tcPr>
          <w:p>
            <w:pPr>
              <w:spacing w:after="0"/>
              <w:jc w:val="left"/>
              <w:rPr>
                <w:rFonts w:eastAsiaTheme="majorEastAsia"/>
                <w:caps/>
                <w:noProof/>
                <w:kern w:val="28"/>
                <w:szCs w:val="24"/>
              </w:rPr>
            </w:pPr>
            <w:r>
              <w:rPr>
                <w:noProof/>
              </w:rPr>
              <w:t>Преглед на действието на Решението от Бали на министрите относно Меморандум за разбирателство относно разпоредбите за управление на тарифните квоти за селскостопанските продукти...</w:t>
            </w:r>
            <w:r>
              <w:rPr>
                <w:caps/>
                <w:noProof/>
              </w:rPr>
              <w:t>"</w:t>
            </w:r>
            <w:r>
              <w:rPr>
                <w:rStyle w:val="FootnoteReference"/>
                <w:noProof/>
              </w:rPr>
              <w:footnoteReference w:id="9"/>
            </w:r>
            <w:r>
              <w:rPr>
                <w:caps/>
                <w:noProof/>
              </w:rPr>
              <w:t>.</w:t>
            </w:r>
          </w:p>
          <w:p>
            <w:pPr>
              <w:spacing w:before="0" w:after="0"/>
              <w:rPr>
                <w:noProof/>
                <w:szCs w:val="24"/>
              </w:rPr>
            </w:pPr>
          </w:p>
          <w:p>
            <w:pPr>
              <w:tabs>
                <w:tab w:val="left" w:pos="1134"/>
              </w:tabs>
              <w:spacing w:before="0"/>
              <w:rPr>
                <w:noProof/>
                <w:szCs w:val="24"/>
              </w:rPr>
            </w:pPr>
            <w:r>
              <w:rPr>
                <w:noProof/>
              </w:rPr>
              <w:t>Становище на Кеърнската група</w:t>
            </w:r>
          </w:p>
        </w:tc>
      </w:tr>
      <w:tr>
        <w:trPr>
          <w:cnfStyle w:val="000000100000" w:firstRow="0" w:lastRow="0" w:firstColumn="0" w:lastColumn="0" w:oddVBand="0" w:evenVBand="0" w:oddHBand="1" w:evenHBand="0" w:firstRowFirstColumn="0" w:firstRowLastColumn="0" w:lastRowFirstColumn="0" w:lastRowLastColumn="0"/>
          <w:trHeight w:val="20"/>
        </w:trPr>
        <w:tc>
          <w:tcPr>
            <w:tcW w:w="2263" w:type="dxa"/>
          </w:tcPr>
          <w:p>
            <w:pPr>
              <w:spacing w:after="0"/>
              <w:jc w:val="left"/>
              <w:rPr>
                <w:rFonts w:eastAsia="Times New Roman"/>
                <w:bCs/>
                <w:noProof/>
                <w:szCs w:val="24"/>
              </w:rPr>
            </w:pPr>
            <w:r>
              <w:rPr>
                <w:noProof/>
              </w:rPr>
              <w:t>G/AG/W/183</w:t>
            </w:r>
          </w:p>
          <w:p>
            <w:pPr>
              <w:spacing w:before="0" w:after="0"/>
              <w:rPr>
                <w:noProof/>
                <w:szCs w:val="24"/>
              </w:rPr>
            </w:pPr>
            <w:r>
              <w:rPr>
                <w:noProof/>
              </w:rPr>
              <w:t>31 юли 2018 г.</w:t>
            </w:r>
          </w:p>
        </w:tc>
        <w:tc>
          <w:tcPr>
            <w:tcW w:w="6753" w:type="dxa"/>
          </w:tcPr>
          <w:p>
            <w:pPr>
              <w:tabs>
                <w:tab w:val="left" w:pos="1134"/>
              </w:tabs>
              <w:spacing w:after="0"/>
              <w:jc w:val="left"/>
              <w:rPr>
                <w:noProof/>
                <w:szCs w:val="24"/>
              </w:rPr>
            </w:pPr>
            <w:r>
              <w:rPr>
                <w:noProof/>
              </w:rPr>
              <w:t>Методи на управление на тарифните квоти и проценти на използване за 2007—2016 г.</w:t>
            </w:r>
          </w:p>
          <w:p>
            <w:pPr>
              <w:tabs>
                <w:tab w:val="left" w:pos="1134"/>
              </w:tabs>
              <w:spacing w:before="0" w:after="0"/>
              <w:jc w:val="left"/>
              <w:rPr>
                <w:noProof/>
                <w:szCs w:val="24"/>
              </w:rPr>
            </w:pPr>
          </w:p>
          <w:p>
            <w:pPr>
              <w:tabs>
                <w:tab w:val="left" w:pos="1134"/>
              </w:tabs>
              <w:spacing w:before="0"/>
              <w:rPr>
                <w:noProof/>
                <w:szCs w:val="24"/>
              </w:rPr>
            </w:pPr>
            <w:r>
              <w:rPr>
                <w:noProof/>
              </w:rPr>
              <w:t>Информационен документ от Секретариата</w:t>
            </w:r>
          </w:p>
        </w:tc>
      </w:tr>
      <w:tr>
        <w:trPr>
          <w:cnfStyle w:val="000000010000" w:firstRow="0" w:lastRow="0" w:firstColumn="0" w:lastColumn="0" w:oddVBand="0" w:evenVBand="0" w:oddHBand="0" w:evenHBand="1" w:firstRowFirstColumn="0" w:firstRowLastColumn="0" w:lastRowFirstColumn="0" w:lastRowLastColumn="0"/>
          <w:trHeight w:val="20"/>
        </w:trPr>
        <w:tc>
          <w:tcPr>
            <w:tcW w:w="2263" w:type="dxa"/>
          </w:tcPr>
          <w:p>
            <w:pPr>
              <w:spacing w:after="0"/>
              <w:jc w:val="left"/>
              <w:rPr>
                <w:rFonts w:eastAsia="Times New Roman"/>
                <w:bCs/>
                <w:noProof/>
                <w:szCs w:val="24"/>
              </w:rPr>
            </w:pPr>
            <w:r>
              <w:rPr>
                <w:noProof/>
              </w:rPr>
              <w:t>G/AG/W/186</w:t>
            </w:r>
          </w:p>
          <w:p>
            <w:pPr>
              <w:spacing w:before="0" w:after="0"/>
              <w:rPr>
                <w:noProof/>
                <w:szCs w:val="24"/>
              </w:rPr>
            </w:pPr>
            <w:r>
              <w:rPr>
                <w:noProof/>
              </w:rPr>
              <w:t>19 септември 2018 г.</w:t>
            </w:r>
          </w:p>
        </w:tc>
        <w:tc>
          <w:tcPr>
            <w:tcW w:w="6753" w:type="dxa"/>
          </w:tcPr>
          <w:p>
            <w:pPr>
              <w:tabs>
                <w:tab w:val="left" w:pos="1134"/>
              </w:tabs>
              <w:spacing w:after="0"/>
              <w:jc w:val="left"/>
              <w:rPr>
                <w:noProof/>
                <w:szCs w:val="24"/>
              </w:rPr>
            </w:pPr>
            <w:r>
              <w:rPr>
                <w:noProof/>
              </w:rPr>
              <w:t>Преглед на Решението от Бали относно управлението на тарифните квоти.</w:t>
            </w:r>
          </w:p>
          <w:p>
            <w:pPr>
              <w:tabs>
                <w:tab w:val="left" w:pos="1134"/>
              </w:tabs>
              <w:spacing w:before="0" w:after="0"/>
              <w:jc w:val="left"/>
              <w:rPr>
                <w:noProof/>
                <w:szCs w:val="24"/>
              </w:rPr>
            </w:pPr>
          </w:p>
          <w:p>
            <w:pPr>
              <w:spacing w:before="0"/>
              <w:rPr>
                <w:noProof/>
                <w:szCs w:val="24"/>
              </w:rPr>
            </w:pPr>
            <w:r>
              <w:rPr>
                <w:noProof/>
              </w:rPr>
              <w:t>Становище на Австралия</w:t>
            </w:r>
          </w:p>
        </w:tc>
      </w:tr>
      <w:tr>
        <w:trPr>
          <w:cnfStyle w:val="000000100000" w:firstRow="0" w:lastRow="0" w:firstColumn="0" w:lastColumn="0" w:oddVBand="0" w:evenVBand="0" w:oddHBand="1" w:evenHBand="0" w:firstRowFirstColumn="0" w:firstRowLastColumn="0" w:lastRowFirstColumn="0" w:lastRowLastColumn="0"/>
          <w:trHeight w:val="20"/>
        </w:trPr>
        <w:tc>
          <w:tcPr>
            <w:tcW w:w="2263" w:type="dxa"/>
          </w:tcPr>
          <w:p>
            <w:pPr>
              <w:spacing w:after="0"/>
              <w:jc w:val="left"/>
              <w:rPr>
                <w:rFonts w:eastAsia="Times New Roman"/>
                <w:bCs/>
                <w:noProof/>
                <w:szCs w:val="24"/>
              </w:rPr>
            </w:pPr>
            <w:r>
              <w:rPr>
                <w:noProof/>
              </w:rPr>
              <w:t>G/AG/W/197</w:t>
            </w:r>
          </w:p>
          <w:p>
            <w:pPr>
              <w:spacing w:before="0" w:after="0"/>
              <w:rPr>
                <w:noProof/>
                <w:szCs w:val="24"/>
              </w:rPr>
            </w:pPr>
            <w:r>
              <w:rPr>
                <w:noProof/>
              </w:rPr>
              <w:t>24 май 2019 г.</w:t>
            </w:r>
          </w:p>
        </w:tc>
        <w:tc>
          <w:tcPr>
            <w:tcW w:w="6753" w:type="dxa"/>
          </w:tcPr>
          <w:p>
            <w:pPr>
              <w:tabs>
                <w:tab w:val="left" w:pos="1134"/>
              </w:tabs>
              <w:spacing w:after="0"/>
              <w:jc w:val="left"/>
              <w:rPr>
                <w:noProof/>
                <w:szCs w:val="24"/>
              </w:rPr>
            </w:pPr>
            <w:r>
              <w:rPr>
                <w:noProof/>
              </w:rPr>
              <w:t>Механизъм при недостатъчно използване на квотите, произтичащ от Решението от Бали за управление на тарифните квоти</w:t>
            </w:r>
          </w:p>
          <w:p>
            <w:pPr>
              <w:tabs>
                <w:tab w:val="left" w:pos="1134"/>
              </w:tabs>
              <w:spacing w:after="0"/>
              <w:jc w:val="left"/>
              <w:rPr>
                <w:noProof/>
                <w:szCs w:val="24"/>
              </w:rPr>
            </w:pPr>
            <w:r>
              <w:rPr>
                <w:noProof/>
              </w:rPr>
              <w:t>Становище от името на Кеърнската група</w:t>
            </w:r>
          </w:p>
        </w:tc>
      </w:tr>
    </w:tbl>
    <w:p>
      <w:pPr>
        <w:spacing w:before="0" w:after="200" w:line="276" w:lineRule="auto"/>
        <w:jc w:val="left"/>
        <w:rPr>
          <w:b/>
          <w:noProof/>
          <w:szCs w:val="24"/>
        </w:rPr>
      </w:pPr>
      <w:r>
        <w:rPr>
          <w:noProof/>
        </w:rPr>
        <w:br w:type="page"/>
      </w:r>
    </w:p>
    <w:p>
      <w:pPr>
        <w:spacing w:before="0" w:after="240"/>
        <w:jc w:val="center"/>
        <w:rPr>
          <w:b/>
          <w:noProof/>
          <w:szCs w:val="24"/>
        </w:rPr>
      </w:pPr>
      <w:r>
        <w:rPr>
          <w:b/>
          <w:noProof/>
        </w:rPr>
        <w:t>Приложение 2</w:t>
      </w:r>
    </w:p>
    <w:p>
      <w:pPr>
        <w:pStyle w:val="Point0number"/>
        <w:numPr>
          <w:ilvl w:val="0"/>
          <w:numId w:val="2"/>
        </w:numPr>
        <w:rPr>
          <w:noProof/>
        </w:rPr>
      </w:pPr>
      <w:r>
        <w:rPr>
          <w:noProof/>
        </w:rPr>
        <w:t>[Срокът, посочен в параграф 14 и бележка под линия 2 от Решението от Бали за управление на тарифните квоти за решение по параграф 4 от приложение А, се удължава до края на 2021 г. или до 13-ата министерска конференция, в зависимост от това кое от двете настъпи първо. [За по-голяма сигурност, ако нито Министерската конференция, нито Общият съвет не вземат решение до края на 2021 г. за удължаване на действието на параграф 4 от приложение А към Решението от Бали за тарифните квоти в настоящия му вид или в изменена форма, параграф 4 от приложение А, при спазване на параграф 15 от същото решение, престава да се прилага от 1 януари 2022 г. [по отношение на членовете, изброени в приложение Б, както и по отношение на всеки член, който поиска преди края на 2021 г. да бъде добавен в приложение Б].]</w:t>
      </w:r>
    </w:p>
    <w:p>
      <w:pPr>
        <w:pStyle w:val="Point0number"/>
        <w:numPr>
          <w:ilvl w:val="0"/>
          <w:numId w:val="2"/>
        </w:numPr>
        <w:rPr>
          <w:noProof/>
        </w:rPr>
      </w:pPr>
      <w:r>
        <w:rPr>
          <w:noProof/>
        </w:rPr>
        <w:t>Междувременно Комитетът по селското стопанство („Комитетът“) ще продължи да обсъжда прилагането на параграф 4 от приложение А. [За по-голяма сигурност по време на това обсъждане се запазва действието на Решението от Бали за тарифните квоти, заедно с приложенията към него.]</w:t>
      </w:r>
    </w:p>
    <w:p>
      <w:pPr>
        <w:pStyle w:val="Point0number"/>
        <w:numPr>
          <w:ilvl w:val="0"/>
          <w:numId w:val="2"/>
        </w:numPr>
        <w:rPr>
          <w:noProof/>
        </w:rPr>
      </w:pPr>
      <w:r>
        <w:rPr>
          <w:noProof/>
        </w:rPr>
        <w:t>Комитетът ще представи препоръки на Общия съвет относно прилагането на параграф 4 [от приложение А и в съответствие с параграф 14] преди края на 2021 г.]</w:t>
      </w:r>
    </w:p>
    <w:p>
      <w:pPr>
        <w:pStyle w:val="Point0number"/>
        <w:numPr>
          <w:ilvl w:val="0"/>
          <w:numId w:val="2"/>
        </w:numPr>
        <w:rPr>
          <w:noProof/>
        </w:rPr>
      </w:pPr>
      <w:r>
        <w:rPr>
          <w:noProof/>
        </w:rPr>
        <w:t>Като признава значението на по-голямата прозрачност на управлението на тарифните квоти и на процентите на използване, както и на навременното подаване на уведомления от страна на членовете, и като признава, че системата за уведомяване онлайн в областта на селското стопанство следва да доведе до по-добра хармонизация, Комитетът изразява съгласие със следното:</w:t>
      </w:r>
    </w:p>
    <w:p>
      <w:pPr>
        <w:pStyle w:val="Point1"/>
        <w:rPr>
          <w:noProof/>
        </w:rPr>
      </w:pPr>
      <w:r>
        <w:rPr>
          <w:noProof/>
        </w:rPr>
        <w:t>а)</w:t>
      </w:r>
      <w:r>
        <w:rPr>
          <w:noProof/>
        </w:rPr>
        <w:tab/>
        <w:t xml:space="preserve">Секретариатът ще изготви списък на съществуващите практики на членовете за уведомяване във връзка с тарифните квоти, включително в случаите, когато не е била отворена предвидена в графика тарифна квота. </w:t>
      </w:r>
    </w:p>
    <w:p>
      <w:pPr>
        <w:pStyle w:val="Point1"/>
        <w:rPr>
          <w:noProof/>
        </w:rPr>
      </w:pPr>
      <w:r>
        <w:rPr>
          <w:noProof/>
        </w:rPr>
        <w:t>б)</w:t>
      </w:r>
      <w:r>
        <w:rPr>
          <w:noProof/>
        </w:rPr>
        <w:tab/>
        <w:t xml:space="preserve">Комитетът ще започне обсъждания относно хармонизирането на практиките на членовете за уведомяване във връзка с тарифните квоти, включително за процента на тяхното използване.  </w:t>
      </w:r>
    </w:p>
    <w:p>
      <w:pPr>
        <w:pStyle w:val="Point1"/>
        <w:rPr>
          <w:noProof/>
        </w:rPr>
      </w:pPr>
      <w:r>
        <w:rPr>
          <w:noProof/>
        </w:rPr>
        <w:t>в)</w:t>
      </w:r>
      <w:r>
        <w:rPr>
          <w:noProof/>
        </w:rPr>
        <w:tab/>
        <w:t>Комитетът насърчава членовете да включат обяснение в своята таблица относно уведомленията MA:2 (за достъпа до пазарите) в случаите, в които предвидените в графика тарифни квоти не са отворени.</w:t>
      </w:r>
    </w:p>
    <w:p>
      <w:pPr>
        <w:pStyle w:val="Point1"/>
        <w:rPr>
          <w:noProof/>
        </w:rPr>
      </w:pPr>
      <w:r>
        <w:rPr>
          <w:noProof/>
        </w:rPr>
        <w:t>г)</w:t>
      </w:r>
      <w:r>
        <w:rPr>
          <w:noProof/>
        </w:rPr>
        <w:tab/>
        <w:t>Секретариатът редовно ще актуализира информацията за управлението на тарифните квоти и за процентите на използване, както е посочено в G/AG/W/183</w:t>
      </w:r>
      <w:r>
        <w:rPr>
          <w:rStyle w:val="FootnoteReference"/>
          <w:noProof/>
        </w:rPr>
        <w:footnoteReference w:id="10"/>
      </w:r>
      <w:r>
        <w:rPr>
          <w:noProof/>
        </w:rPr>
        <w:t>, както и вече предоставената от членовете информация във връзка с процентите на използване на квотите и във връзка с въпросите, повдигнати в Комитета относно процентите на използване.</w:t>
      </w:r>
    </w:p>
    <w:p>
      <w:pPr>
        <w:pStyle w:val="Point1"/>
        <w:rPr>
          <w:noProof/>
        </w:rPr>
      </w:pPr>
      <w:r>
        <w:rPr>
          <w:noProof/>
        </w:rPr>
        <w:t>д)</w:t>
      </w:r>
      <w:r>
        <w:rPr>
          <w:noProof/>
        </w:rPr>
        <w:tab/>
        <w:t>Въз основа на изразените становища от членовете Комитетът ще анализира причините, поради които все още не е използван Механизмът при недостатъчно използване на квотите.</w:t>
      </w:r>
    </w:p>
    <w:p>
      <w:pPr>
        <w:pStyle w:val="Point0number"/>
        <w:rPr>
          <w:noProof/>
        </w:rPr>
      </w:pPr>
      <w:r>
        <w:rPr>
          <w:noProof/>
        </w:rPr>
        <w:t>Комитетът е съгласен на всеки 3 години след приключването на този преглед да извършва редовни прегледи на действието на Решението от Бали за тарифните квоти. Тези редовни прегледи ще включват, наред с другото, преглед на използването на Механизма при недостатъчно използване на квотите от страна на членовете въз основа на информация, предоставена от тях.</w:t>
      </w:r>
    </w:p>
    <w:p>
      <w:pPr>
        <w:spacing w:before="0" w:after="0"/>
        <w:jc w:val="center"/>
        <w:rPr>
          <w:noProof/>
          <w:szCs w:val="24"/>
        </w:rPr>
      </w:pPr>
      <w:r>
        <w:rPr>
          <w:b/>
          <w:noProof/>
        </w:rPr>
        <w:t>__________</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firstLine="0"/>
      </w:pPr>
      <w:r>
        <w:rPr>
          <w:rStyle w:val="FootnoteReference"/>
          <w:szCs w:val="16"/>
        </w:rPr>
        <w:footnoteRef/>
      </w:r>
      <w:r>
        <w:tab/>
        <w:t>Параграф 13 от WT/MIN (13)/39. Все още няма данни за използването на Механизма при недостатъчно използване на квотите.</w:t>
      </w:r>
    </w:p>
  </w:footnote>
  <w:footnote w:id="2">
    <w:p>
      <w:pPr>
        <w:pStyle w:val="FootnoteText"/>
        <w:ind w:firstLine="0"/>
      </w:pPr>
      <w:r>
        <w:rPr>
          <w:rStyle w:val="FootnoteReference"/>
          <w:szCs w:val="16"/>
        </w:rPr>
        <w:footnoteRef/>
      </w:r>
      <w:r>
        <w:tab/>
        <w:t>Вж. раздел 2.2.1 от G/AG/R/86.</w:t>
      </w:r>
    </w:p>
  </w:footnote>
  <w:footnote w:id="3">
    <w:p>
      <w:pPr>
        <w:pStyle w:val="FootnoteText"/>
        <w:ind w:firstLine="0"/>
      </w:pPr>
      <w:r>
        <w:rPr>
          <w:rStyle w:val="FootnoteReference"/>
          <w:szCs w:val="16"/>
        </w:rPr>
        <w:footnoteRef/>
      </w:r>
      <w:r>
        <w:tab/>
        <w:t xml:space="preserve">Вж. раздел 2.5.1 от G/AG/R/87. </w:t>
      </w:r>
    </w:p>
  </w:footnote>
  <w:footnote w:id="4">
    <w:p>
      <w:pPr>
        <w:pStyle w:val="FootnoteText"/>
        <w:ind w:firstLine="0"/>
      </w:pPr>
      <w:r>
        <w:rPr>
          <w:rStyle w:val="FootnoteReference"/>
        </w:rPr>
        <w:footnoteRef/>
      </w:r>
      <w:r>
        <w:tab/>
        <w:t xml:space="preserve">На заседанието през юни 2019 г. Комитетът постигна съгласие срокът за завършване на доклада за прегледа да бъде удължен до заседанието на Комитета през октомври 2019 г.  </w:t>
      </w:r>
    </w:p>
  </w:footnote>
  <w:footnote w:id="5">
    <w:p>
      <w:pPr>
        <w:pStyle w:val="FootnoteText"/>
        <w:ind w:firstLine="0"/>
      </w:pPr>
      <w:r>
        <w:rPr>
          <w:rStyle w:val="FootnoteReference"/>
          <w:szCs w:val="16"/>
        </w:rPr>
        <w:footnoteRef/>
      </w:r>
      <w:r>
        <w:tab/>
        <w:t>G/AG/W/183.</w:t>
      </w:r>
    </w:p>
  </w:footnote>
  <w:footnote w:id="6">
    <w:p>
      <w:pPr>
        <w:pStyle w:val="FootnoteText"/>
        <w:ind w:firstLine="0"/>
        <w:rPr>
          <w:vertAlign w:val="superscript"/>
        </w:rPr>
      </w:pPr>
      <w:r>
        <w:rPr>
          <w:rStyle w:val="FootnoteReference"/>
          <w:szCs w:val="16"/>
        </w:rPr>
        <w:footnoteRef/>
      </w:r>
      <w:r>
        <w:tab/>
        <w:t>Членовете не са единодушни относно тези елементи или тяхното разглеждане в препоръките.</w:t>
      </w:r>
    </w:p>
  </w:footnote>
  <w:footnote w:id="7">
    <w:p>
      <w:pPr>
        <w:pStyle w:val="FootnoteText"/>
        <w:ind w:firstLine="0"/>
      </w:pPr>
      <w:r>
        <w:rPr>
          <w:rStyle w:val="FootnoteReference"/>
        </w:rPr>
        <w:footnoteRef/>
      </w:r>
      <w:r>
        <w:tab/>
        <w:t>Параграф 9 от министерското Решение от Бали относно тарифните квоти се отнася до процедурата за преразпределяне. Освен това бележки под линия 3 и 5 от приложение А към Решението от Бали се отнасят до правата на членовете, които са със специфични за държавата лицензии в контекста на Механизма при недостатъчно използване на квотите.</w:t>
      </w:r>
    </w:p>
  </w:footnote>
  <w:footnote w:id="8">
    <w:p>
      <w:pPr>
        <w:pStyle w:val="FootnoteText"/>
      </w:pPr>
      <w:r>
        <w:rPr>
          <w:rStyle w:val="FootnoteReference"/>
        </w:rPr>
        <w:footnoteRef/>
      </w:r>
      <w:r>
        <w:tab/>
        <w:t>Документ G/AG/W/171 от 9 февруари 2018 г.</w:t>
      </w:r>
    </w:p>
  </w:footnote>
  <w:footnote w:id="9">
    <w:p>
      <w:pPr>
        <w:pStyle w:val="FootnoteText"/>
      </w:pPr>
      <w:r>
        <w:rPr>
          <w:rStyle w:val="FootnoteReference"/>
        </w:rPr>
        <w:footnoteRef/>
      </w:r>
      <w:r>
        <w:tab/>
        <w:t>WT/MIN (13)/39 AND WT/L/914</w:t>
      </w:r>
      <w:r>
        <w:rPr>
          <w:rStyle w:val="FootnoteReference"/>
          <w:szCs w:val="16"/>
        </w:rPr>
        <w:t xml:space="preserve"> </w:t>
      </w:r>
      <w:r>
        <w:t>от 11 декември 2013 г.</w:t>
      </w:r>
    </w:p>
  </w:footnote>
  <w:footnote w:id="10">
    <w:p>
      <w:pPr>
        <w:pStyle w:val="FootnoteText"/>
      </w:pPr>
      <w:r>
        <w:rPr>
          <w:rStyle w:val="FootnoteReference"/>
        </w:rPr>
        <w:footnoteRef/>
      </w:r>
      <w:r>
        <w:tab/>
        <w:t>Информационната бележка на Секретариата може да включва по-конкретно списък на тарифните квоти, когато не е представена таблицата относно уведомленията МА:2 или когато процентът на използване е под 65 %.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73C97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BC41F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1BEE0310"/>
    <w:lvl w:ilvl="0">
      <w:start w:val="1"/>
      <w:numFmt w:val="decimal"/>
      <w:pStyle w:val="ListNumber2"/>
      <w:lvlText w:val="%1."/>
      <w:lvlJc w:val="left"/>
      <w:pPr>
        <w:tabs>
          <w:tab w:val="num" w:pos="643"/>
        </w:tabs>
        <w:ind w:left="643" w:hanging="360"/>
      </w:pPr>
    </w:lvl>
  </w:abstractNum>
  <w:abstractNum w:abstractNumId="3">
    <w:nsid w:val="FFFFFF81"/>
    <w:multiLevelType w:val="singleLevel"/>
    <w:tmpl w:val="55EEED6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7C0383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79A0C9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E8B336"/>
    <w:lvl w:ilvl="0">
      <w:start w:val="1"/>
      <w:numFmt w:val="decimal"/>
      <w:pStyle w:val="ListNumber"/>
      <w:lvlText w:val="%1."/>
      <w:lvlJc w:val="left"/>
      <w:pPr>
        <w:tabs>
          <w:tab w:val="num" w:pos="360"/>
        </w:tabs>
        <w:ind w:left="360" w:hanging="360"/>
      </w:pPr>
    </w:lvl>
  </w:abstractNum>
  <w:abstractNum w:abstractNumId="7">
    <w:nsid w:val="FFFFFF89"/>
    <w:multiLevelType w:val="singleLevel"/>
    <w:tmpl w:val="F34060F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7551E12"/>
    <w:multiLevelType w:val="multilevel"/>
    <w:tmpl w:val="CC52177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701"/>
        </w:tabs>
        <w:ind w:left="1701" w:hanging="567"/>
      </w:pPr>
      <w:rPr>
        <w:rFonts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19"/>
  </w:num>
  <w:num w:numId="13">
    <w:abstractNumId w:val="12"/>
  </w:num>
  <w:num w:numId="14">
    <w:abstractNumId w:val="21"/>
  </w:num>
  <w:num w:numId="15">
    <w:abstractNumId w:val="11"/>
  </w:num>
  <w:num w:numId="16">
    <w:abstractNumId w:val="13"/>
  </w:num>
  <w:num w:numId="17">
    <w:abstractNumId w:val="9"/>
  </w:num>
  <w:num w:numId="18">
    <w:abstractNumId w:val="20"/>
  </w:num>
  <w:num w:numId="19">
    <w:abstractNumId w:val="8"/>
  </w:num>
  <w:num w:numId="20">
    <w:abstractNumId w:val="14"/>
  </w:num>
  <w:num w:numId="21">
    <w:abstractNumId w:val="17"/>
  </w:num>
  <w:num w:numId="22">
    <w:abstractNumId w:val="18"/>
  </w:num>
  <w:num w:numId="23">
    <w:abstractNumId w:val="10"/>
  </w:num>
  <w:num w:numId="24">
    <w:abstractNumId w:val="15"/>
  </w:num>
  <w:num w:numId="25">
    <w:abstractNumId w:val="22"/>
  </w:num>
  <w:num w:numId="26">
    <w:abstractNumId w:val="19"/>
  </w:num>
  <w:num w:numId="27">
    <w:abstractNumId w:val="12"/>
  </w:num>
  <w:num w:numId="28">
    <w:abstractNumId w:val="21"/>
  </w:num>
  <w:num w:numId="29">
    <w:abstractNumId w:val="11"/>
  </w:num>
  <w:num w:numId="30">
    <w:abstractNumId w:val="13"/>
  </w:num>
  <w:num w:numId="31">
    <w:abstractNumId w:val="9"/>
  </w:num>
  <w:num w:numId="32">
    <w:abstractNumId w:val="20"/>
  </w:num>
  <w:num w:numId="33">
    <w:abstractNumId w:val="8"/>
  </w:num>
  <w:num w:numId="34">
    <w:abstractNumId w:val="14"/>
  </w:num>
  <w:num w:numId="35">
    <w:abstractNumId w:val="17"/>
  </w:num>
  <w:num w:numId="36">
    <w:abstractNumId w:val="18"/>
  </w:num>
  <w:num w:numId="37">
    <w:abstractNumId w:val="10"/>
  </w:num>
  <w:num w:numId="38">
    <w:abstractNumId w:val="15"/>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hideGrammaticalErrors/>
  <w:attachedTemplate r:id="rId1"/>
  <w:revisionView w:markup="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0-28 15:50:4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C3AC1F9F-D01F-4BFB-919C-93AD04C1E7BA"/>
    <w:docVar w:name="LW_COVERPAGE_TYPE" w:val="1"/>
    <w:docVar w:name="LW_CROSSREFERENCE" w:val="&lt;UNUSED&gt;"/>
    <w:docVar w:name="LW_DocType" w:val="ANNEX"/>
    <w:docVar w:name="LW_EMISSION" w:val="30.10.2019"/>
    <w:docVar w:name="LW_EMISSION_ISODATE" w:val="2019-10-30"/>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lt;FMT:Bold&gt;\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4?\u1073?\u1097?\u1080?\u1103? \u1089?\u1098?\u1074?\u1077?\u1090? \u1085?\u1072? \u1057?\u1074?\u1077?\u1090?\u1086?\u1074?\u1085?\u1072?\u1090?\u1072? \u1090?\u1098?\u1088?\u1075?\u1086?\u1074?\u1089?\u1082?\u1072? \u1086?\u1088?\u1075?\u1072?\u1085?\u1080?\u1079?\u1072?\u1094?\u1080?\u1103?&lt;/FMT&gt;_x000b_"/>
    <w:docVar w:name="LW_OBJETACTEPRINCIPAL.CP" w:val="&lt;FMT:Bold&gt;\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4?\u1073?\u1097?\u1080?\u1103? \u1089?\u1098?\u1074?\u1077?\u1090? \u1085?\u1072? \u1057?\u1074?\u1077?\u1090?\u1086?\u1074?\u1085?\u1072?\u1090?\u1072? \u1090?\u1098?\u1088?\u1075?\u1086?\u1074?\u1089?\u1082?\u1072? \u1086?\u1088?\u1075?\u1072?\u1085?\u1080?\u1079?\u1072?\u1094?\u1080?\u1103?&lt;/FMT&gt;_x000b_"/>
    <w:docVar w:name="LW_PART_NBR" w:val="1"/>
    <w:docVar w:name="LW_PART_NBR_TOTAL" w:val="1"/>
    <w:docVar w:name="LW_REF.INST.NEW" w:val="COM"/>
    <w:docVar w:name="LW_REF.INST.NEW_ADOPTED" w:val="final"/>
    <w:docVar w:name="LW_REF.INST.NEW_TEXT" w:val="(2019) 5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_x000b__x000b_\u1056?\u1045?\u1064?\u1045?\u1053?\u1048?\u1045? \u1053?\u1040? \u1057?\u1066?\u1042?\u1045?\u1058?\u1040?"/>
    <w:docVar w:name="LW_TYPEACTEPRINCIPAL.CP" w:val="\u1055?\u1088?\u1077?\u1076?\u1083?\u1086?\u1078?\u1077?\u1085?\u1080?\u1077? \u1079?\u1072?_x000b__x000b_\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1" w:qFormat="1"/>
    <w:lsdException w:name="Body Text 3" w:uiPriority="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Heading6"/>
    <w:link w:val="Heading5Char"/>
    <w:uiPriority w:val="2"/>
    <w:qFormat/>
    <w:pPr>
      <w:keepNext/>
      <w:keepLines/>
      <w:spacing w:before="0" w:after="240"/>
      <w:outlineLvl w:val="4"/>
    </w:pPr>
    <w:rPr>
      <w:rFonts w:ascii="Verdana" w:eastAsiaTheme="majorEastAsia" w:hAnsi="Verdana" w:cstheme="majorBidi"/>
      <w:b/>
      <w:color w:val="006283"/>
      <w:sz w:val="18"/>
    </w:rPr>
  </w:style>
  <w:style w:type="paragraph" w:styleId="Heading6">
    <w:name w:val="heading 6"/>
    <w:basedOn w:val="Normal"/>
    <w:next w:val="BodyText"/>
    <w:link w:val="Heading6Char"/>
    <w:uiPriority w:val="2"/>
    <w:qFormat/>
    <w:pPr>
      <w:keepNext/>
      <w:keepLines/>
      <w:spacing w:before="0" w:after="240"/>
      <w:outlineLvl w:val="5"/>
    </w:pPr>
    <w:rPr>
      <w:rFonts w:ascii="Verdana" w:eastAsiaTheme="majorEastAsia" w:hAnsi="Verdana" w:cstheme="majorBidi"/>
      <w:b/>
      <w:iCs/>
      <w:color w:val="006283"/>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Heading5Char">
    <w:name w:val="Heading 5 Char"/>
    <w:basedOn w:val="DefaultParagraphFont"/>
    <w:link w:val="Heading5"/>
    <w:uiPriority w:val="2"/>
    <w:rPr>
      <w:rFonts w:ascii="Verdana" w:eastAsiaTheme="majorEastAsia" w:hAnsi="Verdana" w:cstheme="majorBidi"/>
      <w:b/>
      <w:color w:val="006283"/>
      <w:sz w:val="18"/>
      <w:lang w:val="bg-BG"/>
    </w:rPr>
  </w:style>
  <w:style w:type="character" w:customStyle="1" w:styleId="Heading6Char">
    <w:name w:val="Heading 6 Char"/>
    <w:basedOn w:val="DefaultParagraphFont"/>
    <w:link w:val="Heading6"/>
    <w:uiPriority w:val="2"/>
    <w:rPr>
      <w:rFonts w:ascii="Verdana" w:eastAsiaTheme="majorEastAsia" w:hAnsi="Verdana" w:cstheme="majorBidi"/>
      <w:b/>
      <w:iCs/>
      <w:color w:val="006283"/>
      <w:sz w:val="18"/>
      <w:lang w:val="bg-BG"/>
    </w:rPr>
  </w:style>
  <w:style w:type="paragraph" w:styleId="BodyText">
    <w:name w:val="Body Text"/>
    <w:basedOn w:val="Normal"/>
    <w:link w:val="BodyTextChar"/>
    <w:uiPriority w:val="1"/>
    <w:qFormat/>
    <w:pPr>
      <w:spacing w:before="0" w:after="240"/>
    </w:pPr>
    <w:rPr>
      <w:rFonts w:ascii="Verdana" w:hAnsi="Verdana" w:cstheme="minorBidi"/>
      <w:sz w:val="18"/>
    </w:rPr>
  </w:style>
  <w:style w:type="character" w:customStyle="1" w:styleId="BodyTextChar">
    <w:name w:val="Body Text Char"/>
    <w:basedOn w:val="DefaultParagraphFont"/>
    <w:link w:val="BodyText"/>
    <w:uiPriority w:val="1"/>
    <w:rPr>
      <w:rFonts w:ascii="Verdana" w:hAnsi="Verdana"/>
      <w:sz w:val="18"/>
      <w:lang w:val="bg-BG"/>
    </w:rPr>
  </w:style>
  <w:style w:type="paragraph" w:styleId="BodyText2">
    <w:name w:val="Body Text 2"/>
    <w:basedOn w:val="Normal"/>
    <w:link w:val="BodyText2Char"/>
    <w:uiPriority w:val="1"/>
    <w:qFormat/>
    <w:pPr>
      <w:tabs>
        <w:tab w:val="left" w:pos="1134"/>
      </w:tabs>
      <w:spacing w:before="0" w:after="240"/>
      <w:ind w:left="1134" w:hanging="567"/>
    </w:pPr>
    <w:rPr>
      <w:rFonts w:ascii="Verdana" w:hAnsi="Verdana" w:cstheme="minorBidi"/>
      <w:sz w:val="18"/>
    </w:rPr>
  </w:style>
  <w:style w:type="character" w:customStyle="1" w:styleId="BodyText2Char">
    <w:name w:val="Body Text 2 Char"/>
    <w:basedOn w:val="DefaultParagraphFont"/>
    <w:link w:val="BodyText2"/>
    <w:uiPriority w:val="1"/>
    <w:rPr>
      <w:rFonts w:ascii="Verdana" w:hAnsi="Verdana"/>
      <w:sz w:val="18"/>
      <w:lang w:val="bg-BG"/>
    </w:rPr>
  </w:style>
  <w:style w:type="paragraph" w:styleId="BodyText3">
    <w:name w:val="Body Text 3"/>
    <w:basedOn w:val="Normal"/>
    <w:link w:val="BodyText3Char"/>
    <w:uiPriority w:val="1"/>
    <w:qFormat/>
    <w:pPr>
      <w:tabs>
        <w:tab w:val="num" w:pos="1701"/>
      </w:tabs>
      <w:spacing w:before="0" w:after="240"/>
      <w:ind w:left="1701" w:hanging="567"/>
    </w:pPr>
    <w:rPr>
      <w:rFonts w:ascii="Verdana" w:hAnsi="Verdana" w:cstheme="minorBidi"/>
      <w:sz w:val="18"/>
      <w:szCs w:val="16"/>
    </w:rPr>
  </w:style>
  <w:style w:type="character" w:customStyle="1" w:styleId="BodyText3Char">
    <w:name w:val="Body Text 3 Char"/>
    <w:basedOn w:val="DefaultParagraphFont"/>
    <w:link w:val="BodyText3"/>
    <w:uiPriority w:val="1"/>
    <w:rPr>
      <w:rFonts w:ascii="Verdana" w:hAnsi="Verdana"/>
      <w:sz w:val="18"/>
      <w:szCs w:val="16"/>
      <w:lang w:val="bg-BG"/>
    </w:rPr>
  </w:style>
  <w:style w:type="numbering" w:customStyle="1" w:styleId="LegalHeadings">
    <w:name w:val="LegalHeadings"/>
    <w:uiPriority w:val="99"/>
    <w:pPr>
      <w:numPr>
        <w:numId w:val="1"/>
      </w:numPr>
    </w:pPr>
  </w:style>
  <w:style w:type="table" w:customStyle="1" w:styleId="WTOTable1">
    <w:name w:val="WTOTable1"/>
    <w:basedOn w:val="TableNormal"/>
    <w:uiPriority w:val="99"/>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0"/>
    </w:pPr>
    <w:rPr>
      <w:rFonts w:ascii="Verdana" w:hAnsi="Verdana" w:cstheme="minorBidi"/>
      <w:sz w:val="20"/>
      <w:szCs w:val="20"/>
    </w:rPr>
  </w:style>
  <w:style w:type="character" w:customStyle="1" w:styleId="CommentTextChar">
    <w:name w:val="Comment Text Char"/>
    <w:basedOn w:val="DefaultParagraphFont"/>
    <w:link w:val="CommentText"/>
    <w:uiPriority w:val="99"/>
    <w:rPr>
      <w:rFonts w:ascii="Verdana" w:hAnsi="Verdana"/>
      <w:sz w:val="20"/>
      <w:szCs w:val="20"/>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CommentSubject">
    <w:name w:val="annotation subject"/>
    <w:basedOn w:val="CommentText"/>
    <w:next w:val="CommentText"/>
    <w:link w:val="CommentSubjectChar"/>
    <w:uiPriority w:val="99"/>
    <w:semiHidden/>
    <w:unhideWhenUsed/>
    <w:pPr>
      <w:spacing w:before="120" w:after="12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a">
    <w:name w:val="$"/>
    <w:basedOn w:val="Point1"/>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1" w:qFormat="1"/>
    <w:lsdException w:name="Body Text 3" w:uiPriority="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Heading6"/>
    <w:link w:val="Heading5Char"/>
    <w:uiPriority w:val="2"/>
    <w:qFormat/>
    <w:pPr>
      <w:keepNext/>
      <w:keepLines/>
      <w:spacing w:before="0" w:after="240"/>
      <w:outlineLvl w:val="4"/>
    </w:pPr>
    <w:rPr>
      <w:rFonts w:ascii="Verdana" w:eastAsiaTheme="majorEastAsia" w:hAnsi="Verdana" w:cstheme="majorBidi"/>
      <w:b/>
      <w:color w:val="006283"/>
      <w:sz w:val="18"/>
    </w:rPr>
  </w:style>
  <w:style w:type="paragraph" w:styleId="Heading6">
    <w:name w:val="heading 6"/>
    <w:basedOn w:val="Normal"/>
    <w:next w:val="BodyText"/>
    <w:link w:val="Heading6Char"/>
    <w:uiPriority w:val="2"/>
    <w:qFormat/>
    <w:pPr>
      <w:keepNext/>
      <w:keepLines/>
      <w:spacing w:before="0" w:after="240"/>
      <w:outlineLvl w:val="5"/>
    </w:pPr>
    <w:rPr>
      <w:rFonts w:ascii="Verdana" w:eastAsiaTheme="majorEastAsia" w:hAnsi="Verdana" w:cstheme="majorBidi"/>
      <w:b/>
      <w:iCs/>
      <w:color w:val="006283"/>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Heading5Char">
    <w:name w:val="Heading 5 Char"/>
    <w:basedOn w:val="DefaultParagraphFont"/>
    <w:link w:val="Heading5"/>
    <w:uiPriority w:val="2"/>
    <w:rPr>
      <w:rFonts w:ascii="Verdana" w:eastAsiaTheme="majorEastAsia" w:hAnsi="Verdana" w:cstheme="majorBidi"/>
      <w:b/>
      <w:color w:val="006283"/>
      <w:sz w:val="18"/>
      <w:lang w:val="bg-BG"/>
    </w:rPr>
  </w:style>
  <w:style w:type="character" w:customStyle="1" w:styleId="Heading6Char">
    <w:name w:val="Heading 6 Char"/>
    <w:basedOn w:val="DefaultParagraphFont"/>
    <w:link w:val="Heading6"/>
    <w:uiPriority w:val="2"/>
    <w:rPr>
      <w:rFonts w:ascii="Verdana" w:eastAsiaTheme="majorEastAsia" w:hAnsi="Verdana" w:cstheme="majorBidi"/>
      <w:b/>
      <w:iCs/>
      <w:color w:val="006283"/>
      <w:sz w:val="18"/>
      <w:lang w:val="bg-BG"/>
    </w:rPr>
  </w:style>
  <w:style w:type="paragraph" w:styleId="BodyText">
    <w:name w:val="Body Text"/>
    <w:basedOn w:val="Normal"/>
    <w:link w:val="BodyTextChar"/>
    <w:uiPriority w:val="1"/>
    <w:qFormat/>
    <w:pPr>
      <w:spacing w:before="0" w:after="240"/>
    </w:pPr>
    <w:rPr>
      <w:rFonts w:ascii="Verdana" w:hAnsi="Verdana" w:cstheme="minorBidi"/>
      <w:sz w:val="18"/>
    </w:rPr>
  </w:style>
  <w:style w:type="character" w:customStyle="1" w:styleId="BodyTextChar">
    <w:name w:val="Body Text Char"/>
    <w:basedOn w:val="DefaultParagraphFont"/>
    <w:link w:val="BodyText"/>
    <w:uiPriority w:val="1"/>
    <w:rPr>
      <w:rFonts w:ascii="Verdana" w:hAnsi="Verdana"/>
      <w:sz w:val="18"/>
      <w:lang w:val="bg-BG"/>
    </w:rPr>
  </w:style>
  <w:style w:type="paragraph" w:styleId="BodyText2">
    <w:name w:val="Body Text 2"/>
    <w:basedOn w:val="Normal"/>
    <w:link w:val="BodyText2Char"/>
    <w:uiPriority w:val="1"/>
    <w:qFormat/>
    <w:pPr>
      <w:tabs>
        <w:tab w:val="left" w:pos="1134"/>
      </w:tabs>
      <w:spacing w:before="0" w:after="240"/>
      <w:ind w:left="1134" w:hanging="567"/>
    </w:pPr>
    <w:rPr>
      <w:rFonts w:ascii="Verdana" w:hAnsi="Verdana" w:cstheme="minorBidi"/>
      <w:sz w:val="18"/>
    </w:rPr>
  </w:style>
  <w:style w:type="character" w:customStyle="1" w:styleId="BodyText2Char">
    <w:name w:val="Body Text 2 Char"/>
    <w:basedOn w:val="DefaultParagraphFont"/>
    <w:link w:val="BodyText2"/>
    <w:uiPriority w:val="1"/>
    <w:rPr>
      <w:rFonts w:ascii="Verdana" w:hAnsi="Verdana"/>
      <w:sz w:val="18"/>
      <w:lang w:val="bg-BG"/>
    </w:rPr>
  </w:style>
  <w:style w:type="paragraph" w:styleId="BodyText3">
    <w:name w:val="Body Text 3"/>
    <w:basedOn w:val="Normal"/>
    <w:link w:val="BodyText3Char"/>
    <w:uiPriority w:val="1"/>
    <w:qFormat/>
    <w:pPr>
      <w:tabs>
        <w:tab w:val="num" w:pos="1701"/>
      </w:tabs>
      <w:spacing w:before="0" w:after="240"/>
      <w:ind w:left="1701" w:hanging="567"/>
    </w:pPr>
    <w:rPr>
      <w:rFonts w:ascii="Verdana" w:hAnsi="Verdana" w:cstheme="minorBidi"/>
      <w:sz w:val="18"/>
      <w:szCs w:val="16"/>
    </w:rPr>
  </w:style>
  <w:style w:type="character" w:customStyle="1" w:styleId="BodyText3Char">
    <w:name w:val="Body Text 3 Char"/>
    <w:basedOn w:val="DefaultParagraphFont"/>
    <w:link w:val="BodyText3"/>
    <w:uiPriority w:val="1"/>
    <w:rPr>
      <w:rFonts w:ascii="Verdana" w:hAnsi="Verdana"/>
      <w:sz w:val="18"/>
      <w:szCs w:val="16"/>
      <w:lang w:val="bg-BG"/>
    </w:rPr>
  </w:style>
  <w:style w:type="numbering" w:customStyle="1" w:styleId="LegalHeadings">
    <w:name w:val="LegalHeadings"/>
    <w:uiPriority w:val="99"/>
    <w:pPr>
      <w:numPr>
        <w:numId w:val="1"/>
      </w:numPr>
    </w:pPr>
  </w:style>
  <w:style w:type="table" w:customStyle="1" w:styleId="WTOTable1">
    <w:name w:val="WTOTable1"/>
    <w:basedOn w:val="TableNormal"/>
    <w:uiPriority w:val="99"/>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0"/>
    </w:pPr>
    <w:rPr>
      <w:rFonts w:ascii="Verdana" w:hAnsi="Verdana" w:cstheme="minorBidi"/>
      <w:sz w:val="20"/>
      <w:szCs w:val="20"/>
    </w:rPr>
  </w:style>
  <w:style w:type="character" w:customStyle="1" w:styleId="CommentTextChar">
    <w:name w:val="Comment Text Char"/>
    <w:basedOn w:val="DefaultParagraphFont"/>
    <w:link w:val="CommentText"/>
    <w:uiPriority w:val="99"/>
    <w:rPr>
      <w:rFonts w:ascii="Verdana" w:hAnsi="Verdana"/>
      <w:sz w:val="20"/>
      <w:szCs w:val="20"/>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CommentSubject">
    <w:name w:val="annotation subject"/>
    <w:basedOn w:val="CommentText"/>
    <w:next w:val="CommentText"/>
    <w:link w:val="CommentSubjectChar"/>
    <w:uiPriority w:val="99"/>
    <w:semiHidden/>
    <w:unhideWhenUsed/>
    <w:pPr>
      <w:spacing w:before="120" w:after="12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a">
    <w:name w:val="$"/>
    <w:basedOn w:val="Point1"/>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7</Pages>
  <Words>1524</Words>
  <Characters>8891</Characters>
  <Application>Microsoft Office Word</Application>
  <DocSecurity>0</DocSecurity>
  <Lines>206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BERNER Christiane (AGRI)</dc:creator>
  <cp:keywords/>
  <dc:description/>
  <cp:lastModifiedBy>DIGIT/C6</cp:lastModifiedBy>
  <cp:revision>9</cp:revision>
  <dcterms:created xsi:type="dcterms:W3CDTF">2019-10-28T09:45:00Z</dcterms:created>
  <dcterms:modified xsi:type="dcterms:W3CDTF">2019-10-28T14:50:00Z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