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5A2D73F-D901-422F-995A-5D4DA7F0D29F" style="width:450.45pt;height:41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szCs w:val="24"/>
          <w:u w:val="none"/>
        </w:rPr>
      </w:pPr>
      <w:bookmarkStart w:id="0" w:name="_GoBack"/>
      <w:bookmarkEnd w:id="0"/>
      <w:r>
        <w:rPr>
          <w:noProof/>
          <w:szCs w:val="24"/>
          <w:u w:val="none"/>
        </w:rPr>
        <w:lastRenderedPageBreak/>
        <w:t xml:space="preserve">ANNEX </w:t>
      </w:r>
    </w:p>
    <w:p>
      <w:pPr>
        <w:spacing w:before="480" w:after="240"/>
        <w:contextualSpacing/>
        <w:jc w:val="center"/>
        <w:rPr>
          <w:rFonts w:eastAsiaTheme="majorEastAsia"/>
          <w:b/>
          <w:caps/>
          <w:noProof/>
          <w:kern w:val="28"/>
          <w:szCs w:val="24"/>
        </w:rPr>
      </w:pPr>
      <w:r>
        <w:rPr>
          <w:rFonts w:eastAsiaTheme="majorEastAsia"/>
          <w:b/>
          <w:caps/>
          <w:noProof/>
          <w:kern w:val="28"/>
          <w:szCs w:val="24"/>
        </w:rPr>
        <w:t>REVIEW OF THE OPERATION OF THE BALI DECISION ON TRQ ADMINISTRATION</w:t>
      </w:r>
    </w:p>
    <w:p>
      <w:pPr>
        <w:spacing w:before="0" w:after="360"/>
        <w:jc w:val="center"/>
        <w:rPr>
          <w:rFonts w:eastAsia="Calibri"/>
          <w:caps/>
          <w:noProof/>
          <w:szCs w:val="24"/>
          <w:lang w:eastAsia="en-GB"/>
        </w:rPr>
      </w:pPr>
      <w:r>
        <w:rPr>
          <w:rFonts w:eastAsia="Calibri"/>
          <w:caps/>
          <w:noProof/>
          <w:szCs w:val="24"/>
          <w:lang w:eastAsia="en-GB"/>
        </w:rPr>
        <w:t xml:space="preserve">Report to the General Council </w:t>
      </w:r>
    </w:p>
    <w:p>
      <w:pPr>
        <w:pStyle w:val="Point0number"/>
        <w:numPr>
          <w:ilvl w:val="0"/>
          <w:numId w:val="3"/>
        </w:numPr>
        <w:rPr>
          <w:noProof/>
          <w:szCs w:val="24"/>
        </w:rPr>
      </w:pPr>
      <w:r>
        <w:rPr>
          <w:noProof/>
        </w:rPr>
        <w:t>At the Ninth Session of the Ministerial Conference, Ministers adopted the Decision on "Understanding of Tariff Rate Quota Administration Provisions of Agricultural Products, as defined in Article 2 of the Agreement on Agriculture" (WT/MIN(13)/39) (“Bali TRQ Decision”). Ministers instructed the Committee to review and monitor the implementation of Members’ obligations established under the Bali TRQ Decision with the objective that the review will promote a continuing process of improvement in the utilization of tariff rate quotas, commencing no later than 2017, taking into account experience gained up to that time.</w:t>
      </w:r>
      <w:r>
        <w:rPr>
          <w:rStyle w:val="FootnoteReference"/>
          <w:noProof/>
        </w:rPr>
        <w:footnoteReference w:id="1"/>
      </w:r>
      <w:r>
        <w:rPr>
          <w:noProof/>
        </w:rPr>
        <w:t xml:space="preserve"> The Review discussions commenced at the October 2017 meeting of the Committee.</w:t>
      </w:r>
      <w:r>
        <w:rPr>
          <w:rStyle w:val="FootnoteReference"/>
          <w:noProof/>
        </w:rPr>
        <w:footnoteReference w:id="2"/>
      </w:r>
      <w:r>
        <w:rPr>
          <w:noProof/>
        </w:rPr>
        <w:t xml:space="preserve"> At the February 2018 meeting, the Committee agreed to the process and timelines to conduct the Review in document G/AG/W/171.</w:t>
      </w:r>
      <w:r>
        <w:rPr>
          <w:rStyle w:val="FootnoteReference"/>
          <w:noProof/>
        </w:rPr>
        <w:footnoteReference w:id="3"/>
      </w:r>
      <w:r>
        <w:rPr>
          <w:noProof/>
        </w:rPr>
        <w:t xml:space="preserve"> As per the agreed procedure, the review has been conducted through open-ended informal meetings of the Committee scheduled back</w:t>
      </w:r>
      <w:r>
        <w:rPr>
          <w:noProof/>
        </w:rPr>
        <w:noBreakHyphen/>
        <w:t>to</w:t>
      </w:r>
      <w:r>
        <w:rPr>
          <w:noProof/>
        </w:rPr>
        <w:noBreakHyphen/>
        <w:t>back with the regular meetings of the Committee.</w:t>
      </w:r>
      <w:r>
        <w:rPr>
          <w:rStyle w:val="FootnoteReference"/>
          <w:noProof/>
        </w:rPr>
        <w:footnoteReference w:id="4"/>
      </w:r>
    </w:p>
    <w:p>
      <w:pPr>
        <w:pStyle w:val="Point0number"/>
        <w:rPr>
          <w:noProof/>
        </w:rPr>
      </w:pPr>
      <w:r>
        <w:rPr>
          <w:noProof/>
        </w:rPr>
        <w:t>Members discussed the Review in four informal meetings of the Committee in 2018 on 20 February, 11 June, 25 September and 26 November. A thematic session on tariff quota administration and underfill was held during the November informal meeting involving the participation of industry representatives. The review discussions also benefitted from a number of written contributions by Members. Similarly, in response to requests from Members and as per the agreed process and timelines to conduct the review, the Secretariat prepared a background paper</w:t>
      </w:r>
      <w:r>
        <w:rPr>
          <w:rStyle w:val="FootnoteReference"/>
          <w:noProof/>
        </w:rPr>
        <w:footnoteReference w:id="5"/>
      </w:r>
      <w:r>
        <w:rPr>
          <w:noProof/>
        </w:rPr>
        <w:t xml:space="preserve"> on tariff quota administration and fill rates to facilitate the Review. </w:t>
      </w:r>
      <w:r>
        <w:rPr>
          <w:b/>
          <w:noProof/>
        </w:rPr>
        <w:t>Annex 1</w:t>
      </w:r>
      <w:r>
        <w:rPr>
          <w:noProof/>
        </w:rPr>
        <w:t xml:space="preserve"> includes a list of all written documents considered thus far in the review. </w:t>
      </w:r>
    </w:p>
    <w:p>
      <w:pPr>
        <w:pStyle w:val="Point0number"/>
        <w:rPr>
          <w:noProof/>
        </w:rPr>
      </w:pPr>
      <w:r>
        <w:rPr>
          <w:noProof/>
        </w:rPr>
        <w:t>Members have identified the following themes in the review discussions: 1) Effective implementation and follow-up of the substantive obligations arising out of the Bali TRQ Decision; 2) TRQ transparency requirements; 3) Underfill Mechanism. Some elements</w:t>
      </w:r>
      <w:r>
        <w:rPr>
          <w:rStyle w:val="FootnoteReference"/>
          <w:noProof/>
        </w:rPr>
        <w:footnoteReference w:id="6"/>
      </w:r>
      <w:r>
        <w:rPr>
          <w:noProof/>
        </w:rPr>
        <w:t xml:space="preserve"> raised under each of the three themes, including during the thematic discussions in November, are indicated below.</w:t>
      </w:r>
    </w:p>
    <w:p>
      <w:pPr>
        <w:spacing w:before="0" w:after="240"/>
        <w:outlineLvl w:val="1"/>
        <w:rPr>
          <w:b/>
          <w:noProof/>
          <w:szCs w:val="24"/>
        </w:rPr>
      </w:pPr>
      <w:r>
        <w:rPr>
          <w:b/>
          <w:noProof/>
          <w:szCs w:val="24"/>
        </w:rPr>
        <w:t xml:space="preserve">EFFECTIVE IMPLEMENTATION AND FOLLOW-UP </w:t>
      </w:r>
    </w:p>
    <w:p>
      <w:pPr>
        <w:pStyle w:val="Point1"/>
        <w:rPr>
          <w:rFonts w:ascii="Verdana" w:hAnsi="Verdana"/>
          <w:noProof/>
          <w:sz w:val="16"/>
        </w:rPr>
      </w:pPr>
      <w:r>
        <w:rPr>
          <w:noProof/>
        </w:rPr>
        <w:t>i.</w:t>
      </w:r>
      <w:r>
        <w:rPr>
          <w:noProof/>
        </w:rPr>
        <w:tab/>
        <w:t>Reallocation of unused-licenses within a TRQ;</w:t>
      </w:r>
      <w:r>
        <w:rPr>
          <w:noProof/>
          <w:vertAlign w:val="superscript"/>
        </w:rPr>
        <w:t xml:space="preserve"> </w:t>
      </w:r>
    </w:p>
    <w:p>
      <w:pPr>
        <w:pStyle w:val="Point1"/>
        <w:rPr>
          <w:noProof/>
        </w:rPr>
      </w:pPr>
      <w:r>
        <w:rPr>
          <w:noProof/>
        </w:rPr>
        <w:t>ii.</w:t>
      </w:r>
      <w:r>
        <w:rPr>
          <w:noProof/>
        </w:rPr>
        <w:tab/>
        <w:t>Reallocation processes, including regarding country-specific allocations</w:t>
      </w:r>
      <w:r>
        <w:rPr>
          <w:rStyle w:val="FootnoteReference"/>
          <w:noProof/>
        </w:rPr>
        <w:footnoteReference w:id="7"/>
      </w:r>
      <w:r>
        <w:rPr>
          <w:noProof/>
        </w:rPr>
        <w:t>;</w:t>
      </w:r>
    </w:p>
    <w:p>
      <w:pPr>
        <w:pStyle w:val="Point1"/>
        <w:rPr>
          <w:noProof/>
        </w:rPr>
      </w:pPr>
      <w:r>
        <w:rPr>
          <w:noProof/>
        </w:rPr>
        <w:t>iii.</w:t>
      </w:r>
      <w:r>
        <w:rPr>
          <w:noProof/>
        </w:rPr>
        <w:tab/>
        <w:t>Sharing of experiences and best practices on improving TRQ fill, including reallocation of TRQs under RTAs.</w:t>
      </w:r>
    </w:p>
    <w:p>
      <w:pPr>
        <w:rPr>
          <w:b/>
          <w:noProof/>
          <w:szCs w:val="24"/>
        </w:rPr>
      </w:pPr>
      <w:r>
        <w:rPr>
          <w:b/>
          <w:noProof/>
          <w:szCs w:val="24"/>
        </w:rPr>
        <w:t xml:space="preserve">TRQ TRANSPARENCY REQUIREMENTS  </w:t>
      </w:r>
    </w:p>
    <w:p>
      <w:pPr>
        <w:pStyle w:val="Point1"/>
        <w:rPr>
          <w:noProof/>
        </w:rPr>
      </w:pPr>
      <w:r>
        <w:rPr>
          <w:noProof/>
        </w:rPr>
        <w:t>i.</w:t>
      </w:r>
      <w:r>
        <w:rPr>
          <w:noProof/>
        </w:rPr>
        <w:tab/>
        <w:t>Timely and complete TRQ notifications;</w:t>
      </w:r>
    </w:p>
    <w:p>
      <w:pPr>
        <w:pStyle w:val="Point1"/>
        <w:rPr>
          <w:noProof/>
        </w:rPr>
      </w:pPr>
      <w:r>
        <w:rPr>
          <w:noProof/>
        </w:rPr>
        <w:t>ii.</w:t>
      </w:r>
      <w:r>
        <w:rPr>
          <w:noProof/>
        </w:rPr>
        <w:tab/>
        <w:t>Prompt reporting of changes in TRQ administration;</w:t>
      </w:r>
    </w:p>
    <w:p>
      <w:pPr>
        <w:pStyle w:val="Point1"/>
        <w:rPr>
          <w:noProof/>
        </w:rPr>
      </w:pPr>
      <w:r>
        <w:rPr>
          <w:noProof/>
        </w:rPr>
        <w:t>iii.</w:t>
      </w:r>
      <w:r>
        <w:rPr>
          <w:noProof/>
        </w:rPr>
        <w:tab/>
        <w:t>Consistent reporting of fill-rates by all Members with TRQ commitments;</w:t>
      </w:r>
    </w:p>
    <w:p>
      <w:pPr>
        <w:pStyle w:val="Point1"/>
        <w:rPr>
          <w:noProof/>
        </w:rPr>
      </w:pPr>
      <w:r>
        <w:rPr>
          <w:noProof/>
        </w:rPr>
        <w:t>iv.</w:t>
      </w:r>
      <w:r>
        <w:rPr>
          <w:noProof/>
        </w:rPr>
        <w:tab/>
        <w:t>Harmonized notifications practices (e.g. for TRQs not opened or scheduled TRQs with no tariff advantage);</w:t>
      </w:r>
    </w:p>
    <w:p>
      <w:pPr>
        <w:pStyle w:val="Point1"/>
        <w:rPr>
          <w:noProof/>
        </w:rPr>
      </w:pPr>
      <w:r>
        <w:rPr>
          <w:noProof/>
        </w:rPr>
        <w:t>v.</w:t>
      </w:r>
      <w:r>
        <w:rPr>
          <w:noProof/>
        </w:rPr>
        <w:tab/>
        <w:t>Reporting of reasons of underfill;</w:t>
      </w:r>
    </w:p>
    <w:p>
      <w:pPr>
        <w:pStyle w:val="Point1"/>
        <w:rPr>
          <w:noProof/>
        </w:rPr>
      </w:pPr>
      <w:r>
        <w:rPr>
          <w:noProof/>
        </w:rPr>
        <w:t>vi.</w:t>
      </w:r>
      <w:r>
        <w:rPr>
          <w:noProof/>
        </w:rPr>
        <w:tab/>
        <w:t>Sharing of national experiences and best practices of TRQ administration;</w:t>
      </w:r>
    </w:p>
    <w:p>
      <w:pPr>
        <w:pStyle w:val="Point1"/>
        <w:rPr>
          <w:noProof/>
        </w:rPr>
      </w:pPr>
      <w:r>
        <w:rPr>
          <w:noProof/>
        </w:rPr>
        <w:t>vii.</w:t>
      </w:r>
      <w:r>
        <w:rPr>
          <w:noProof/>
        </w:rPr>
        <w:tab/>
        <w:t>Special and differential treatment (Burdensomeness of notification requirements);</w:t>
      </w:r>
    </w:p>
    <w:p>
      <w:pPr>
        <w:pStyle w:val="Point1"/>
        <w:rPr>
          <w:noProof/>
        </w:rPr>
      </w:pPr>
      <w:r>
        <w:rPr>
          <w:noProof/>
        </w:rPr>
        <w:t>viii.</w:t>
      </w:r>
      <w:r>
        <w:rPr>
          <w:noProof/>
        </w:rPr>
        <w:tab/>
        <w:t>Linkage with notification requirements in the area of import licensing procedures;</w:t>
      </w:r>
    </w:p>
    <w:p>
      <w:pPr>
        <w:pStyle w:val="Point1"/>
        <w:rPr>
          <w:noProof/>
        </w:rPr>
      </w:pPr>
      <w:r>
        <w:rPr>
          <w:noProof/>
        </w:rPr>
        <w:t>ix.</w:t>
      </w:r>
      <w:r>
        <w:rPr>
          <w:noProof/>
        </w:rPr>
        <w:tab/>
        <w:t>Technical assistance by the Secretariat towards improved notification compliance of Members.</w:t>
      </w:r>
    </w:p>
    <w:p>
      <w:pPr>
        <w:rPr>
          <w:b/>
          <w:noProof/>
          <w:szCs w:val="24"/>
        </w:rPr>
      </w:pPr>
      <w:r>
        <w:rPr>
          <w:b/>
          <w:noProof/>
          <w:szCs w:val="24"/>
        </w:rPr>
        <w:t>UNDERFILL MECHANISM</w:t>
      </w:r>
    </w:p>
    <w:p>
      <w:pPr>
        <w:pStyle w:val="Point1"/>
        <w:rPr>
          <w:noProof/>
        </w:rPr>
      </w:pPr>
      <w:r>
        <w:rPr>
          <w:noProof/>
        </w:rPr>
        <w:t>i.</w:t>
      </w:r>
      <w:r>
        <w:rPr>
          <w:noProof/>
        </w:rPr>
        <w:tab/>
        <w:t>Differing obligations of Members (paragraph 4 of Annex A);</w:t>
      </w:r>
    </w:p>
    <w:p>
      <w:pPr>
        <w:pStyle w:val="Point1"/>
        <w:rPr>
          <w:noProof/>
        </w:rPr>
      </w:pPr>
      <w:r>
        <w:rPr>
          <w:noProof/>
        </w:rPr>
        <w:t>ii.</w:t>
      </w:r>
      <w:r>
        <w:rPr>
          <w:noProof/>
        </w:rPr>
        <w:tab/>
        <w:t>Special and differential treatment;</w:t>
      </w:r>
    </w:p>
    <w:p>
      <w:pPr>
        <w:pStyle w:val="Point1"/>
        <w:rPr>
          <w:noProof/>
        </w:rPr>
      </w:pPr>
      <w:r>
        <w:rPr>
          <w:noProof/>
        </w:rPr>
        <w:t>iii.</w:t>
      </w:r>
      <w:r>
        <w:rPr>
          <w:noProof/>
        </w:rPr>
        <w:tab/>
        <w:t>Potential less-than-universal applicability in future;</w:t>
      </w:r>
    </w:p>
    <w:p>
      <w:pPr>
        <w:pStyle w:val="Point1"/>
        <w:rPr>
          <w:noProof/>
        </w:rPr>
      </w:pPr>
      <w:r>
        <w:rPr>
          <w:noProof/>
        </w:rPr>
        <w:t>iv.</w:t>
      </w:r>
      <w:r>
        <w:rPr>
          <w:noProof/>
        </w:rPr>
        <w:tab/>
        <w:t>Linkage between Annex B and paragraph 4 of Annex A;</w:t>
      </w:r>
    </w:p>
    <w:p>
      <w:pPr>
        <w:pStyle w:val="Point1"/>
        <w:rPr>
          <w:noProof/>
        </w:rPr>
      </w:pPr>
      <w:r>
        <w:rPr>
          <w:noProof/>
        </w:rPr>
        <w:t>v.</w:t>
      </w:r>
      <w:r>
        <w:rPr>
          <w:noProof/>
        </w:rPr>
        <w:tab/>
        <w:t>Exploration of the causes of underfill;</w:t>
      </w:r>
    </w:p>
    <w:p>
      <w:pPr>
        <w:pStyle w:val="Point1"/>
        <w:rPr>
          <w:noProof/>
        </w:rPr>
      </w:pPr>
      <w:r>
        <w:rPr>
          <w:noProof/>
        </w:rPr>
        <w:t>vi.</w:t>
      </w:r>
      <w:r>
        <w:rPr>
          <w:noProof/>
        </w:rPr>
        <w:tab/>
        <w:t>Targeted examination of TRQ underfill in some specific sectors;</w:t>
      </w:r>
    </w:p>
    <w:p>
      <w:pPr>
        <w:pStyle w:val="Point1"/>
        <w:rPr>
          <w:noProof/>
        </w:rPr>
      </w:pPr>
      <w:r>
        <w:rPr>
          <w:noProof/>
        </w:rPr>
        <w:t>vii.</w:t>
      </w:r>
      <w:r>
        <w:rPr>
          <w:noProof/>
        </w:rPr>
        <w:tab/>
        <w:t>Practical applicability of the Underfill Mechanism (exploration of reasons including potential complexity, as to why it has not yet been invoked, sharing of experiences, simplification of procedural requirements);</w:t>
      </w:r>
    </w:p>
    <w:p>
      <w:pPr>
        <w:pStyle w:val="Point1"/>
        <w:rPr>
          <w:noProof/>
        </w:rPr>
      </w:pPr>
      <w:r>
        <w:rPr>
          <w:noProof/>
        </w:rPr>
        <w:t>viii.</w:t>
      </w:r>
      <w:r>
        <w:rPr>
          <w:noProof/>
        </w:rPr>
        <w:tab/>
        <w:t>Maintenance of list of underfilled TRQs by the Secretariat.</w:t>
      </w:r>
    </w:p>
    <w:p>
      <w:pPr>
        <w:pStyle w:val="Point0number"/>
        <w:rPr>
          <w:noProof/>
        </w:rPr>
      </w:pPr>
      <w:r>
        <w:rPr>
          <w:noProof/>
        </w:rPr>
        <w:t xml:space="preserve">On the issue of future operation of paragraph 4 of the Underfill Mechanism and the associated S&amp;D provision, Members' positions were divergent. Some developing Members maintained that S&amp;D provisions in the Bali TRQ Decision should not be diluted; some other Members argued that the S&amp;D treatment for developing countries should not lead to a carve out and that the beneficiary developing countries should rather assume commitments with regard to the management of TRQs taking into account their development status. </w:t>
      </w:r>
    </w:p>
    <w:p>
      <w:pPr>
        <w:pStyle w:val="Point0number"/>
        <w:rPr>
          <w:noProof/>
        </w:rPr>
      </w:pPr>
      <w:r>
        <w:rPr>
          <w:noProof/>
        </w:rPr>
        <w:t>Several Members considered the scope of this review to be limited to seeking improvement in TRQ administration to distinguish it from the market access negotiations. Some others referred to the possibility of taking up the TRQ-related issues in the market access negotiations.</w:t>
      </w:r>
    </w:p>
    <w:p>
      <w:pPr>
        <w:pStyle w:val="Point0number"/>
        <w:rPr>
          <w:noProof/>
        </w:rPr>
      </w:pPr>
      <w:r>
        <w:rPr>
          <w:noProof/>
        </w:rPr>
        <w:t>Some Members considered that based on Members' submissions, the Committee should examine the reasons why the underfill mechanism has not yet been invoked.</w:t>
      </w:r>
    </w:p>
    <w:p>
      <w:pPr>
        <w:pStyle w:val="Point0number"/>
        <w:rPr>
          <w:noProof/>
        </w:rPr>
      </w:pPr>
      <w:r>
        <w:rPr>
          <w:noProof/>
        </w:rPr>
        <w:t xml:space="preserve">Pursuant to paragraphs 13-15 of the Bali TRQ Decision (WT/MIN(13)/39), the Committee at its meeting on 30 October 2019 agrees to the following recommendations as included in </w:t>
      </w:r>
      <w:r>
        <w:rPr>
          <w:b/>
          <w:noProof/>
        </w:rPr>
        <w:t>Annex 2</w:t>
      </w:r>
      <w:r>
        <w:rPr>
          <w:noProof/>
        </w:rPr>
        <w:t xml:space="preserve"> to this report for consideration by the General Council.  </w:t>
      </w:r>
    </w:p>
    <w:p>
      <w:pPr>
        <w:spacing w:before="0" w:after="200" w:line="276" w:lineRule="auto"/>
        <w:jc w:val="left"/>
        <w:rPr>
          <w:noProof/>
          <w:szCs w:val="24"/>
        </w:rPr>
      </w:pPr>
      <w:r>
        <w:rPr>
          <w:noProof/>
          <w:szCs w:val="24"/>
        </w:rPr>
        <w:br w:type="page"/>
      </w:r>
    </w:p>
    <w:p>
      <w:pPr>
        <w:spacing w:before="0" w:after="240"/>
        <w:jc w:val="center"/>
        <w:rPr>
          <w:noProof/>
          <w:szCs w:val="24"/>
        </w:rPr>
      </w:pPr>
      <w:r>
        <w:rPr>
          <w:b/>
          <w:noProof/>
          <w:szCs w:val="24"/>
        </w:rPr>
        <w:t>Annex 1</w:t>
      </w:r>
    </w:p>
    <w:tbl>
      <w:tblPr>
        <w:tblStyle w:val="WTOTable1"/>
        <w:tblW w:w="5000" w:type="pct"/>
        <w:tblLook w:val="04A0" w:firstRow="1" w:lastRow="0" w:firstColumn="1" w:lastColumn="0" w:noHBand="0" w:noVBand="1"/>
      </w:tblPr>
      <w:tblGrid>
        <w:gridCol w:w="2332"/>
        <w:gridCol w:w="6957"/>
      </w:tblGrid>
      <w:tr>
        <w:trPr>
          <w:cnfStyle w:val="100000000000" w:firstRow="1" w:lastRow="0" w:firstColumn="0" w:lastColumn="0" w:oddVBand="0" w:evenVBand="0" w:oddHBand="0" w:evenHBand="0" w:firstRowFirstColumn="0" w:firstRowLastColumn="0" w:lastRowFirstColumn="0" w:lastRowLastColumn="0"/>
          <w:trHeight w:val="20"/>
        </w:trPr>
        <w:tc>
          <w:tcPr>
            <w:tcW w:w="9016" w:type="dxa"/>
            <w:gridSpan w:val="2"/>
          </w:tcPr>
          <w:p>
            <w:pPr>
              <w:spacing w:before="0" w:after="0" w:line="360" w:lineRule="auto"/>
              <w:jc w:val="center"/>
              <w:rPr>
                <w:b w:val="0"/>
                <w:noProof/>
                <w:color w:val="auto"/>
                <w:szCs w:val="24"/>
              </w:rPr>
            </w:pPr>
            <w:r>
              <w:rPr>
                <w:noProof/>
                <w:color w:val="auto"/>
                <w:szCs w:val="24"/>
              </w:rPr>
              <w:t>List of documents</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rFonts w:eastAsia="Times New Roman"/>
                <w:bCs/>
                <w:noProof/>
                <w:szCs w:val="24"/>
              </w:rPr>
              <w:t>G/AG/W/169</w:t>
            </w:r>
          </w:p>
          <w:p>
            <w:pPr>
              <w:spacing w:before="0" w:after="0"/>
              <w:rPr>
                <w:noProof/>
                <w:szCs w:val="24"/>
              </w:rPr>
            </w:pPr>
            <w:r>
              <w:rPr>
                <w:noProof/>
                <w:szCs w:val="24"/>
              </w:rPr>
              <w:t>10 October 2017</w:t>
            </w:r>
          </w:p>
        </w:tc>
        <w:tc>
          <w:tcPr>
            <w:tcW w:w="6753" w:type="dxa"/>
          </w:tcPr>
          <w:p>
            <w:pPr>
              <w:tabs>
                <w:tab w:val="left" w:pos="1134"/>
              </w:tabs>
              <w:spacing w:after="0"/>
              <w:jc w:val="left"/>
              <w:rPr>
                <w:noProof/>
                <w:szCs w:val="24"/>
              </w:rPr>
            </w:pPr>
            <w:r>
              <w:rPr>
                <w:noProof/>
                <w:szCs w:val="24"/>
              </w:rPr>
              <w:t>Monitoring and review of Members' obligations established under the Bali Decision on TRQ administration.</w:t>
            </w:r>
          </w:p>
          <w:p>
            <w:pPr>
              <w:tabs>
                <w:tab w:val="left" w:pos="1134"/>
              </w:tabs>
              <w:spacing w:before="0" w:after="0"/>
              <w:jc w:val="left"/>
              <w:rPr>
                <w:noProof/>
                <w:szCs w:val="24"/>
              </w:rPr>
            </w:pPr>
          </w:p>
          <w:p>
            <w:pPr>
              <w:tabs>
                <w:tab w:val="left" w:pos="1134"/>
              </w:tabs>
              <w:spacing w:before="0"/>
              <w:rPr>
                <w:noProof/>
                <w:szCs w:val="24"/>
                <w:lang w:val="en-US"/>
              </w:rPr>
            </w:pPr>
            <w:r>
              <w:rPr>
                <w:noProof/>
                <w:szCs w:val="24"/>
              </w:rPr>
              <w:t>Note by the Secretariat</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rFonts w:eastAsia="Times New Roman"/>
                <w:bCs/>
                <w:noProof/>
                <w:szCs w:val="24"/>
              </w:rPr>
              <w:t>G/AG/W/171</w:t>
            </w:r>
          </w:p>
          <w:p>
            <w:pPr>
              <w:spacing w:before="0" w:after="0"/>
              <w:rPr>
                <w:rFonts w:eastAsia="Times New Roman"/>
                <w:bCs/>
                <w:noProof/>
                <w:szCs w:val="24"/>
              </w:rPr>
            </w:pPr>
            <w:r>
              <w:rPr>
                <w:rFonts w:eastAsia="Times New Roman"/>
                <w:bCs/>
                <w:noProof/>
                <w:szCs w:val="24"/>
              </w:rPr>
              <w:t>9 February 2018</w:t>
            </w:r>
          </w:p>
        </w:tc>
        <w:tc>
          <w:tcPr>
            <w:tcW w:w="6753" w:type="dxa"/>
          </w:tcPr>
          <w:p>
            <w:pPr>
              <w:tabs>
                <w:tab w:val="left" w:pos="1134"/>
              </w:tabs>
              <w:spacing w:after="0"/>
              <w:jc w:val="left"/>
              <w:rPr>
                <w:rFonts w:eastAsia="Times New Roman"/>
                <w:bCs/>
                <w:noProof/>
                <w:szCs w:val="24"/>
              </w:rPr>
            </w:pPr>
            <w:r>
              <w:rPr>
                <w:rFonts w:eastAsia="Times New Roman"/>
                <w:bCs/>
                <w:noProof/>
                <w:szCs w:val="24"/>
              </w:rPr>
              <w:t>Proposed process for the Review of the Operation of the Bali Decision on TRQ Administration.</w:t>
            </w:r>
          </w:p>
          <w:p>
            <w:pPr>
              <w:tabs>
                <w:tab w:val="left" w:pos="1134"/>
              </w:tabs>
              <w:spacing w:before="0" w:after="0"/>
              <w:jc w:val="left"/>
              <w:rPr>
                <w:rFonts w:eastAsia="Times New Roman"/>
                <w:bCs/>
                <w:noProof/>
                <w:szCs w:val="24"/>
              </w:rPr>
            </w:pPr>
          </w:p>
          <w:p>
            <w:pPr>
              <w:tabs>
                <w:tab w:val="left" w:pos="1134"/>
              </w:tabs>
              <w:spacing w:before="0"/>
              <w:rPr>
                <w:rFonts w:eastAsia="Times New Roman"/>
                <w:bCs/>
                <w:noProof/>
                <w:szCs w:val="24"/>
              </w:rPr>
            </w:pPr>
            <w:r>
              <w:rPr>
                <w:rFonts w:eastAsia="Times New Roman"/>
                <w:bCs/>
                <w:noProof/>
                <w:szCs w:val="24"/>
              </w:rPr>
              <w:t>Note by the Secretariat</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rFonts w:eastAsia="Times New Roman"/>
                <w:bCs/>
                <w:noProof/>
                <w:szCs w:val="24"/>
              </w:rPr>
              <w:t>G/AG/W/175</w:t>
            </w:r>
          </w:p>
          <w:p>
            <w:pPr>
              <w:spacing w:before="0" w:after="0"/>
              <w:rPr>
                <w:noProof/>
                <w:szCs w:val="24"/>
              </w:rPr>
            </w:pPr>
            <w:r>
              <w:rPr>
                <w:noProof/>
                <w:szCs w:val="24"/>
              </w:rPr>
              <w:t>18 May 2018</w:t>
            </w:r>
          </w:p>
          <w:p>
            <w:pPr>
              <w:spacing w:before="0" w:after="0"/>
              <w:rPr>
                <w:noProof/>
                <w:szCs w:val="24"/>
              </w:rPr>
            </w:pPr>
            <w:r>
              <w:rPr>
                <w:noProof/>
                <w:szCs w:val="24"/>
              </w:rPr>
              <w:t xml:space="preserve">       </w:t>
            </w:r>
          </w:p>
          <w:p>
            <w:pPr>
              <w:spacing w:before="0" w:after="0"/>
              <w:rPr>
                <w:noProof/>
                <w:szCs w:val="24"/>
              </w:rPr>
            </w:pPr>
            <w:r>
              <w:rPr>
                <w:noProof/>
                <w:szCs w:val="24"/>
              </w:rPr>
              <w:t xml:space="preserve">         and</w:t>
            </w:r>
          </w:p>
          <w:p>
            <w:pPr>
              <w:spacing w:after="0"/>
              <w:jc w:val="left"/>
              <w:rPr>
                <w:rFonts w:eastAsia="Times New Roman"/>
                <w:bCs/>
                <w:noProof/>
                <w:szCs w:val="24"/>
              </w:rPr>
            </w:pPr>
            <w:r>
              <w:rPr>
                <w:rFonts w:eastAsia="Times New Roman"/>
                <w:bCs/>
                <w:noProof/>
                <w:szCs w:val="24"/>
              </w:rPr>
              <w:t>G/AG/W/175/Add.1</w:t>
            </w:r>
          </w:p>
          <w:p>
            <w:pPr>
              <w:spacing w:before="0" w:after="0"/>
              <w:rPr>
                <w:noProof/>
                <w:szCs w:val="24"/>
              </w:rPr>
            </w:pPr>
            <w:r>
              <w:rPr>
                <w:noProof/>
                <w:szCs w:val="24"/>
              </w:rPr>
              <w:t>7 May 2019</w:t>
            </w:r>
          </w:p>
          <w:p>
            <w:pPr>
              <w:spacing w:before="0" w:after="0"/>
              <w:rPr>
                <w:noProof/>
                <w:szCs w:val="24"/>
              </w:rPr>
            </w:pPr>
          </w:p>
        </w:tc>
        <w:tc>
          <w:tcPr>
            <w:tcW w:w="6753" w:type="dxa"/>
          </w:tcPr>
          <w:p>
            <w:pPr>
              <w:spacing w:after="0"/>
              <w:jc w:val="left"/>
              <w:rPr>
                <w:noProof/>
                <w:szCs w:val="24"/>
              </w:rPr>
            </w:pPr>
          </w:p>
          <w:p>
            <w:pPr>
              <w:spacing w:after="0"/>
              <w:jc w:val="left"/>
              <w:rPr>
                <w:noProof/>
                <w:szCs w:val="24"/>
              </w:rPr>
            </w:pPr>
            <w:r>
              <w:rPr>
                <w:noProof/>
                <w:szCs w:val="24"/>
              </w:rPr>
              <w:t>European Union submission to Committee on Agriculture on the Process for the Review of the Operation of the Bali Decision on Tariff Rate Quota Administration</w:t>
            </w:r>
            <w:r>
              <w:rPr>
                <w:rStyle w:val="FootnoteReference"/>
                <w:noProof/>
              </w:rPr>
              <w:footnoteReference w:id="8"/>
            </w:r>
            <w:r>
              <w:rPr>
                <w:noProof/>
                <w:szCs w:val="24"/>
              </w:rPr>
              <w:t>.</w:t>
            </w:r>
          </w:p>
          <w:p>
            <w:pPr>
              <w:spacing w:before="0" w:after="0"/>
              <w:rPr>
                <w:noProof/>
                <w:szCs w:val="24"/>
              </w:rPr>
            </w:pPr>
          </w:p>
          <w:p>
            <w:pPr>
              <w:spacing w:before="0" w:after="0"/>
              <w:rPr>
                <w:noProof/>
                <w:szCs w:val="24"/>
              </w:rPr>
            </w:pPr>
          </w:p>
          <w:p>
            <w:pPr>
              <w:tabs>
                <w:tab w:val="left" w:pos="1134"/>
              </w:tabs>
              <w:spacing w:before="0"/>
              <w:rPr>
                <w:noProof/>
                <w:szCs w:val="24"/>
              </w:rPr>
            </w:pPr>
            <w:r>
              <w:rPr>
                <w:noProof/>
                <w:szCs w:val="24"/>
              </w:rPr>
              <w:t>Communications from the European Union</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rFonts w:eastAsia="Times New Roman"/>
                <w:bCs/>
                <w:noProof/>
                <w:szCs w:val="24"/>
              </w:rPr>
              <w:t>G/AG/W/179</w:t>
            </w:r>
          </w:p>
          <w:p>
            <w:pPr>
              <w:spacing w:before="0" w:after="0"/>
              <w:rPr>
                <w:noProof/>
                <w:szCs w:val="24"/>
              </w:rPr>
            </w:pPr>
            <w:r>
              <w:rPr>
                <w:noProof/>
                <w:szCs w:val="24"/>
              </w:rPr>
              <w:t>6 June 2018</w:t>
            </w:r>
          </w:p>
        </w:tc>
        <w:tc>
          <w:tcPr>
            <w:tcW w:w="6753" w:type="dxa"/>
          </w:tcPr>
          <w:p>
            <w:pPr>
              <w:spacing w:after="0"/>
              <w:jc w:val="left"/>
              <w:rPr>
                <w:rFonts w:eastAsiaTheme="majorEastAsia"/>
                <w:caps/>
                <w:noProof/>
                <w:kern w:val="28"/>
                <w:szCs w:val="24"/>
              </w:rPr>
            </w:pPr>
            <w:r>
              <w:rPr>
                <w:noProof/>
                <w:szCs w:val="24"/>
              </w:rPr>
              <w:t>Review of the Operation of the Bali Ministerial Decision on "Understanding on Tariff Rate Quota Administration provisions of Agricultural Products…</w:t>
            </w:r>
            <w:r>
              <w:rPr>
                <w:rFonts w:eastAsiaTheme="majorEastAsia"/>
                <w:caps/>
                <w:noProof/>
                <w:kern w:val="28"/>
                <w:szCs w:val="24"/>
              </w:rPr>
              <w:t>"</w:t>
            </w:r>
            <w:r>
              <w:rPr>
                <w:rStyle w:val="FootnoteReference"/>
                <w:noProof/>
              </w:rPr>
              <w:footnoteReference w:id="9"/>
            </w:r>
            <w:r>
              <w:rPr>
                <w:rFonts w:eastAsiaTheme="majorEastAsia"/>
                <w:caps/>
                <w:noProof/>
                <w:kern w:val="28"/>
                <w:szCs w:val="24"/>
              </w:rPr>
              <w:t>.</w:t>
            </w:r>
          </w:p>
          <w:p>
            <w:pPr>
              <w:spacing w:before="0" w:after="0"/>
              <w:rPr>
                <w:noProof/>
                <w:szCs w:val="24"/>
              </w:rPr>
            </w:pPr>
          </w:p>
          <w:p>
            <w:pPr>
              <w:tabs>
                <w:tab w:val="left" w:pos="1134"/>
              </w:tabs>
              <w:spacing w:before="0"/>
              <w:rPr>
                <w:noProof/>
                <w:szCs w:val="24"/>
              </w:rPr>
            </w:pPr>
            <w:r>
              <w:rPr>
                <w:noProof/>
                <w:szCs w:val="24"/>
              </w:rPr>
              <w:t>Submission from the Cairns Group</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rFonts w:eastAsia="Times New Roman"/>
                <w:bCs/>
                <w:noProof/>
                <w:szCs w:val="24"/>
              </w:rPr>
              <w:t>G/AG/W/183</w:t>
            </w:r>
          </w:p>
          <w:p>
            <w:pPr>
              <w:spacing w:before="0" w:after="0"/>
              <w:rPr>
                <w:noProof/>
                <w:szCs w:val="24"/>
              </w:rPr>
            </w:pPr>
            <w:r>
              <w:rPr>
                <w:noProof/>
                <w:szCs w:val="24"/>
              </w:rPr>
              <w:t>31 July 2018</w:t>
            </w:r>
          </w:p>
        </w:tc>
        <w:tc>
          <w:tcPr>
            <w:tcW w:w="6753" w:type="dxa"/>
          </w:tcPr>
          <w:p>
            <w:pPr>
              <w:tabs>
                <w:tab w:val="left" w:pos="1134"/>
              </w:tabs>
              <w:spacing w:after="0"/>
              <w:jc w:val="left"/>
              <w:rPr>
                <w:noProof/>
                <w:szCs w:val="24"/>
              </w:rPr>
            </w:pPr>
            <w:r>
              <w:rPr>
                <w:noProof/>
                <w:szCs w:val="24"/>
              </w:rPr>
              <w:t>Tariff quota administration methods and fill rates 2007-2016.</w:t>
            </w:r>
          </w:p>
          <w:p>
            <w:pPr>
              <w:tabs>
                <w:tab w:val="left" w:pos="1134"/>
              </w:tabs>
              <w:spacing w:before="0" w:after="0"/>
              <w:jc w:val="left"/>
              <w:rPr>
                <w:noProof/>
                <w:szCs w:val="24"/>
              </w:rPr>
            </w:pPr>
          </w:p>
          <w:p>
            <w:pPr>
              <w:tabs>
                <w:tab w:val="left" w:pos="1134"/>
              </w:tabs>
              <w:spacing w:before="0"/>
              <w:rPr>
                <w:noProof/>
                <w:szCs w:val="24"/>
                <w:lang w:val="en-US"/>
              </w:rPr>
            </w:pPr>
            <w:r>
              <w:rPr>
                <w:noProof/>
                <w:szCs w:val="24"/>
              </w:rPr>
              <w:t>Background Paper by the Secretariat</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rFonts w:eastAsia="Times New Roman"/>
                <w:bCs/>
                <w:noProof/>
                <w:szCs w:val="24"/>
              </w:rPr>
              <w:t>G/AG/W/186</w:t>
            </w:r>
          </w:p>
          <w:p>
            <w:pPr>
              <w:spacing w:before="0" w:after="0"/>
              <w:rPr>
                <w:noProof/>
                <w:szCs w:val="24"/>
              </w:rPr>
            </w:pPr>
            <w:r>
              <w:rPr>
                <w:noProof/>
                <w:szCs w:val="24"/>
              </w:rPr>
              <w:t>19 September 2018</w:t>
            </w:r>
          </w:p>
        </w:tc>
        <w:tc>
          <w:tcPr>
            <w:tcW w:w="6753" w:type="dxa"/>
          </w:tcPr>
          <w:p>
            <w:pPr>
              <w:tabs>
                <w:tab w:val="left" w:pos="1134"/>
              </w:tabs>
              <w:spacing w:after="0"/>
              <w:jc w:val="left"/>
              <w:rPr>
                <w:noProof/>
                <w:szCs w:val="24"/>
              </w:rPr>
            </w:pPr>
            <w:r>
              <w:rPr>
                <w:noProof/>
                <w:szCs w:val="24"/>
              </w:rPr>
              <w:t>Review of Bali Decision on TRQ administration.</w:t>
            </w:r>
          </w:p>
          <w:p>
            <w:pPr>
              <w:tabs>
                <w:tab w:val="left" w:pos="1134"/>
              </w:tabs>
              <w:spacing w:before="0" w:after="0"/>
              <w:jc w:val="left"/>
              <w:rPr>
                <w:noProof/>
                <w:szCs w:val="24"/>
              </w:rPr>
            </w:pPr>
          </w:p>
          <w:p>
            <w:pPr>
              <w:spacing w:before="0"/>
              <w:rPr>
                <w:noProof/>
                <w:szCs w:val="24"/>
                <w:lang w:val="en-US"/>
              </w:rPr>
            </w:pPr>
            <w:r>
              <w:rPr>
                <w:noProof/>
                <w:szCs w:val="24"/>
              </w:rPr>
              <w:t>Submission from Australia</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rFonts w:eastAsia="Times New Roman"/>
                <w:bCs/>
                <w:noProof/>
                <w:szCs w:val="24"/>
              </w:rPr>
              <w:t>G/AG/W/197</w:t>
            </w:r>
          </w:p>
          <w:p>
            <w:pPr>
              <w:spacing w:before="0" w:after="0"/>
              <w:rPr>
                <w:noProof/>
                <w:szCs w:val="24"/>
              </w:rPr>
            </w:pPr>
            <w:r>
              <w:rPr>
                <w:noProof/>
                <w:szCs w:val="24"/>
              </w:rPr>
              <w:t>24 May 2019</w:t>
            </w:r>
          </w:p>
        </w:tc>
        <w:tc>
          <w:tcPr>
            <w:tcW w:w="6753" w:type="dxa"/>
          </w:tcPr>
          <w:p>
            <w:pPr>
              <w:tabs>
                <w:tab w:val="left" w:pos="1134"/>
              </w:tabs>
              <w:spacing w:after="0"/>
              <w:jc w:val="left"/>
              <w:rPr>
                <w:noProof/>
                <w:szCs w:val="24"/>
              </w:rPr>
            </w:pPr>
            <w:r>
              <w:rPr>
                <w:noProof/>
                <w:szCs w:val="24"/>
              </w:rPr>
              <w:t>The Underfill Mechanism of the Bali TRQ Administration Decision</w:t>
            </w:r>
          </w:p>
          <w:p>
            <w:pPr>
              <w:tabs>
                <w:tab w:val="left" w:pos="1134"/>
              </w:tabs>
              <w:spacing w:after="0"/>
              <w:jc w:val="left"/>
              <w:rPr>
                <w:noProof/>
                <w:szCs w:val="24"/>
              </w:rPr>
            </w:pPr>
            <w:r>
              <w:rPr>
                <w:noProof/>
                <w:szCs w:val="24"/>
              </w:rPr>
              <w:t>Submission on behalf of the Cairns Group</w:t>
            </w:r>
          </w:p>
        </w:tc>
      </w:tr>
    </w:tbl>
    <w:p>
      <w:pPr>
        <w:spacing w:before="0" w:after="200" w:line="276" w:lineRule="auto"/>
        <w:jc w:val="left"/>
        <w:rPr>
          <w:b/>
          <w:noProof/>
          <w:szCs w:val="24"/>
        </w:rPr>
      </w:pPr>
      <w:r>
        <w:rPr>
          <w:b/>
          <w:noProof/>
          <w:szCs w:val="24"/>
        </w:rPr>
        <w:br w:type="page"/>
      </w:r>
    </w:p>
    <w:p>
      <w:pPr>
        <w:spacing w:before="0" w:after="240"/>
        <w:jc w:val="center"/>
        <w:rPr>
          <w:b/>
          <w:noProof/>
          <w:szCs w:val="24"/>
        </w:rPr>
      </w:pPr>
      <w:r>
        <w:rPr>
          <w:b/>
          <w:noProof/>
          <w:szCs w:val="24"/>
        </w:rPr>
        <w:t>Annex 2</w:t>
      </w:r>
    </w:p>
    <w:p>
      <w:pPr>
        <w:pStyle w:val="Point0number"/>
        <w:numPr>
          <w:ilvl w:val="0"/>
          <w:numId w:val="2"/>
        </w:numPr>
        <w:rPr>
          <w:noProof/>
        </w:rPr>
      </w:pPr>
      <w:r>
        <w:rPr>
          <w:noProof/>
        </w:rPr>
        <w:t>[The timeframe specified in Paragraph 14 and footnote 2 of the Bali TRQ Decision for a decision on Paragraph 4 of Annex A shall be extended to the end of 2021 or MC13, whichever comes first. [For greater certainty, if neither Ministerial Conference nor the General Council decides, prior to the end of 2021, to extend paragraph 4 of Annex A of the Bali TRQ Decision in its current or a modified form, paragraph 4 of Annex A shall, subject to paragraph 15 of that Decision, no longer apply as of January 1, 2022 [in respect of those Members listed in Annex B, as well as any Member which requests before the end of 2021 to be added to Annex B].]</w:t>
      </w:r>
    </w:p>
    <w:p>
      <w:pPr>
        <w:pStyle w:val="Point0number"/>
        <w:numPr>
          <w:ilvl w:val="0"/>
          <w:numId w:val="2"/>
        </w:numPr>
        <w:rPr>
          <w:noProof/>
        </w:rPr>
      </w:pPr>
      <w:r>
        <w:rPr>
          <w:noProof/>
        </w:rPr>
        <w:t>In the interim, the Committee on Agriculture ("the Committee") will continue subject to discussions on the application of paragraph 4 of Annex A. [For greater certainty, while this discussion is underway, the Bali TRQ Decision, along with its Annexes, shall be maintained.]</w:t>
      </w:r>
    </w:p>
    <w:p>
      <w:pPr>
        <w:pStyle w:val="Point0number"/>
        <w:numPr>
          <w:ilvl w:val="0"/>
          <w:numId w:val="2"/>
        </w:numPr>
        <w:rPr>
          <w:noProof/>
        </w:rPr>
      </w:pPr>
      <w:r>
        <w:rPr>
          <w:noProof/>
        </w:rPr>
        <w:t>The Committee will provide recommendations to the General Council with regard to the application of paragraph 4 [of Annex A and in accordance with paragraph 14] before the end of 2021.]</w:t>
      </w:r>
    </w:p>
    <w:p>
      <w:pPr>
        <w:pStyle w:val="Point0number"/>
        <w:numPr>
          <w:ilvl w:val="0"/>
          <w:numId w:val="2"/>
        </w:numPr>
        <w:rPr>
          <w:noProof/>
        </w:rPr>
      </w:pPr>
      <w:r>
        <w:rPr>
          <w:noProof/>
        </w:rPr>
        <w:t>Recognizing the importance of enhanced transparency of TRQ administration and fill rates as well as a timely submission of notifications by Members, and acknowledging that the on-line agriculture notification system should lead to improved harmonization, the Committee agrees on the following:</w:t>
      </w:r>
    </w:p>
    <w:p>
      <w:pPr>
        <w:pStyle w:val="Point1letter"/>
        <w:rPr>
          <w:noProof/>
        </w:rPr>
      </w:pPr>
      <w:r>
        <w:rPr>
          <w:noProof/>
        </w:rPr>
        <w:t xml:space="preserve">The Secretariat will prepare a list of the existing TRQ notification practices of Members including in cases where a scheduled TRQ was not opened. </w:t>
      </w:r>
    </w:p>
    <w:p>
      <w:pPr>
        <w:pStyle w:val="Point1letter"/>
        <w:rPr>
          <w:noProof/>
        </w:rPr>
      </w:pPr>
      <w:r>
        <w:rPr>
          <w:noProof/>
        </w:rPr>
        <w:t xml:space="preserve">The Committee will initiate discussions on harmonization of Members' TRQ notification practices, including for the TRQ fill rates.  </w:t>
      </w:r>
    </w:p>
    <w:p>
      <w:pPr>
        <w:pStyle w:val="Point1letter"/>
        <w:rPr>
          <w:noProof/>
        </w:rPr>
      </w:pPr>
      <w:r>
        <w:rPr>
          <w:noProof/>
        </w:rPr>
        <w:t>The Committee encourages Members to include an explanation in their Table MA:2 notifications in cases where scheduled TRQs are not opened.</w:t>
      </w:r>
    </w:p>
    <w:p>
      <w:pPr>
        <w:pStyle w:val="Point1letter"/>
        <w:rPr>
          <w:noProof/>
        </w:rPr>
      </w:pPr>
      <w:r>
        <w:rPr>
          <w:noProof/>
        </w:rPr>
        <w:t>The Secretariat will regularly update the information on TRQ administration and fill rates as included in G/AG/W/183</w:t>
      </w:r>
      <w:r>
        <w:rPr>
          <w:rStyle w:val="FootnoteReference"/>
          <w:noProof/>
        </w:rPr>
        <w:footnoteReference w:id="10"/>
      </w:r>
      <w:r>
        <w:rPr>
          <w:noProof/>
        </w:rPr>
        <w:t xml:space="preserve"> as well the updated information on which Members have notified fill rates and on questions raised in the Committee concerning fill rates.</w:t>
      </w:r>
    </w:p>
    <w:p>
      <w:pPr>
        <w:pStyle w:val="Point1letter"/>
        <w:rPr>
          <w:noProof/>
        </w:rPr>
      </w:pPr>
      <w:r>
        <w:rPr>
          <w:noProof/>
        </w:rPr>
        <w:t>The Committee will examine based on submissions by Members the reasons why the Underfill Mechanism has not yet been invoked.</w:t>
      </w:r>
    </w:p>
    <w:p>
      <w:pPr>
        <w:pStyle w:val="Point0number"/>
        <w:rPr>
          <w:noProof/>
        </w:rPr>
      </w:pPr>
      <w:r>
        <w:rPr>
          <w:noProof/>
        </w:rPr>
        <w:t xml:space="preserve">The Committee agrees to undertake regular reviews of the operation of the Bali TRQ Decision every 3 years after the conclusion of this review. These regular reviews will include, </w:t>
      </w:r>
      <w:r>
        <w:rPr>
          <w:i/>
          <w:noProof/>
        </w:rPr>
        <w:t>inter alia</w:t>
      </w:r>
      <w:r>
        <w:rPr>
          <w:noProof/>
        </w:rPr>
        <w:t>, an examination of the utilization of the Underfill Mechanism by Members based on submissions by Members.</w:t>
      </w:r>
    </w:p>
    <w:p>
      <w:pPr>
        <w:spacing w:before="0" w:after="0"/>
        <w:jc w:val="center"/>
        <w:rPr>
          <w:noProof/>
          <w:szCs w:val="24"/>
        </w:rPr>
      </w:pPr>
      <w:r>
        <w:rPr>
          <w:b/>
          <w:noProof/>
          <w:szCs w:val="24"/>
        </w:rPr>
        <w:t>__________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firstLine="0"/>
      </w:pPr>
      <w:r>
        <w:rPr>
          <w:rStyle w:val="FootnoteReference"/>
          <w:szCs w:val="16"/>
        </w:rPr>
        <w:footnoteRef/>
      </w:r>
      <w:r>
        <w:tab/>
        <w:t>Paragraph 13 of WT/MIN(13)/39. No experience with regard to recourse to the Underfill Mechanism has yet been reported.</w:t>
      </w:r>
    </w:p>
  </w:footnote>
  <w:footnote w:id="2">
    <w:p>
      <w:pPr>
        <w:pStyle w:val="FootnoteText"/>
        <w:ind w:firstLine="0"/>
      </w:pPr>
      <w:r>
        <w:rPr>
          <w:rStyle w:val="FootnoteReference"/>
          <w:szCs w:val="16"/>
        </w:rPr>
        <w:footnoteRef/>
      </w:r>
      <w:r>
        <w:tab/>
        <w:t>Section 2.2.1 of G/AG/R/86 refers.</w:t>
      </w:r>
    </w:p>
  </w:footnote>
  <w:footnote w:id="3">
    <w:p>
      <w:pPr>
        <w:pStyle w:val="FootnoteText"/>
        <w:ind w:firstLine="0"/>
      </w:pPr>
      <w:r>
        <w:rPr>
          <w:rStyle w:val="FootnoteReference"/>
          <w:szCs w:val="16"/>
        </w:rPr>
        <w:footnoteRef/>
      </w:r>
      <w:r>
        <w:tab/>
        <w:t xml:space="preserve">Section 2.5.1 of G/AG/R/87 refers. </w:t>
      </w:r>
    </w:p>
  </w:footnote>
  <w:footnote w:id="4">
    <w:p>
      <w:pPr>
        <w:pStyle w:val="FootnoteText"/>
        <w:ind w:firstLine="0"/>
      </w:pPr>
      <w:r>
        <w:rPr>
          <w:rStyle w:val="FootnoteReference"/>
        </w:rPr>
        <w:footnoteRef/>
      </w:r>
      <w:r>
        <w:tab/>
        <w:t xml:space="preserve">At the June 2019 meeting, the Committee agreed to extend the timeline to the October 2019 meeting of the Committee to finalize the report of the Review.  </w:t>
      </w:r>
    </w:p>
  </w:footnote>
  <w:footnote w:id="5">
    <w:p>
      <w:pPr>
        <w:pStyle w:val="FootnoteText"/>
        <w:ind w:firstLine="0"/>
      </w:pPr>
      <w:r>
        <w:rPr>
          <w:rStyle w:val="FootnoteReference"/>
          <w:szCs w:val="16"/>
        </w:rPr>
        <w:footnoteRef/>
      </w:r>
      <w:r>
        <w:tab/>
        <w:t>G/AG/W/183.</w:t>
      </w:r>
    </w:p>
  </w:footnote>
  <w:footnote w:id="6">
    <w:p>
      <w:pPr>
        <w:pStyle w:val="FootnoteText"/>
        <w:ind w:firstLine="0"/>
        <w:rPr>
          <w:vertAlign w:val="superscript"/>
        </w:rPr>
      </w:pPr>
      <w:r>
        <w:rPr>
          <w:rStyle w:val="FootnoteReference"/>
          <w:szCs w:val="16"/>
        </w:rPr>
        <w:footnoteRef/>
      </w:r>
      <w:r>
        <w:tab/>
        <w:t>There is no agreement among Members on these elements or their treatment in the recommendations.</w:t>
      </w:r>
    </w:p>
  </w:footnote>
  <w:footnote w:id="7">
    <w:p>
      <w:pPr>
        <w:pStyle w:val="FootnoteText"/>
        <w:ind w:firstLine="0"/>
      </w:pPr>
      <w:r>
        <w:rPr>
          <w:rStyle w:val="FootnoteReference"/>
        </w:rPr>
        <w:footnoteRef/>
      </w:r>
      <w:r>
        <w:tab/>
        <w:t>Paragraph 9 of the Bali Ministerial Decision on TRQ refers to the reallocation process. Additionally, footnotes 3 and 5 of Annex A of the Bali Decision refer to the rights of Members holding a country-specific allocation specifically in the context of the underfill mechanism.</w:t>
      </w:r>
    </w:p>
  </w:footnote>
  <w:footnote w:id="8">
    <w:p>
      <w:pPr>
        <w:pStyle w:val="FootnoteText"/>
      </w:pPr>
      <w:r>
        <w:rPr>
          <w:rStyle w:val="FootnoteReference"/>
        </w:rPr>
        <w:footnoteRef/>
      </w:r>
      <w:r>
        <w:tab/>
      </w:r>
      <w:r>
        <w:rPr>
          <w:rFonts w:cs="Calibri"/>
          <w:szCs w:val="16"/>
          <w:lang w:val="en-US"/>
        </w:rPr>
        <w:t>Document G/AG/W/171 of 9 February 2018.</w:t>
      </w:r>
    </w:p>
  </w:footnote>
  <w:footnote w:id="9">
    <w:p>
      <w:pPr>
        <w:pStyle w:val="FootnoteText"/>
      </w:pPr>
      <w:r>
        <w:rPr>
          <w:rStyle w:val="FootnoteReference"/>
        </w:rPr>
        <w:footnoteRef/>
      </w:r>
      <w:r>
        <w:tab/>
        <w:t>WT/MIN (13)/39 AND WT/L/914</w:t>
      </w:r>
      <w:r>
        <w:rPr>
          <w:rStyle w:val="FootnoteReference"/>
          <w:szCs w:val="16"/>
          <w:lang w:val="en-US"/>
        </w:rPr>
        <w:t xml:space="preserve"> </w:t>
      </w:r>
      <w:r>
        <w:rPr>
          <w:szCs w:val="16"/>
          <w:lang w:val="en-US"/>
        </w:rPr>
        <w:t>dated 11 December 2013</w:t>
      </w:r>
      <w:r>
        <w:t>.</w:t>
      </w:r>
    </w:p>
  </w:footnote>
  <w:footnote w:id="10">
    <w:p>
      <w:pPr>
        <w:pStyle w:val="FootnoteText"/>
      </w:pPr>
      <w:r>
        <w:rPr>
          <w:rStyle w:val="FootnoteReference"/>
        </w:rPr>
        <w:footnoteRef/>
      </w:r>
      <w:r>
        <w:tab/>
        <w:t>The Secretariat background note may specifically include a list of TRQs where no Table MA:2 notification has been submitted or where the fill rate is below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3C97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C41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EE03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EEED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C038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A0C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E8B336"/>
    <w:lvl w:ilvl="0">
      <w:start w:val="1"/>
      <w:numFmt w:val="decimal"/>
      <w:pStyle w:val="ListNumber"/>
      <w:lvlText w:val="%1."/>
      <w:lvlJc w:val="left"/>
      <w:pPr>
        <w:tabs>
          <w:tab w:val="num" w:pos="360"/>
        </w:tabs>
        <w:ind w:left="360" w:hanging="360"/>
      </w:pPr>
    </w:lvl>
  </w:abstractNum>
  <w:abstractNum w:abstractNumId="7">
    <w:nsid w:val="FFFFFF89"/>
    <w:multiLevelType w:val="singleLevel"/>
    <w:tmpl w:val="F34060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551E12"/>
    <w:multiLevelType w:val="multilevel"/>
    <w:tmpl w:val="CC52177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5"/>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7"/>
  </w:num>
  <w:num w:numId="36">
    <w:abstractNumId w:val="18"/>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5:51: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5A2D73F-D901-422F-995A-5D4DA7F0D29F"/>
    <w:docVar w:name="LW_COVERPAGE_TYPE" w:val="1"/>
    <w:docVar w:name="LW_CROSSREFERENCE" w:val="&lt;UNUSED&gt;"/>
    <w:docVar w:name="LW_DocType" w:val="ANNEX"/>
    <w:docVar w:name="LW_EMISSION" w:val="30.10.2019"/>
    <w:docVar w:name="LW_EMISSION_ISODATE" w:val="2019-10-3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General Council of the World Trade Organisation "/>
    <w:docVar w:name="LW_OBJETACTEPRINCIPAL.CP" w:val="on the position to be taken on behalf of the European Union in the General Council of the World Trade Organisation "/>
    <w:docVar w:name="LW_PART_NBR" w:val="1"/>
    <w:docVar w:name="LW_PART_NBR_TOTAL" w:val="1"/>
    <w:docVar w:name="LW_REF.INST.NEW" w:val="COM"/>
    <w:docVar w:name="LW_REF.INST.NEW_ADOPTED" w:val="final"/>
    <w:docVar w:name="LW_REF.INST.NEW_TEXT" w:val="(2019) 5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_x000b_COUNCIL DECISION"/>
    <w:docVar w:name="LW_TYPEACTEPRINCIPAL.CP" w:val="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heme="majorEastAsia" w:hAnsi="Verdana" w:cstheme="majorBidi"/>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lang w:val="en-GB"/>
    </w:rPr>
  </w:style>
  <w:style w:type="paragraph" w:styleId="BodyText">
    <w:name w:val="Body Text"/>
    <w:basedOn w:val="Normal"/>
    <w:link w:val="BodyTextChar"/>
    <w:uiPriority w:val="1"/>
    <w:qFormat/>
    <w:pPr>
      <w:spacing w:before="0" w:after="240"/>
    </w:pPr>
    <w:rPr>
      <w:rFonts w:ascii="Verdana" w:hAnsi="Verdana" w:cstheme="minorBidi"/>
      <w:sz w:val="18"/>
    </w:rPr>
  </w:style>
  <w:style w:type="character" w:customStyle="1" w:styleId="BodyTextChar">
    <w:name w:val="Body Text Char"/>
    <w:basedOn w:val="DefaultParagraphFont"/>
    <w:link w:val="BodyText"/>
    <w:uiPriority w:val="1"/>
    <w:rPr>
      <w:rFonts w:ascii="Verdana" w:hAnsi="Verdana"/>
      <w:sz w:val="18"/>
      <w:lang w:val="en-GB"/>
    </w:rPr>
  </w:style>
  <w:style w:type="paragraph" w:styleId="BodyText2">
    <w:name w:val="Body Text 2"/>
    <w:basedOn w:val="Normal"/>
    <w:link w:val="BodyText2Char"/>
    <w:uiPriority w:val="1"/>
    <w:qFormat/>
    <w:pPr>
      <w:tabs>
        <w:tab w:val="left" w:pos="1134"/>
      </w:tabs>
      <w:spacing w:before="0" w:after="240"/>
      <w:ind w:left="1134" w:hanging="567"/>
    </w:pPr>
    <w:rPr>
      <w:rFonts w:ascii="Verdana" w:hAnsi="Verdana" w:cstheme="minorBidi"/>
      <w:sz w:val="18"/>
    </w:rPr>
  </w:style>
  <w:style w:type="character" w:customStyle="1" w:styleId="BodyText2Char">
    <w:name w:val="Body Text 2 Char"/>
    <w:basedOn w:val="DefaultParagraphFont"/>
    <w:link w:val="BodyText2"/>
    <w:uiPriority w:val="1"/>
    <w:rPr>
      <w:rFonts w:ascii="Verdana" w:hAnsi="Verdana"/>
      <w:sz w:val="18"/>
      <w:lang w:val="en-GB"/>
    </w:rPr>
  </w:style>
  <w:style w:type="paragraph" w:styleId="BodyText3">
    <w:name w:val="Body Text 3"/>
    <w:basedOn w:val="Normal"/>
    <w:link w:val="BodyText3Char"/>
    <w:uiPriority w:val="1"/>
    <w:qFormat/>
    <w:pPr>
      <w:tabs>
        <w:tab w:val="num" w:pos="1701"/>
      </w:tabs>
      <w:spacing w:before="0" w:after="240"/>
      <w:ind w:left="1701" w:hanging="567"/>
    </w:pPr>
    <w:rPr>
      <w:rFonts w:ascii="Verdana" w:hAnsi="Verdana" w:cstheme="minorBidi"/>
      <w:sz w:val="18"/>
      <w:szCs w:val="16"/>
    </w:rPr>
  </w:style>
  <w:style w:type="character" w:customStyle="1" w:styleId="BodyText3Char">
    <w:name w:val="Body Text 3 Char"/>
    <w:basedOn w:val="DefaultParagraphFont"/>
    <w:link w:val="BodyText3"/>
    <w:uiPriority w:val="1"/>
    <w:rPr>
      <w:rFonts w:ascii="Verdana" w:hAnsi="Verdana"/>
      <w:sz w:val="18"/>
      <w:szCs w:val="16"/>
      <w:lang w:val="en-GB"/>
    </w:rPr>
  </w:style>
  <w:style w:type="numbering" w:customStyle="1" w:styleId="LegalHeadings">
    <w:name w:val="LegalHeadings"/>
    <w:uiPriority w:val="99"/>
    <w:pPr>
      <w:numPr>
        <w:numId w:val="1"/>
      </w:numPr>
    </w:p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0"/>
    </w:pPr>
    <w:rPr>
      <w:rFonts w:ascii="Verdana" w:hAnsi="Verdana" w:cstheme="minorBidi"/>
      <w:sz w:val="20"/>
      <w:szCs w:val="20"/>
    </w:rPr>
  </w:style>
  <w:style w:type="character" w:customStyle="1" w:styleId="CommentTextChar">
    <w:name w:val="Comment Text Char"/>
    <w:basedOn w:val="DefaultParagraphFont"/>
    <w:link w:val="CommentText"/>
    <w:uiPriority w:val="99"/>
    <w:rPr>
      <w:rFonts w:ascii="Verdana" w:hAnsi="Verdana"/>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before="120" w:after="1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a">
    <w:name w:val="$"/>
    <w:basedOn w:val="Poin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heme="majorEastAsia" w:hAnsi="Verdana" w:cstheme="majorBidi"/>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lang w:val="en-GB"/>
    </w:rPr>
  </w:style>
  <w:style w:type="paragraph" w:styleId="BodyText">
    <w:name w:val="Body Text"/>
    <w:basedOn w:val="Normal"/>
    <w:link w:val="BodyTextChar"/>
    <w:uiPriority w:val="1"/>
    <w:qFormat/>
    <w:pPr>
      <w:spacing w:before="0" w:after="240"/>
    </w:pPr>
    <w:rPr>
      <w:rFonts w:ascii="Verdana" w:hAnsi="Verdana" w:cstheme="minorBidi"/>
      <w:sz w:val="18"/>
    </w:rPr>
  </w:style>
  <w:style w:type="character" w:customStyle="1" w:styleId="BodyTextChar">
    <w:name w:val="Body Text Char"/>
    <w:basedOn w:val="DefaultParagraphFont"/>
    <w:link w:val="BodyText"/>
    <w:uiPriority w:val="1"/>
    <w:rPr>
      <w:rFonts w:ascii="Verdana" w:hAnsi="Verdana"/>
      <w:sz w:val="18"/>
      <w:lang w:val="en-GB"/>
    </w:rPr>
  </w:style>
  <w:style w:type="paragraph" w:styleId="BodyText2">
    <w:name w:val="Body Text 2"/>
    <w:basedOn w:val="Normal"/>
    <w:link w:val="BodyText2Char"/>
    <w:uiPriority w:val="1"/>
    <w:qFormat/>
    <w:pPr>
      <w:tabs>
        <w:tab w:val="left" w:pos="1134"/>
      </w:tabs>
      <w:spacing w:before="0" w:after="240"/>
      <w:ind w:left="1134" w:hanging="567"/>
    </w:pPr>
    <w:rPr>
      <w:rFonts w:ascii="Verdana" w:hAnsi="Verdana" w:cstheme="minorBidi"/>
      <w:sz w:val="18"/>
    </w:rPr>
  </w:style>
  <w:style w:type="character" w:customStyle="1" w:styleId="BodyText2Char">
    <w:name w:val="Body Text 2 Char"/>
    <w:basedOn w:val="DefaultParagraphFont"/>
    <w:link w:val="BodyText2"/>
    <w:uiPriority w:val="1"/>
    <w:rPr>
      <w:rFonts w:ascii="Verdana" w:hAnsi="Verdana"/>
      <w:sz w:val="18"/>
      <w:lang w:val="en-GB"/>
    </w:rPr>
  </w:style>
  <w:style w:type="paragraph" w:styleId="BodyText3">
    <w:name w:val="Body Text 3"/>
    <w:basedOn w:val="Normal"/>
    <w:link w:val="BodyText3Char"/>
    <w:uiPriority w:val="1"/>
    <w:qFormat/>
    <w:pPr>
      <w:tabs>
        <w:tab w:val="num" w:pos="1701"/>
      </w:tabs>
      <w:spacing w:before="0" w:after="240"/>
      <w:ind w:left="1701" w:hanging="567"/>
    </w:pPr>
    <w:rPr>
      <w:rFonts w:ascii="Verdana" w:hAnsi="Verdana" w:cstheme="minorBidi"/>
      <w:sz w:val="18"/>
      <w:szCs w:val="16"/>
    </w:rPr>
  </w:style>
  <w:style w:type="character" w:customStyle="1" w:styleId="BodyText3Char">
    <w:name w:val="Body Text 3 Char"/>
    <w:basedOn w:val="DefaultParagraphFont"/>
    <w:link w:val="BodyText3"/>
    <w:uiPriority w:val="1"/>
    <w:rPr>
      <w:rFonts w:ascii="Verdana" w:hAnsi="Verdana"/>
      <w:sz w:val="18"/>
      <w:szCs w:val="16"/>
      <w:lang w:val="en-GB"/>
    </w:rPr>
  </w:style>
  <w:style w:type="numbering" w:customStyle="1" w:styleId="LegalHeadings">
    <w:name w:val="LegalHeadings"/>
    <w:uiPriority w:val="99"/>
    <w:pPr>
      <w:numPr>
        <w:numId w:val="1"/>
      </w:numPr>
    </w:p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0"/>
    </w:pPr>
    <w:rPr>
      <w:rFonts w:ascii="Verdana" w:hAnsi="Verdana" w:cstheme="minorBidi"/>
      <w:sz w:val="20"/>
      <w:szCs w:val="20"/>
    </w:rPr>
  </w:style>
  <w:style w:type="character" w:customStyle="1" w:styleId="CommentTextChar">
    <w:name w:val="Comment Text Char"/>
    <w:basedOn w:val="DefaultParagraphFont"/>
    <w:link w:val="CommentText"/>
    <w:uiPriority w:val="99"/>
    <w:rPr>
      <w:rFonts w:ascii="Verdana" w:hAnsi="Verdana"/>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before="120" w:after="1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a">
    <w:name w:val="$"/>
    <w:basedOn w:val="Poin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6</Pages>
  <Words>1322</Words>
  <Characters>7379</Characters>
  <Application>Microsoft Office Word</Application>
  <DocSecurity>0</DocSecurity>
  <Lines>167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BERNER Christiane (AGRI)</dc:creator>
  <cp:keywords/>
  <dc:description/>
  <cp:lastModifiedBy>WES PDFC Administrator</cp:lastModifiedBy>
  <cp:revision>12</cp:revision>
  <dcterms:created xsi:type="dcterms:W3CDTF">2019-10-11T08:05:00Z</dcterms:created>
  <dcterms:modified xsi:type="dcterms:W3CDTF">2019-10-28T14:51:00Z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