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7EEA2E9-9E21-4234-B1C2-F5022E21B7D5" style="width:450.75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lang w:eastAsia="en-GB"/>
        </w:rPr>
      </w:pPr>
      <w:bookmarkStart w:id="1" w:name="_GoBack"/>
      <w:bookmarkEnd w:id="1"/>
      <w:r>
        <w:rPr>
          <w:rFonts w:ascii="Times New Roman" w:eastAsia="Times New Roman" w:hAnsi="Times New Roman" w:cs="Times New Roman"/>
          <w:b/>
          <w:noProof/>
          <w:sz w:val="24"/>
          <w:szCs w:val="24"/>
          <w:lang w:eastAsia="en-GB"/>
        </w:rPr>
        <w:lastRenderedPageBreak/>
        <w:t>REPORT FROM THE COMMISSION TO THE EUROPEAN PARLIAMENT AND THE COUNCIL</w:t>
      </w:r>
    </w:p>
    <w:p>
      <w:pPr>
        <w:spacing w:before="360" w:after="12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Quality of petrol and diesel fuel used for road transport in the European Union</w:t>
      </w:r>
      <w:r>
        <w:rPr>
          <w:rFonts w:ascii="Times New Roman" w:eastAsia="Times New Roman" w:hAnsi="Times New Roman" w:cs="Times New Roman"/>
          <w:b/>
          <w:noProof/>
          <w:sz w:val="24"/>
          <w:szCs w:val="24"/>
          <w:lang w:eastAsia="en-GB"/>
        </w:rPr>
        <w:br/>
        <w:t>(Reporting year 2017)</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2" w:name="texte"/>
      <w:r>
        <w:rPr>
          <w:rFonts w:ascii="Times New Roman" w:eastAsia="Times New Roman" w:hAnsi="Times New Roman" w:cs="Times New Roman"/>
          <w:b/>
          <w:smallCaps/>
          <w:noProof/>
          <w:sz w:val="24"/>
          <w:szCs w:val="24"/>
          <w:lang w:eastAsia="en-GB"/>
        </w:rPr>
        <w:t>1.</w:t>
      </w:r>
      <w:r>
        <w:rPr>
          <w:rFonts w:ascii="Times New Roman" w:eastAsia="Times New Roman" w:hAnsi="Times New Roman" w:cs="Times New Roman"/>
          <w:b/>
          <w:smallCaps/>
          <w:noProof/>
          <w:sz w:val="24"/>
          <w:szCs w:val="24"/>
          <w:lang w:eastAsia="en-GB"/>
        </w:rPr>
        <w:tab/>
        <w:t>Introduction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Pursuant to Article 7a of Directive 98/70/EC</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 xml:space="preserve"> relating to the quality of petrol and diesel fuels (henceforth the "Fuel Quality Directive") and Article 5 of Council Directive (EU) 2015/652 laying down calculation methods and reporting requirements pursuant to Directive 98/70/EC</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Member States are required to report annually on the greenhouse gas (GHG) intensity of fuels and energy supplied in their territories.   This reporting obligation  applies for the first time for the reporting year 2017, following the application and transposition of Council Directive (EU) 2015/652.</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pusuant to Article 8(3) of Directive 98/70/EC Member States are required to report on national fuel quality data for the preceding calendar year..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annual report summarises the information provided by Member States in relation to the above-mentioned reporting requirements. It is based </w:t>
      </w:r>
      <w:r>
        <w:rPr>
          <w:rFonts w:ascii="Times New Roman" w:eastAsia="Calibri" w:hAnsi="Times New Roman" w:cs="Times New Roman"/>
          <w:noProof/>
          <w:sz w:val="24"/>
          <w:szCs w:val="24"/>
          <w:lang w:eastAsia="en-GB"/>
        </w:rPr>
        <w:t>on the data submitted by Member States to the European Environment Agency (EEA)</w:t>
      </w:r>
      <w:r>
        <w:rPr>
          <w:rFonts w:ascii="Times New Roman" w:eastAsia="Times New Roman" w:hAnsi="Times New Roman" w:cs="Times New Roman"/>
          <w:noProof/>
          <w:sz w:val="24"/>
          <w:szCs w:val="24"/>
          <w:lang w:eastAsia="en-GB"/>
        </w:rPr>
        <w:t xml:space="preserve"> for the year 2017. </w:t>
      </w:r>
    </w:p>
    <w:p>
      <w:pPr>
        <w:keepNext/>
        <w:tabs>
          <w:tab w:val="left" w:pos="850"/>
        </w:tabs>
        <w:spacing w:before="360" w:after="120" w:line="240" w:lineRule="auto"/>
        <w:ind w:left="864" w:hanging="864"/>
        <w:jc w:val="both"/>
        <w:outlineLvl w:val="0"/>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2.</w:t>
      </w:r>
      <w:r>
        <w:rPr>
          <w:rFonts w:ascii="Times New Roman" w:eastAsia="Times New Roman" w:hAnsi="Times New Roman" w:cs="Times New Roman"/>
          <w:b/>
          <w:smallCaps/>
          <w:noProof/>
          <w:sz w:val="24"/>
          <w:szCs w:val="24"/>
          <w:lang w:eastAsia="en-GB"/>
        </w:rPr>
        <w:tab/>
        <w:t>Volumes and life cycle greenhouse gas intensity of fuel and energy types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Article 7a of the Fuel Quality Directive, in conjunction with the Council Directive (EU) 2015/652, sets out reporting requirements concerning the following:</w:t>
      </w:r>
    </w:p>
    <w:p>
      <w:pPr>
        <w:pStyle w:val="EEATextbody"/>
        <w:numPr>
          <w:ilvl w:val="0"/>
          <w:numId w:val="41"/>
        </w:numPr>
        <w:rPr>
          <w:rFonts w:ascii="Times New Roman" w:hAnsi="Times New Roman" w:cs="Times New Roman"/>
          <w:noProof/>
          <w:sz w:val="24"/>
          <w:szCs w:val="24"/>
        </w:rPr>
      </w:pPr>
      <w:r>
        <w:rPr>
          <w:rFonts w:ascii="Times New Roman" w:hAnsi="Times New Roman" w:cs="Times New Roman"/>
          <w:noProof/>
          <w:sz w:val="24"/>
          <w:szCs w:val="24"/>
        </w:rPr>
        <w:t>the total volume of each type of fuel or energy supplied for road transport and non-road mobile machinery (including inland waterway vessels when not at sea), agricultural and forestry tractors, and recreational craft when not at sea;</w:t>
      </w:r>
    </w:p>
    <w:p>
      <w:pPr>
        <w:pStyle w:val="EEATextbody"/>
        <w:numPr>
          <w:ilvl w:val="0"/>
          <w:numId w:val="41"/>
        </w:numPr>
        <w:rPr>
          <w:rFonts w:ascii="Times New Roman" w:hAnsi="Times New Roman" w:cs="Times New Roman"/>
          <w:noProof/>
          <w:sz w:val="24"/>
          <w:szCs w:val="24"/>
        </w:rPr>
      </w:pPr>
      <w:r>
        <w:rPr>
          <w:rFonts w:ascii="Times New Roman" w:hAnsi="Times New Roman" w:cs="Times New Roman"/>
          <w:noProof/>
          <w:sz w:val="24"/>
          <w:szCs w:val="24"/>
        </w:rPr>
        <w:t>the life cycle GHG emissions per unit of energy, including the provisional mean values of the estimated indirect land use change (ILUC) emissions from biofuels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EEATextbody"/>
        <w:numPr>
          <w:ilvl w:val="0"/>
          <w:numId w:val="41"/>
        </w:numPr>
        <w:rPr>
          <w:rFonts w:ascii="Times New Roman" w:hAnsi="Times New Roman" w:cs="Times New Roman"/>
          <w:noProof/>
          <w:sz w:val="24"/>
          <w:szCs w:val="24"/>
        </w:rPr>
      </w:pPr>
      <w:r>
        <w:rPr>
          <w:rFonts w:ascii="Times New Roman" w:eastAsia="Times New Roman" w:hAnsi="Times New Roman" w:cs="Times New Roman"/>
          <w:noProof/>
          <w:color w:val="auto"/>
          <w:sz w:val="24"/>
          <w:szCs w:val="24"/>
        </w:rPr>
        <w:t>the feedstock and the biofuel production pathway used for each of the biofuels supplied on the territories of Member States.</w:t>
      </w:r>
    </w:p>
    <w:p>
      <w:pPr>
        <w:pStyle w:val="EEATextbody"/>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The Fuel Quality Directive obliges Member States to require fuel suppliers to reduce the life cycle GHG intensity of transport fuels, i.e. the life cycle GHG emissions per unit of energy from fuel and energy supplied, by a minimum of 6 % by 31 December 2020 compared with the </w:t>
      </w:r>
      <w:r>
        <w:rPr>
          <w:noProof/>
        </w:rPr>
        <w:t>fuel baseline standard for 2010 of  94,1 gCO2eq/MJ</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r>
        <w:rPr>
          <w:rFonts w:ascii="Times New Roman" w:eastAsia="Times New Roman" w:hAnsi="Times New Roman" w:cs="Times New Roman"/>
          <w:noProof/>
          <w:color w:val="auto"/>
          <w:sz w:val="24"/>
          <w:szCs w:val="24"/>
        </w:rPr>
        <w:t>ILUC GHG emissions are not taken into account in assessing compliance with the minimum 6% reduction target.</w:t>
      </w:r>
    </w:p>
    <w:p>
      <w:pPr>
        <w:pStyle w:val="EEATextbody"/>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Given that 2017 is the first reporting year, and the transposition of Council Directive (EU) 2015/652 was delayed in many Member States, this first report on the volumes and life cycle greenhouse gas intensity of fuel and energy types is not yet complete. A total of 22 </w:t>
      </w:r>
      <w:r>
        <w:rPr>
          <w:rFonts w:ascii="Times New Roman" w:eastAsia="Times New Roman" w:hAnsi="Times New Roman" w:cs="Times New Roman"/>
          <w:noProof/>
          <w:color w:val="auto"/>
          <w:sz w:val="24"/>
          <w:szCs w:val="24"/>
        </w:rPr>
        <w:t>Member States as well as Iceland and Norway, provided corresponding data in the appropriate format. Estonia, Lithuania, Poland, Portugal, Romania and Spain submitted reports on the quality of the fuels placed on the market by fuel suppliers but not on their greenhouse gas intensity</w:t>
      </w:r>
      <w:r>
        <w:rPr>
          <w:rStyle w:val="FootnoteReference"/>
          <w:rFonts w:ascii="Times New Roman" w:eastAsia="Times New Roman" w:hAnsi="Times New Roman" w:cs="Times New Roman"/>
          <w:noProof/>
          <w:color w:val="auto"/>
          <w:sz w:val="24"/>
          <w:szCs w:val="24"/>
        </w:rPr>
        <w:footnoteReference w:id="6"/>
      </w:r>
      <w:r>
        <w:rPr>
          <w:rFonts w:ascii="Times New Roman" w:eastAsia="Times New Roman" w:hAnsi="Times New Roman" w:cs="Times New Roman"/>
          <w:noProof/>
          <w:color w:val="auto"/>
          <w:sz w:val="24"/>
          <w:szCs w:val="24"/>
        </w:rPr>
        <w:t xml:space="preserve">. </w:t>
      </w:r>
    </w:p>
    <w:p>
      <w:pPr>
        <w:rPr>
          <w:rFonts w:ascii="Times New Roman" w:eastAsia="Times New Roman" w:hAnsi="Times New Roman" w:cs="Times New Roman"/>
          <w:noProof/>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rPr>
        <w:t>2.1</w:t>
      </w:r>
      <w:r>
        <w:rPr>
          <w:rFonts w:ascii="Times New Roman" w:hAnsi="Times New Roman" w:cs="Times New Roman"/>
          <w:bCs w:val="0"/>
          <w:noProof/>
          <w:color w:val="000000" w:themeColor="text1"/>
          <w:sz w:val="24"/>
          <w:szCs w:val="24"/>
        </w:rPr>
        <w:tab/>
        <w:t>Greenhouse gas emissions and distance to 2020 target</w:t>
      </w:r>
    </w:p>
    <w:p>
      <w:pPr>
        <w:pStyle w:val="EEATextbody"/>
        <w:rPr>
          <w:rFonts w:ascii="Times New Roman" w:hAnsi="Times New Roman" w:cs="Times New Roman"/>
          <w:noProof/>
          <w:sz w:val="24"/>
          <w:szCs w:val="24"/>
        </w:rPr>
      </w:pPr>
      <w:r>
        <w:rPr>
          <w:rFonts w:ascii="Times New Roman" w:eastAsia="Times New Roman" w:hAnsi="Times New Roman" w:cs="Times New Roman"/>
          <w:noProof/>
          <w:color w:val="auto"/>
          <w:sz w:val="24"/>
          <w:szCs w:val="24"/>
        </w:rPr>
        <w:t>According to the data provided, t</w:t>
      </w:r>
      <w:r>
        <w:rPr>
          <w:rFonts w:ascii="Times New Roman" w:hAnsi="Times New Roman" w:cs="Times New Roman"/>
          <w:noProof/>
          <w:sz w:val="24"/>
          <w:szCs w:val="24"/>
        </w:rPr>
        <w:t>he average GHG intensity of the fuels and energy supplied in the 22 reporting Member States in 2017 was 3.4 % lower than the 2010 baseline. This corresponds to a saving of 29 Mt carbon dioxide equivalent (CO</w:t>
      </w:r>
      <w:r>
        <w:rPr>
          <w:rFonts w:ascii="Times New Roman" w:hAnsi="Times New Roman" w:cs="Times New Roman"/>
          <w:noProof/>
          <w:sz w:val="24"/>
          <w:szCs w:val="24"/>
          <w:vertAlign w:val="subscript"/>
        </w:rPr>
        <w:t>2eq</w:t>
      </w:r>
      <w:r>
        <w:rPr>
          <w:rFonts w:ascii="Times New Roman" w:hAnsi="Times New Roman" w:cs="Times New Roman"/>
          <w:noProof/>
          <w:sz w:val="24"/>
          <w:szCs w:val="24"/>
        </w:rPr>
        <w:t xml:space="preserve">) in the year 2017. </w:t>
      </w:r>
    </w:p>
    <w:p>
      <w:pPr>
        <w:pStyle w:val="EEATextbody"/>
        <w:rPr>
          <w:rFonts w:ascii="Times New Roman" w:hAnsi="Times New Roman" w:cs="Times New Roman"/>
          <w:noProof/>
          <w:color w:val="auto"/>
          <w:sz w:val="24"/>
          <w:szCs w:val="24"/>
        </w:rPr>
      </w:pPr>
      <w:r>
        <w:rPr>
          <w:rFonts w:ascii="Times New Roman" w:hAnsi="Times New Roman" w:cs="Times New Roman"/>
          <w:noProof/>
          <w:sz w:val="24"/>
          <w:szCs w:val="24"/>
        </w:rPr>
        <w:t xml:space="preserve">To ensure the delivery of the minimum 6 % reduction target by 2020, the Fuel Quality Directive specifies that </w:t>
      </w:r>
      <w:r>
        <w:rPr>
          <w:rFonts w:ascii="Times New Roman" w:hAnsi="Times New Roman" w:cs="Times New Roman"/>
          <w:noProof/>
          <w:color w:val="auto"/>
          <w:sz w:val="24"/>
          <w:szCs w:val="24"/>
        </w:rPr>
        <w:t xml:space="preserve">Member States may require fuel suppliers to comply with an intermediate reduction target of 4 % for the year 2017. </w:t>
      </w:r>
    </w:p>
    <w:p>
      <w:pPr>
        <w:pStyle w:val="EEATextbody"/>
        <w:rPr>
          <w:rFonts w:ascii="Times New Roman" w:hAnsi="Times New Roman" w:cs="Times New Roman"/>
          <w:noProof/>
          <w:sz w:val="24"/>
          <w:szCs w:val="24"/>
        </w:rPr>
      </w:pPr>
      <w:r>
        <w:rPr>
          <w:rFonts w:ascii="Times New Roman" w:hAnsi="Times New Roman" w:cs="Times New Roman"/>
          <w:noProof/>
          <w:color w:val="auto"/>
          <w:sz w:val="24"/>
          <w:szCs w:val="24"/>
        </w:rPr>
        <w:t xml:space="preserve">Using this as a reference to assess the progress achieved indicates that, in 2017, EU fuel suppliers in the 22 reporting Member States were on average behind their objective of reducing </w:t>
      </w:r>
      <w:r>
        <w:rPr>
          <w:rFonts w:ascii="Times New Roman" w:hAnsi="Times New Roman" w:cs="Times New Roman"/>
          <w:noProof/>
          <w:sz w:val="24"/>
          <w:szCs w:val="24"/>
        </w:rPr>
        <w:t>the GHG intensity of transport fuels by 6 % by 2020, compared with 2010 (Figure 1). It is to be noted that in 2017 no upstream emission reductions (UER)</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were reported. These are expected to contribute to the reduction target in the year 2020 for which they have to be reported.</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The progress achieved by fuel suppliers varies greatly across Member States. In 5 of the 22 reporting Member States, reductions were equal to or greater than 4 %, with Sweden being the only Member State having already exceeded the 6 % reduction target for 2020. Therefore, a</w:t>
      </w:r>
      <w:r>
        <w:rPr>
          <w:rFonts w:ascii="Times New Roman" w:hAnsi="Times New Roman" w:cs="Times New Roman"/>
          <w:noProof/>
          <w:sz w:val="24"/>
          <w:szCs w:val="24"/>
        </w:rPr>
        <w:t>lmost all Member States need to take swiftly further action to ensure that the 2020 target is met.</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Taking ILUC emissions into account</w:t>
      </w:r>
      <w:r>
        <w:rPr>
          <w:rStyle w:val="FootnoteReference"/>
          <w:rFonts w:ascii="Times New Roman" w:eastAsia="Times New Roman" w:hAnsi="Times New Roman" w:cs="Times New Roman"/>
          <w:noProof/>
          <w:color w:val="auto"/>
          <w:sz w:val="24"/>
          <w:szCs w:val="24"/>
        </w:rPr>
        <w:footnoteReference w:id="8"/>
      </w:r>
      <w:r>
        <w:rPr>
          <w:rFonts w:ascii="Times New Roman" w:eastAsia="Times New Roman" w:hAnsi="Times New Roman" w:cs="Times New Roman"/>
          <w:noProof/>
          <w:color w:val="auto"/>
          <w:sz w:val="24"/>
          <w:szCs w:val="24"/>
        </w:rPr>
        <w:t xml:space="preserve">, the average GHG intensity of the fuels consumed in 2017 was 2.3 % lower than in 2010. This corresponds to a saving of slightly less than 20 Mt </w:t>
      </w:r>
      <w:r>
        <w:rPr>
          <w:rFonts w:ascii="Times New Roman" w:hAnsi="Times New Roman" w:cs="Times New Roman"/>
          <w:noProof/>
          <w:sz w:val="24"/>
          <w:szCs w:val="24"/>
        </w:rPr>
        <w:t>CO</w:t>
      </w:r>
      <w:r>
        <w:rPr>
          <w:rFonts w:ascii="Times New Roman" w:hAnsi="Times New Roman" w:cs="Times New Roman"/>
          <w:noProof/>
          <w:sz w:val="24"/>
          <w:szCs w:val="24"/>
          <w:vertAlign w:val="subscript"/>
        </w:rPr>
        <w:t>2eq</w:t>
      </w:r>
      <w:r>
        <w:rPr>
          <w:rFonts w:ascii="Times New Roman" w:eastAsia="Times New Roman" w:hAnsi="Times New Roman" w:cs="Times New Roman"/>
          <w:noProof/>
          <w:color w:val="auto"/>
          <w:sz w:val="24"/>
          <w:szCs w:val="24"/>
        </w:rPr>
        <w:t xml:space="preserve"> in the year 2017. ILUC emissions are not taken into account in assessing compliance with the minimum 6% reduction target.</w:t>
      </w:r>
    </w:p>
    <w:p>
      <w:pPr>
        <w:pStyle w:val="EEATextbody"/>
        <w:keepNext/>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243840</wp:posOffset>
            </wp:positionV>
            <wp:extent cx="5749290" cy="352996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290" cy="3529965"/>
                    </a:xfrm>
                    <a:prstGeom prst="rect">
                      <a:avLst/>
                    </a:prstGeom>
                    <a:noFill/>
                  </pic:spPr>
                </pic:pic>
              </a:graphicData>
            </a:graphic>
          </wp:anchor>
        </w:drawing>
      </w:r>
    </w:p>
    <w:p>
      <w:pPr>
        <w:pStyle w:val="EEATextbody"/>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Source: EEA</w:t>
      </w:r>
      <w:r>
        <w:rPr>
          <w:rFonts w:ascii="Times New Roman" w:hAnsi="Times New Roman" w:cs="Times New Roman"/>
          <w:noProof/>
          <w:sz w:val="20"/>
          <w:szCs w:val="20"/>
        </w:rPr>
        <w:t xml:space="preserve"> </w:t>
      </w:r>
    </w:p>
    <w:p>
      <w:pPr>
        <w:pStyle w:val="EEATextbody"/>
        <w:keepNext/>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rPr>
        <w:t>Figure 1: Reductions in GHG intensity of fuels achieved by EU fuel suppliers in the 22 reporting Member States, 2010-2017</w:t>
      </w:r>
    </w:p>
    <w:p>
      <w:pPr>
        <w:pStyle w:val="EEATextbody"/>
        <w:rPr>
          <w:rFonts w:ascii="Times New Roman" w:eastAsia="Times New Roman" w:hAnsi="Times New Roman" w:cs="Times New Roman"/>
          <w:noProof/>
          <w:color w:val="auto"/>
          <w:sz w:val="24"/>
          <w:szCs w:val="24"/>
        </w:rPr>
      </w:pPr>
    </w:p>
    <w:p>
      <w:pPr>
        <w:pStyle w:val="EEABoxcaption"/>
        <w:ind w:left="0" w:firstLine="0"/>
        <w:jc w:val="both"/>
        <w:rPr>
          <w:rFonts w:ascii="Times New Roman" w:hAnsi="Times New Roman" w:cs="Times New Roman"/>
          <w:noProof/>
          <w:sz w:val="24"/>
          <w:szCs w:val="24"/>
        </w:rPr>
      </w:pPr>
      <w:r>
        <w:rPr>
          <w:rFonts w:ascii="Times New Roman" w:hAnsi="Times New Roman" w:cs="Times New Roman"/>
          <w:bCs w:val="0"/>
          <w:noProof/>
          <w:color w:val="000000" w:themeColor="text1"/>
          <w:sz w:val="24"/>
          <w:szCs w:val="24"/>
        </w:rPr>
        <w:t>2.2</w:t>
      </w:r>
      <w:r>
        <w:rPr>
          <w:rFonts w:ascii="Times New Roman" w:hAnsi="Times New Roman" w:cs="Times New Roman"/>
          <w:bCs w:val="0"/>
          <w:noProof/>
          <w:color w:val="000000" w:themeColor="text1"/>
          <w:sz w:val="24"/>
          <w:szCs w:val="24"/>
        </w:rPr>
        <w:tab/>
        <w:t>Fuel supply</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This section provides the data submitted for the first time by 22 reporting Member States on all fossil fuels, biofuels and fuels of non-biological origin within the scope of the Fuel Quality Directive for road transport and non-road mobile machinery.</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Total fuel supply reported was 8 976 petajoules (PJ), of which 95.5 % was from fossil fuels, and 4.5 % was from biofuels. No renewable fuels of non-biological origin were reported in 2017.</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The fossil fuel supply in 2017 was dominated by diesel (55.8 %; 5 007 PJ), followed by petrol (27.6 %; 2 474 PJ) and gas oil (14.8 %; 1 324 PJ). Liquefied petroleum gas and compressed natural gas had a total share of 1.8 % (167 PJ).</w:t>
      </w:r>
    </w:p>
    <w:p>
      <w:pPr>
        <w:pStyle w:val="EEABoxcaption"/>
        <w:jc w:val="both"/>
        <w:rPr>
          <w:rFonts w:ascii="Times New Roman" w:hAnsi="Times New Roman" w:cs="Times New Roman"/>
          <w:bCs w:val="0"/>
          <w:noProof/>
          <w:color w:val="000000" w:themeColor="text1"/>
          <w:sz w:val="24"/>
          <w:szCs w:val="24"/>
        </w:rPr>
      </w:pPr>
    </w:p>
    <w:p>
      <w:pPr>
        <w:pStyle w:val="EEABoxcaption"/>
        <w:jc w:val="both"/>
        <w:rPr>
          <w:rFonts w:ascii="Times New Roman" w:hAnsi="Times New Roman" w:cs="Times New Roman"/>
          <w:bCs w:val="0"/>
          <w:noProof/>
          <w:color w:val="000000" w:themeColor="text1"/>
          <w:sz w:val="24"/>
          <w:szCs w:val="24"/>
        </w:rPr>
      </w:pPr>
      <w:r>
        <w:rPr>
          <w:rFonts w:ascii="Times New Roman" w:hAnsi="Times New Roman" w:cs="Times New Roman"/>
          <w:noProof/>
          <w:sz w:val="24"/>
          <w:szCs w:val="24"/>
          <w:lang w:eastAsia="en-GB"/>
        </w:rPr>
        <w:drawing>
          <wp:inline distT="0" distB="0" distL="0" distR="0">
            <wp:extent cx="5730875" cy="3651885"/>
            <wp:effectExtent l="19050" t="19050" r="2222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3651885"/>
                    </a:xfrm>
                    <a:prstGeom prst="rect">
                      <a:avLst/>
                    </a:prstGeom>
                    <a:noFill/>
                    <a:ln>
                      <a:solidFill>
                        <a:schemeClr val="accent1"/>
                      </a:solidFill>
                    </a:ln>
                  </pic:spPr>
                </pic:pic>
              </a:graphicData>
            </a:graphic>
          </wp:inline>
        </w:drawing>
      </w:r>
    </w:p>
    <w:p>
      <w:pPr>
        <w:pStyle w:val="EEATextbody"/>
        <w:rPr>
          <w:rFonts w:ascii="Times New Roman" w:eastAsia="Times New Roman" w:hAnsi="Times New Roman" w:cs="Times New Roman"/>
          <w:noProof/>
          <w:color w:val="auto"/>
          <w:sz w:val="20"/>
          <w:szCs w:val="20"/>
        </w:rPr>
      </w:pPr>
      <w:bookmarkStart w:id="3" w:name="_Ref6565416"/>
      <w:r>
        <w:rPr>
          <w:rFonts w:ascii="Times New Roman" w:eastAsia="Times New Roman" w:hAnsi="Times New Roman" w:cs="Times New Roman"/>
          <w:noProof/>
          <w:color w:val="auto"/>
          <w:sz w:val="20"/>
          <w:szCs w:val="20"/>
        </w:rPr>
        <w:t>Source: EEA</w:t>
      </w:r>
      <w:r>
        <w:rPr>
          <w:rFonts w:ascii="Times New Roman" w:hAnsi="Times New Roman" w:cs="Times New Roman"/>
          <w:noProof/>
          <w:sz w:val="20"/>
          <w:szCs w:val="20"/>
        </w:rPr>
        <w:t xml:space="preserve"> </w:t>
      </w:r>
    </w:p>
    <w:p>
      <w:pPr>
        <w:pStyle w:val="EEATextbody"/>
        <w:keepNext/>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rPr>
        <w:t>Figure</w:t>
      </w:r>
      <w:bookmarkEnd w:id="3"/>
      <w:r>
        <w:rPr>
          <w:rFonts w:ascii="Times New Roman" w:eastAsia="Times New Roman" w:hAnsi="Times New Roman" w:cs="Times New Roman"/>
          <w:b/>
          <w:noProof/>
          <w:color w:val="auto"/>
          <w:sz w:val="24"/>
          <w:szCs w:val="24"/>
        </w:rPr>
        <w:t xml:space="preserve"> 2: Fossil fuel energy supply shares per fuel type in 2017 in the 22 reporting Member States</w:t>
      </w:r>
    </w:p>
    <w:p>
      <w:pPr>
        <w:pStyle w:val="EEABoxcaption"/>
        <w:jc w:val="both"/>
        <w:rPr>
          <w:rFonts w:ascii="Times New Roman" w:hAnsi="Times New Roman" w:cs="Times New Roman"/>
          <w:bCs w:val="0"/>
          <w:noProof/>
          <w:color w:val="000000" w:themeColor="text1"/>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rPr>
        <w:t>2.3</w:t>
      </w:r>
      <w:r>
        <w:rPr>
          <w:rFonts w:ascii="Times New Roman" w:hAnsi="Times New Roman" w:cs="Times New Roman"/>
          <w:bCs w:val="0"/>
          <w:noProof/>
          <w:color w:val="000000" w:themeColor="text1"/>
          <w:sz w:val="24"/>
          <w:szCs w:val="24"/>
        </w:rPr>
        <w:tab/>
        <w:t>Biofuel consumption</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The biofuels consumption in the 22 reporting Member States was dominated by biodiesel (fatty acid methyl ester, FAME) (62.3 %; 267 PJ), followed by bioethanol (17.5 %; 75 PJ) and hydrotreated vegetable oil (HVO; 16.6 %; 71 PJ). Bio-ethyl tert-butyl ether (bio-ETBE) and biogas account for almost 3 % (12 PJ). All other biofuels represented a much smaller share (about 1 %). Detailed information for all biofuels and pathways can be found in the </w:t>
      </w:r>
      <w:r>
        <w:rPr>
          <w:rFonts w:ascii="Times New Roman" w:eastAsia="Times New Roman" w:hAnsi="Times New Roman" w:cs="Times New Roman"/>
          <w:noProof/>
          <w:sz w:val="24"/>
          <w:szCs w:val="24"/>
          <w:lang w:eastAsia="en-GB"/>
        </w:rPr>
        <w:t>EEA Technical report on ‘Quality and greenhouse gas intensities of transport fuels in the EU in 2017’.</w:t>
      </w:r>
    </w:p>
    <w:p>
      <w:pPr>
        <w:pStyle w:val="EEATextbody"/>
        <w:keepNext/>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lang w:eastAsia="en-GB"/>
        </w:rPr>
        <w:drawing>
          <wp:inline distT="0" distB="0" distL="0" distR="0">
            <wp:extent cx="5730875" cy="33166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316605"/>
                    </a:xfrm>
                    <a:prstGeom prst="rect">
                      <a:avLst/>
                    </a:prstGeom>
                    <a:noFill/>
                  </pic:spPr>
                </pic:pic>
              </a:graphicData>
            </a:graphic>
          </wp:inline>
        </w:drawing>
      </w:r>
    </w:p>
    <w:p>
      <w:pPr>
        <w:pStyle w:val="EEAFigurecaption"/>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30875" cy="3316605"/>
            <wp:effectExtent l="19050" t="19050" r="22225"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316605"/>
                    </a:xfrm>
                    <a:prstGeom prst="rect">
                      <a:avLst/>
                    </a:prstGeom>
                    <a:noFill/>
                    <a:ln>
                      <a:solidFill>
                        <a:schemeClr val="accent1"/>
                      </a:solidFill>
                    </a:ln>
                  </pic:spPr>
                </pic:pic>
              </a:graphicData>
            </a:graphic>
          </wp:inline>
        </w:drawing>
      </w:r>
    </w:p>
    <w:p>
      <w:pPr>
        <w:pStyle w:val="EEATextbody"/>
        <w:rPr>
          <w:rFonts w:ascii="Times New Roman" w:hAnsi="Times New Roman" w:cs="Times New Roman"/>
          <w:noProof/>
          <w:sz w:val="20"/>
          <w:szCs w:val="24"/>
        </w:rPr>
      </w:pPr>
      <w:r>
        <w:rPr>
          <w:rFonts w:ascii="Times New Roman" w:hAnsi="Times New Roman" w:cs="Times New Roman"/>
          <w:noProof/>
          <w:sz w:val="20"/>
          <w:szCs w:val="24"/>
        </w:rPr>
        <w:t>Note: ETBE: ethyl tert-butyl ether; MTBE: methyl tert-butyl ether; TAEE: tert-amyl ethyl ether.</w:t>
      </w:r>
    </w:p>
    <w:p>
      <w:pPr>
        <w:pStyle w:val="EEATextbody"/>
        <w:keepNext/>
        <w:rPr>
          <w:rFonts w:ascii="Times New Roman" w:eastAsia="Times New Roman" w:hAnsi="Times New Roman" w:cs="Times New Roman"/>
          <w:b/>
          <w:noProof/>
          <w:color w:val="auto"/>
          <w:sz w:val="24"/>
          <w:szCs w:val="24"/>
        </w:rPr>
      </w:pPr>
      <w:bookmarkStart w:id="4" w:name="_Ref6565439"/>
      <w:r>
        <w:rPr>
          <w:rFonts w:ascii="Times New Roman" w:eastAsia="Times New Roman" w:hAnsi="Times New Roman" w:cs="Times New Roman"/>
          <w:b/>
          <w:noProof/>
          <w:color w:val="auto"/>
          <w:sz w:val="24"/>
          <w:szCs w:val="24"/>
        </w:rPr>
        <w:t>Figure</w:t>
      </w:r>
      <w:bookmarkEnd w:id="4"/>
      <w:r>
        <w:rPr>
          <w:rFonts w:ascii="Times New Roman" w:eastAsia="Times New Roman" w:hAnsi="Times New Roman" w:cs="Times New Roman"/>
          <w:b/>
          <w:noProof/>
          <w:color w:val="auto"/>
          <w:sz w:val="24"/>
          <w:szCs w:val="24"/>
        </w:rPr>
        <w:t xml:space="preserve"> 3: Biofuel energy supply shares per fuel type in 2017 in 22 reporting Member States</w:t>
      </w:r>
    </w:p>
    <w:p>
      <w:pPr>
        <w:pStyle w:val="EEATextbody"/>
        <w:rPr>
          <w:rFonts w:ascii="Times New Roman" w:eastAsia="Times New Roman" w:hAnsi="Times New Roman" w:cs="Times New Roman"/>
          <w:noProof/>
          <w:color w:val="auto"/>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rPr>
        <w:t>2.4</w:t>
      </w:r>
      <w:r>
        <w:rPr>
          <w:rFonts w:ascii="Times New Roman" w:hAnsi="Times New Roman" w:cs="Times New Roman"/>
          <w:bCs w:val="0"/>
          <w:noProof/>
          <w:color w:val="000000" w:themeColor="text1"/>
          <w:sz w:val="24"/>
          <w:szCs w:val="24"/>
        </w:rPr>
        <w:tab/>
        <w:t>Electricity consumption</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Only seven Member States reported the electricity consumed by electric vehicles and motorcycles (1.2 PJ in total). As this reporting by fuel suppliers is voluntary, the reported quantity of electricity was below the actually consumed quantity in 2017.</w:t>
      </w:r>
    </w:p>
    <w:p>
      <w:pPr>
        <w:pStyle w:val="EEATextbody"/>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5" w:name="_Toc283899343"/>
      <w:bookmarkStart w:id="6" w:name="_Ref283900304"/>
      <w:bookmarkStart w:id="7" w:name="_Ref283900315"/>
      <w:r>
        <w:rPr>
          <w:rFonts w:ascii="Times New Roman" w:eastAsia="Times New Roman" w:hAnsi="Times New Roman" w:cs="Times New Roman"/>
          <w:b/>
          <w:smallCaps/>
          <w:noProof/>
          <w:sz w:val="24"/>
          <w:szCs w:val="24"/>
          <w:lang w:eastAsia="en-GB"/>
        </w:rPr>
        <w:t>3.</w:t>
      </w:r>
      <w:r>
        <w:rPr>
          <w:rFonts w:ascii="Times New Roman" w:eastAsia="Times New Roman" w:hAnsi="Times New Roman" w:cs="Times New Roman"/>
          <w:b/>
          <w:smallCaps/>
          <w:noProof/>
          <w:sz w:val="24"/>
          <w:szCs w:val="24"/>
          <w:lang w:eastAsia="en-GB"/>
        </w:rPr>
        <w:tab/>
        <w:t>Overview of the 2017 fuel quality data in the EU</w:t>
      </w:r>
      <w:bookmarkEnd w:id="5"/>
      <w:bookmarkEnd w:id="6"/>
      <w:bookmarkEnd w:id="7"/>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According to Article 8 of the Fuel Quality Directive, all Member States, as well as Iceland, submitted reports on national fuel quality data for the year 2017.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This section provides the data for petrol and diesel sales, and the bio-components included therein, for road transport reported by all EU Member States. It excludes other fossil fuels, other biofuels and fuels of non-biological origin, as well as fuels used for non-road mobile machinery. </w:t>
      </w:r>
    </w:p>
    <w:p>
      <w:pPr>
        <w:pStyle w:val="EEATextbody"/>
        <w:rPr>
          <w:rFonts w:ascii="Times New Roman" w:hAnsi="Times New Roman" w:cs="Times New Roman"/>
          <w:noProof/>
          <w:sz w:val="24"/>
          <w:szCs w:val="24"/>
        </w:rPr>
      </w:pPr>
    </w:p>
    <w:p>
      <w:pPr>
        <w:pStyle w:val="EEATextbody"/>
        <w:rPr>
          <w:rFonts w:ascii="Times New Roman" w:hAnsi="Times New Roman" w:cs="Times New Roman"/>
          <w:noProof/>
          <w:sz w:val="24"/>
          <w:szCs w:val="24"/>
        </w:rPr>
      </w:pPr>
      <w:r>
        <w:rPr>
          <w:rFonts w:ascii="Times New Roman" w:hAnsi="Times New Roman" w:cs="Times New Roman"/>
          <w:b/>
          <w:noProof/>
          <w:sz w:val="24"/>
          <w:szCs w:val="24"/>
        </w:rPr>
        <w:t>3.1</w:t>
      </w:r>
      <w:r>
        <w:rPr>
          <w:rFonts w:ascii="Times New Roman" w:hAnsi="Times New Roman" w:cs="Times New Roman"/>
          <w:b/>
          <w:noProof/>
          <w:sz w:val="24"/>
          <w:szCs w:val="24"/>
        </w:rPr>
        <w:tab/>
        <w:t>Petrol and diesel and biocomponent content</w:t>
      </w:r>
      <w:r>
        <w:rPr>
          <w:rFonts w:ascii="Times New Roman" w:hAnsi="Times New Roman" w:cs="Times New Roman"/>
          <w:noProof/>
          <w:sz w:val="24"/>
          <w:szCs w:val="24"/>
        </w:rPr>
        <w:t xml:space="preserve">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Diesel continues to dominate fuel sales in the EU: 72.3 % (270 668 million litres) of fuel sold in 2017 was diesel and 27.7 % was petrol (103 766 million litres). Petrol sales in 2017 increased by 2.9 % compared with 2016, whereas diesel sales increased by 5.2 %. Overall, fuel sales of petrol and diesel increased by 4.6% compared with 2016. This is the result of increased transport demand that outweighed efficiency gains in the vehicle fleet.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The share of diesel as compared with petrol sales has increased over the years, from 55.6 % of total sales in 2001 to 72.3 % in 2017. This reflects to a large degree the increasing dieselisation of Europe</w:t>
      </w:r>
      <w:r>
        <w:rPr>
          <w:rFonts w:ascii="Times New Roman" w:hAnsi="Times New Roman" w:cs="Times New Roman"/>
          <w:noProof/>
          <w:color w:val="auto"/>
          <w:sz w:val="24"/>
          <w:szCs w:val="24"/>
        </w:rPr>
        <w:t>’</w:t>
      </w:r>
      <w:r>
        <w:rPr>
          <w:rFonts w:ascii="Times New Roman" w:hAnsi="Times New Roman" w:cs="Times New Roman"/>
          <w:noProof/>
          <w:sz w:val="24"/>
          <w:szCs w:val="24"/>
        </w:rPr>
        <w:t xml:space="preserve">s vehicle fleet during that period. While sales of diesel fuel increased by almost 9 % between 2007 and 2017, sales of petrol fuels decreased by </w:t>
      </w:r>
      <w:r>
        <w:rPr>
          <w:rFonts w:ascii="Times New Roman" w:hAnsi="Times New Roman" w:cs="Times New Roman"/>
          <w:noProof/>
          <w:color w:val="auto"/>
          <w:sz w:val="24"/>
          <w:szCs w:val="24"/>
        </w:rPr>
        <w:t xml:space="preserve">9 % </w:t>
      </w:r>
      <w:r>
        <w:rPr>
          <w:rFonts w:ascii="Times New Roman" w:hAnsi="Times New Roman" w:cs="Times New Roman"/>
          <w:noProof/>
          <w:sz w:val="24"/>
          <w:szCs w:val="24"/>
        </w:rPr>
        <w:t>during the same 10-year period.</w:t>
      </w:r>
    </w:p>
    <w:p>
      <w:pPr>
        <w:pStyle w:val="EEATextbody"/>
        <w:rPr>
          <w:rFonts w:ascii="Times New Roman" w:hAnsi="Times New Roman" w:cs="Times New Roman"/>
          <w:noProof/>
          <w:sz w:val="24"/>
          <w:szCs w:val="24"/>
        </w:rPr>
      </w:pPr>
      <w:r>
        <w:rPr>
          <w:rFonts w:ascii="Times New Roman" w:hAnsi="Times New Roman" w:cs="Times New Roman"/>
          <w:noProof/>
          <w:sz w:val="24"/>
          <w:szCs w:val="24"/>
        </w:rPr>
        <w:t>Diesel fuel consumption is significant in most EU Member States, representing more than 60 % of total fuel sales in 23 Member States (all except Cyprus, Greece, Malta and the Netherlands; Romania did not submit a complete report for 2017).</w:t>
      </w:r>
    </w:p>
    <w:p>
      <w:pPr>
        <w:pStyle w:val="EEATextbody"/>
        <w:rPr>
          <w:rFonts w:ascii="Times New Roman" w:hAnsi="Times New Roman" w:cs="Times New Roman"/>
          <w:noProof/>
          <w:sz w:val="24"/>
          <w:szCs w:val="24"/>
        </w:rPr>
      </w:pPr>
      <w:r>
        <w:rPr>
          <w:rFonts w:ascii="Times New Roman" w:hAnsi="Times New Roman" w:cs="Times New Roman"/>
          <w:noProof/>
          <w:sz w:val="24"/>
          <w:szCs w:val="24"/>
        </w:rPr>
        <w:t>The majority of petrol sales in 2017 comprised fuels with a petrol grade research octane number (RON) of 95, which accounted for 85.7 % of the total petrol fuel sales; 8.3 % of sales were 95 ≤ RON &lt; 98; and 5.8 % were RON ≥ 98. There was an insignificant proportion of RON = 91 sales.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All diesel sold in the EU is marketed as containing biodiesel, whereas 87.6 % of petrol is marketed as containing bioethanol. In 2017, 71.9 % of petrol fuel sold in the EU had up to 5 % ethanol content by volume, and 15.7 % had up to 10 % ethanol content. Of the diesel fuel sold, 83.8 % contained up to 7 % FAME and 16.2 % contained more.</w:t>
      </w:r>
    </w:p>
    <w:p>
      <w:pPr>
        <w:pStyle w:val="EEATextbody"/>
        <w:keepNext/>
        <w:rPr>
          <w:rFonts w:ascii="Times New Roman" w:hAnsi="Times New Roman" w:cs="Times New Roman"/>
          <w:b/>
          <w:noProof/>
          <w:sz w:val="24"/>
          <w:szCs w:val="24"/>
        </w:rPr>
      </w:pPr>
    </w:p>
    <w:p>
      <w:pPr>
        <w:pStyle w:val="EEATextbody"/>
        <w:keepNext/>
        <w:rPr>
          <w:rFonts w:ascii="Times New Roman" w:hAnsi="Times New Roman" w:cs="Times New Roman"/>
          <w:b/>
          <w:noProof/>
          <w:sz w:val="24"/>
          <w:szCs w:val="24"/>
        </w:rPr>
      </w:pPr>
      <w:r>
        <w:rPr>
          <w:rFonts w:ascii="Times New Roman" w:hAnsi="Times New Roman" w:cs="Times New Roman"/>
          <w:b/>
          <w:noProof/>
          <w:sz w:val="24"/>
          <w:szCs w:val="24"/>
        </w:rPr>
        <w:t>3.2</w:t>
      </w:r>
      <w:r>
        <w:rPr>
          <w:rFonts w:ascii="Times New Roman" w:hAnsi="Times New Roman" w:cs="Times New Roman"/>
          <w:b/>
          <w:noProof/>
          <w:sz w:val="24"/>
          <w:szCs w:val="24"/>
        </w:rPr>
        <w:tab/>
        <w:t>Compliance of sold fuels with quality limits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Overall, fuel quality in the EU is high. Bulgaria, Malta and Sweden verified and reported full compliance for both petrol and diesel fuels, while nine Member States verified and reported full compliance for petrol (Austria, Bulgaria, Greece, Hungary, Lithuania, Malta, Netherlands, Slovenia and Sweden) and seven for diesel (Bulgaria, Croatia, Cyprus, Finland, Latvia, Malta and Sweden). One Member State (Belgium) reported more than 100 non-compliances for petrol in 2017.</w:t>
      </w:r>
    </w:p>
    <w:p>
      <w:pPr>
        <w:pStyle w:val="EEATextbody"/>
        <w:rPr>
          <w:rFonts w:ascii="Times New Roman" w:hAnsi="Times New Roman" w:cs="Times New Roman"/>
          <w:noProof/>
          <w:sz w:val="24"/>
          <w:szCs w:val="24"/>
        </w:rPr>
      </w:pPr>
      <w:r>
        <w:rPr>
          <w:rFonts w:ascii="Times New Roman" w:hAnsi="Times New Roman" w:cs="Times New Roman"/>
          <w:noProof/>
          <w:sz w:val="24"/>
          <w:szCs w:val="24"/>
        </w:rPr>
        <w:t>Member States reported a total of 496 cases of non-compliance for petrol and 141 for diesel for 2017. For petrol, the most common parameters falling outside the specifications were summer vapour pressure (in 13 Member States), research octane number (RON) (in nine Member States) and motor octane number (MON) (in seven Member States). For diesel, the most common parameters falling outside the specifications were the FAME content (in 12 Member States) and the sulphur content (in six Member States).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All Member States described the actions taken when non-compliant samples were identified. These included informing the competent authorities, initiating investigations, imposing penalties and fines, and resampling. In a small number of cases, no action has been taken where the non-compliant parameters were found to be very close to the tolerance limits.</w:t>
      </w:r>
    </w:p>
    <w:p>
      <w:pPr>
        <w:rPr>
          <w:rFonts w:ascii="Times New Roman" w:hAnsi="Times New Roman" w:cs="Times New Roman"/>
          <w:b/>
          <w:noProof/>
          <w:color w:val="000000" w:themeColor="text1"/>
          <w:sz w:val="24"/>
          <w:szCs w:val="24"/>
        </w:rPr>
      </w:pPr>
      <w:r>
        <w:rPr>
          <w:rFonts w:ascii="Times New Roman" w:eastAsia="Times New Roman" w:hAnsi="Times New Roman" w:cs="Times New Roman"/>
          <w:noProof/>
          <w:sz w:val="24"/>
          <w:szCs w:val="24"/>
          <w:lang w:eastAsia="en-GB"/>
        </w:rPr>
        <w:t>There was therefore no need for the Commission to launch any new investigation in this area.</w:t>
      </w:r>
      <w:bookmarkStart w:id="8" w:name="_Toc285007032"/>
      <w:bookmarkEnd w:id="2"/>
      <w:bookmarkEnd w:id="8"/>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Directive 98/70/EC of the European Parliament and of the Council relating to the quality of petrol and diesel fuels and amending Council Directive 93/12/EEC, OJ L 350 of 28.12.1998.</w:t>
      </w:r>
    </w:p>
  </w:footnote>
  <w:footnote w:id="3">
    <w:p>
      <w:pPr>
        <w:pStyle w:val="FootnoteText"/>
        <w:ind w:left="720" w:hanging="720"/>
        <w:jc w:val="both"/>
        <w:rPr>
          <w:rStyle w:val="FootnoteReference"/>
        </w:rPr>
      </w:pPr>
      <w:r>
        <w:rPr>
          <w:rStyle w:val="FootnoteReference"/>
        </w:rPr>
        <w:footnoteRef/>
      </w:r>
      <w:r>
        <w:rPr>
          <w:rStyle w:val="FootnoteReference"/>
        </w:rPr>
        <w:t xml:space="preserve"> </w:t>
      </w:r>
      <w:r>
        <w:rPr>
          <w:rStyle w:val="FootnoteReference"/>
        </w:rPr>
        <w:tab/>
      </w:r>
      <w:r>
        <w:rPr>
          <w:rFonts w:ascii="Times New Roman" w:hAnsi="Times New Roman" w:cs="Times New Roman"/>
        </w:rPr>
        <w:t>Council Directive (EU) 2015/652 of 20 April 2015 laying down calculation methods and reporting requirements pursuant to Directive 98/70/EC of the European Parliament and of the Council relating to the quality of petrol and diesel fuels, OJ L 107 of 25.4.2015.</w:t>
      </w:r>
    </w:p>
  </w:footnote>
  <w:footnote w:id="4">
    <w:p>
      <w:pPr>
        <w:pStyle w:val="FootnoteText"/>
        <w:ind w:left="709" w:hanging="709"/>
        <w:rPr>
          <w:rFonts w:ascii="Times New Roman" w:hAnsi="Times New Roman" w:cs="Times New Roman"/>
        </w:rPr>
      </w:pPr>
      <w:r>
        <w:rPr>
          <w:rStyle w:val="FootnoteReference"/>
        </w:rPr>
        <w:footnoteRef/>
      </w:r>
      <w:r>
        <w:t xml:space="preserve"> </w:t>
      </w:r>
      <w:r>
        <w:tab/>
      </w:r>
      <w:r>
        <w:rPr>
          <w:rFonts w:ascii="Times New Roman" w:hAnsi="Times New Roman" w:cs="Times New Roman"/>
        </w:rPr>
        <w:t>Directive (EU) 2015/1513 of the European Parliament and of the Council of 9 September 2015 amending Directive 98/70/EC relating to the quality of petrol and diesel fuels and amending Directive 2009/28/EC on the promotion of the use of energy from renewable sources, OJ L239 of 15.9.2015.</w:t>
      </w:r>
    </w:p>
  </w:footnote>
  <w:footnote w:id="5">
    <w:p>
      <w:pPr>
        <w:pStyle w:val="FootnoteText"/>
        <w:tabs>
          <w:tab w:val="left" w:pos="709"/>
        </w:tabs>
        <w:ind w:left="709" w:hanging="709"/>
      </w:pPr>
      <w:r>
        <w:rPr>
          <w:rStyle w:val="FootnoteReference"/>
        </w:rPr>
        <w:footnoteRef/>
      </w:r>
      <w:r>
        <w:t xml:space="preserve"> </w:t>
      </w:r>
      <w:r>
        <w:tab/>
      </w:r>
      <w:r>
        <w:rPr>
          <w:rFonts w:ascii="Times New Roman" w:hAnsi="Times New Roman" w:cs="Times New Roman"/>
        </w:rPr>
        <w:t>Council Directive (EU) 2015/652 of 20 April 2015 laying down calculation methods and reporting requirements pursuant to Directive 98/70/EC of the European Parliament and of the Council relating to the quality of petrol and diesel fuels, OJ L 107 of 25.4.2015.</w:t>
      </w:r>
    </w:p>
  </w:footnote>
  <w:footnote w:id="6">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Commission is following up on the correct and complete transposition of Council Directive (EU) 2015/652 to ensure its correct implementation.</w:t>
      </w:r>
    </w:p>
  </w:footnote>
  <w:footnote w:id="7">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‘upstream emissions’ means all greenhouse gas emissions occurring prior to the raw material entering a refinery or a processing plant where the fuel is produced.</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Style w:val="FootnoteReference"/>
          <w:rFonts w:ascii="Times New Roman" w:hAnsi="Times New Roman" w:cs="Times New Roman"/>
          <w:vertAlign w:val="baseline"/>
        </w:rPr>
        <w:t>For this calculation, the provisional estimated indirect land-use change emissions from biofuels were taken into account as listed in Annex V of the Fuel Quality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C0470A"/>
    <w:lvl w:ilvl="0">
      <w:start w:val="1"/>
      <w:numFmt w:val="decimal"/>
      <w:lvlText w:val="%1."/>
      <w:lvlJc w:val="left"/>
      <w:pPr>
        <w:tabs>
          <w:tab w:val="num" w:pos="1492"/>
        </w:tabs>
        <w:ind w:left="1492" w:hanging="360"/>
      </w:pPr>
    </w:lvl>
  </w:abstractNum>
  <w:abstractNum w:abstractNumId="1">
    <w:nsid w:val="FFFFFF7F"/>
    <w:multiLevelType w:val="singleLevel"/>
    <w:tmpl w:val="E0CC8650"/>
    <w:lvl w:ilvl="0">
      <w:start w:val="1"/>
      <w:numFmt w:val="decimal"/>
      <w:lvlText w:val="%1."/>
      <w:lvlJc w:val="left"/>
      <w:pPr>
        <w:tabs>
          <w:tab w:val="num" w:pos="643"/>
        </w:tabs>
        <w:ind w:left="643" w:hanging="360"/>
      </w:pPr>
    </w:lvl>
  </w:abstractNum>
  <w:abstractNum w:abstractNumId="2">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66A3BF8"/>
    <w:multiLevelType w:val="hybridMultilevel"/>
    <w:tmpl w:val="9DD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C0D67"/>
    <w:multiLevelType w:val="multilevel"/>
    <w:tmpl w:val="BAF4D506"/>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2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202F41"/>
    <w:multiLevelType w:val="hybridMultilevel"/>
    <w:tmpl w:val="80F01D7E"/>
    <w:lvl w:ilvl="0" w:tplc="BE2AE494">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33DF7"/>
    <w:multiLevelType w:val="hybridMultilevel"/>
    <w:tmpl w:val="BD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C1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DF0C3F"/>
    <w:multiLevelType w:val="hybridMultilevel"/>
    <w:tmpl w:val="1E7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059DF"/>
    <w:multiLevelType w:val="hybridMultilevel"/>
    <w:tmpl w:val="95AC7FE8"/>
    <w:lvl w:ilvl="0" w:tplc="219CE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B1850"/>
    <w:multiLevelType w:val="hybridMultilevel"/>
    <w:tmpl w:val="6B982762"/>
    <w:lvl w:ilvl="0" w:tplc="2FFC2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C00FA"/>
    <w:multiLevelType w:val="hybridMultilevel"/>
    <w:tmpl w:val="543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B03AAE"/>
    <w:multiLevelType w:val="hybridMultilevel"/>
    <w:tmpl w:val="D6E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207E0"/>
    <w:multiLevelType w:val="hybridMultilevel"/>
    <w:tmpl w:val="79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67188"/>
    <w:multiLevelType w:val="hybridMultilevel"/>
    <w:tmpl w:val="7C6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AE6EF8"/>
    <w:multiLevelType w:val="hybridMultilevel"/>
    <w:tmpl w:val="FCB8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401643"/>
    <w:multiLevelType w:val="hybridMultilevel"/>
    <w:tmpl w:val="7BC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9632FB"/>
    <w:multiLevelType w:val="hybridMultilevel"/>
    <w:tmpl w:val="2A9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C2312"/>
    <w:multiLevelType w:val="hybridMultilevel"/>
    <w:tmpl w:val="74F0A522"/>
    <w:lvl w:ilvl="0" w:tplc="BBFC4326">
      <w:start w:val="1"/>
      <w:numFmt w:val="bullet"/>
      <w:pStyle w:val="EEATextbullets"/>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22A5BB8"/>
    <w:multiLevelType w:val="hybridMultilevel"/>
    <w:tmpl w:val="9A6A624C"/>
    <w:lvl w:ilvl="0" w:tplc="7EE8F16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E064D"/>
    <w:multiLevelType w:val="multilevel"/>
    <w:tmpl w:val="C8FE3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57D671A7"/>
    <w:multiLevelType w:val="hybridMultilevel"/>
    <w:tmpl w:val="D72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3742AD"/>
    <w:multiLevelType w:val="hybridMultilevel"/>
    <w:tmpl w:val="6D16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F67FF1"/>
    <w:multiLevelType w:val="hybridMultilevel"/>
    <w:tmpl w:val="388A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328F9"/>
    <w:multiLevelType w:val="hybridMultilevel"/>
    <w:tmpl w:val="324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B673E"/>
    <w:multiLevelType w:val="hybridMultilevel"/>
    <w:tmpl w:val="0B7858EC"/>
    <w:lvl w:ilvl="0" w:tplc="BF3A9702">
      <w:start w:val="1"/>
      <w:numFmt w:val="bullet"/>
      <w:pStyle w:val="EEATex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041B2"/>
    <w:multiLevelType w:val="hybridMultilevel"/>
    <w:tmpl w:val="93B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70297"/>
    <w:multiLevelType w:val="multilevel"/>
    <w:tmpl w:val="95AC7FE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5C40CD"/>
    <w:multiLevelType w:val="hybridMultilevel"/>
    <w:tmpl w:val="66289FE4"/>
    <w:lvl w:ilvl="0" w:tplc="7146104E">
      <w:start w:val="1"/>
      <w:numFmt w:val="bullet"/>
      <w:pStyle w:val="EE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F30E8"/>
    <w:multiLevelType w:val="hybridMultilevel"/>
    <w:tmpl w:val="FF52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B31494"/>
    <w:multiLevelType w:val="multilevel"/>
    <w:tmpl w:val="6B9827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490326"/>
    <w:multiLevelType w:val="multilevel"/>
    <w:tmpl w:val="50DC6090"/>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5">
    <w:nsid w:val="7ABD7FCB"/>
    <w:multiLevelType w:val="multilevel"/>
    <w:tmpl w:val="A05EAA3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num w:numId="1">
    <w:abstractNumId w:val="16"/>
  </w:num>
  <w:num w:numId="2">
    <w:abstractNumId w:val="24"/>
  </w:num>
  <w:num w:numId="3">
    <w:abstractNumId w:val="18"/>
  </w:num>
  <w:num w:numId="4">
    <w:abstractNumId w:val="2"/>
  </w:num>
  <w:num w:numId="5">
    <w:abstractNumId w:val="3"/>
  </w:num>
  <w:num w:numId="6">
    <w:abstractNumId w:val="6"/>
  </w:num>
  <w:num w:numId="7">
    <w:abstractNumId w:val="20"/>
  </w:num>
  <w:num w:numId="8">
    <w:abstractNumId w:val="31"/>
  </w:num>
  <w:num w:numId="9">
    <w:abstractNumId w:val="2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17"/>
  </w:num>
  <w:num w:numId="15">
    <w:abstractNumId w:val="15"/>
  </w:num>
  <w:num w:numId="16">
    <w:abstractNumId w:val="4"/>
  </w:num>
  <w:num w:numId="17">
    <w:abstractNumId w:val="29"/>
  </w:num>
  <w:num w:numId="18">
    <w:abstractNumId w:val="26"/>
  </w:num>
  <w:num w:numId="19">
    <w:abstractNumId w:val="9"/>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19"/>
  </w:num>
  <w:num w:numId="32">
    <w:abstractNumId w:val="10"/>
  </w:num>
  <w:num w:numId="33">
    <w:abstractNumId w:val="30"/>
  </w:num>
  <w:num w:numId="34">
    <w:abstractNumId w:val="7"/>
  </w:num>
  <w:num w:numId="35">
    <w:abstractNumId w:val="13"/>
  </w:num>
  <w:num w:numId="36">
    <w:abstractNumId w:val="11"/>
  </w:num>
  <w:num w:numId="37">
    <w:abstractNumId w:val="33"/>
  </w:num>
  <w:num w:numId="38">
    <w:abstractNumId w:val="14"/>
  </w:num>
  <w:num w:numId="39">
    <w:abstractNumId w:val="5"/>
  </w:num>
  <w:num w:numId="40">
    <w:abstractNumId w:val="32"/>
  </w:num>
  <w:num w:numId="41">
    <w:abstractNumId w:val="25"/>
  </w:num>
  <w:num w:numId="42">
    <w:abstractNumId w:val="8"/>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EEA2E9-9E21-4234-B1C2-F5022E21B7D5"/>
    <w:docVar w:name="LW_COVERPAGE_TYPE" w:val="1"/>
    <w:docVar w:name="LW_CROSSREFERENCE" w:val="&lt;UNUSED&gt;"/>
    <w:docVar w:name="LW_DocType" w:val="NORMAL"/>
    <w:docVar w:name="LW_EMISSION" w:val="31.10.2019"/>
    <w:docVar w:name="LW_EMISSION_ISODATE" w:val="2019-10-3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Quality of petrol and diesel fuel used for road transport in the European Union _x000d__x000b_(Reporting year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lang w:val="en-US"/>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lang w:val="en-US"/>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val="fr-FR"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lang w:val="en-US"/>
    </w:rPr>
  </w:style>
  <w:style w:type="table" w:customStyle="1" w:styleId="TableGrid5">
    <w:name w:val="Table Grid5"/>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lang w:val="en-US"/>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lang w:val="en-US"/>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val="fr-FR"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lang w:val="en-US"/>
    </w:rPr>
  </w:style>
  <w:style w:type="table" w:customStyle="1" w:styleId="TableGrid5">
    <w:name w:val="Table Grid5"/>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C540-7CD8-474E-9A47-0C2ACCB2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1719</Words>
  <Characters>8616</Characters>
  <Application>Microsoft Office Word</Application>
  <DocSecurity>0</DocSecurity>
  <Lines>153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14</cp:revision>
  <cp:lastPrinted>2019-10-02T16:55:00Z</cp:lastPrinted>
  <dcterms:created xsi:type="dcterms:W3CDTF">2019-10-15T13:32:00Z</dcterms:created>
  <dcterms:modified xsi:type="dcterms:W3CDTF">2019-10-28T13:43:00Z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ies>
</file>