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9D06" w14:textId="1D0E9093" w:rsidR="00B7393E" w:rsidRDefault="00D84334" w:rsidP="00D84334">
      <w:pPr>
        <w:pStyle w:val="Pagedecouverture"/>
      </w:pPr>
      <w:bookmarkStart w:id="0" w:name="LW_BM_COVERPAGE"/>
      <w:r>
        <w:pict w14:anchorId="0A1764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A4B0D5EC-B638-4CFC-A3D3-5AB9E96D6AE3" style="width:450.75pt;height:333.75pt">
            <v:imagedata r:id="rId8" o:title=""/>
          </v:shape>
        </w:pict>
      </w:r>
    </w:p>
    <w:bookmarkEnd w:id="0"/>
    <w:p w14:paraId="34EC61E4" w14:textId="77777777" w:rsidR="00ED1184" w:rsidRDefault="00ED1184" w:rsidP="00ED1184">
      <w:pPr>
        <w:sectPr w:rsidR="00ED1184" w:rsidSect="00D84334">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14:paraId="131274B5" w14:textId="2065415E" w:rsidR="004268CB" w:rsidRPr="00E04ACD" w:rsidRDefault="00694984" w:rsidP="00446D1E">
      <w:pPr>
        <w:pStyle w:val="Heading1"/>
        <w:spacing w:after="240"/>
        <w:ind w:left="714" w:hanging="357"/>
      </w:pPr>
      <w:bookmarkStart w:id="1" w:name="_GoBack"/>
      <w:bookmarkEnd w:id="1"/>
      <w:r w:rsidRPr="00E04ACD">
        <w:lastRenderedPageBreak/>
        <w:t>M</w:t>
      </w:r>
      <w:r w:rsidR="00E04ACD">
        <w:t>EETING THE EU’S INTERNATIONAL COMMITMENTS</w:t>
      </w:r>
    </w:p>
    <w:p w14:paraId="21246FD4" w14:textId="5C27E223" w:rsidR="00CE78E6" w:rsidRPr="006E1D94" w:rsidRDefault="00CE78E6" w:rsidP="00E04ACD">
      <w:pPr>
        <w:jc w:val="both"/>
        <w:rPr>
          <w:rFonts w:ascii="Times New Roman" w:hAnsi="Times New Roman" w:cs="Times New Roman"/>
          <w:b/>
          <w:i/>
          <w:sz w:val="24"/>
        </w:rPr>
      </w:pPr>
      <w:r w:rsidRPr="006E1D94">
        <w:rPr>
          <w:rFonts w:ascii="Times New Roman" w:hAnsi="Times New Roman" w:cs="Times New Roman"/>
          <w:b/>
          <w:i/>
          <w:sz w:val="24"/>
        </w:rPr>
        <w:t>Setting out a vision towards climate neutrality by 2050</w:t>
      </w:r>
    </w:p>
    <w:p w14:paraId="73519969" w14:textId="521ACA4C" w:rsidR="00675E1B" w:rsidRDefault="00675E1B" w:rsidP="00E04ACD">
      <w:pPr>
        <w:jc w:val="both"/>
        <w:rPr>
          <w:rFonts w:ascii="Times New Roman" w:hAnsi="Times New Roman" w:cs="Times New Roman"/>
          <w:sz w:val="24"/>
        </w:rPr>
      </w:pPr>
      <w:r w:rsidRPr="00675E1B">
        <w:rPr>
          <w:rFonts w:ascii="Times New Roman" w:hAnsi="Times New Roman" w:cs="Times New Roman"/>
          <w:sz w:val="24"/>
        </w:rPr>
        <w:t>In November 2018, the European Commission presented its Strategic V</w:t>
      </w:r>
      <w:r w:rsidR="0045741B">
        <w:rPr>
          <w:rFonts w:ascii="Times New Roman" w:hAnsi="Times New Roman" w:cs="Times New Roman"/>
          <w:sz w:val="24"/>
        </w:rPr>
        <w:t>ision "A Clean Planet for all"</w:t>
      </w:r>
      <w:r w:rsidR="0011373B">
        <w:rPr>
          <w:rStyle w:val="FootnoteReference"/>
          <w:rFonts w:ascii="Times New Roman" w:hAnsi="Times New Roman" w:cs="Times New Roman"/>
          <w:sz w:val="24"/>
        </w:rPr>
        <w:footnoteReference w:id="1"/>
      </w:r>
      <w:r w:rsidR="0045741B">
        <w:rPr>
          <w:rFonts w:ascii="Times New Roman" w:hAnsi="Times New Roman" w:cs="Times New Roman"/>
          <w:sz w:val="24"/>
        </w:rPr>
        <w:t xml:space="preserve">. </w:t>
      </w:r>
      <w:r w:rsidRPr="00675E1B">
        <w:rPr>
          <w:rFonts w:ascii="Times New Roman" w:hAnsi="Times New Roman" w:cs="Times New Roman"/>
          <w:sz w:val="24"/>
        </w:rPr>
        <w:t>The strategy shows how Europe can lead the way to climate neutrality by investing into realistic technological solutions, empowering citizens, and aligning action in key areas such as industrial policy, finance or research – while ensuring social fairness for a just transition.</w:t>
      </w:r>
      <w:r>
        <w:rPr>
          <w:rFonts w:ascii="Times New Roman" w:hAnsi="Times New Roman" w:cs="Times New Roman"/>
          <w:sz w:val="24"/>
        </w:rPr>
        <w:t xml:space="preserve"> Figure </w:t>
      </w:r>
      <w:r w:rsidR="007B4143">
        <w:rPr>
          <w:rFonts w:ascii="Times New Roman" w:hAnsi="Times New Roman" w:cs="Times New Roman"/>
          <w:sz w:val="24"/>
        </w:rPr>
        <w:t>1</w:t>
      </w:r>
      <w:r>
        <w:rPr>
          <w:rFonts w:ascii="Times New Roman" w:hAnsi="Times New Roman" w:cs="Times New Roman"/>
          <w:sz w:val="24"/>
        </w:rPr>
        <w:t xml:space="preserve"> shows one </w:t>
      </w:r>
      <w:r w:rsidR="00CE78E6">
        <w:rPr>
          <w:rFonts w:ascii="Times New Roman" w:hAnsi="Times New Roman" w:cs="Times New Roman"/>
          <w:sz w:val="24"/>
        </w:rPr>
        <w:t>fea</w:t>
      </w:r>
      <w:r>
        <w:rPr>
          <w:rFonts w:ascii="Times New Roman" w:hAnsi="Times New Roman" w:cs="Times New Roman"/>
          <w:sz w:val="24"/>
        </w:rPr>
        <w:t xml:space="preserve">sible pathway towards net-zero </w:t>
      </w:r>
      <w:r w:rsidR="00E809A6">
        <w:rPr>
          <w:rFonts w:ascii="Times New Roman" w:hAnsi="Times New Roman" w:cs="Times New Roman"/>
          <w:sz w:val="24"/>
        </w:rPr>
        <w:t>greenhouse gas (</w:t>
      </w:r>
      <w:r>
        <w:rPr>
          <w:rFonts w:ascii="Times New Roman" w:hAnsi="Times New Roman" w:cs="Times New Roman"/>
          <w:sz w:val="24"/>
        </w:rPr>
        <w:t>GHG</w:t>
      </w:r>
      <w:r w:rsidR="00E809A6">
        <w:rPr>
          <w:rFonts w:ascii="Times New Roman" w:hAnsi="Times New Roman" w:cs="Times New Roman"/>
          <w:sz w:val="24"/>
        </w:rPr>
        <w:t>)</w:t>
      </w:r>
      <w:r>
        <w:rPr>
          <w:rFonts w:ascii="Times New Roman" w:hAnsi="Times New Roman" w:cs="Times New Roman"/>
          <w:sz w:val="24"/>
        </w:rPr>
        <w:t xml:space="preserve"> emissions in 2050. </w:t>
      </w:r>
    </w:p>
    <w:p w14:paraId="4C6CBEAB" w14:textId="43DECEDF" w:rsidR="00675E1B" w:rsidRDefault="00675E1B" w:rsidP="00E04ACD">
      <w:pPr>
        <w:jc w:val="both"/>
        <w:rPr>
          <w:rFonts w:ascii="Times New Roman" w:hAnsi="Times New Roman" w:cs="Times New Roman"/>
          <w:sz w:val="24"/>
        </w:rPr>
      </w:pPr>
    </w:p>
    <w:p w14:paraId="5B4A773E" w14:textId="106F766F" w:rsidR="00840EB8" w:rsidRDefault="00C32018" w:rsidP="00E04ACD">
      <w:pPr>
        <w:pStyle w:val="Caption"/>
        <w:jc w:val="both"/>
      </w:pPr>
      <w:r w:rsidRPr="00C32018">
        <w:rPr>
          <w:noProof/>
          <w:lang w:eastAsia="en-GB"/>
        </w:rPr>
        <w:drawing>
          <wp:inline distT="0" distB="0" distL="0" distR="0" wp14:anchorId="58D976EE" wp14:editId="150C358F">
            <wp:extent cx="5587365" cy="4037330"/>
            <wp:effectExtent l="0" t="0" r="0" b="1270"/>
            <wp:docPr id="1" name="Picture 1" descr="C:\Users\borkera\AppData\Local\Microsoft\Windows\INetCache\Content.Outlook\8S208ZEI\LTS_EN_edi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rkera\AppData\Local\Microsoft\Windows\INetCache\Content.Outlook\8S208ZEI\LTS_EN_editabl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7365" cy="4037330"/>
                    </a:xfrm>
                    <a:prstGeom prst="rect">
                      <a:avLst/>
                    </a:prstGeom>
                    <a:noFill/>
                    <a:ln>
                      <a:noFill/>
                    </a:ln>
                  </pic:spPr>
                </pic:pic>
              </a:graphicData>
            </a:graphic>
          </wp:inline>
        </w:drawing>
      </w:r>
    </w:p>
    <w:p w14:paraId="35C894D2" w14:textId="1E4A35EB" w:rsidR="004D7B88" w:rsidRDefault="004D7B88" w:rsidP="00E04ACD">
      <w:pPr>
        <w:pStyle w:val="Caption"/>
        <w:jc w:val="both"/>
        <w:rPr>
          <w:rFonts w:ascii="Times New Roman" w:hAnsi="Times New Roman"/>
          <w:sz w:val="24"/>
        </w:rPr>
      </w:pPr>
      <w:r>
        <w:t xml:space="preserve">Figure </w:t>
      </w:r>
      <w:fldSimple w:instr=" SEQ Figure \* ARABIC ">
        <w:r w:rsidR="006E3709">
          <w:rPr>
            <w:noProof/>
          </w:rPr>
          <w:t>1</w:t>
        </w:r>
      </w:fldSimple>
      <w:r>
        <w:t xml:space="preserve">: </w:t>
      </w:r>
      <w:r w:rsidRPr="00CB5CAD">
        <w:t xml:space="preserve">GHG emissions trajectory for the EU in a </w:t>
      </w:r>
      <w:r w:rsidR="00F03FA4">
        <w:t>1.5 degree scenario</w:t>
      </w:r>
      <w:r w:rsidR="0011373B">
        <w:rPr>
          <w:rStyle w:val="FootnoteReference"/>
        </w:rPr>
        <w:footnoteReference w:id="2"/>
      </w:r>
    </w:p>
    <w:p w14:paraId="0B411147" w14:textId="26CFF7C9" w:rsidR="00675E1B" w:rsidRDefault="00675E1B" w:rsidP="00E04ACD">
      <w:pPr>
        <w:jc w:val="both"/>
        <w:rPr>
          <w:rFonts w:ascii="Times New Roman" w:hAnsi="Times New Roman" w:cs="Times New Roman"/>
          <w:sz w:val="24"/>
        </w:rPr>
      </w:pPr>
      <w:r w:rsidRPr="00675E1B">
        <w:rPr>
          <w:rFonts w:ascii="Times New Roman" w:hAnsi="Times New Roman" w:cs="Times New Roman"/>
          <w:sz w:val="24"/>
        </w:rPr>
        <w:t xml:space="preserve">The Commission’s strategic vision is an invitation to all EU institutions, the national parliaments, business sector, non-governmental organisations, cities and communities, as well as citizens and especially the youth, to participate in ensuring </w:t>
      </w:r>
      <w:r w:rsidR="00E809A6">
        <w:rPr>
          <w:rFonts w:ascii="Times New Roman" w:hAnsi="Times New Roman" w:cs="Times New Roman"/>
          <w:sz w:val="24"/>
        </w:rPr>
        <w:t xml:space="preserve">that </w:t>
      </w:r>
      <w:r w:rsidRPr="00675E1B">
        <w:rPr>
          <w:rFonts w:ascii="Times New Roman" w:hAnsi="Times New Roman" w:cs="Times New Roman"/>
          <w:sz w:val="24"/>
        </w:rPr>
        <w:t>the EU can continue to show leadership and encourage other international partners to do the same.</w:t>
      </w:r>
      <w:r w:rsidR="0045741B">
        <w:rPr>
          <w:rFonts w:ascii="Times New Roman" w:hAnsi="Times New Roman" w:cs="Times New Roman"/>
          <w:sz w:val="24"/>
        </w:rPr>
        <w:t xml:space="preserve"> </w:t>
      </w:r>
      <w:r w:rsidR="005079D9">
        <w:rPr>
          <w:rFonts w:ascii="Times New Roman" w:hAnsi="Times New Roman" w:cs="Times New Roman"/>
          <w:sz w:val="24"/>
        </w:rPr>
        <w:t xml:space="preserve">The Commission’s strategic vision has been widely debated across the EU institutions and among stakeholders during 2019. </w:t>
      </w:r>
      <w:r w:rsidR="0045741B">
        <w:rPr>
          <w:rFonts w:ascii="Times New Roman" w:hAnsi="Times New Roman" w:cs="Times New Roman"/>
          <w:sz w:val="24"/>
        </w:rPr>
        <w:t xml:space="preserve">This </w:t>
      </w:r>
      <w:r w:rsidR="005079D9" w:rsidRPr="00270A40">
        <w:rPr>
          <w:rFonts w:ascii="Times New Roman" w:hAnsi="Times New Roman" w:cs="Times New Roman"/>
          <w:sz w:val="24"/>
        </w:rPr>
        <w:t>informed debate</w:t>
      </w:r>
      <w:r w:rsidR="005079D9">
        <w:rPr>
          <w:rFonts w:ascii="Times New Roman" w:hAnsi="Times New Roman" w:cs="Times New Roman"/>
          <w:sz w:val="24"/>
        </w:rPr>
        <w:t xml:space="preserve"> </w:t>
      </w:r>
      <w:r w:rsidR="0045741B">
        <w:rPr>
          <w:rFonts w:ascii="Times New Roman" w:hAnsi="Times New Roman" w:cs="Times New Roman"/>
          <w:sz w:val="24"/>
        </w:rPr>
        <w:t>is a step towards</w:t>
      </w:r>
      <w:r w:rsidR="0045741B" w:rsidRPr="00675E1B">
        <w:rPr>
          <w:rFonts w:ascii="Times New Roman" w:hAnsi="Times New Roman" w:cs="Times New Roman"/>
          <w:sz w:val="24"/>
        </w:rPr>
        <w:t xml:space="preserve"> adopting and submitting to the United Nations Framework Convention on Climate Change (UNFCCC) a</w:t>
      </w:r>
      <w:r w:rsidR="005079D9">
        <w:rPr>
          <w:rFonts w:ascii="Times New Roman" w:hAnsi="Times New Roman" w:cs="Times New Roman"/>
          <w:sz w:val="24"/>
        </w:rPr>
        <w:t>n ambitious</w:t>
      </w:r>
      <w:r w:rsidR="0045741B" w:rsidRPr="00675E1B">
        <w:rPr>
          <w:rFonts w:ascii="Times New Roman" w:hAnsi="Times New Roman" w:cs="Times New Roman"/>
          <w:sz w:val="24"/>
        </w:rPr>
        <w:t xml:space="preserve"> long-term strategy by </w:t>
      </w:r>
      <w:r w:rsidR="005079D9">
        <w:rPr>
          <w:rFonts w:ascii="Times New Roman" w:hAnsi="Times New Roman" w:cs="Times New Roman"/>
          <w:sz w:val="24"/>
        </w:rPr>
        <w:t xml:space="preserve">early </w:t>
      </w:r>
      <w:r w:rsidR="0045741B" w:rsidRPr="00675E1B">
        <w:rPr>
          <w:rFonts w:ascii="Times New Roman" w:hAnsi="Times New Roman" w:cs="Times New Roman"/>
          <w:sz w:val="24"/>
        </w:rPr>
        <w:t xml:space="preserve">2020, as </w:t>
      </w:r>
      <w:r w:rsidR="00D00063">
        <w:rPr>
          <w:rFonts w:ascii="Times New Roman" w:hAnsi="Times New Roman" w:cs="Times New Roman"/>
          <w:sz w:val="24"/>
        </w:rPr>
        <w:t>required</w:t>
      </w:r>
      <w:r w:rsidR="00D00063" w:rsidRPr="00675E1B">
        <w:rPr>
          <w:rFonts w:ascii="Times New Roman" w:hAnsi="Times New Roman" w:cs="Times New Roman"/>
          <w:sz w:val="24"/>
        </w:rPr>
        <w:t xml:space="preserve"> </w:t>
      </w:r>
      <w:r w:rsidR="0045741B" w:rsidRPr="00675E1B">
        <w:rPr>
          <w:rFonts w:ascii="Times New Roman" w:hAnsi="Times New Roman" w:cs="Times New Roman"/>
          <w:sz w:val="24"/>
        </w:rPr>
        <w:t>under the Paris Agreement.</w:t>
      </w:r>
    </w:p>
    <w:p w14:paraId="314134DD" w14:textId="16A06AE0" w:rsidR="00531307" w:rsidRPr="00E04ACD" w:rsidRDefault="00CE78E6" w:rsidP="006E1D94">
      <w:pPr>
        <w:pStyle w:val="Heading2"/>
        <w:spacing w:after="120"/>
      </w:pPr>
      <w:r>
        <w:t xml:space="preserve">In 2018, </w:t>
      </w:r>
      <w:r w:rsidR="00B7393E" w:rsidRPr="00E04ACD">
        <w:t xml:space="preserve">GHG </w:t>
      </w:r>
      <w:r>
        <w:t xml:space="preserve">emissions </w:t>
      </w:r>
      <w:r w:rsidR="008C7B9C">
        <w:t>declined</w:t>
      </w:r>
      <w:r w:rsidR="00525516">
        <w:t xml:space="preserve"> </w:t>
      </w:r>
      <w:r>
        <w:t>by 2</w:t>
      </w:r>
      <w:r w:rsidR="00F03FA4">
        <w:t>.0</w:t>
      </w:r>
      <w:r w:rsidR="00684416">
        <w:t>%</w:t>
      </w:r>
      <w:r>
        <w:t xml:space="preserve"> while the EU economy continued to grow</w:t>
      </w:r>
    </w:p>
    <w:p w14:paraId="7F8708CA" w14:textId="28066CCE" w:rsidR="00446D1E" w:rsidRDefault="00CE78E6" w:rsidP="0076107C">
      <w:pPr>
        <w:jc w:val="both"/>
        <w:rPr>
          <w:rFonts w:ascii="Times New Roman" w:hAnsi="Times New Roman" w:cs="Times New Roman"/>
          <w:sz w:val="24"/>
        </w:rPr>
      </w:pPr>
      <w:r>
        <w:rPr>
          <w:rFonts w:ascii="Times New Roman" w:hAnsi="Times New Roman" w:cs="Times New Roman"/>
          <w:sz w:val="24"/>
        </w:rPr>
        <w:t xml:space="preserve">In 2018, EU </w:t>
      </w:r>
      <w:r w:rsidR="00D00063">
        <w:rPr>
          <w:rFonts w:ascii="Times New Roman" w:hAnsi="Times New Roman" w:cs="Times New Roman"/>
          <w:sz w:val="24"/>
        </w:rPr>
        <w:t>greenhouse gas</w:t>
      </w:r>
      <w:r>
        <w:rPr>
          <w:rFonts w:ascii="Times New Roman" w:hAnsi="Times New Roman" w:cs="Times New Roman"/>
          <w:sz w:val="24"/>
        </w:rPr>
        <w:t xml:space="preserve"> emissions </w:t>
      </w:r>
      <w:r w:rsidR="00525516">
        <w:rPr>
          <w:rFonts w:ascii="Times New Roman" w:hAnsi="Times New Roman" w:cs="Times New Roman"/>
          <w:sz w:val="24"/>
        </w:rPr>
        <w:t xml:space="preserve">(including international aviation) </w:t>
      </w:r>
      <w:r>
        <w:rPr>
          <w:rFonts w:ascii="Times New Roman" w:hAnsi="Times New Roman" w:cs="Times New Roman"/>
          <w:sz w:val="24"/>
        </w:rPr>
        <w:t xml:space="preserve">were down by </w:t>
      </w:r>
      <w:r w:rsidR="00525516">
        <w:rPr>
          <w:rFonts w:ascii="Times New Roman" w:hAnsi="Times New Roman" w:cs="Times New Roman"/>
          <w:sz w:val="24"/>
        </w:rPr>
        <w:t>23</w:t>
      </w:r>
      <w:r w:rsidR="00684416">
        <w:rPr>
          <w:rFonts w:ascii="Times New Roman" w:hAnsi="Times New Roman" w:cs="Times New Roman"/>
          <w:sz w:val="24"/>
        </w:rPr>
        <w:t>%</w:t>
      </w:r>
      <w:r>
        <w:rPr>
          <w:rFonts w:ascii="Times New Roman" w:hAnsi="Times New Roman" w:cs="Times New Roman"/>
          <w:sz w:val="24"/>
        </w:rPr>
        <w:t xml:space="preserve"> from 1990 levels, according to preliminary data (see Figure 2). </w:t>
      </w:r>
      <w:r w:rsidRPr="00FE180C">
        <w:rPr>
          <w:rFonts w:ascii="Times New Roman" w:hAnsi="Times New Roman" w:cs="Times New Roman"/>
          <w:sz w:val="24"/>
        </w:rPr>
        <w:t xml:space="preserve">The EU </w:t>
      </w:r>
      <w:r>
        <w:rPr>
          <w:rFonts w:ascii="Times New Roman" w:hAnsi="Times New Roman" w:cs="Times New Roman"/>
          <w:sz w:val="24"/>
        </w:rPr>
        <w:t xml:space="preserve">thus </w:t>
      </w:r>
      <w:r w:rsidRPr="00FE180C">
        <w:rPr>
          <w:rFonts w:ascii="Times New Roman" w:hAnsi="Times New Roman" w:cs="Times New Roman"/>
          <w:sz w:val="24"/>
        </w:rPr>
        <w:t xml:space="preserve">remains </w:t>
      </w:r>
      <w:r>
        <w:rPr>
          <w:rFonts w:ascii="Times New Roman" w:hAnsi="Times New Roman" w:cs="Times New Roman"/>
          <w:sz w:val="24"/>
        </w:rPr>
        <w:t xml:space="preserve">well </w:t>
      </w:r>
      <w:r w:rsidRPr="00FE180C">
        <w:rPr>
          <w:rFonts w:ascii="Times New Roman" w:hAnsi="Times New Roman" w:cs="Times New Roman"/>
          <w:sz w:val="24"/>
        </w:rPr>
        <w:t xml:space="preserve">on track to achieve its </w:t>
      </w:r>
      <w:r>
        <w:rPr>
          <w:rFonts w:ascii="Times New Roman" w:hAnsi="Times New Roman" w:cs="Times New Roman"/>
          <w:sz w:val="24"/>
        </w:rPr>
        <w:t>target under the UN Framework Convention for Climate Change of reducing GHG emissions by 20</w:t>
      </w:r>
      <w:r w:rsidR="00684416">
        <w:rPr>
          <w:rFonts w:ascii="Times New Roman" w:hAnsi="Times New Roman" w:cs="Times New Roman"/>
          <w:sz w:val="24"/>
        </w:rPr>
        <w:t>%</w:t>
      </w:r>
      <w:r>
        <w:rPr>
          <w:rFonts w:ascii="Times New Roman" w:hAnsi="Times New Roman" w:cs="Times New Roman"/>
          <w:sz w:val="24"/>
        </w:rPr>
        <w:t xml:space="preserve"> by 2020</w:t>
      </w:r>
      <w:r>
        <w:rPr>
          <w:rStyle w:val="FootnoteReference"/>
          <w:rFonts w:ascii="Times New Roman" w:hAnsi="Times New Roman" w:cs="Times New Roman"/>
          <w:sz w:val="24"/>
        </w:rPr>
        <w:footnoteReference w:id="3"/>
      </w:r>
      <w:r>
        <w:rPr>
          <w:rFonts w:ascii="Times New Roman" w:hAnsi="Times New Roman" w:cs="Times New Roman"/>
          <w:sz w:val="24"/>
        </w:rPr>
        <w:t xml:space="preserve">. </w:t>
      </w:r>
      <w:r w:rsidR="00F03FA4">
        <w:rPr>
          <w:rFonts w:ascii="Times New Roman" w:hAnsi="Times New Roman" w:cs="Times New Roman"/>
          <w:sz w:val="24"/>
        </w:rPr>
        <w:t xml:space="preserve">In 2018, emissions were 2.0 % lower than in 2017. </w:t>
      </w:r>
      <w:r>
        <w:rPr>
          <w:rFonts w:ascii="Times New Roman" w:hAnsi="Times New Roman" w:cs="Times New Roman"/>
          <w:sz w:val="24"/>
        </w:rPr>
        <w:t xml:space="preserve">EU GHG emissions </w:t>
      </w:r>
      <w:r w:rsidR="00D00063">
        <w:rPr>
          <w:rFonts w:ascii="Times New Roman" w:hAnsi="Times New Roman" w:cs="Times New Roman"/>
          <w:sz w:val="24"/>
        </w:rPr>
        <w:t xml:space="preserve">therefore </w:t>
      </w:r>
      <w:r>
        <w:rPr>
          <w:rFonts w:ascii="Times New Roman" w:hAnsi="Times New Roman" w:cs="Times New Roman"/>
          <w:sz w:val="24"/>
        </w:rPr>
        <w:t xml:space="preserve">reached </w:t>
      </w:r>
      <w:r w:rsidR="00D00063">
        <w:rPr>
          <w:rFonts w:ascii="Times New Roman" w:hAnsi="Times New Roman" w:cs="Times New Roman"/>
          <w:sz w:val="24"/>
        </w:rPr>
        <w:t xml:space="preserve">their </w:t>
      </w:r>
      <w:r>
        <w:rPr>
          <w:rFonts w:ascii="Times New Roman" w:hAnsi="Times New Roman" w:cs="Times New Roman"/>
          <w:sz w:val="24"/>
        </w:rPr>
        <w:t xml:space="preserve">lowest level since 1990. Between 1990 and 2018, the EU’s combined GDP grew by </w:t>
      </w:r>
      <w:r w:rsidR="00525516">
        <w:rPr>
          <w:rFonts w:ascii="Times New Roman" w:hAnsi="Times New Roman" w:cs="Times New Roman"/>
          <w:sz w:val="24"/>
        </w:rPr>
        <w:t>61</w:t>
      </w:r>
      <w:r w:rsidR="00684416">
        <w:rPr>
          <w:rFonts w:ascii="Times New Roman" w:hAnsi="Times New Roman" w:cs="Times New Roman"/>
          <w:sz w:val="24"/>
        </w:rPr>
        <w:t>%</w:t>
      </w:r>
      <w:r>
        <w:rPr>
          <w:rFonts w:ascii="Times New Roman" w:hAnsi="Times New Roman" w:cs="Times New Roman"/>
          <w:sz w:val="24"/>
        </w:rPr>
        <w:t xml:space="preserve">. The GHG emission intensity of the economy, defined as the ratio between emissions and GDP fell to </w:t>
      </w:r>
      <w:r w:rsidR="00525516">
        <w:rPr>
          <w:rFonts w:ascii="Times New Roman" w:hAnsi="Times New Roman" w:cs="Times New Roman"/>
          <w:sz w:val="24"/>
        </w:rPr>
        <w:t xml:space="preserve">303 </w:t>
      </w:r>
      <w:r>
        <w:rPr>
          <w:rFonts w:ascii="Times New Roman" w:hAnsi="Times New Roman" w:cs="Times New Roman"/>
          <w:sz w:val="24"/>
        </w:rPr>
        <w:t>g CO</w:t>
      </w:r>
      <w:r w:rsidRPr="007B4143">
        <w:rPr>
          <w:rFonts w:ascii="Times New Roman" w:hAnsi="Times New Roman" w:cs="Times New Roman"/>
          <w:sz w:val="24"/>
          <w:vertAlign w:val="subscript"/>
        </w:rPr>
        <w:t>2</w:t>
      </w:r>
      <w:r>
        <w:rPr>
          <w:rFonts w:ascii="Times New Roman" w:hAnsi="Times New Roman" w:cs="Times New Roman"/>
          <w:sz w:val="24"/>
        </w:rPr>
        <w:t>eq/EUR, which is less than half of the 1990 level.</w:t>
      </w:r>
    </w:p>
    <w:p w14:paraId="1F0B54CA" w14:textId="47B62794" w:rsidR="00CE78E6" w:rsidRDefault="00525516" w:rsidP="00E04ACD">
      <w:pPr>
        <w:overflowPunct w:val="0"/>
        <w:autoSpaceDE w:val="0"/>
        <w:autoSpaceDN w:val="0"/>
        <w:adjustRightInd w:val="0"/>
        <w:spacing w:after="240" w:line="276" w:lineRule="auto"/>
        <w:jc w:val="both"/>
        <w:textAlignment w:val="baseline"/>
        <w:rPr>
          <w:rFonts w:ascii="Times New Roman" w:eastAsia="Times New Roman" w:hAnsi="Times New Roman" w:cs="Times New Roman"/>
          <w:color w:val="000000"/>
          <w:sz w:val="24"/>
          <w:szCs w:val="24"/>
        </w:rPr>
      </w:pPr>
      <w:r>
        <w:rPr>
          <w:noProof/>
          <w:lang w:eastAsia="en-GB"/>
        </w:rPr>
        <w:drawing>
          <wp:inline distT="0" distB="0" distL="0" distR="0" wp14:anchorId="321930E2" wp14:editId="783B4DC5">
            <wp:extent cx="5731510" cy="3247901"/>
            <wp:effectExtent l="0" t="0" r="2540" b="1016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2B0C94" w14:textId="1825A480" w:rsidR="00CE78E6" w:rsidRPr="006E1D94" w:rsidRDefault="00D25DC5" w:rsidP="006E1D94">
      <w:pPr>
        <w:pStyle w:val="Caption"/>
      </w:pPr>
      <w:r>
        <w:t xml:space="preserve">Figure </w:t>
      </w:r>
      <w:fldSimple w:instr=" SEQ Figure \* ARABIC ">
        <w:r w:rsidR="006E3709">
          <w:rPr>
            <w:noProof/>
          </w:rPr>
          <w:t>2</w:t>
        </w:r>
      </w:fldSimple>
      <w:r w:rsidR="00CE78E6">
        <w:t xml:space="preserve">: </w:t>
      </w:r>
      <w:r w:rsidR="00CE78E6" w:rsidRPr="00424FFD">
        <w:t>Total EU GHG emissions</w:t>
      </w:r>
      <w:r w:rsidR="00525516">
        <w:t xml:space="preserve"> including international aviation</w:t>
      </w:r>
      <w:r w:rsidR="00CE78E6" w:rsidRPr="00424FFD">
        <w:t xml:space="preserve"> </w:t>
      </w:r>
      <w:r w:rsidR="009E18FF">
        <w:t>(historical emissions 1990-2018</w:t>
      </w:r>
      <w:r w:rsidR="00CE78E6" w:rsidRPr="00424FFD">
        <w:t>, projected emissions with existing and with additional measures</w:t>
      </w:r>
      <w:r w:rsidR="0030411A">
        <w:rPr>
          <w:rStyle w:val="FootnoteReference"/>
        </w:rPr>
        <w:footnoteReference w:id="4"/>
      </w:r>
      <w:r w:rsidR="00CE78E6" w:rsidRPr="00424FFD">
        <w:t xml:space="preserve"> 2019-</w:t>
      </w:r>
      <w:r w:rsidR="00F03FA4">
        <w:t>2030) and GHG reduction targets</w:t>
      </w:r>
      <w:r w:rsidR="00CE78E6" w:rsidRPr="0045741B">
        <w:rPr>
          <w:rFonts w:ascii="Times New Roman" w:eastAsia="Times New Roman" w:hAnsi="Times New Roman"/>
          <w:color w:val="000000"/>
          <w:sz w:val="24"/>
          <w:szCs w:val="24"/>
        </w:rPr>
        <w:t xml:space="preserve"> </w:t>
      </w:r>
    </w:p>
    <w:p w14:paraId="1BC0AEBD" w14:textId="4E50A0BD" w:rsidR="00CE78E6" w:rsidRDefault="00CE78E6" w:rsidP="00CE78E6">
      <w:pPr>
        <w:jc w:val="both"/>
        <w:rPr>
          <w:rFonts w:ascii="Times New Roman" w:hAnsi="Times New Roman" w:cs="Times New Roman"/>
          <w:sz w:val="24"/>
        </w:rPr>
      </w:pPr>
      <w:r>
        <w:rPr>
          <w:rFonts w:ascii="Times New Roman" w:hAnsi="Times New Roman" w:cs="Times New Roman"/>
          <w:sz w:val="24"/>
        </w:rPr>
        <w:t xml:space="preserve">Emissions </w:t>
      </w:r>
      <w:r w:rsidR="00E809A6">
        <w:rPr>
          <w:rFonts w:ascii="Times New Roman" w:hAnsi="Times New Roman" w:cs="Times New Roman"/>
          <w:sz w:val="24"/>
        </w:rPr>
        <w:t xml:space="preserve">from stationary installations </w:t>
      </w:r>
      <w:r>
        <w:rPr>
          <w:rFonts w:ascii="Times New Roman" w:hAnsi="Times New Roman" w:cs="Times New Roman"/>
          <w:sz w:val="24"/>
        </w:rPr>
        <w:t>covered by the EU emissions trading system (EU ETS), which are most emissions from electricity and heat production and industry, fell by 4.1</w:t>
      </w:r>
      <w:r w:rsidR="00684416">
        <w:rPr>
          <w:rFonts w:ascii="Times New Roman" w:hAnsi="Times New Roman" w:cs="Times New Roman"/>
          <w:sz w:val="24"/>
        </w:rPr>
        <w:t>%</w:t>
      </w:r>
      <w:r>
        <w:rPr>
          <w:rFonts w:ascii="Times New Roman" w:hAnsi="Times New Roman" w:cs="Times New Roman"/>
          <w:sz w:val="24"/>
        </w:rPr>
        <w:t xml:space="preserve"> from 2017 to 2018</w:t>
      </w:r>
      <w:r>
        <w:rPr>
          <w:rStyle w:val="FootnoteReference"/>
          <w:rFonts w:ascii="Times New Roman" w:hAnsi="Times New Roman" w:cs="Times New Roman"/>
          <w:sz w:val="24"/>
        </w:rPr>
        <w:footnoteReference w:id="5"/>
      </w:r>
      <w:r>
        <w:rPr>
          <w:rFonts w:ascii="Times New Roman" w:hAnsi="Times New Roman" w:cs="Times New Roman"/>
          <w:sz w:val="24"/>
        </w:rPr>
        <w:t xml:space="preserve">. The reduction came mainly in electricity and heat production. This is in line with the trend over the last five years, where emissions from </w:t>
      </w:r>
      <w:r w:rsidR="00D00063">
        <w:rPr>
          <w:rFonts w:ascii="Times New Roman" w:hAnsi="Times New Roman" w:cs="Times New Roman"/>
          <w:sz w:val="24"/>
        </w:rPr>
        <w:t xml:space="preserve">these </w:t>
      </w:r>
      <w:r>
        <w:rPr>
          <w:rFonts w:ascii="Times New Roman" w:hAnsi="Times New Roman" w:cs="Times New Roman"/>
          <w:sz w:val="24"/>
        </w:rPr>
        <w:t>sector</w:t>
      </w:r>
      <w:r w:rsidR="00D00063">
        <w:rPr>
          <w:rFonts w:ascii="Times New Roman" w:hAnsi="Times New Roman" w:cs="Times New Roman"/>
          <w:sz w:val="24"/>
        </w:rPr>
        <w:t>s</w:t>
      </w:r>
      <w:r>
        <w:rPr>
          <w:rFonts w:ascii="Times New Roman" w:hAnsi="Times New Roman" w:cs="Times New Roman"/>
          <w:sz w:val="24"/>
        </w:rPr>
        <w:t xml:space="preserve"> have decreased significantly. </w:t>
      </w:r>
      <w:r w:rsidRPr="00C53D79">
        <w:rPr>
          <w:rFonts w:ascii="Times New Roman" w:hAnsi="Times New Roman" w:cs="Times New Roman"/>
          <w:sz w:val="24"/>
          <w:szCs w:val="24"/>
        </w:rPr>
        <w:t xml:space="preserve">This reflects </w:t>
      </w:r>
      <w:r w:rsidR="0011373B">
        <w:rPr>
          <w:rFonts w:ascii="Times New Roman" w:hAnsi="Times New Roman" w:cs="Times New Roman"/>
          <w:sz w:val="24"/>
          <w:szCs w:val="24"/>
        </w:rPr>
        <w:t xml:space="preserve">in particular </w:t>
      </w:r>
      <w:r w:rsidRPr="00C53D79">
        <w:rPr>
          <w:rFonts w:ascii="Times New Roman" w:eastAsia="Times New Roman" w:hAnsi="Times New Roman" w:cs="Times New Roman"/>
          <w:sz w:val="24"/>
          <w:szCs w:val="24"/>
        </w:rPr>
        <w:t>changes in the fuels used to produce heat and electricity, including an increase in the use of renewable energy sources.</w:t>
      </w:r>
      <w:r>
        <w:rPr>
          <w:rFonts w:ascii="Times New Roman" w:eastAsia="Times New Roman" w:hAnsi="Times New Roman" w:cs="Times New Roman"/>
          <w:szCs w:val="24"/>
        </w:rPr>
        <w:t xml:space="preserve"> </w:t>
      </w:r>
    </w:p>
    <w:p w14:paraId="745B1380" w14:textId="4CCD84FA" w:rsidR="00E809A6" w:rsidRDefault="00CE78E6" w:rsidP="00CE78E6">
      <w:pPr>
        <w:jc w:val="both"/>
        <w:rPr>
          <w:rFonts w:ascii="Times New Roman" w:hAnsi="Times New Roman" w:cs="Times New Roman"/>
          <w:sz w:val="24"/>
        </w:rPr>
      </w:pPr>
      <w:r>
        <w:rPr>
          <w:rFonts w:ascii="Times New Roman" w:hAnsi="Times New Roman" w:cs="Times New Roman"/>
          <w:sz w:val="24"/>
        </w:rPr>
        <w:t>Emissions not covered by the EU ETS</w:t>
      </w:r>
      <w:r w:rsidR="00D00063">
        <w:rPr>
          <w:rFonts w:ascii="Times New Roman" w:hAnsi="Times New Roman" w:cs="Times New Roman"/>
          <w:sz w:val="24"/>
        </w:rPr>
        <w:t xml:space="preserve"> (</w:t>
      </w:r>
      <w:r>
        <w:rPr>
          <w:rFonts w:ascii="Times New Roman" w:hAnsi="Times New Roman" w:cs="Times New Roman"/>
          <w:sz w:val="24"/>
        </w:rPr>
        <w:t>such as emissions from transport, buildings, agriculture and waste</w:t>
      </w:r>
      <w:r w:rsidR="00D00063">
        <w:rPr>
          <w:rFonts w:ascii="Times New Roman" w:hAnsi="Times New Roman" w:cs="Times New Roman"/>
          <w:sz w:val="24"/>
        </w:rPr>
        <w:t>)</w:t>
      </w:r>
      <w:r>
        <w:rPr>
          <w:rFonts w:ascii="Times New Roman" w:hAnsi="Times New Roman" w:cs="Times New Roman"/>
          <w:sz w:val="24"/>
        </w:rPr>
        <w:t xml:space="preserve"> decreased by </w:t>
      </w:r>
      <w:r w:rsidR="00525516">
        <w:rPr>
          <w:rFonts w:ascii="Times New Roman" w:hAnsi="Times New Roman" w:cs="Times New Roman"/>
          <w:sz w:val="24"/>
        </w:rPr>
        <w:t>0.9</w:t>
      </w:r>
      <w:r w:rsidR="00684416">
        <w:rPr>
          <w:rFonts w:ascii="Times New Roman" w:hAnsi="Times New Roman" w:cs="Times New Roman"/>
          <w:sz w:val="24"/>
        </w:rPr>
        <w:t>%</w:t>
      </w:r>
      <w:r>
        <w:rPr>
          <w:rFonts w:ascii="Times New Roman" w:hAnsi="Times New Roman" w:cs="Times New Roman"/>
          <w:sz w:val="24"/>
        </w:rPr>
        <w:t xml:space="preserve"> from 2017 to 2018. The reduction comes after three years of slightly increasing emissions from these sectors. </w:t>
      </w:r>
      <w:r w:rsidR="00033FA4">
        <w:rPr>
          <w:rFonts w:ascii="Times New Roman" w:hAnsi="Times New Roman" w:cs="Times New Roman"/>
          <w:sz w:val="24"/>
        </w:rPr>
        <w:t xml:space="preserve">The reduction came mainly from energy use in buildings. Emissions from agriculture also decreased slightly, while there was a small increase in transport emissions as compared to 2017. </w:t>
      </w:r>
    </w:p>
    <w:p w14:paraId="6E596857" w14:textId="03734975" w:rsidR="00CE78E6" w:rsidRDefault="00CE78E6" w:rsidP="00CE78E6">
      <w:pPr>
        <w:jc w:val="both"/>
        <w:rPr>
          <w:rFonts w:ascii="Times New Roman" w:hAnsi="Times New Roman" w:cs="Times New Roman"/>
          <w:sz w:val="24"/>
        </w:rPr>
      </w:pPr>
      <w:r>
        <w:rPr>
          <w:rFonts w:ascii="Times New Roman" w:hAnsi="Times New Roman" w:cs="Times New Roman"/>
          <w:sz w:val="24"/>
        </w:rPr>
        <w:t xml:space="preserve">Moreover, emissions from international aviation </w:t>
      </w:r>
      <w:r w:rsidR="000B74F1">
        <w:rPr>
          <w:rFonts w:ascii="Times New Roman" w:hAnsi="Times New Roman" w:cs="Times New Roman"/>
          <w:sz w:val="24"/>
        </w:rPr>
        <w:t>continued increasing in</w:t>
      </w:r>
      <w:r>
        <w:rPr>
          <w:rFonts w:ascii="Times New Roman" w:hAnsi="Times New Roman" w:cs="Times New Roman"/>
          <w:sz w:val="24"/>
        </w:rPr>
        <w:t xml:space="preserve"> 2018, and </w:t>
      </w:r>
      <w:r w:rsidR="000B74F1">
        <w:rPr>
          <w:rFonts w:ascii="Times New Roman" w:hAnsi="Times New Roman" w:cs="Times New Roman"/>
          <w:sz w:val="24"/>
        </w:rPr>
        <w:t xml:space="preserve">are up </w:t>
      </w:r>
      <w:r w:rsidR="00525516">
        <w:rPr>
          <w:rFonts w:ascii="Times New Roman" w:hAnsi="Times New Roman" w:cs="Times New Roman"/>
          <w:sz w:val="24"/>
        </w:rPr>
        <w:t>19</w:t>
      </w:r>
      <w:r w:rsidR="00684416">
        <w:rPr>
          <w:rFonts w:ascii="Times New Roman" w:hAnsi="Times New Roman" w:cs="Times New Roman"/>
          <w:sz w:val="24"/>
        </w:rPr>
        <w:t>%</w:t>
      </w:r>
      <w:r>
        <w:rPr>
          <w:rFonts w:ascii="Times New Roman" w:hAnsi="Times New Roman" w:cs="Times New Roman"/>
          <w:sz w:val="24"/>
        </w:rPr>
        <w:t xml:space="preserve"> over the last five years. </w:t>
      </w:r>
      <w:r w:rsidR="00E809A6" w:rsidRPr="00E809A6">
        <w:rPr>
          <w:rFonts w:ascii="Times New Roman" w:hAnsi="Times New Roman" w:cs="Times New Roman"/>
          <w:sz w:val="24"/>
        </w:rPr>
        <w:t xml:space="preserve">These are in principle covered by the EU ETS, for the moment limited to </w:t>
      </w:r>
      <w:r w:rsidR="00E809A6">
        <w:rPr>
          <w:rFonts w:ascii="Times New Roman" w:hAnsi="Times New Roman" w:cs="Times New Roman"/>
          <w:sz w:val="24"/>
        </w:rPr>
        <w:t>flights in the E</w:t>
      </w:r>
      <w:r w:rsidR="00D00063">
        <w:rPr>
          <w:rFonts w:ascii="Times New Roman" w:hAnsi="Times New Roman" w:cs="Times New Roman"/>
          <w:sz w:val="24"/>
        </w:rPr>
        <w:t>uropean Economic Area (E</w:t>
      </w:r>
      <w:r w:rsidR="00E809A6">
        <w:rPr>
          <w:rFonts w:ascii="Times New Roman" w:hAnsi="Times New Roman" w:cs="Times New Roman"/>
          <w:sz w:val="24"/>
        </w:rPr>
        <w:t>EA</w:t>
      </w:r>
      <w:r w:rsidR="00D00063">
        <w:rPr>
          <w:rFonts w:ascii="Times New Roman" w:hAnsi="Times New Roman" w:cs="Times New Roman"/>
          <w:sz w:val="24"/>
        </w:rPr>
        <w:t>)</w:t>
      </w:r>
      <w:r w:rsidR="00E809A6">
        <w:rPr>
          <w:rFonts w:ascii="Times New Roman" w:hAnsi="Times New Roman" w:cs="Times New Roman"/>
          <w:sz w:val="24"/>
        </w:rPr>
        <w:t xml:space="preserve">. </w:t>
      </w:r>
    </w:p>
    <w:p w14:paraId="7520E613" w14:textId="36B76F2F" w:rsidR="00D25DC5" w:rsidRPr="006E1D94" w:rsidRDefault="00D25DC5" w:rsidP="00446D1E">
      <w:pPr>
        <w:overflowPunct w:val="0"/>
        <w:autoSpaceDE w:val="0"/>
        <w:autoSpaceDN w:val="0"/>
        <w:adjustRightInd w:val="0"/>
        <w:spacing w:after="120" w:line="276" w:lineRule="auto"/>
        <w:jc w:val="both"/>
        <w:textAlignment w:val="baseline"/>
        <w:rPr>
          <w:rFonts w:ascii="Times New Roman" w:eastAsia="Times New Roman" w:hAnsi="Times New Roman" w:cs="Times New Roman"/>
          <w:b/>
          <w:color w:val="000000"/>
          <w:sz w:val="24"/>
          <w:szCs w:val="24"/>
        </w:rPr>
      </w:pPr>
      <w:r>
        <w:rPr>
          <w:rStyle w:val="Heading2Char"/>
        </w:rPr>
        <w:t>The EU has put in place legislation to reach its 2030 target</w:t>
      </w:r>
    </w:p>
    <w:p w14:paraId="247D73B2" w14:textId="78D5D0C9" w:rsidR="0045741B" w:rsidRDefault="00DF11B4" w:rsidP="00E04ACD">
      <w:pPr>
        <w:overflowPunct w:val="0"/>
        <w:autoSpaceDE w:val="0"/>
        <w:autoSpaceDN w:val="0"/>
        <w:adjustRightInd w:val="0"/>
        <w:spacing w:after="240" w:line="276"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Union has communicated a nationally determined contribution under the Paris Agreement of at least 40</w:t>
      </w:r>
      <w:r w:rsidR="0068441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domestic greenhouse gas reductions by 2030 compared to 1990. </w:t>
      </w:r>
      <w:r w:rsidR="003A2C80">
        <w:rPr>
          <w:rFonts w:ascii="Times New Roman" w:eastAsia="Times New Roman" w:hAnsi="Times New Roman" w:cs="Times New Roman"/>
          <w:color w:val="000000"/>
          <w:sz w:val="24"/>
          <w:szCs w:val="24"/>
        </w:rPr>
        <w:t xml:space="preserve">The EU has </w:t>
      </w:r>
      <w:r w:rsidR="00CE78E6">
        <w:rPr>
          <w:rFonts w:ascii="Times New Roman" w:eastAsia="Times New Roman" w:hAnsi="Times New Roman" w:cs="Times New Roman"/>
          <w:color w:val="000000"/>
          <w:sz w:val="24"/>
          <w:szCs w:val="24"/>
        </w:rPr>
        <w:t xml:space="preserve">put </w:t>
      </w:r>
      <w:r w:rsidR="003A2C80">
        <w:rPr>
          <w:rFonts w:ascii="Times New Roman" w:eastAsia="Times New Roman" w:hAnsi="Times New Roman" w:cs="Times New Roman"/>
          <w:color w:val="000000"/>
          <w:sz w:val="24"/>
          <w:szCs w:val="24"/>
        </w:rPr>
        <w:t xml:space="preserve">in place legislation </w:t>
      </w:r>
      <w:r w:rsidR="00CE78E6">
        <w:rPr>
          <w:rFonts w:ascii="Times New Roman" w:eastAsia="Times New Roman" w:hAnsi="Times New Roman" w:cs="Times New Roman"/>
          <w:color w:val="000000"/>
          <w:sz w:val="24"/>
          <w:szCs w:val="24"/>
        </w:rPr>
        <w:t xml:space="preserve">as shown in Figure 3 </w:t>
      </w:r>
      <w:r w:rsidR="003A2C80">
        <w:rPr>
          <w:rFonts w:ascii="Times New Roman" w:eastAsia="Times New Roman" w:hAnsi="Times New Roman" w:cs="Times New Roman"/>
          <w:color w:val="000000"/>
          <w:sz w:val="24"/>
          <w:szCs w:val="24"/>
        </w:rPr>
        <w:t xml:space="preserve">that will enable it to deliver on this commitment. </w:t>
      </w:r>
      <w:r w:rsidR="00B7393E">
        <w:rPr>
          <w:rFonts w:ascii="Times New Roman" w:eastAsia="Times New Roman" w:hAnsi="Times New Roman" w:cs="Times New Roman"/>
          <w:color w:val="000000"/>
          <w:sz w:val="24"/>
          <w:szCs w:val="24"/>
        </w:rPr>
        <w:t>The effective implementation of all climate, energy and mobility targets laid down in Union law could even lead to EU</w:t>
      </w:r>
      <w:r w:rsidR="00675E1B">
        <w:rPr>
          <w:rFonts w:ascii="Times New Roman" w:eastAsia="Times New Roman" w:hAnsi="Times New Roman" w:cs="Times New Roman"/>
          <w:color w:val="000000"/>
          <w:sz w:val="24"/>
          <w:szCs w:val="24"/>
        </w:rPr>
        <w:t>-</w:t>
      </w:r>
      <w:r w:rsidR="00B7393E">
        <w:rPr>
          <w:rFonts w:ascii="Times New Roman" w:eastAsia="Times New Roman" w:hAnsi="Times New Roman" w:cs="Times New Roman"/>
          <w:color w:val="000000"/>
          <w:sz w:val="24"/>
          <w:szCs w:val="24"/>
        </w:rPr>
        <w:t xml:space="preserve">28 greenhouse gas reductions </w:t>
      </w:r>
      <w:r w:rsidR="00D00063">
        <w:rPr>
          <w:rFonts w:ascii="Times New Roman" w:eastAsia="Times New Roman" w:hAnsi="Times New Roman" w:cs="Times New Roman"/>
          <w:color w:val="000000"/>
          <w:sz w:val="24"/>
          <w:szCs w:val="24"/>
        </w:rPr>
        <w:t xml:space="preserve">up to </w:t>
      </w:r>
      <w:r w:rsidR="00B7393E">
        <w:rPr>
          <w:rFonts w:ascii="Times New Roman" w:eastAsia="Times New Roman" w:hAnsi="Times New Roman" w:cs="Times New Roman"/>
          <w:color w:val="000000"/>
          <w:sz w:val="24"/>
          <w:szCs w:val="24"/>
        </w:rPr>
        <w:t>around 45</w:t>
      </w:r>
      <w:r w:rsidR="00684416">
        <w:rPr>
          <w:rFonts w:ascii="Times New Roman" w:eastAsia="Times New Roman" w:hAnsi="Times New Roman" w:cs="Times New Roman"/>
          <w:color w:val="000000"/>
          <w:sz w:val="24"/>
          <w:szCs w:val="24"/>
        </w:rPr>
        <w:t>%</w:t>
      </w:r>
      <w:r w:rsidR="00B7393E">
        <w:rPr>
          <w:rFonts w:ascii="Times New Roman" w:eastAsia="Times New Roman" w:hAnsi="Times New Roman" w:cs="Times New Roman"/>
          <w:color w:val="000000"/>
          <w:sz w:val="24"/>
          <w:szCs w:val="24"/>
        </w:rPr>
        <w:t xml:space="preserve"> in 2030 compared to 1990. </w:t>
      </w:r>
    </w:p>
    <w:p w14:paraId="25EE82F6" w14:textId="64A7B0F6" w:rsidR="00CE78E6" w:rsidRDefault="00CE78E6" w:rsidP="00446D1E">
      <w:pPr>
        <w:pStyle w:val="Heading2"/>
        <w:spacing w:after="120"/>
        <w:rPr>
          <w:noProof/>
        </w:rPr>
      </w:pPr>
      <w:r w:rsidRPr="00FD2C35">
        <w:t>Cooperation with Norway and Iceland to reach the 2030 target</w:t>
      </w:r>
      <w:r>
        <w:rPr>
          <w:noProof/>
        </w:rPr>
        <w:t xml:space="preserve"> </w:t>
      </w:r>
    </w:p>
    <w:p w14:paraId="4A22CF30" w14:textId="3DB7B391" w:rsidR="00CE78E6" w:rsidRPr="00FD2C35" w:rsidRDefault="00CE78E6" w:rsidP="00CE78E6">
      <w:pPr>
        <w:pStyle w:val="Heading2"/>
        <w:rPr>
          <w:b w:val="0"/>
          <w:i w:val="0"/>
          <w:noProof/>
        </w:rPr>
      </w:pPr>
      <w:r w:rsidRPr="00FD2C35">
        <w:rPr>
          <w:b w:val="0"/>
          <w:i w:val="0"/>
          <w:noProof/>
        </w:rPr>
        <w:t xml:space="preserve">Norway and Iceland </w:t>
      </w:r>
      <w:r>
        <w:rPr>
          <w:b w:val="0"/>
          <w:i w:val="0"/>
          <w:noProof/>
        </w:rPr>
        <w:t xml:space="preserve">have </w:t>
      </w:r>
      <w:r w:rsidRPr="00FD2C35">
        <w:rPr>
          <w:b w:val="0"/>
          <w:i w:val="0"/>
          <w:noProof/>
        </w:rPr>
        <w:t xml:space="preserve">agreed to cooperate with the EU </w:t>
      </w:r>
      <w:r w:rsidR="00E809A6">
        <w:rPr>
          <w:b w:val="0"/>
          <w:i w:val="0"/>
          <w:noProof/>
        </w:rPr>
        <w:t xml:space="preserve">in </w:t>
      </w:r>
      <w:r w:rsidRPr="00FD2C35">
        <w:rPr>
          <w:b w:val="0"/>
          <w:i w:val="0"/>
          <w:noProof/>
        </w:rPr>
        <w:t>reaching the</w:t>
      </w:r>
      <w:r>
        <w:rPr>
          <w:b w:val="0"/>
          <w:i w:val="0"/>
          <w:noProof/>
        </w:rPr>
        <w:t>ir</w:t>
      </w:r>
      <w:r w:rsidRPr="00FD2C35">
        <w:rPr>
          <w:b w:val="0"/>
          <w:i w:val="0"/>
          <w:noProof/>
        </w:rPr>
        <w:t xml:space="preserve"> 2030 target</w:t>
      </w:r>
      <w:r>
        <w:rPr>
          <w:b w:val="0"/>
          <w:i w:val="0"/>
          <w:noProof/>
        </w:rPr>
        <w:t>s</w:t>
      </w:r>
      <w:r w:rsidRPr="00FD2C35">
        <w:rPr>
          <w:b w:val="0"/>
          <w:i w:val="0"/>
          <w:noProof/>
        </w:rPr>
        <w:t xml:space="preserve"> of reducing GHG emissions by</w:t>
      </w:r>
      <w:r w:rsidR="00D00063">
        <w:rPr>
          <w:b w:val="0"/>
          <w:i w:val="0"/>
          <w:noProof/>
        </w:rPr>
        <w:t xml:space="preserve"> at least</w:t>
      </w:r>
      <w:r w:rsidRPr="00FD2C35">
        <w:rPr>
          <w:b w:val="0"/>
          <w:i w:val="0"/>
          <w:noProof/>
        </w:rPr>
        <w:t xml:space="preserve"> 40</w:t>
      </w:r>
      <w:r w:rsidR="00684416">
        <w:rPr>
          <w:b w:val="0"/>
          <w:i w:val="0"/>
          <w:noProof/>
        </w:rPr>
        <w:t>%</w:t>
      </w:r>
      <w:r w:rsidRPr="00FD2C35">
        <w:rPr>
          <w:b w:val="0"/>
          <w:i w:val="0"/>
          <w:noProof/>
        </w:rPr>
        <w:t xml:space="preserve"> compared </w:t>
      </w:r>
      <w:r w:rsidR="00D00063">
        <w:rPr>
          <w:b w:val="0"/>
          <w:i w:val="0"/>
          <w:noProof/>
        </w:rPr>
        <w:t>to</w:t>
      </w:r>
      <w:r w:rsidR="00D00063" w:rsidRPr="00FD2C35">
        <w:rPr>
          <w:b w:val="0"/>
          <w:i w:val="0"/>
          <w:noProof/>
        </w:rPr>
        <w:t xml:space="preserve"> </w:t>
      </w:r>
      <w:r w:rsidRPr="00FD2C35">
        <w:rPr>
          <w:b w:val="0"/>
          <w:i w:val="0"/>
          <w:noProof/>
        </w:rPr>
        <w:t xml:space="preserve">1990 levels. </w:t>
      </w:r>
      <w:r>
        <w:rPr>
          <w:b w:val="0"/>
          <w:i w:val="0"/>
          <w:noProof/>
        </w:rPr>
        <w:t xml:space="preserve">In </w:t>
      </w:r>
      <w:r w:rsidRPr="00FD2C35">
        <w:rPr>
          <w:b w:val="0"/>
          <w:i w:val="0"/>
          <w:noProof/>
        </w:rPr>
        <w:t xml:space="preserve">the </w:t>
      </w:r>
      <w:r>
        <w:rPr>
          <w:b w:val="0"/>
          <w:i w:val="0"/>
          <w:noProof/>
        </w:rPr>
        <w:t xml:space="preserve">context of the </w:t>
      </w:r>
      <w:r w:rsidRPr="00FD2C35">
        <w:rPr>
          <w:b w:val="0"/>
          <w:i w:val="0"/>
          <w:noProof/>
        </w:rPr>
        <w:t>EEA Agreement</w:t>
      </w:r>
      <w:r>
        <w:rPr>
          <w:b w:val="0"/>
          <w:i w:val="0"/>
          <w:noProof/>
        </w:rPr>
        <w:t>,</w:t>
      </w:r>
      <w:r w:rsidRPr="00FD2C35">
        <w:rPr>
          <w:b w:val="0"/>
          <w:i w:val="0"/>
          <w:noProof/>
        </w:rPr>
        <w:t xml:space="preserve"> Norway and Iceland </w:t>
      </w:r>
      <w:r>
        <w:rPr>
          <w:b w:val="0"/>
          <w:i w:val="0"/>
          <w:noProof/>
        </w:rPr>
        <w:t xml:space="preserve">will as of 2021 </w:t>
      </w:r>
      <w:r w:rsidRPr="00FD2C35">
        <w:rPr>
          <w:b w:val="0"/>
          <w:i w:val="0"/>
          <w:noProof/>
        </w:rPr>
        <w:t>implement the Effort Sharing Regulation and the LULUCF Regulation. Norway and Iceland already take part in the EU ETS</w:t>
      </w:r>
      <w:r w:rsidR="008C7B9C">
        <w:rPr>
          <w:b w:val="0"/>
          <w:i w:val="0"/>
          <w:noProof/>
        </w:rPr>
        <w:t xml:space="preserve"> since 2008</w:t>
      </w:r>
      <w:r w:rsidRPr="00FD2C35">
        <w:rPr>
          <w:b w:val="0"/>
          <w:i w:val="0"/>
          <w:noProof/>
        </w:rPr>
        <w:t>.</w:t>
      </w:r>
    </w:p>
    <w:p w14:paraId="64D80315" w14:textId="77777777" w:rsidR="00CE78E6" w:rsidRDefault="00CE78E6" w:rsidP="00E04ACD">
      <w:pPr>
        <w:overflowPunct w:val="0"/>
        <w:autoSpaceDE w:val="0"/>
        <w:autoSpaceDN w:val="0"/>
        <w:adjustRightInd w:val="0"/>
        <w:spacing w:after="240" w:line="276" w:lineRule="auto"/>
        <w:jc w:val="both"/>
        <w:textAlignment w:val="baseline"/>
        <w:rPr>
          <w:rFonts w:ascii="Times New Roman" w:eastAsia="Times New Roman" w:hAnsi="Times New Roman" w:cs="Times New Roman"/>
          <w:color w:val="000000"/>
          <w:sz w:val="24"/>
          <w:szCs w:val="24"/>
        </w:rPr>
      </w:pPr>
    </w:p>
    <w:tbl>
      <w:tblPr>
        <w:tblW w:w="8931" w:type="dxa"/>
        <w:tblInd w:w="108" w:type="dxa"/>
        <w:tblLook w:val="0420" w:firstRow="1" w:lastRow="0" w:firstColumn="0" w:lastColumn="0" w:noHBand="0" w:noVBand="1"/>
      </w:tblPr>
      <w:tblGrid>
        <w:gridCol w:w="1133"/>
        <w:gridCol w:w="1135"/>
        <w:gridCol w:w="1418"/>
        <w:gridCol w:w="1276"/>
        <w:gridCol w:w="1275"/>
        <w:gridCol w:w="1418"/>
        <w:gridCol w:w="1276"/>
      </w:tblGrid>
      <w:tr w:rsidR="00CE78E6" w:rsidRPr="000B2576" w14:paraId="1C941771" w14:textId="77777777" w:rsidTr="004C23CE">
        <w:trPr>
          <w:trHeight w:val="367"/>
        </w:trPr>
        <w:tc>
          <w:tcPr>
            <w:tcW w:w="1133" w:type="dxa"/>
            <w:vMerge w:val="restart"/>
            <w:tcBorders>
              <w:top w:val="single" w:sz="4" w:space="0" w:color="4472C4"/>
              <w:left w:val="single" w:sz="4" w:space="0" w:color="4472C4"/>
              <w:bottom w:val="dotted" w:sz="4" w:space="0" w:color="D9D9D9"/>
              <w:right w:val="dotted" w:sz="4" w:space="0" w:color="D9D9D9"/>
            </w:tcBorders>
            <w:shd w:val="clear" w:color="auto" w:fill="auto"/>
            <w:hideMark/>
          </w:tcPr>
          <w:p w14:paraId="00E56389" w14:textId="77777777" w:rsidR="000B2576" w:rsidRPr="000B2576" w:rsidRDefault="000B2576" w:rsidP="00E04ACD">
            <w:pPr>
              <w:spacing w:after="0" w:line="240" w:lineRule="auto"/>
              <w:jc w:val="both"/>
              <w:rPr>
                <w:rFonts w:ascii="Calibri" w:eastAsia="Times New Roman" w:hAnsi="Calibri" w:cs="Times New Roman"/>
                <w:color w:val="000000"/>
                <w:lang w:eastAsia="en-GB"/>
              </w:rPr>
            </w:pPr>
            <w:r w:rsidRPr="000B2576">
              <w:rPr>
                <w:rFonts w:ascii="Calibri" w:eastAsia="Times New Roman" w:hAnsi="Calibri" w:cs="Times New Roman"/>
                <w:color w:val="000000"/>
                <w:lang w:eastAsia="en-GB"/>
              </w:rPr>
              <w:t> </w:t>
            </w:r>
          </w:p>
        </w:tc>
        <w:tc>
          <w:tcPr>
            <w:tcW w:w="1135"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14:paraId="7B2826B4" w14:textId="77777777" w:rsidR="000B2576" w:rsidRPr="000B2576" w:rsidRDefault="000B2576" w:rsidP="006E1D94">
            <w:pPr>
              <w:spacing w:after="0" w:line="240" w:lineRule="auto"/>
              <w:jc w:val="center"/>
              <w:rPr>
                <w:rFonts w:ascii="EC Square Sans Pro" w:eastAsia="Times New Roman" w:hAnsi="EC Square Sans Pro" w:cs="Times New Roman"/>
                <w:b/>
                <w:bCs/>
                <w:color w:val="094E9C"/>
                <w:sz w:val="14"/>
                <w:szCs w:val="14"/>
                <w:lang w:eastAsia="en-GB"/>
              </w:rPr>
            </w:pPr>
            <w:r w:rsidRPr="000B2576">
              <w:rPr>
                <w:rFonts w:ascii="EC Square Sans Pro" w:eastAsia="Times New Roman" w:hAnsi="EC Square Sans Pro" w:cs="Times New Roman"/>
                <w:b/>
                <w:bCs/>
                <w:color w:val="094E9C"/>
                <w:sz w:val="14"/>
                <w:szCs w:val="14"/>
                <w:lang w:eastAsia="en-GB"/>
              </w:rPr>
              <w:t>GREENHOUSE  GAS EMISSIONS</w:t>
            </w:r>
          </w:p>
        </w:tc>
        <w:tc>
          <w:tcPr>
            <w:tcW w:w="1418"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14:paraId="4E61C07A" w14:textId="77777777" w:rsidR="000B2576" w:rsidRPr="000B2576" w:rsidRDefault="000B2576" w:rsidP="006E1D94">
            <w:pPr>
              <w:spacing w:after="0" w:line="240" w:lineRule="auto"/>
              <w:jc w:val="center"/>
              <w:rPr>
                <w:rFonts w:ascii="EC Square Sans Pro" w:eastAsia="Times New Roman" w:hAnsi="EC Square Sans Pro" w:cs="Times New Roman"/>
                <w:b/>
                <w:bCs/>
                <w:color w:val="094E9C"/>
                <w:sz w:val="14"/>
                <w:szCs w:val="14"/>
                <w:lang w:eastAsia="en-GB"/>
              </w:rPr>
            </w:pPr>
            <w:r w:rsidRPr="000B2576">
              <w:rPr>
                <w:rFonts w:ascii="EC Square Sans Pro" w:eastAsia="Times New Roman" w:hAnsi="EC Square Sans Pro" w:cs="Times New Roman"/>
                <w:b/>
                <w:bCs/>
                <w:color w:val="094E9C"/>
                <w:sz w:val="14"/>
                <w:szCs w:val="14"/>
                <w:lang w:eastAsia="en-GB"/>
              </w:rPr>
              <w:t>RENEWABLE  ENERGY</w:t>
            </w:r>
          </w:p>
        </w:tc>
        <w:tc>
          <w:tcPr>
            <w:tcW w:w="1276"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14:paraId="1721DBB8" w14:textId="77777777" w:rsidR="000B2576" w:rsidRPr="000B2576" w:rsidRDefault="000B2576" w:rsidP="006E1D94">
            <w:pPr>
              <w:spacing w:after="0" w:line="240" w:lineRule="auto"/>
              <w:jc w:val="center"/>
              <w:rPr>
                <w:rFonts w:ascii="EC Square Sans Pro" w:eastAsia="Times New Roman" w:hAnsi="EC Square Sans Pro" w:cs="Times New Roman"/>
                <w:b/>
                <w:bCs/>
                <w:color w:val="094E9C"/>
                <w:sz w:val="14"/>
                <w:szCs w:val="14"/>
                <w:lang w:eastAsia="en-GB"/>
              </w:rPr>
            </w:pPr>
            <w:r w:rsidRPr="000B2576">
              <w:rPr>
                <w:rFonts w:ascii="EC Square Sans Pro" w:eastAsia="Times New Roman" w:hAnsi="EC Square Sans Pro" w:cs="Times New Roman"/>
                <w:b/>
                <w:bCs/>
                <w:color w:val="094E9C"/>
                <w:sz w:val="14"/>
                <w:szCs w:val="14"/>
                <w:lang w:eastAsia="en-GB"/>
              </w:rPr>
              <w:t>ENERGY  EFFICIENCY</w:t>
            </w:r>
          </w:p>
        </w:tc>
        <w:tc>
          <w:tcPr>
            <w:tcW w:w="1275"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14:paraId="08F6DBB1" w14:textId="77777777" w:rsidR="000B2576" w:rsidRPr="000B2576" w:rsidRDefault="000B2576" w:rsidP="006E1D94">
            <w:pPr>
              <w:spacing w:after="0" w:line="240" w:lineRule="auto"/>
              <w:jc w:val="center"/>
              <w:rPr>
                <w:rFonts w:ascii="EC Square Sans Pro" w:eastAsia="Times New Roman" w:hAnsi="EC Square Sans Pro" w:cs="Times New Roman"/>
                <w:b/>
                <w:bCs/>
                <w:color w:val="094E9C"/>
                <w:sz w:val="14"/>
                <w:szCs w:val="14"/>
                <w:lang w:eastAsia="en-GB"/>
              </w:rPr>
            </w:pPr>
            <w:r w:rsidRPr="000B2576">
              <w:rPr>
                <w:rFonts w:ascii="EC Square Sans Pro" w:eastAsia="Times New Roman" w:hAnsi="EC Square Sans Pro" w:cs="Times New Roman"/>
                <w:b/>
                <w:bCs/>
                <w:color w:val="094E9C"/>
                <w:sz w:val="14"/>
                <w:szCs w:val="14"/>
                <w:lang w:eastAsia="en-GB"/>
              </w:rPr>
              <w:t>INTER-CONNECTION</w:t>
            </w:r>
          </w:p>
        </w:tc>
        <w:tc>
          <w:tcPr>
            <w:tcW w:w="1418" w:type="dxa"/>
            <w:tcBorders>
              <w:top w:val="single" w:sz="4" w:space="0" w:color="4472C4"/>
              <w:left w:val="nil"/>
              <w:bottom w:val="nil"/>
              <w:right w:val="dotted" w:sz="4" w:space="0" w:color="D9D9D9"/>
            </w:tcBorders>
            <w:shd w:val="clear" w:color="auto" w:fill="auto"/>
            <w:vAlign w:val="center"/>
            <w:hideMark/>
          </w:tcPr>
          <w:p w14:paraId="0156D179" w14:textId="77777777" w:rsidR="000B2576" w:rsidRPr="000B2576" w:rsidRDefault="000B2576" w:rsidP="006E1D94">
            <w:pPr>
              <w:spacing w:after="0" w:line="240" w:lineRule="auto"/>
              <w:jc w:val="center"/>
              <w:rPr>
                <w:rFonts w:ascii="EC Square Sans Pro" w:eastAsia="Times New Roman" w:hAnsi="EC Square Sans Pro" w:cs="Times New Roman"/>
                <w:b/>
                <w:bCs/>
                <w:color w:val="094E9C"/>
                <w:sz w:val="14"/>
                <w:szCs w:val="14"/>
                <w:lang w:eastAsia="en-GB"/>
              </w:rPr>
            </w:pPr>
            <w:r w:rsidRPr="000B2576">
              <w:rPr>
                <w:rFonts w:ascii="EC Square Sans Pro" w:eastAsia="Times New Roman" w:hAnsi="EC Square Sans Pro" w:cs="Times New Roman"/>
                <w:b/>
                <w:bCs/>
                <w:color w:val="094E9C"/>
                <w:sz w:val="14"/>
                <w:szCs w:val="14"/>
                <w:lang w:eastAsia="en-GB"/>
              </w:rPr>
              <w:t>CLIMATE IN</w:t>
            </w:r>
          </w:p>
        </w:tc>
        <w:tc>
          <w:tcPr>
            <w:tcW w:w="1276" w:type="dxa"/>
            <w:tcBorders>
              <w:top w:val="single" w:sz="4" w:space="0" w:color="4472C4"/>
              <w:left w:val="nil"/>
              <w:bottom w:val="nil"/>
              <w:right w:val="single" w:sz="4" w:space="0" w:color="4472C4"/>
            </w:tcBorders>
            <w:shd w:val="clear" w:color="auto" w:fill="auto"/>
            <w:vAlign w:val="center"/>
            <w:hideMark/>
          </w:tcPr>
          <w:p w14:paraId="7AAEBCF6" w14:textId="77777777" w:rsidR="000B2576" w:rsidRPr="000B2576" w:rsidRDefault="000B2576" w:rsidP="006E1D94">
            <w:pPr>
              <w:spacing w:after="0" w:line="240" w:lineRule="auto"/>
              <w:jc w:val="center"/>
              <w:rPr>
                <w:rFonts w:ascii="EC Square Sans Pro" w:eastAsia="Times New Roman" w:hAnsi="EC Square Sans Pro" w:cs="Times New Roman"/>
                <w:b/>
                <w:bCs/>
                <w:color w:val="094E9C"/>
                <w:sz w:val="14"/>
                <w:szCs w:val="14"/>
                <w:lang w:eastAsia="en-GB"/>
              </w:rPr>
            </w:pPr>
            <w:r w:rsidRPr="000B2576">
              <w:rPr>
                <w:rFonts w:ascii="EC Square Sans Pro" w:eastAsia="Times New Roman" w:hAnsi="EC Square Sans Pro" w:cs="Times New Roman"/>
                <w:b/>
                <w:bCs/>
                <w:color w:val="094E9C"/>
                <w:sz w:val="14"/>
                <w:szCs w:val="14"/>
                <w:lang w:eastAsia="en-GB"/>
              </w:rPr>
              <w:t>CO</w:t>
            </w:r>
            <w:r w:rsidRPr="00E809A6">
              <w:rPr>
                <w:rFonts w:ascii="EC Square Sans Pro" w:eastAsia="Times New Roman" w:hAnsi="EC Square Sans Pro" w:cs="Times New Roman"/>
                <w:b/>
                <w:bCs/>
                <w:color w:val="094E9C"/>
                <w:sz w:val="14"/>
                <w:szCs w:val="14"/>
                <w:vertAlign w:val="subscript"/>
                <w:lang w:eastAsia="en-GB"/>
              </w:rPr>
              <w:t>2</w:t>
            </w:r>
          </w:p>
        </w:tc>
      </w:tr>
      <w:tr w:rsidR="00CE78E6" w:rsidRPr="000B2576" w14:paraId="75CD80F4" w14:textId="77777777" w:rsidTr="004C23CE">
        <w:trPr>
          <w:trHeight w:val="733"/>
        </w:trPr>
        <w:tc>
          <w:tcPr>
            <w:tcW w:w="1133" w:type="dxa"/>
            <w:vMerge/>
            <w:tcBorders>
              <w:top w:val="single" w:sz="4" w:space="0" w:color="4472C4"/>
              <w:left w:val="single" w:sz="4" w:space="0" w:color="4472C4"/>
              <w:bottom w:val="dotted" w:sz="4" w:space="0" w:color="D9D9D9"/>
              <w:right w:val="dotted" w:sz="4" w:space="0" w:color="D9D9D9"/>
            </w:tcBorders>
            <w:vAlign w:val="center"/>
            <w:hideMark/>
          </w:tcPr>
          <w:p w14:paraId="7854029E" w14:textId="77777777" w:rsidR="000B2576" w:rsidRPr="000B2576" w:rsidRDefault="000B2576" w:rsidP="00E04ACD">
            <w:pPr>
              <w:spacing w:after="0" w:line="240" w:lineRule="auto"/>
              <w:jc w:val="both"/>
              <w:rPr>
                <w:rFonts w:ascii="Calibri" w:eastAsia="Times New Roman" w:hAnsi="Calibri" w:cs="Times New Roman"/>
                <w:color w:val="000000"/>
                <w:lang w:eastAsia="en-GB"/>
              </w:rPr>
            </w:pPr>
          </w:p>
        </w:tc>
        <w:tc>
          <w:tcPr>
            <w:tcW w:w="1135" w:type="dxa"/>
            <w:vMerge/>
            <w:tcBorders>
              <w:top w:val="single" w:sz="4" w:space="0" w:color="4472C4"/>
              <w:left w:val="dotted" w:sz="4" w:space="0" w:color="D9D9D9"/>
              <w:bottom w:val="dotted" w:sz="4" w:space="0" w:color="D9D9D9"/>
              <w:right w:val="dotted" w:sz="4" w:space="0" w:color="D9D9D9"/>
            </w:tcBorders>
            <w:vAlign w:val="center"/>
            <w:hideMark/>
          </w:tcPr>
          <w:p w14:paraId="49F56CEC" w14:textId="77777777" w:rsidR="000B2576" w:rsidRPr="000B2576" w:rsidRDefault="000B2576" w:rsidP="006E1D94">
            <w:pPr>
              <w:spacing w:after="0" w:line="240" w:lineRule="auto"/>
              <w:jc w:val="center"/>
              <w:rPr>
                <w:rFonts w:ascii="EC Square Sans Pro" w:eastAsia="Times New Roman" w:hAnsi="EC Square Sans Pro" w:cs="Times New Roman"/>
                <w:b/>
                <w:bCs/>
                <w:color w:val="094E9C"/>
                <w:sz w:val="14"/>
                <w:szCs w:val="14"/>
                <w:lang w:eastAsia="en-GB"/>
              </w:rPr>
            </w:pPr>
          </w:p>
        </w:tc>
        <w:tc>
          <w:tcPr>
            <w:tcW w:w="1418" w:type="dxa"/>
            <w:vMerge/>
            <w:tcBorders>
              <w:top w:val="single" w:sz="4" w:space="0" w:color="4472C4"/>
              <w:left w:val="dotted" w:sz="4" w:space="0" w:color="D9D9D9"/>
              <w:bottom w:val="dotted" w:sz="4" w:space="0" w:color="D9D9D9"/>
              <w:right w:val="dotted" w:sz="4" w:space="0" w:color="D9D9D9"/>
            </w:tcBorders>
            <w:vAlign w:val="center"/>
            <w:hideMark/>
          </w:tcPr>
          <w:p w14:paraId="67606795" w14:textId="77777777" w:rsidR="000B2576" w:rsidRPr="000B2576" w:rsidRDefault="000B2576" w:rsidP="006E1D94">
            <w:pPr>
              <w:spacing w:after="0" w:line="240" w:lineRule="auto"/>
              <w:jc w:val="center"/>
              <w:rPr>
                <w:rFonts w:ascii="EC Square Sans Pro" w:eastAsia="Times New Roman" w:hAnsi="EC Square Sans Pro" w:cs="Times New Roman"/>
                <w:b/>
                <w:bCs/>
                <w:color w:val="094E9C"/>
                <w:sz w:val="14"/>
                <w:szCs w:val="14"/>
                <w:lang w:eastAsia="en-GB"/>
              </w:rPr>
            </w:pPr>
          </w:p>
        </w:tc>
        <w:tc>
          <w:tcPr>
            <w:tcW w:w="1276" w:type="dxa"/>
            <w:vMerge/>
            <w:tcBorders>
              <w:top w:val="single" w:sz="4" w:space="0" w:color="4472C4"/>
              <w:left w:val="dotted" w:sz="4" w:space="0" w:color="D9D9D9"/>
              <w:bottom w:val="dotted" w:sz="4" w:space="0" w:color="D9D9D9"/>
              <w:right w:val="dotted" w:sz="4" w:space="0" w:color="D9D9D9"/>
            </w:tcBorders>
            <w:vAlign w:val="center"/>
            <w:hideMark/>
          </w:tcPr>
          <w:p w14:paraId="7872B4C3" w14:textId="77777777" w:rsidR="000B2576" w:rsidRPr="000B2576" w:rsidRDefault="000B2576" w:rsidP="006E1D94">
            <w:pPr>
              <w:spacing w:after="0" w:line="240" w:lineRule="auto"/>
              <w:jc w:val="center"/>
              <w:rPr>
                <w:rFonts w:ascii="EC Square Sans Pro" w:eastAsia="Times New Roman" w:hAnsi="EC Square Sans Pro" w:cs="Times New Roman"/>
                <w:b/>
                <w:bCs/>
                <w:color w:val="094E9C"/>
                <w:sz w:val="14"/>
                <w:szCs w:val="14"/>
                <w:lang w:eastAsia="en-GB"/>
              </w:rPr>
            </w:pPr>
          </w:p>
        </w:tc>
        <w:tc>
          <w:tcPr>
            <w:tcW w:w="1275" w:type="dxa"/>
            <w:vMerge/>
            <w:tcBorders>
              <w:top w:val="single" w:sz="4" w:space="0" w:color="4472C4"/>
              <w:left w:val="dotted" w:sz="4" w:space="0" w:color="D9D9D9"/>
              <w:bottom w:val="dotted" w:sz="4" w:space="0" w:color="D9D9D9"/>
              <w:right w:val="dotted" w:sz="4" w:space="0" w:color="D9D9D9"/>
            </w:tcBorders>
            <w:vAlign w:val="center"/>
            <w:hideMark/>
          </w:tcPr>
          <w:p w14:paraId="638DA3C9" w14:textId="77777777" w:rsidR="000B2576" w:rsidRPr="000B2576" w:rsidRDefault="000B2576" w:rsidP="006E1D94">
            <w:pPr>
              <w:spacing w:after="0" w:line="240" w:lineRule="auto"/>
              <w:jc w:val="center"/>
              <w:rPr>
                <w:rFonts w:ascii="EC Square Sans Pro" w:eastAsia="Times New Roman" w:hAnsi="EC Square Sans Pro" w:cs="Times New Roman"/>
                <w:b/>
                <w:bCs/>
                <w:color w:val="094E9C"/>
                <w:sz w:val="14"/>
                <w:szCs w:val="14"/>
                <w:lang w:eastAsia="en-GB"/>
              </w:rPr>
            </w:pPr>
          </w:p>
        </w:tc>
        <w:tc>
          <w:tcPr>
            <w:tcW w:w="1418" w:type="dxa"/>
            <w:tcBorders>
              <w:top w:val="nil"/>
              <w:left w:val="nil"/>
              <w:bottom w:val="dotted" w:sz="4" w:space="0" w:color="D9D9D9"/>
              <w:right w:val="dotted" w:sz="4" w:space="0" w:color="D9D9D9"/>
            </w:tcBorders>
            <w:shd w:val="clear" w:color="auto" w:fill="auto"/>
            <w:vAlign w:val="center"/>
            <w:hideMark/>
          </w:tcPr>
          <w:p w14:paraId="4BD1351A" w14:textId="77777777" w:rsidR="000B2576" w:rsidRPr="000B2576" w:rsidRDefault="000B2576" w:rsidP="006E1D94">
            <w:pPr>
              <w:spacing w:after="0" w:line="240" w:lineRule="auto"/>
              <w:jc w:val="center"/>
              <w:rPr>
                <w:rFonts w:ascii="EC Square Sans Pro" w:eastAsia="Times New Roman" w:hAnsi="EC Square Sans Pro" w:cs="Times New Roman"/>
                <w:b/>
                <w:bCs/>
                <w:color w:val="094E9C"/>
                <w:sz w:val="14"/>
                <w:szCs w:val="14"/>
                <w:lang w:eastAsia="en-GB"/>
              </w:rPr>
            </w:pPr>
            <w:r w:rsidRPr="000B2576">
              <w:rPr>
                <w:rFonts w:ascii="EC Square Sans Pro" w:eastAsia="Times New Roman" w:hAnsi="EC Square Sans Pro" w:cs="Times New Roman"/>
                <w:b/>
                <w:bCs/>
                <w:color w:val="094E9C"/>
                <w:sz w:val="14"/>
                <w:szCs w:val="14"/>
                <w:lang w:eastAsia="en-GB"/>
              </w:rPr>
              <w:t>EU-FUNDED  PROGRAMMES</w:t>
            </w:r>
          </w:p>
        </w:tc>
        <w:tc>
          <w:tcPr>
            <w:tcW w:w="1276" w:type="dxa"/>
            <w:tcBorders>
              <w:top w:val="nil"/>
              <w:left w:val="nil"/>
              <w:bottom w:val="dotted" w:sz="4" w:space="0" w:color="D9D9D9"/>
              <w:right w:val="single" w:sz="4" w:space="0" w:color="4472C4"/>
            </w:tcBorders>
            <w:shd w:val="clear" w:color="auto" w:fill="auto"/>
            <w:vAlign w:val="center"/>
            <w:hideMark/>
          </w:tcPr>
          <w:p w14:paraId="33EF138B" w14:textId="77777777" w:rsidR="000B2576" w:rsidRPr="000B2576" w:rsidRDefault="000B2576" w:rsidP="006E1D94">
            <w:pPr>
              <w:spacing w:after="0" w:line="240" w:lineRule="auto"/>
              <w:jc w:val="center"/>
              <w:rPr>
                <w:rFonts w:ascii="EC Square Sans Pro" w:eastAsia="Times New Roman" w:hAnsi="EC Square Sans Pro" w:cs="Times New Roman"/>
                <w:b/>
                <w:bCs/>
                <w:color w:val="094E9C"/>
                <w:sz w:val="14"/>
                <w:szCs w:val="14"/>
                <w:lang w:eastAsia="en-GB"/>
              </w:rPr>
            </w:pPr>
            <w:r w:rsidRPr="000B2576">
              <w:rPr>
                <w:rFonts w:ascii="EC Square Sans Pro" w:eastAsia="Times New Roman" w:hAnsi="EC Square Sans Pro" w:cs="Times New Roman"/>
                <w:b/>
                <w:bCs/>
                <w:color w:val="094E9C"/>
                <w:sz w:val="14"/>
                <w:szCs w:val="14"/>
                <w:lang w:eastAsia="en-GB"/>
              </w:rPr>
              <w:t>FROM:</w:t>
            </w:r>
          </w:p>
        </w:tc>
      </w:tr>
      <w:tr w:rsidR="00CE78E6" w:rsidRPr="000B2576" w14:paraId="62B196CF" w14:textId="77777777" w:rsidTr="004C23CE">
        <w:trPr>
          <w:trHeight w:val="301"/>
        </w:trPr>
        <w:tc>
          <w:tcPr>
            <w:tcW w:w="1133" w:type="dxa"/>
            <w:vMerge w:val="restart"/>
            <w:tcBorders>
              <w:top w:val="nil"/>
              <w:left w:val="single" w:sz="4" w:space="0" w:color="4472C4"/>
              <w:bottom w:val="dotted" w:sz="4" w:space="0" w:color="D9D9D9"/>
              <w:right w:val="dotted" w:sz="4" w:space="0" w:color="D9D9D9"/>
            </w:tcBorders>
            <w:shd w:val="clear" w:color="auto" w:fill="auto"/>
            <w:vAlign w:val="center"/>
            <w:hideMark/>
          </w:tcPr>
          <w:p w14:paraId="67D8F917" w14:textId="77777777" w:rsidR="000B2576" w:rsidRPr="000B2576" w:rsidRDefault="000B2576" w:rsidP="00E04ACD">
            <w:pPr>
              <w:spacing w:after="0" w:line="240" w:lineRule="auto"/>
              <w:jc w:val="both"/>
              <w:rPr>
                <w:rFonts w:ascii="EC Square Sans Pro" w:eastAsia="Times New Roman" w:hAnsi="EC Square Sans Pro" w:cs="Times New Roman"/>
                <w:b/>
                <w:bCs/>
                <w:color w:val="094E9C"/>
                <w:sz w:val="21"/>
                <w:szCs w:val="21"/>
                <w:lang w:eastAsia="en-GB"/>
              </w:rPr>
            </w:pPr>
            <w:r w:rsidRPr="000B2576">
              <w:rPr>
                <w:rFonts w:ascii="EC Square Sans Pro" w:eastAsia="Times New Roman" w:hAnsi="EC Square Sans Pro" w:cs="Times New Roman"/>
                <w:b/>
                <w:bCs/>
                <w:color w:val="094E9C"/>
                <w:sz w:val="21"/>
                <w:szCs w:val="21"/>
                <w:lang w:eastAsia="en-GB"/>
              </w:rPr>
              <w:t>2020</w:t>
            </w:r>
          </w:p>
        </w:tc>
        <w:tc>
          <w:tcPr>
            <w:tcW w:w="1135" w:type="dxa"/>
            <w:vMerge w:val="restart"/>
            <w:tcBorders>
              <w:top w:val="nil"/>
              <w:left w:val="dotted" w:sz="4" w:space="0" w:color="D9D9D9"/>
              <w:bottom w:val="nil"/>
              <w:right w:val="dotted" w:sz="4" w:space="0" w:color="D9D9D9"/>
            </w:tcBorders>
            <w:shd w:val="clear" w:color="auto" w:fill="auto"/>
            <w:vAlign w:val="center"/>
            <w:hideMark/>
          </w:tcPr>
          <w:p w14:paraId="09D8C94A" w14:textId="77777777" w:rsidR="000B2576" w:rsidRPr="000B2576" w:rsidRDefault="000B2576" w:rsidP="006E1D94">
            <w:pPr>
              <w:spacing w:after="0" w:line="240" w:lineRule="auto"/>
              <w:jc w:val="center"/>
              <w:rPr>
                <w:rFonts w:ascii="EC Square Sans Pro" w:eastAsia="Times New Roman" w:hAnsi="EC Square Sans Pro" w:cs="Times New Roman"/>
                <w:color w:val="808080"/>
                <w:sz w:val="28"/>
                <w:szCs w:val="28"/>
                <w:lang w:eastAsia="en-GB"/>
              </w:rPr>
            </w:pPr>
            <w:r w:rsidRPr="000B2576">
              <w:rPr>
                <w:rFonts w:ascii="EC Square Sans Pro" w:eastAsia="Times New Roman" w:hAnsi="EC Square Sans Pro" w:cs="Times New Roman"/>
                <w:color w:val="808080"/>
                <w:sz w:val="28"/>
                <w:szCs w:val="28"/>
                <w:lang w:eastAsia="en-GB"/>
              </w:rPr>
              <w:t>-20%</w:t>
            </w:r>
          </w:p>
        </w:tc>
        <w:tc>
          <w:tcPr>
            <w:tcW w:w="1418" w:type="dxa"/>
            <w:vMerge w:val="restart"/>
            <w:tcBorders>
              <w:top w:val="nil"/>
              <w:left w:val="dotted" w:sz="4" w:space="0" w:color="D9D9D9"/>
              <w:bottom w:val="nil"/>
              <w:right w:val="dotted" w:sz="4" w:space="0" w:color="D9D9D9"/>
            </w:tcBorders>
            <w:shd w:val="clear" w:color="auto" w:fill="auto"/>
            <w:vAlign w:val="center"/>
            <w:hideMark/>
          </w:tcPr>
          <w:p w14:paraId="5CAEDEDE" w14:textId="77777777" w:rsidR="000B2576" w:rsidRPr="000B2576" w:rsidRDefault="000B2576" w:rsidP="006E1D94">
            <w:pPr>
              <w:spacing w:after="0" w:line="240" w:lineRule="auto"/>
              <w:jc w:val="center"/>
              <w:rPr>
                <w:rFonts w:ascii="EC Square Sans Pro" w:eastAsia="Times New Roman" w:hAnsi="EC Square Sans Pro" w:cs="Times New Roman"/>
                <w:color w:val="808080"/>
                <w:sz w:val="28"/>
                <w:szCs w:val="28"/>
                <w:lang w:eastAsia="en-GB"/>
              </w:rPr>
            </w:pPr>
            <w:r w:rsidRPr="000B2576">
              <w:rPr>
                <w:rFonts w:ascii="EC Square Sans Pro" w:eastAsia="Times New Roman" w:hAnsi="EC Square Sans Pro" w:cs="Times New Roman"/>
                <w:color w:val="808080"/>
                <w:sz w:val="28"/>
                <w:szCs w:val="28"/>
                <w:lang w:eastAsia="en-GB"/>
              </w:rPr>
              <w:t>20%</w:t>
            </w:r>
          </w:p>
        </w:tc>
        <w:tc>
          <w:tcPr>
            <w:tcW w:w="1276" w:type="dxa"/>
            <w:vMerge w:val="restart"/>
            <w:tcBorders>
              <w:top w:val="nil"/>
              <w:left w:val="dotted" w:sz="4" w:space="0" w:color="D9D9D9"/>
              <w:bottom w:val="nil"/>
              <w:right w:val="dotted" w:sz="4" w:space="0" w:color="D9D9D9"/>
            </w:tcBorders>
            <w:shd w:val="clear" w:color="auto" w:fill="auto"/>
            <w:vAlign w:val="center"/>
            <w:hideMark/>
          </w:tcPr>
          <w:p w14:paraId="3BA8D353" w14:textId="77777777" w:rsidR="000B2576" w:rsidRPr="000B2576" w:rsidRDefault="000B2576" w:rsidP="006E1D94">
            <w:pPr>
              <w:spacing w:after="0" w:line="240" w:lineRule="auto"/>
              <w:jc w:val="center"/>
              <w:rPr>
                <w:rFonts w:ascii="EC Square Sans Pro" w:eastAsia="Times New Roman" w:hAnsi="EC Square Sans Pro" w:cs="Times New Roman"/>
                <w:color w:val="808080"/>
                <w:sz w:val="28"/>
                <w:szCs w:val="28"/>
                <w:lang w:eastAsia="en-GB"/>
              </w:rPr>
            </w:pPr>
            <w:r w:rsidRPr="000B2576">
              <w:rPr>
                <w:rFonts w:ascii="EC Square Sans Pro" w:eastAsia="Times New Roman" w:hAnsi="EC Square Sans Pro" w:cs="Times New Roman"/>
                <w:color w:val="808080"/>
                <w:sz w:val="28"/>
                <w:szCs w:val="28"/>
                <w:lang w:eastAsia="en-GB"/>
              </w:rPr>
              <w:t>20%</w:t>
            </w:r>
          </w:p>
        </w:tc>
        <w:tc>
          <w:tcPr>
            <w:tcW w:w="1275" w:type="dxa"/>
            <w:vMerge w:val="restart"/>
            <w:tcBorders>
              <w:top w:val="nil"/>
              <w:left w:val="dotted" w:sz="4" w:space="0" w:color="D9D9D9"/>
              <w:bottom w:val="nil"/>
              <w:right w:val="dotted" w:sz="4" w:space="0" w:color="D9D9D9"/>
            </w:tcBorders>
            <w:shd w:val="clear" w:color="auto" w:fill="auto"/>
            <w:vAlign w:val="center"/>
            <w:hideMark/>
          </w:tcPr>
          <w:p w14:paraId="56BFE779" w14:textId="77777777" w:rsidR="000B2576" w:rsidRPr="000B2576" w:rsidRDefault="000B2576" w:rsidP="006E1D94">
            <w:pPr>
              <w:spacing w:after="0" w:line="240" w:lineRule="auto"/>
              <w:jc w:val="center"/>
              <w:rPr>
                <w:rFonts w:ascii="EC Square Sans Pro" w:eastAsia="Times New Roman" w:hAnsi="EC Square Sans Pro" w:cs="Times New Roman"/>
                <w:color w:val="808080"/>
                <w:sz w:val="28"/>
                <w:szCs w:val="28"/>
                <w:lang w:eastAsia="en-GB"/>
              </w:rPr>
            </w:pPr>
            <w:r w:rsidRPr="000B2576">
              <w:rPr>
                <w:rFonts w:ascii="EC Square Sans Pro" w:eastAsia="Times New Roman" w:hAnsi="EC Square Sans Pro" w:cs="Times New Roman"/>
                <w:color w:val="808080"/>
                <w:sz w:val="28"/>
                <w:szCs w:val="28"/>
                <w:lang w:eastAsia="en-GB"/>
              </w:rPr>
              <w:t>10%</w:t>
            </w:r>
          </w:p>
        </w:tc>
        <w:tc>
          <w:tcPr>
            <w:tcW w:w="1418" w:type="dxa"/>
            <w:tcBorders>
              <w:top w:val="nil"/>
              <w:left w:val="nil"/>
              <w:bottom w:val="nil"/>
              <w:right w:val="dotted" w:sz="4" w:space="0" w:color="D9D9D9"/>
            </w:tcBorders>
            <w:shd w:val="clear" w:color="auto" w:fill="auto"/>
            <w:vAlign w:val="center"/>
            <w:hideMark/>
          </w:tcPr>
          <w:p w14:paraId="1B20025F" w14:textId="77777777" w:rsidR="000B2576" w:rsidRPr="000B2576" w:rsidRDefault="000B2576" w:rsidP="006E1D94">
            <w:pPr>
              <w:spacing w:after="0" w:line="240" w:lineRule="auto"/>
              <w:jc w:val="center"/>
              <w:rPr>
                <w:rFonts w:ascii="EC Square Sans Pro Medium" w:eastAsia="Times New Roman" w:hAnsi="EC Square Sans Pro Medium" w:cs="Times New Roman"/>
                <w:color w:val="808080"/>
                <w:sz w:val="16"/>
                <w:szCs w:val="16"/>
                <w:lang w:eastAsia="en-GB"/>
              </w:rPr>
            </w:pPr>
            <w:r w:rsidRPr="000B2576">
              <w:rPr>
                <w:rFonts w:ascii="EC Square Sans Pro Medium" w:eastAsia="Times New Roman" w:hAnsi="EC Square Sans Pro Medium" w:cs="Times New Roman"/>
                <w:color w:val="808080"/>
                <w:sz w:val="16"/>
                <w:szCs w:val="16"/>
                <w:lang w:eastAsia="en-GB"/>
              </w:rPr>
              <w:t>2014-2020</w:t>
            </w:r>
          </w:p>
        </w:tc>
        <w:tc>
          <w:tcPr>
            <w:tcW w:w="1276" w:type="dxa"/>
            <w:vMerge w:val="restart"/>
            <w:tcBorders>
              <w:top w:val="nil"/>
              <w:left w:val="dotted" w:sz="4" w:space="0" w:color="D9D9D9"/>
              <w:bottom w:val="nil"/>
              <w:right w:val="single" w:sz="4" w:space="0" w:color="4472C4"/>
            </w:tcBorders>
            <w:shd w:val="clear" w:color="auto" w:fill="auto"/>
            <w:hideMark/>
          </w:tcPr>
          <w:p w14:paraId="3607C231" w14:textId="3593DFDD" w:rsidR="000B2576" w:rsidRPr="000B2576" w:rsidRDefault="000B2576" w:rsidP="006E1D94">
            <w:pPr>
              <w:spacing w:after="0" w:line="240" w:lineRule="auto"/>
              <w:jc w:val="center"/>
              <w:rPr>
                <w:rFonts w:ascii="Calibri" w:eastAsia="Times New Roman" w:hAnsi="Calibri" w:cs="Times New Roman"/>
                <w:color w:val="000000"/>
                <w:lang w:eastAsia="en-GB"/>
              </w:rPr>
            </w:pPr>
          </w:p>
        </w:tc>
      </w:tr>
      <w:tr w:rsidR="00CE78E6" w:rsidRPr="000B2576" w14:paraId="7040B904" w14:textId="77777777" w:rsidTr="004C23CE">
        <w:trPr>
          <w:trHeight w:val="380"/>
        </w:trPr>
        <w:tc>
          <w:tcPr>
            <w:tcW w:w="1133" w:type="dxa"/>
            <w:vMerge/>
            <w:tcBorders>
              <w:top w:val="nil"/>
              <w:left w:val="single" w:sz="4" w:space="0" w:color="4472C4"/>
              <w:bottom w:val="dotted" w:sz="4" w:space="0" w:color="D9D9D9"/>
              <w:right w:val="dotted" w:sz="4" w:space="0" w:color="D9D9D9"/>
            </w:tcBorders>
            <w:vAlign w:val="center"/>
            <w:hideMark/>
          </w:tcPr>
          <w:p w14:paraId="51F36834" w14:textId="77777777" w:rsidR="000B2576" w:rsidRPr="000B2576" w:rsidRDefault="000B2576" w:rsidP="00E04ACD">
            <w:pPr>
              <w:spacing w:after="0" w:line="240" w:lineRule="auto"/>
              <w:jc w:val="both"/>
              <w:rPr>
                <w:rFonts w:ascii="EC Square Sans Pro" w:eastAsia="Times New Roman" w:hAnsi="EC Square Sans Pro" w:cs="Times New Roman"/>
                <w:b/>
                <w:bCs/>
                <w:color w:val="094E9C"/>
                <w:sz w:val="21"/>
                <w:szCs w:val="21"/>
                <w:lang w:eastAsia="en-GB"/>
              </w:rPr>
            </w:pPr>
          </w:p>
        </w:tc>
        <w:tc>
          <w:tcPr>
            <w:tcW w:w="1135" w:type="dxa"/>
            <w:vMerge/>
            <w:tcBorders>
              <w:top w:val="nil"/>
              <w:left w:val="dotted" w:sz="4" w:space="0" w:color="D9D9D9"/>
              <w:bottom w:val="nil"/>
              <w:right w:val="dotted" w:sz="4" w:space="0" w:color="D9D9D9"/>
            </w:tcBorders>
            <w:vAlign w:val="center"/>
            <w:hideMark/>
          </w:tcPr>
          <w:p w14:paraId="01F1670A" w14:textId="77777777" w:rsidR="000B2576" w:rsidRPr="000B2576" w:rsidRDefault="000B2576" w:rsidP="006E1D94">
            <w:pPr>
              <w:spacing w:after="0" w:line="240" w:lineRule="auto"/>
              <w:jc w:val="center"/>
              <w:rPr>
                <w:rFonts w:ascii="EC Square Sans Pro" w:eastAsia="Times New Roman" w:hAnsi="EC Square Sans Pro" w:cs="Times New Roman"/>
                <w:color w:val="808080"/>
                <w:sz w:val="28"/>
                <w:szCs w:val="28"/>
                <w:lang w:eastAsia="en-GB"/>
              </w:rPr>
            </w:pPr>
          </w:p>
        </w:tc>
        <w:tc>
          <w:tcPr>
            <w:tcW w:w="1418" w:type="dxa"/>
            <w:vMerge/>
            <w:tcBorders>
              <w:top w:val="nil"/>
              <w:left w:val="dotted" w:sz="4" w:space="0" w:color="D9D9D9"/>
              <w:bottom w:val="nil"/>
              <w:right w:val="dotted" w:sz="4" w:space="0" w:color="D9D9D9"/>
            </w:tcBorders>
            <w:vAlign w:val="center"/>
            <w:hideMark/>
          </w:tcPr>
          <w:p w14:paraId="250A9D70" w14:textId="77777777" w:rsidR="000B2576" w:rsidRPr="000B2576" w:rsidRDefault="000B2576" w:rsidP="006E1D94">
            <w:pPr>
              <w:spacing w:after="0" w:line="240" w:lineRule="auto"/>
              <w:jc w:val="center"/>
              <w:rPr>
                <w:rFonts w:ascii="EC Square Sans Pro" w:eastAsia="Times New Roman" w:hAnsi="EC Square Sans Pro" w:cs="Times New Roman"/>
                <w:color w:val="808080"/>
                <w:sz w:val="28"/>
                <w:szCs w:val="28"/>
                <w:lang w:eastAsia="en-GB"/>
              </w:rPr>
            </w:pPr>
          </w:p>
        </w:tc>
        <w:tc>
          <w:tcPr>
            <w:tcW w:w="1276" w:type="dxa"/>
            <w:vMerge/>
            <w:tcBorders>
              <w:top w:val="nil"/>
              <w:left w:val="dotted" w:sz="4" w:space="0" w:color="D9D9D9"/>
              <w:bottom w:val="nil"/>
              <w:right w:val="dotted" w:sz="4" w:space="0" w:color="D9D9D9"/>
            </w:tcBorders>
            <w:vAlign w:val="center"/>
            <w:hideMark/>
          </w:tcPr>
          <w:p w14:paraId="23468B03" w14:textId="77777777" w:rsidR="000B2576" w:rsidRPr="000B2576" w:rsidRDefault="000B2576" w:rsidP="006E1D94">
            <w:pPr>
              <w:spacing w:after="0" w:line="240" w:lineRule="auto"/>
              <w:jc w:val="center"/>
              <w:rPr>
                <w:rFonts w:ascii="EC Square Sans Pro" w:eastAsia="Times New Roman" w:hAnsi="EC Square Sans Pro" w:cs="Times New Roman"/>
                <w:color w:val="808080"/>
                <w:sz w:val="28"/>
                <w:szCs w:val="28"/>
                <w:lang w:eastAsia="en-GB"/>
              </w:rPr>
            </w:pPr>
          </w:p>
        </w:tc>
        <w:tc>
          <w:tcPr>
            <w:tcW w:w="1275" w:type="dxa"/>
            <w:vMerge/>
            <w:tcBorders>
              <w:top w:val="nil"/>
              <w:left w:val="dotted" w:sz="4" w:space="0" w:color="D9D9D9"/>
              <w:bottom w:val="nil"/>
              <w:right w:val="dotted" w:sz="4" w:space="0" w:color="D9D9D9"/>
            </w:tcBorders>
            <w:vAlign w:val="center"/>
            <w:hideMark/>
          </w:tcPr>
          <w:p w14:paraId="644FBAD8" w14:textId="77777777" w:rsidR="000B2576" w:rsidRPr="000B2576" w:rsidRDefault="000B2576" w:rsidP="006E1D94">
            <w:pPr>
              <w:spacing w:after="0" w:line="240" w:lineRule="auto"/>
              <w:jc w:val="center"/>
              <w:rPr>
                <w:rFonts w:ascii="EC Square Sans Pro" w:eastAsia="Times New Roman" w:hAnsi="EC Square Sans Pro" w:cs="Times New Roman"/>
                <w:color w:val="808080"/>
                <w:sz w:val="28"/>
                <w:szCs w:val="28"/>
                <w:lang w:eastAsia="en-GB"/>
              </w:rPr>
            </w:pPr>
          </w:p>
        </w:tc>
        <w:tc>
          <w:tcPr>
            <w:tcW w:w="1418" w:type="dxa"/>
            <w:tcBorders>
              <w:top w:val="nil"/>
              <w:left w:val="nil"/>
              <w:bottom w:val="nil"/>
              <w:right w:val="dotted" w:sz="4" w:space="0" w:color="D9D9D9"/>
            </w:tcBorders>
            <w:shd w:val="clear" w:color="auto" w:fill="auto"/>
            <w:vAlign w:val="center"/>
            <w:hideMark/>
          </w:tcPr>
          <w:p w14:paraId="61BFD89E" w14:textId="77777777" w:rsidR="000B2576" w:rsidRPr="000B2576" w:rsidRDefault="000B2576" w:rsidP="006E1D94">
            <w:pPr>
              <w:spacing w:after="0" w:line="240" w:lineRule="auto"/>
              <w:jc w:val="center"/>
              <w:rPr>
                <w:rFonts w:ascii="EC Square Sans Pro" w:eastAsia="Times New Roman" w:hAnsi="EC Square Sans Pro" w:cs="Times New Roman"/>
                <w:color w:val="808080"/>
                <w:sz w:val="28"/>
                <w:szCs w:val="28"/>
                <w:lang w:eastAsia="en-GB"/>
              </w:rPr>
            </w:pPr>
            <w:r w:rsidRPr="000B2576">
              <w:rPr>
                <w:rFonts w:ascii="EC Square Sans Pro" w:eastAsia="Times New Roman" w:hAnsi="EC Square Sans Pro" w:cs="Times New Roman"/>
                <w:color w:val="808080"/>
                <w:sz w:val="28"/>
                <w:szCs w:val="28"/>
                <w:lang w:eastAsia="en-GB"/>
              </w:rPr>
              <w:t>20%</w:t>
            </w:r>
          </w:p>
        </w:tc>
        <w:tc>
          <w:tcPr>
            <w:tcW w:w="1276" w:type="dxa"/>
            <w:vMerge/>
            <w:tcBorders>
              <w:top w:val="nil"/>
              <w:left w:val="dotted" w:sz="4" w:space="0" w:color="D9D9D9"/>
              <w:bottom w:val="nil"/>
              <w:right w:val="single" w:sz="4" w:space="0" w:color="4472C4"/>
            </w:tcBorders>
            <w:vAlign w:val="center"/>
            <w:hideMark/>
          </w:tcPr>
          <w:p w14:paraId="17E611AC" w14:textId="77777777" w:rsidR="000B2576" w:rsidRPr="000B2576" w:rsidRDefault="000B2576" w:rsidP="006E1D94">
            <w:pPr>
              <w:spacing w:after="0" w:line="240" w:lineRule="auto"/>
              <w:jc w:val="center"/>
              <w:rPr>
                <w:rFonts w:ascii="Calibri" w:eastAsia="Times New Roman" w:hAnsi="Calibri" w:cs="Times New Roman"/>
                <w:color w:val="000000"/>
                <w:lang w:eastAsia="en-GB"/>
              </w:rPr>
            </w:pPr>
          </w:p>
        </w:tc>
      </w:tr>
      <w:tr w:rsidR="00CE78E6" w:rsidRPr="000B2576" w14:paraId="1C08AD7A" w14:textId="77777777" w:rsidTr="004C23CE">
        <w:trPr>
          <w:trHeight w:val="393"/>
        </w:trPr>
        <w:tc>
          <w:tcPr>
            <w:tcW w:w="1133" w:type="dxa"/>
            <w:tcBorders>
              <w:top w:val="nil"/>
              <w:left w:val="single" w:sz="4" w:space="0" w:color="4472C4"/>
              <w:bottom w:val="nil"/>
              <w:right w:val="nil"/>
            </w:tcBorders>
            <w:shd w:val="clear" w:color="auto" w:fill="auto"/>
            <w:vAlign w:val="center"/>
            <w:hideMark/>
          </w:tcPr>
          <w:p w14:paraId="7E06BDDE" w14:textId="77777777" w:rsidR="000B2576" w:rsidRPr="000B2576" w:rsidRDefault="000B2576" w:rsidP="00E04ACD">
            <w:pPr>
              <w:spacing w:after="0" w:line="240" w:lineRule="auto"/>
              <w:jc w:val="both"/>
              <w:rPr>
                <w:rFonts w:ascii="EC Square Sans Pro" w:eastAsia="Times New Roman" w:hAnsi="EC Square Sans Pro" w:cs="Times New Roman"/>
                <w:b/>
                <w:bCs/>
                <w:color w:val="094E9C"/>
                <w:sz w:val="21"/>
                <w:szCs w:val="21"/>
                <w:lang w:eastAsia="en-GB"/>
              </w:rPr>
            </w:pPr>
            <w:r w:rsidRPr="000B2576">
              <w:rPr>
                <w:rFonts w:ascii="Calibri" w:eastAsia="Times New Roman" w:hAnsi="Calibri" w:cs="Calibri"/>
                <w:b/>
                <w:bCs/>
                <w:color w:val="094E9C"/>
                <w:sz w:val="21"/>
                <w:szCs w:val="21"/>
                <w:lang w:eastAsia="en-GB"/>
              </w:rPr>
              <w:t> </w:t>
            </w:r>
          </w:p>
        </w:tc>
        <w:tc>
          <w:tcPr>
            <w:tcW w:w="1135" w:type="dxa"/>
            <w:tcBorders>
              <w:top w:val="nil"/>
              <w:left w:val="nil"/>
              <w:bottom w:val="nil"/>
              <w:right w:val="nil"/>
            </w:tcBorders>
            <w:shd w:val="clear" w:color="auto" w:fill="auto"/>
            <w:vAlign w:val="center"/>
            <w:hideMark/>
          </w:tcPr>
          <w:p w14:paraId="63AEF1BF" w14:textId="77777777" w:rsidR="000B2576" w:rsidRPr="000B2576" w:rsidRDefault="000B2576" w:rsidP="006E1D94">
            <w:pPr>
              <w:spacing w:after="0" w:line="240" w:lineRule="auto"/>
              <w:jc w:val="center"/>
              <w:rPr>
                <w:rFonts w:ascii="EC Square Sans Pro" w:eastAsia="Times New Roman" w:hAnsi="EC Square Sans Pro" w:cs="Times New Roman"/>
                <w:b/>
                <w:bCs/>
                <w:color w:val="094E9C"/>
                <w:sz w:val="21"/>
                <w:szCs w:val="21"/>
                <w:lang w:eastAsia="en-GB"/>
              </w:rPr>
            </w:pPr>
          </w:p>
        </w:tc>
        <w:tc>
          <w:tcPr>
            <w:tcW w:w="1418" w:type="dxa"/>
            <w:tcBorders>
              <w:top w:val="nil"/>
              <w:left w:val="nil"/>
              <w:bottom w:val="nil"/>
              <w:right w:val="nil"/>
            </w:tcBorders>
            <w:shd w:val="clear" w:color="auto" w:fill="auto"/>
            <w:noWrap/>
            <w:vAlign w:val="bottom"/>
            <w:hideMark/>
          </w:tcPr>
          <w:p w14:paraId="497D0F38" w14:textId="77777777" w:rsidR="000B2576" w:rsidRPr="000B2576" w:rsidRDefault="000B2576" w:rsidP="006E1D94">
            <w:pPr>
              <w:spacing w:after="0" w:line="240" w:lineRule="auto"/>
              <w:jc w:val="center"/>
              <w:rPr>
                <w:rFonts w:ascii="Times New Roman" w:eastAsia="Times New Roman" w:hAnsi="Times New Roman" w:cs="Times New Roman"/>
                <w:sz w:val="20"/>
                <w:szCs w:val="20"/>
                <w:lang w:eastAsia="en-GB"/>
              </w:rPr>
            </w:pPr>
          </w:p>
        </w:tc>
        <w:tc>
          <w:tcPr>
            <w:tcW w:w="1276" w:type="dxa"/>
            <w:tcBorders>
              <w:top w:val="nil"/>
              <w:left w:val="nil"/>
              <w:bottom w:val="nil"/>
              <w:right w:val="nil"/>
            </w:tcBorders>
            <w:shd w:val="clear" w:color="auto" w:fill="auto"/>
            <w:noWrap/>
            <w:vAlign w:val="bottom"/>
            <w:hideMark/>
          </w:tcPr>
          <w:p w14:paraId="5DBDA139" w14:textId="77777777" w:rsidR="000B2576" w:rsidRPr="000B2576" w:rsidRDefault="000B2576" w:rsidP="006E1D94">
            <w:pPr>
              <w:spacing w:after="0" w:line="240" w:lineRule="auto"/>
              <w:jc w:val="center"/>
              <w:rPr>
                <w:rFonts w:ascii="Times New Roman" w:eastAsia="Times New Roman" w:hAnsi="Times New Roman" w:cs="Times New Roman"/>
                <w:sz w:val="20"/>
                <w:szCs w:val="20"/>
                <w:lang w:eastAsia="en-GB"/>
              </w:rPr>
            </w:pPr>
          </w:p>
        </w:tc>
        <w:tc>
          <w:tcPr>
            <w:tcW w:w="1275" w:type="dxa"/>
            <w:tcBorders>
              <w:top w:val="nil"/>
              <w:left w:val="nil"/>
              <w:bottom w:val="nil"/>
              <w:right w:val="nil"/>
            </w:tcBorders>
            <w:shd w:val="clear" w:color="auto" w:fill="auto"/>
            <w:vAlign w:val="center"/>
            <w:hideMark/>
          </w:tcPr>
          <w:p w14:paraId="4EDEE54B" w14:textId="77777777" w:rsidR="000B2576" w:rsidRPr="000B2576" w:rsidRDefault="000B2576" w:rsidP="006E1D94">
            <w:pPr>
              <w:spacing w:after="0" w:line="240" w:lineRule="auto"/>
              <w:jc w:val="center"/>
              <w:rPr>
                <w:rFonts w:ascii="Times New Roman" w:eastAsia="Times New Roman" w:hAnsi="Times New Roman" w:cs="Times New Roman"/>
                <w:sz w:val="20"/>
                <w:szCs w:val="20"/>
                <w:lang w:eastAsia="en-GB"/>
              </w:rPr>
            </w:pPr>
          </w:p>
        </w:tc>
        <w:tc>
          <w:tcPr>
            <w:tcW w:w="1418" w:type="dxa"/>
            <w:tcBorders>
              <w:top w:val="nil"/>
              <w:left w:val="nil"/>
              <w:bottom w:val="nil"/>
              <w:right w:val="dotted" w:sz="4" w:space="0" w:color="FFFFFF"/>
            </w:tcBorders>
            <w:shd w:val="clear" w:color="000000" w:fill="7ABD70"/>
            <w:vAlign w:val="center"/>
            <w:hideMark/>
          </w:tcPr>
          <w:p w14:paraId="580F4310" w14:textId="77777777" w:rsidR="000B2576" w:rsidRPr="000B2576" w:rsidRDefault="000B2576" w:rsidP="006E1D94">
            <w:pPr>
              <w:spacing w:after="0" w:line="240" w:lineRule="auto"/>
              <w:jc w:val="center"/>
              <w:rPr>
                <w:rFonts w:ascii="EC Square Sans Pro Medium" w:eastAsia="Times New Roman" w:hAnsi="EC Square Sans Pro Medium" w:cs="Times New Roman"/>
                <w:color w:val="FFFFFF"/>
                <w:sz w:val="16"/>
                <w:szCs w:val="16"/>
                <w:lang w:eastAsia="en-GB"/>
              </w:rPr>
            </w:pPr>
            <w:r w:rsidRPr="000B2576">
              <w:rPr>
                <w:rFonts w:ascii="EC Square Sans Pro Medium" w:eastAsia="Times New Roman" w:hAnsi="EC Square Sans Pro Medium" w:cs="Times New Roman"/>
                <w:color w:val="FFFFFF"/>
                <w:sz w:val="16"/>
                <w:szCs w:val="16"/>
                <w:lang w:eastAsia="en-GB"/>
              </w:rPr>
              <w:t>2021-2027</w:t>
            </w:r>
          </w:p>
        </w:tc>
        <w:tc>
          <w:tcPr>
            <w:tcW w:w="1276" w:type="dxa"/>
            <w:tcBorders>
              <w:top w:val="nil"/>
              <w:left w:val="nil"/>
              <w:bottom w:val="nil"/>
              <w:right w:val="single" w:sz="4" w:space="0" w:color="4472C4"/>
            </w:tcBorders>
            <w:shd w:val="clear" w:color="000000" w:fill="86C250"/>
            <w:vAlign w:val="center"/>
            <w:hideMark/>
          </w:tcPr>
          <w:p w14:paraId="5C8CAE54" w14:textId="77777777" w:rsidR="000B2576" w:rsidRPr="000B2576" w:rsidRDefault="000B2576" w:rsidP="006E1D94">
            <w:pPr>
              <w:spacing w:after="0" w:line="240" w:lineRule="auto"/>
              <w:jc w:val="center"/>
              <w:rPr>
                <w:rFonts w:ascii="EC Square Sans Pro Medium" w:eastAsia="Times New Roman" w:hAnsi="EC Square Sans Pro Medium" w:cs="Times New Roman"/>
                <w:color w:val="FFFFFF"/>
                <w:sz w:val="16"/>
                <w:szCs w:val="16"/>
                <w:lang w:eastAsia="en-GB"/>
              </w:rPr>
            </w:pPr>
            <w:r w:rsidRPr="000B2576">
              <w:rPr>
                <w:rFonts w:ascii="EC Square Sans Pro Medium" w:eastAsia="Times New Roman" w:hAnsi="EC Square Sans Pro Medium" w:cs="Times New Roman"/>
                <w:color w:val="FFFFFF"/>
                <w:sz w:val="16"/>
                <w:szCs w:val="16"/>
                <w:lang w:val="en-US" w:eastAsia="en-GB"/>
              </w:rPr>
              <w:t>CARS</w:t>
            </w:r>
          </w:p>
        </w:tc>
      </w:tr>
      <w:tr w:rsidR="00CE78E6" w:rsidRPr="000B2576" w14:paraId="2F3ADC57" w14:textId="77777777" w:rsidTr="004C23CE">
        <w:trPr>
          <w:trHeight w:val="301"/>
        </w:trPr>
        <w:tc>
          <w:tcPr>
            <w:tcW w:w="1133" w:type="dxa"/>
            <w:vMerge w:val="restart"/>
            <w:tcBorders>
              <w:top w:val="dotted" w:sz="4" w:space="0" w:color="D9D9D9"/>
              <w:left w:val="single" w:sz="4" w:space="0" w:color="4472C4"/>
              <w:bottom w:val="dotted" w:sz="4" w:space="0" w:color="D9D9D9"/>
              <w:right w:val="nil"/>
            </w:tcBorders>
            <w:shd w:val="clear" w:color="auto" w:fill="auto"/>
            <w:vAlign w:val="center"/>
            <w:hideMark/>
          </w:tcPr>
          <w:p w14:paraId="13F3D673" w14:textId="77777777" w:rsidR="000B2576" w:rsidRPr="000B2576" w:rsidRDefault="000B2576" w:rsidP="00E04ACD">
            <w:pPr>
              <w:spacing w:after="0" w:line="240" w:lineRule="auto"/>
              <w:jc w:val="both"/>
              <w:rPr>
                <w:rFonts w:ascii="EC Square Sans Pro" w:eastAsia="Times New Roman" w:hAnsi="EC Square Sans Pro" w:cs="Times New Roman"/>
                <w:b/>
                <w:bCs/>
                <w:color w:val="094E9C"/>
                <w:sz w:val="21"/>
                <w:szCs w:val="21"/>
                <w:lang w:eastAsia="en-GB"/>
              </w:rPr>
            </w:pPr>
            <w:r w:rsidRPr="000B2576">
              <w:rPr>
                <w:rFonts w:ascii="EC Square Sans Pro" w:eastAsia="Times New Roman" w:hAnsi="EC Square Sans Pro" w:cs="Times New Roman"/>
                <w:b/>
                <w:bCs/>
                <w:color w:val="094E9C"/>
                <w:sz w:val="21"/>
                <w:szCs w:val="21"/>
                <w:lang w:eastAsia="en-GB"/>
              </w:rPr>
              <w:t>2030</w:t>
            </w:r>
          </w:p>
        </w:tc>
        <w:tc>
          <w:tcPr>
            <w:tcW w:w="1135" w:type="dxa"/>
            <w:vMerge w:val="restart"/>
            <w:tcBorders>
              <w:top w:val="nil"/>
              <w:left w:val="nil"/>
              <w:bottom w:val="nil"/>
              <w:right w:val="dotted" w:sz="4" w:space="0" w:color="FFFFFF"/>
            </w:tcBorders>
            <w:shd w:val="clear" w:color="000000" w:fill="34ADCC"/>
            <w:vAlign w:val="center"/>
            <w:hideMark/>
          </w:tcPr>
          <w:p w14:paraId="0C76A4F1" w14:textId="04659138" w:rsidR="000B2576" w:rsidRPr="000B2576" w:rsidRDefault="00C44178" w:rsidP="006E1D94">
            <w:pPr>
              <w:spacing w:after="0" w:line="240" w:lineRule="auto"/>
              <w:jc w:val="center"/>
              <w:rPr>
                <w:rFonts w:ascii="EC Square Sans Pro" w:eastAsia="Times New Roman" w:hAnsi="EC Square Sans Pro" w:cs="Times New Roman"/>
                <w:b/>
                <w:bCs/>
                <w:color w:val="FFFFFF"/>
                <w:sz w:val="24"/>
                <w:szCs w:val="24"/>
                <w:lang w:eastAsia="en-GB"/>
              </w:rPr>
            </w:pPr>
            <w:r>
              <w:rPr>
                <w:rFonts w:ascii="EC Square Sans Pro" w:eastAsia="Times New Roman" w:hAnsi="EC Square Sans Pro" w:cs="Times New Roman"/>
                <w:b/>
                <w:bCs/>
                <w:color w:val="FFFFFF"/>
                <w:sz w:val="24"/>
                <w:szCs w:val="24"/>
                <w:lang w:eastAsia="en-GB"/>
              </w:rPr>
              <w:t>At least</w:t>
            </w:r>
            <w:r w:rsidR="000B2576" w:rsidRPr="000B2576">
              <w:rPr>
                <w:rFonts w:ascii="EC Square Sans Pro" w:eastAsia="Times New Roman" w:hAnsi="EC Square Sans Pro" w:cs="Times New Roman"/>
                <w:color w:val="FFFFFF"/>
                <w:sz w:val="24"/>
                <w:szCs w:val="24"/>
                <w:lang w:eastAsia="en-GB"/>
              </w:rPr>
              <w:t xml:space="preserve"> </w:t>
            </w:r>
            <w:r w:rsidR="000B2576" w:rsidRPr="000B2576">
              <w:rPr>
                <w:rFonts w:ascii="EC Square Sans Pro" w:eastAsia="Times New Roman" w:hAnsi="EC Square Sans Pro" w:cs="Times New Roman"/>
                <w:b/>
                <w:bCs/>
                <w:color w:val="FFFFFF"/>
                <w:sz w:val="24"/>
                <w:szCs w:val="24"/>
                <w:lang w:eastAsia="en-GB"/>
              </w:rPr>
              <w:t>-40%</w:t>
            </w:r>
          </w:p>
        </w:tc>
        <w:tc>
          <w:tcPr>
            <w:tcW w:w="1418" w:type="dxa"/>
            <w:vMerge w:val="restart"/>
            <w:tcBorders>
              <w:top w:val="nil"/>
              <w:left w:val="dotted" w:sz="4" w:space="0" w:color="FFFFFF"/>
              <w:bottom w:val="nil"/>
              <w:right w:val="dotted" w:sz="4" w:space="0" w:color="FFFFFF"/>
            </w:tcBorders>
            <w:shd w:val="clear" w:color="000000" w:fill="49B0B9"/>
            <w:vAlign w:val="center"/>
            <w:hideMark/>
          </w:tcPr>
          <w:p w14:paraId="3EA256A4"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r w:rsidRPr="000B2576">
              <w:rPr>
                <w:rFonts w:ascii="EC Square Sans Pro" w:eastAsia="Times New Roman" w:hAnsi="EC Square Sans Pro" w:cs="Times New Roman"/>
                <w:b/>
                <w:bCs/>
                <w:color w:val="FFFFFF"/>
                <w:sz w:val="24"/>
                <w:szCs w:val="24"/>
                <w:lang w:eastAsia="en-GB"/>
              </w:rPr>
              <w:t>≥ 32%</w:t>
            </w:r>
          </w:p>
        </w:tc>
        <w:tc>
          <w:tcPr>
            <w:tcW w:w="1276" w:type="dxa"/>
            <w:vMerge w:val="restart"/>
            <w:tcBorders>
              <w:top w:val="nil"/>
              <w:left w:val="dotted" w:sz="4" w:space="0" w:color="FFFFFF"/>
              <w:bottom w:val="nil"/>
              <w:right w:val="dotted" w:sz="4" w:space="0" w:color="FFFFFF"/>
            </w:tcBorders>
            <w:shd w:val="clear" w:color="000000" w:fill="5DB4A3"/>
            <w:vAlign w:val="center"/>
            <w:hideMark/>
          </w:tcPr>
          <w:p w14:paraId="74E2A80B"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r w:rsidRPr="000B2576">
              <w:rPr>
                <w:rFonts w:ascii="EC Square Sans Pro" w:eastAsia="Times New Roman" w:hAnsi="EC Square Sans Pro" w:cs="Times New Roman"/>
                <w:b/>
                <w:bCs/>
                <w:color w:val="FFFFFF"/>
                <w:sz w:val="24"/>
                <w:szCs w:val="24"/>
                <w:lang w:eastAsia="en-GB"/>
              </w:rPr>
              <w:t>≥ 32.5%</w:t>
            </w:r>
          </w:p>
        </w:tc>
        <w:tc>
          <w:tcPr>
            <w:tcW w:w="1275" w:type="dxa"/>
            <w:vMerge w:val="restart"/>
            <w:tcBorders>
              <w:top w:val="nil"/>
              <w:left w:val="dotted" w:sz="4" w:space="0" w:color="FFFFFF"/>
              <w:bottom w:val="nil"/>
              <w:right w:val="dotted" w:sz="4" w:space="0" w:color="FFFFFF"/>
            </w:tcBorders>
            <w:shd w:val="clear" w:color="000000" w:fill="6CB78C"/>
            <w:vAlign w:val="center"/>
            <w:hideMark/>
          </w:tcPr>
          <w:p w14:paraId="36559F5D"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r w:rsidRPr="000B2576">
              <w:rPr>
                <w:rFonts w:ascii="EC Square Sans Pro" w:eastAsia="Times New Roman" w:hAnsi="EC Square Sans Pro" w:cs="Times New Roman"/>
                <w:b/>
                <w:bCs/>
                <w:color w:val="FFFFFF"/>
                <w:sz w:val="24"/>
                <w:szCs w:val="24"/>
                <w:lang w:eastAsia="en-GB"/>
              </w:rPr>
              <w:t>15%</w:t>
            </w:r>
          </w:p>
        </w:tc>
        <w:tc>
          <w:tcPr>
            <w:tcW w:w="1418" w:type="dxa"/>
            <w:vMerge w:val="restart"/>
            <w:tcBorders>
              <w:top w:val="nil"/>
              <w:left w:val="dotted" w:sz="4" w:space="0" w:color="FFFFFF"/>
              <w:bottom w:val="nil"/>
              <w:right w:val="nil"/>
            </w:tcBorders>
            <w:shd w:val="clear" w:color="000000" w:fill="7ABD70"/>
            <w:vAlign w:val="center"/>
            <w:hideMark/>
          </w:tcPr>
          <w:p w14:paraId="0DCF85E2"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r w:rsidRPr="000B2576">
              <w:rPr>
                <w:rFonts w:ascii="EC Square Sans Pro" w:eastAsia="Times New Roman" w:hAnsi="EC Square Sans Pro" w:cs="Times New Roman"/>
                <w:b/>
                <w:bCs/>
                <w:color w:val="FFFFFF"/>
                <w:sz w:val="24"/>
                <w:szCs w:val="24"/>
                <w:lang w:eastAsia="en-GB"/>
              </w:rPr>
              <w:t>25%</w:t>
            </w:r>
          </w:p>
        </w:tc>
        <w:tc>
          <w:tcPr>
            <w:tcW w:w="1276" w:type="dxa"/>
            <w:tcBorders>
              <w:top w:val="nil"/>
              <w:left w:val="nil"/>
              <w:bottom w:val="nil"/>
              <w:right w:val="single" w:sz="4" w:space="0" w:color="4472C4"/>
            </w:tcBorders>
            <w:shd w:val="clear" w:color="000000" w:fill="86C250"/>
            <w:vAlign w:val="center"/>
            <w:hideMark/>
          </w:tcPr>
          <w:p w14:paraId="6D4FF36F" w14:textId="04FFFC2D" w:rsidR="000B2576" w:rsidRPr="000B2576" w:rsidRDefault="000B2576" w:rsidP="006E1D94">
            <w:pPr>
              <w:spacing w:after="0" w:line="240" w:lineRule="auto"/>
              <w:jc w:val="center"/>
              <w:rPr>
                <w:rFonts w:ascii="EC Square Sans Pro Medium" w:eastAsia="Times New Roman" w:hAnsi="EC Square Sans Pro Medium" w:cs="Times New Roman"/>
                <w:color w:val="FFFFFF"/>
                <w:sz w:val="14"/>
                <w:szCs w:val="14"/>
                <w:lang w:eastAsia="en-GB"/>
              </w:rPr>
            </w:pPr>
          </w:p>
        </w:tc>
      </w:tr>
      <w:tr w:rsidR="00CE78E6" w:rsidRPr="000B2576" w14:paraId="6A84990C" w14:textId="77777777" w:rsidTr="004C23CE">
        <w:trPr>
          <w:trHeight w:val="341"/>
        </w:trPr>
        <w:tc>
          <w:tcPr>
            <w:tcW w:w="1133" w:type="dxa"/>
            <w:vMerge/>
            <w:tcBorders>
              <w:top w:val="dotted" w:sz="4" w:space="0" w:color="D9D9D9"/>
              <w:left w:val="single" w:sz="4" w:space="0" w:color="4472C4"/>
              <w:bottom w:val="dotted" w:sz="4" w:space="0" w:color="D9D9D9"/>
              <w:right w:val="nil"/>
            </w:tcBorders>
            <w:vAlign w:val="center"/>
            <w:hideMark/>
          </w:tcPr>
          <w:p w14:paraId="0023C88E" w14:textId="77777777" w:rsidR="000B2576" w:rsidRPr="000B2576" w:rsidRDefault="000B2576" w:rsidP="00E04ACD">
            <w:pPr>
              <w:spacing w:after="0" w:line="240" w:lineRule="auto"/>
              <w:jc w:val="both"/>
              <w:rPr>
                <w:rFonts w:ascii="EC Square Sans Pro" w:eastAsia="Times New Roman" w:hAnsi="EC Square Sans Pro" w:cs="Times New Roman"/>
                <w:b/>
                <w:bCs/>
                <w:color w:val="094E9C"/>
                <w:sz w:val="21"/>
                <w:szCs w:val="21"/>
                <w:lang w:eastAsia="en-GB"/>
              </w:rPr>
            </w:pPr>
          </w:p>
        </w:tc>
        <w:tc>
          <w:tcPr>
            <w:tcW w:w="1135" w:type="dxa"/>
            <w:vMerge/>
            <w:tcBorders>
              <w:top w:val="nil"/>
              <w:left w:val="nil"/>
              <w:bottom w:val="nil"/>
              <w:right w:val="dotted" w:sz="4" w:space="0" w:color="FFFFFF"/>
            </w:tcBorders>
            <w:vAlign w:val="center"/>
            <w:hideMark/>
          </w:tcPr>
          <w:p w14:paraId="77D1A5FB"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p>
        </w:tc>
        <w:tc>
          <w:tcPr>
            <w:tcW w:w="1418" w:type="dxa"/>
            <w:vMerge/>
            <w:tcBorders>
              <w:top w:val="nil"/>
              <w:left w:val="dotted" w:sz="4" w:space="0" w:color="FFFFFF"/>
              <w:bottom w:val="nil"/>
              <w:right w:val="dotted" w:sz="4" w:space="0" w:color="FFFFFF"/>
            </w:tcBorders>
            <w:vAlign w:val="center"/>
            <w:hideMark/>
          </w:tcPr>
          <w:p w14:paraId="40D98971"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p>
        </w:tc>
        <w:tc>
          <w:tcPr>
            <w:tcW w:w="1276" w:type="dxa"/>
            <w:vMerge/>
            <w:tcBorders>
              <w:top w:val="nil"/>
              <w:left w:val="dotted" w:sz="4" w:space="0" w:color="FFFFFF"/>
              <w:bottom w:val="nil"/>
              <w:right w:val="dotted" w:sz="4" w:space="0" w:color="FFFFFF"/>
            </w:tcBorders>
            <w:vAlign w:val="center"/>
            <w:hideMark/>
          </w:tcPr>
          <w:p w14:paraId="747A94A1"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p>
        </w:tc>
        <w:tc>
          <w:tcPr>
            <w:tcW w:w="1275" w:type="dxa"/>
            <w:vMerge/>
            <w:tcBorders>
              <w:top w:val="nil"/>
              <w:left w:val="dotted" w:sz="4" w:space="0" w:color="FFFFFF"/>
              <w:bottom w:val="nil"/>
              <w:right w:val="dotted" w:sz="4" w:space="0" w:color="FFFFFF"/>
            </w:tcBorders>
            <w:vAlign w:val="center"/>
            <w:hideMark/>
          </w:tcPr>
          <w:p w14:paraId="1DA4E9DD"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p>
        </w:tc>
        <w:tc>
          <w:tcPr>
            <w:tcW w:w="1418" w:type="dxa"/>
            <w:vMerge/>
            <w:tcBorders>
              <w:top w:val="nil"/>
              <w:left w:val="dotted" w:sz="4" w:space="0" w:color="FFFFFF"/>
              <w:bottom w:val="nil"/>
              <w:right w:val="nil"/>
            </w:tcBorders>
            <w:vAlign w:val="center"/>
            <w:hideMark/>
          </w:tcPr>
          <w:p w14:paraId="5AAC830C"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p>
        </w:tc>
        <w:tc>
          <w:tcPr>
            <w:tcW w:w="1276" w:type="dxa"/>
            <w:tcBorders>
              <w:top w:val="nil"/>
              <w:left w:val="nil"/>
              <w:bottom w:val="nil"/>
              <w:right w:val="single" w:sz="4" w:space="0" w:color="4472C4"/>
            </w:tcBorders>
            <w:shd w:val="clear" w:color="000000" w:fill="86C250"/>
            <w:vAlign w:val="center"/>
            <w:hideMark/>
          </w:tcPr>
          <w:p w14:paraId="272C534E"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r w:rsidRPr="000B2576">
              <w:rPr>
                <w:rFonts w:ascii="EC Square Sans Pro" w:eastAsia="Times New Roman" w:hAnsi="EC Square Sans Pro" w:cs="Times New Roman"/>
                <w:b/>
                <w:bCs/>
                <w:color w:val="FFFFFF"/>
                <w:sz w:val="24"/>
                <w:szCs w:val="24"/>
                <w:lang w:val="en-US" w:eastAsia="en-GB"/>
              </w:rPr>
              <w:t>-37.5%</w:t>
            </w:r>
          </w:p>
        </w:tc>
      </w:tr>
      <w:tr w:rsidR="00CE78E6" w:rsidRPr="000B2576" w14:paraId="102E61CF" w14:textId="77777777" w:rsidTr="004C23CE">
        <w:trPr>
          <w:trHeight w:val="301"/>
        </w:trPr>
        <w:tc>
          <w:tcPr>
            <w:tcW w:w="1133" w:type="dxa"/>
            <w:vMerge/>
            <w:tcBorders>
              <w:top w:val="dotted" w:sz="4" w:space="0" w:color="D9D9D9"/>
              <w:left w:val="single" w:sz="4" w:space="0" w:color="4472C4"/>
              <w:bottom w:val="dotted" w:sz="4" w:space="0" w:color="D9D9D9"/>
              <w:right w:val="nil"/>
            </w:tcBorders>
            <w:vAlign w:val="center"/>
            <w:hideMark/>
          </w:tcPr>
          <w:p w14:paraId="7BF046A9" w14:textId="77777777" w:rsidR="000B2576" w:rsidRPr="000B2576" w:rsidRDefault="000B2576" w:rsidP="00E04ACD">
            <w:pPr>
              <w:spacing w:after="0" w:line="240" w:lineRule="auto"/>
              <w:jc w:val="both"/>
              <w:rPr>
                <w:rFonts w:ascii="EC Square Sans Pro" w:eastAsia="Times New Roman" w:hAnsi="EC Square Sans Pro" w:cs="Times New Roman"/>
                <w:b/>
                <w:bCs/>
                <w:color w:val="094E9C"/>
                <w:sz w:val="21"/>
                <w:szCs w:val="21"/>
                <w:lang w:eastAsia="en-GB"/>
              </w:rPr>
            </w:pPr>
          </w:p>
        </w:tc>
        <w:tc>
          <w:tcPr>
            <w:tcW w:w="1135" w:type="dxa"/>
            <w:vMerge/>
            <w:tcBorders>
              <w:top w:val="nil"/>
              <w:left w:val="nil"/>
              <w:bottom w:val="nil"/>
              <w:right w:val="dotted" w:sz="4" w:space="0" w:color="FFFFFF"/>
            </w:tcBorders>
            <w:vAlign w:val="center"/>
            <w:hideMark/>
          </w:tcPr>
          <w:p w14:paraId="4BD3B169"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p>
        </w:tc>
        <w:tc>
          <w:tcPr>
            <w:tcW w:w="1418" w:type="dxa"/>
            <w:vMerge/>
            <w:tcBorders>
              <w:top w:val="nil"/>
              <w:left w:val="dotted" w:sz="4" w:space="0" w:color="FFFFFF"/>
              <w:bottom w:val="nil"/>
              <w:right w:val="dotted" w:sz="4" w:space="0" w:color="FFFFFF"/>
            </w:tcBorders>
            <w:vAlign w:val="center"/>
            <w:hideMark/>
          </w:tcPr>
          <w:p w14:paraId="1349F844"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p>
        </w:tc>
        <w:tc>
          <w:tcPr>
            <w:tcW w:w="1276" w:type="dxa"/>
            <w:vMerge/>
            <w:tcBorders>
              <w:top w:val="nil"/>
              <w:left w:val="dotted" w:sz="4" w:space="0" w:color="FFFFFF"/>
              <w:bottom w:val="nil"/>
              <w:right w:val="dotted" w:sz="4" w:space="0" w:color="FFFFFF"/>
            </w:tcBorders>
            <w:vAlign w:val="center"/>
            <w:hideMark/>
          </w:tcPr>
          <w:p w14:paraId="17C60A7E"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p>
        </w:tc>
        <w:tc>
          <w:tcPr>
            <w:tcW w:w="1275" w:type="dxa"/>
            <w:vMerge/>
            <w:tcBorders>
              <w:top w:val="nil"/>
              <w:left w:val="dotted" w:sz="4" w:space="0" w:color="FFFFFF"/>
              <w:bottom w:val="nil"/>
              <w:right w:val="dotted" w:sz="4" w:space="0" w:color="FFFFFF"/>
            </w:tcBorders>
            <w:vAlign w:val="center"/>
            <w:hideMark/>
          </w:tcPr>
          <w:p w14:paraId="238D49AF"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p>
        </w:tc>
        <w:tc>
          <w:tcPr>
            <w:tcW w:w="1418" w:type="dxa"/>
            <w:vMerge/>
            <w:tcBorders>
              <w:top w:val="nil"/>
              <w:left w:val="dotted" w:sz="4" w:space="0" w:color="FFFFFF"/>
              <w:bottom w:val="nil"/>
              <w:right w:val="nil"/>
            </w:tcBorders>
            <w:vAlign w:val="center"/>
            <w:hideMark/>
          </w:tcPr>
          <w:p w14:paraId="7E50841B"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p>
        </w:tc>
        <w:tc>
          <w:tcPr>
            <w:tcW w:w="1276" w:type="dxa"/>
            <w:tcBorders>
              <w:top w:val="nil"/>
              <w:left w:val="nil"/>
              <w:bottom w:val="nil"/>
              <w:right w:val="single" w:sz="4" w:space="0" w:color="4472C4"/>
            </w:tcBorders>
            <w:shd w:val="clear" w:color="000000" w:fill="86C250"/>
            <w:vAlign w:val="center"/>
            <w:hideMark/>
          </w:tcPr>
          <w:p w14:paraId="71E8EF39" w14:textId="77777777" w:rsidR="000B2576" w:rsidRPr="000B2576" w:rsidRDefault="000B2576" w:rsidP="006E1D94">
            <w:pPr>
              <w:spacing w:after="0" w:line="240" w:lineRule="auto"/>
              <w:jc w:val="center"/>
              <w:rPr>
                <w:rFonts w:ascii="EC Square Sans Pro Medium" w:eastAsia="Times New Roman" w:hAnsi="EC Square Sans Pro Medium" w:cs="Times New Roman"/>
                <w:color w:val="FFFFFF"/>
                <w:sz w:val="16"/>
                <w:szCs w:val="16"/>
                <w:lang w:eastAsia="en-GB"/>
              </w:rPr>
            </w:pPr>
            <w:r w:rsidRPr="000B2576">
              <w:rPr>
                <w:rFonts w:ascii="EC Square Sans Pro Medium" w:eastAsia="Times New Roman" w:hAnsi="EC Square Sans Pro Medium" w:cs="Times New Roman"/>
                <w:color w:val="FFFFFF"/>
                <w:sz w:val="16"/>
                <w:szCs w:val="16"/>
                <w:lang w:val="en-US" w:eastAsia="en-GB"/>
              </w:rPr>
              <w:t xml:space="preserve">Vans </w:t>
            </w:r>
            <w:r w:rsidRPr="000B2576">
              <w:rPr>
                <w:rFonts w:ascii="EC Square Sans Pro" w:eastAsia="Times New Roman" w:hAnsi="EC Square Sans Pro" w:cs="Times New Roman"/>
                <w:b/>
                <w:bCs/>
                <w:color w:val="FFFFFF"/>
                <w:sz w:val="16"/>
                <w:szCs w:val="16"/>
                <w:lang w:val="en-US" w:eastAsia="en-GB"/>
              </w:rPr>
              <w:t>-31%</w:t>
            </w:r>
          </w:p>
        </w:tc>
      </w:tr>
      <w:tr w:rsidR="00CE78E6" w:rsidRPr="000B2576" w14:paraId="555FC65E" w14:textId="77777777" w:rsidTr="004C23CE">
        <w:trPr>
          <w:trHeight w:val="301"/>
        </w:trPr>
        <w:tc>
          <w:tcPr>
            <w:tcW w:w="1133" w:type="dxa"/>
            <w:vMerge/>
            <w:tcBorders>
              <w:top w:val="dotted" w:sz="4" w:space="0" w:color="D9D9D9"/>
              <w:left w:val="single" w:sz="4" w:space="0" w:color="4472C4"/>
              <w:bottom w:val="dotted" w:sz="4" w:space="0" w:color="D9D9D9"/>
              <w:right w:val="nil"/>
            </w:tcBorders>
            <w:vAlign w:val="center"/>
            <w:hideMark/>
          </w:tcPr>
          <w:p w14:paraId="5E6AFEAA" w14:textId="77777777" w:rsidR="000B2576" w:rsidRPr="000B2576" w:rsidRDefault="000B2576" w:rsidP="00E04ACD">
            <w:pPr>
              <w:spacing w:after="0" w:line="240" w:lineRule="auto"/>
              <w:jc w:val="both"/>
              <w:rPr>
                <w:rFonts w:ascii="EC Square Sans Pro" w:eastAsia="Times New Roman" w:hAnsi="EC Square Sans Pro" w:cs="Times New Roman"/>
                <w:b/>
                <w:bCs/>
                <w:color w:val="094E9C"/>
                <w:sz w:val="21"/>
                <w:szCs w:val="21"/>
                <w:lang w:eastAsia="en-GB"/>
              </w:rPr>
            </w:pPr>
          </w:p>
        </w:tc>
        <w:tc>
          <w:tcPr>
            <w:tcW w:w="1135" w:type="dxa"/>
            <w:vMerge/>
            <w:tcBorders>
              <w:top w:val="nil"/>
              <w:left w:val="nil"/>
              <w:bottom w:val="nil"/>
              <w:right w:val="dotted" w:sz="4" w:space="0" w:color="FFFFFF"/>
            </w:tcBorders>
            <w:vAlign w:val="center"/>
            <w:hideMark/>
          </w:tcPr>
          <w:p w14:paraId="49B8B000"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p>
        </w:tc>
        <w:tc>
          <w:tcPr>
            <w:tcW w:w="1418" w:type="dxa"/>
            <w:vMerge/>
            <w:tcBorders>
              <w:top w:val="nil"/>
              <w:left w:val="dotted" w:sz="4" w:space="0" w:color="FFFFFF"/>
              <w:bottom w:val="nil"/>
              <w:right w:val="dotted" w:sz="4" w:space="0" w:color="FFFFFF"/>
            </w:tcBorders>
            <w:vAlign w:val="center"/>
            <w:hideMark/>
          </w:tcPr>
          <w:p w14:paraId="4D44CD96"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p>
        </w:tc>
        <w:tc>
          <w:tcPr>
            <w:tcW w:w="1276" w:type="dxa"/>
            <w:vMerge/>
            <w:tcBorders>
              <w:top w:val="nil"/>
              <w:left w:val="dotted" w:sz="4" w:space="0" w:color="FFFFFF"/>
              <w:bottom w:val="nil"/>
              <w:right w:val="dotted" w:sz="4" w:space="0" w:color="FFFFFF"/>
            </w:tcBorders>
            <w:vAlign w:val="center"/>
            <w:hideMark/>
          </w:tcPr>
          <w:p w14:paraId="638FC84F"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p>
        </w:tc>
        <w:tc>
          <w:tcPr>
            <w:tcW w:w="1275" w:type="dxa"/>
            <w:vMerge/>
            <w:tcBorders>
              <w:top w:val="nil"/>
              <w:left w:val="dotted" w:sz="4" w:space="0" w:color="FFFFFF"/>
              <w:bottom w:val="nil"/>
              <w:right w:val="dotted" w:sz="4" w:space="0" w:color="FFFFFF"/>
            </w:tcBorders>
            <w:vAlign w:val="center"/>
            <w:hideMark/>
          </w:tcPr>
          <w:p w14:paraId="1E047038"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p>
        </w:tc>
        <w:tc>
          <w:tcPr>
            <w:tcW w:w="1418" w:type="dxa"/>
            <w:vMerge/>
            <w:tcBorders>
              <w:top w:val="nil"/>
              <w:left w:val="dotted" w:sz="4" w:space="0" w:color="FFFFFF"/>
              <w:bottom w:val="nil"/>
              <w:right w:val="nil"/>
            </w:tcBorders>
            <w:vAlign w:val="center"/>
            <w:hideMark/>
          </w:tcPr>
          <w:p w14:paraId="2B51CEF0" w14:textId="77777777" w:rsidR="000B2576" w:rsidRPr="000B2576" w:rsidRDefault="000B2576" w:rsidP="006E1D94">
            <w:pPr>
              <w:spacing w:after="0" w:line="240" w:lineRule="auto"/>
              <w:jc w:val="center"/>
              <w:rPr>
                <w:rFonts w:ascii="EC Square Sans Pro" w:eastAsia="Times New Roman" w:hAnsi="EC Square Sans Pro" w:cs="Times New Roman"/>
                <w:b/>
                <w:bCs/>
                <w:color w:val="FFFFFF"/>
                <w:sz w:val="24"/>
                <w:szCs w:val="24"/>
                <w:lang w:eastAsia="en-GB"/>
              </w:rPr>
            </w:pPr>
          </w:p>
        </w:tc>
        <w:tc>
          <w:tcPr>
            <w:tcW w:w="1276" w:type="dxa"/>
            <w:tcBorders>
              <w:top w:val="nil"/>
              <w:left w:val="nil"/>
              <w:bottom w:val="nil"/>
              <w:right w:val="single" w:sz="4" w:space="0" w:color="4472C4"/>
            </w:tcBorders>
            <w:shd w:val="clear" w:color="000000" w:fill="86C250"/>
            <w:vAlign w:val="center"/>
            <w:hideMark/>
          </w:tcPr>
          <w:p w14:paraId="7C7CA8AC" w14:textId="77777777" w:rsidR="000B2576" w:rsidRPr="000B2576" w:rsidRDefault="000B2576" w:rsidP="006E1D94">
            <w:pPr>
              <w:spacing w:after="0" w:line="240" w:lineRule="auto"/>
              <w:jc w:val="center"/>
              <w:rPr>
                <w:rFonts w:ascii="EC Square Sans Pro Medium" w:eastAsia="Times New Roman" w:hAnsi="EC Square Sans Pro Medium" w:cs="Times New Roman"/>
                <w:color w:val="FFFFFF"/>
                <w:sz w:val="16"/>
                <w:szCs w:val="16"/>
                <w:lang w:eastAsia="en-GB"/>
              </w:rPr>
            </w:pPr>
            <w:r w:rsidRPr="000B2576">
              <w:rPr>
                <w:rFonts w:ascii="EC Square Sans Pro Medium" w:eastAsia="Times New Roman" w:hAnsi="EC Square Sans Pro Medium" w:cs="Times New Roman"/>
                <w:color w:val="FFFFFF"/>
                <w:sz w:val="16"/>
                <w:szCs w:val="16"/>
                <w:lang w:val="en-US" w:eastAsia="en-GB"/>
              </w:rPr>
              <w:t>Lorries</w:t>
            </w:r>
            <w:r w:rsidRPr="000B2576">
              <w:rPr>
                <w:rFonts w:ascii="EC Square Sans Pro Medium" w:eastAsia="Times New Roman" w:hAnsi="EC Square Sans Pro Medium" w:cs="Times New Roman"/>
                <w:color w:val="000000"/>
                <w:sz w:val="16"/>
                <w:szCs w:val="16"/>
                <w:lang w:val="en-US" w:eastAsia="en-GB"/>
              </w:rPr>
              <w:t xml:space="preserve"> </w:t>
            </w:r>
            <w:r w:rsidRPr="000B2576">
              <w:rPr>
                <w:rFonts w:ascii="EC Square Sans Pro" w:eastAsia="Times New Roman" w:hAnsi="EC Square Sans Pro" w:cs="Times New Roman"/>
                <w:b/>
                <w:bCs/>
                <w:color w:val="FFFFFF"/>
                <w:sz w:val="16"/>
                <w:szCs w:val="16"/>
                <w:lang w:val="en-US" w:eastAsia="en-GB"/>
              </w:rPr>
              <w:t>-30%</w:t>
            </w:r>
          </w:p>
        </w:tc>
      </w:tr>
      <w:tr w:rsidR="000B2576" w:rsidRPr="000B2576" w14:paraId="2DF77A81" w14:textId="77777777" w:rsidTr="004C23CE">
        <w:trPr>
          <w:trHeight w:val="445"/>
        </w:trPr>
        <w:tc>
          <w:tcPr>
            <w:tcW w:w="2268" w:type="dxa"/>
            <w:gridSpan w:val="2"/>
            <w:tcBorders>
              <w:top w:val="nil"/>
              <w:left w:val="single" w:sz="4" w:space="0" w:color="4472C4"/>
              <w:bottom w:val="single" w:sz="4" w:space="0" w:color="4472C4"/>
              <w:right w:val="nil"/>
            </w:tcBorders>
            <w:shd w:val="clear" w:color="auto" w:fill="auto"/>
            <w:hideMark/>
          </w:tcPr>
          <w:p w14:paraId="5649F5F7" w14:textId="77777777" w:rsidR="000B2576" w:rsidRPr="000B2576" w:rsidRDefault="000B2576" w:rsidP="00E04ACD">
            <w:pPr>
              <w:spacing w:after="0" w:line="240" w:lineRule="auto"/>
              <w:jc w:val="both"/>
              <w:rPr>
                <w:rFonts w:ascii="Calibri" w:eastAsia="Times New Roman" w:hAnsi="Calibri" w:cs="Times New Roman"/>
                <w:color w:val="000000"/>
                <w:lang w:eastAsia="en-GB"/>
              </w:rPr>
            </w:pPr>
            <w:r w:rsidRPr="000B2576">
              <w:rPr>
                <w:rFonts w:ascii="Calibri" w:eastAsia="Times New Roman" w:hAnsi="Calibri" w:cs="Times New Roman"/>
                <w:color w:val="000000"/>
                <w:lang w:eastAsia="en-GB"/>
              </w:rPr>
              <w:t> </w:t>
            </w:r>
          </w:p>
        </w:tc>
        <w:tc>
          <w:tcPr>
            <w:tcW w:w="2694" w:type="dxa"/>
            <w:gridSpan w:val="2"/>
            <w:tcBorders>
              <w:top w:val="nil"/>
              <w:left w:val="nil"/>
              <w:bottom w:val="single" w:sz="4" w:space="0" w:color="4472C4"/>
              <w:right w:val="nil"/>
            </w:tcBorders>
            <w:shd w:val="clear" w:color="000000" w:fill="FFFFFF"/>
            <w:vAlign w:val="center"/>
            <w:hideMark/>
          </w:tcPr>
          <w:p w14:paraId="6E6DDB32" w14:textId="77777777" w:rsidR="000B2576" w:rsidRPr="000B2576" w:rsidRDefault="000B2576" w:rsidP="00E04ACD">
            <w:pPr>
              <w:spacing w:after="0" w:line="240" w:lineRule="auto"/>
              <w:jc w:val="both"/>
              <w:rPr>
                <w:rFonts w:ascii="EC Square Sans Pro" w:eastAsia="Times New Roman" w:hAnsi="EC Square Sans Pro" w:cs="Times New Roman"/>
                <w:b/>
                <w:bCs/>
                <w:color w:val="0070C0"/>
                <w:sz w:val="16"/>
                <w:szCs w:val="16"/>
                <w:lang w:eastAsia="en-GB"/>
              </w:rPr>
            </w:pPr>
            <w:r w:rsidRPr="000B2576">
              <w:rPr>
                <w:rFonts w:ascii="EC Square Sans Pro" w:eastAsia="Times New Roman" w:hAnsi="EC Square Sans Pro" w:cs="Times New Roman"/>
                <w:b/>
                <w:bCs/>
                <w:color w:val="0070C0"/>
                <w:sz w:val="16"/>
                <w:szCs w:val="16"/>
                <w:lang w:val="en-US" w:eastAsia="en-GB"/>
              </w:rPr>
              <w:t>Upwards revision clause by 2023</w:t>
            </w:r>
          </w:p>
        </w:tc>
        <w:tc>
          <w:tcPr>
            <w:tcW w:w="3969" w:type="dxa"/>
            <w:gridSpan w:val="3"/>
            <w:tcBorders>
              <w:top w:val="nil"/>
              <w:left w:val="nil"/>
              <w:bottom w:val="single" w:sz="4" w:space="0" w:color="4472C4"/>
              <w:right w:val="single" w:sz="4" w:space="0" w:color="4472C4"/>
            </w:tcBorders>
            <w:shd w:val="clear" w:color="000000" w:fill="FFFFFF"/>
            <w:hideMark/>
          </w:tcPr>
          <w:p w14:paraId="077EFE89" w14:textId="77777777" w:rsidR="000B2576" w:rsidRPr="000B2576" w:rsidRDefault="000B2576" w:rsidP="00E04ACD">
            <w:pPr>
              <w:spacing w:after="0" w:line="240" w:lineRule="auto"/>
              <w:jc w:val="both"/>
              <w:rPr>
                <w:rFonts w:ascii="Calibri" w:eastAsia="Times New Roman" w:hAnsi="Calibri" w:cs="Times New Roman"/>
                <w:color w:val="000000"/>
                <w:lang w:eastAsia="en-GB"/>
              </w:rPr>
            </w:pPr>
            <w:r w:rsidRPr="000B2576">
              <w:rPr>
                <w:rFonts w:ascii="Calibri" w:eastAsia="Times New Roman" w:hAnsi="Calibri" w:cs="Times New Roman"/>
                <w:color w:val="000000"/>
                <w:lang w:eastAsia="en-GB"/>
              </w:rPr>
              <w:t> </w:t>
            </w:r>
          </w:p>
        </w:tc>
      </w:tr>
    </w:tbl>
    <w:p w14:paraId="6F690107" w14:textId="2E1E2A00" w:rsidR="0045741B" w:rsidRDefault="00D25DC5" w:rsidP="006E1D94">
      <w:pPr>
        <w:pStyle w:val="Caption"/>
        <w:rPr>
          <w:rFonts w:ascii="Times New Roman" w:eastAsia="Times New Roman" w:hAnsi="Times New Roman"/>
          <w:color w:val="000000"/>
          <w:sz w:val="24"/>
          <w:szCs w:val="24"/>
        </w:rPr>
      </w:pPr>
      <w:r>
        <w:t xml:space="preserve">Figure </w:t>
      </w:r>
      <w:fldSimple w:instr=" SEQ Figure \* ARABIC ">
        <w:r w:rsidR="006E3709">
          <w:rPr>
            <w:noProof/>
          </w:rPr>
          <w:t>3</w:t>
        </w:r>
      </w:fldSimple>
      <w:r w:rsidR="0045741B">
        <w:t xml:space="preserve">: 2030 </w:t>
      </w:r>
      <w:r w:rsidR="00D00063">
        <w:t>C</w:t>
      </w:r>
      <w:r w:rsidR="0045741B">
        <w:t xml:space="preserve">limate and </w:t>
      </w:r>
      <w:r w:rsidR="00D00063">
        <w:t>E</w:t>
      </w:r>
      <w:r w:rsidR="0045741B">
        <w:t xml:space="preserve">nergy </w:t>
      </w:r>
      <w:r w:rsidR="00D00063">
        <w:t>F</w:t>
      </w:r>
      <w:r w:rsidR="0045741B">
        <w:t xml:space="preserve">ramework  </w:t>
      </w:r>
    </w:p>
    <w:p w14:paraId="5D9C279E" w14:textId="2D6E3580" w:rsidR="00D25DC5" w:rsidRDefault="00D25DC5" w:rsidP="00446D1E">
      <w:pPr>
        <w:overflowPunct w:val="0"/>
        <w:autoSpaceDE w:val="0"/>
        <w:autoSpaceDN w:val="0"/>
        <w:adjustRightInd w:val="0"/>
        <w:spacing w:after="120" w:line="276" w:lineRule="auto"/>
        <w:jc w:val="both"/>
        <w:textAlignment w:val="baseline"/>
        <w:rPr>
          <w:rFonts w:ascii="Times New Roman" w:eastAsia="Times New Roman" w:hAnsi="Times New Roman" w:cs="Times New Roman"/>
          <w:color w:val="000000"/>
          <w:sz w:val="24"/>
          <w:szCs w:val="24"/>
        </w:rPr>
      </w:pPr>
      <w:r w:rsidRPr="000011E8">
        <w:rPr>
          <w:rStyle w:val="Heading2Char"/>
        </w:rPr>
        <w:t>Member States identify additional policies and measures to reach 2030 objectives</w:t>
      </w:r>
    </w:p>
    <w:p w14:paraId="42749403" w14:textId="267B2737" w:rsidR="00BB34BD" w:rsidRDefault="007F63E9" w:rsidP="00E04ACD">
      <w:pPr>
        <w:overflowPunct w:val="0"/>
        <w:autoSpaceDE w:val="0"/>
        <w:autoSpaceDN w:val="0"/>
        <w:adjustRightInd w:val="0"/>
        <w:spacing w:after="240" w:line="276"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2018, f</w:t>
      </w:r>
      <w:r w:rsidR="009E522C">
        <w:rPr>
          <w:rFonts w:ascii="Times New Roman" w:eastAsia="Times New Roman" w:hAnsi="Times New Roman" w:cs="Times New Roman"/>
          <w:color w:val="000000"/>
          <w:sz w:val="24"/>
          <w:szCs w:val="24"/>
        </w:rPr>
        <w:t>or the first time, Member States prepared draft integrated national energy and climate plans (NECPs)</w:t>
      </w:r>
      <w:r w:rsidR="0045741B">
        <w:rPr>
          <w:rStyle w:val="FootnoteReference"/>
          <w:rFonts w:ascii="Times New Roman" w:eastAsia="Times New Roman" w:hAnsi="Times New Roman" w:cs="Times New Roman"/>
          <w:color w:val="000000"/>
          <w:sz w:val="24"/>
          <w:szCs w:val="24"/>
        </w:rPr>
        <w:footnoteReference w:id="6"/>
      </w:r>
      <w:r w:rsidR="00BB34BD">
        <w:rPr>
          <w:rFonts w:ascii="Times New Roman" w:eastAsia="Times New Roman" w:hAnsi="Times New Roman" w:cs="Times New Roman"/>
          <w:color w:val="000000"/>
          <w:sz w:val="24"/>
          <w:szCs w:val="24"/>
        </w:rPr>
        <w:t>. The draft plans show that Member States make significant progress in defining the path to reaching the 2030 climate and energy targets</w:t>
      </w:r>
      <w:r w:rsidR="00E268FF">
        <w:rPr>
          <w:rFonts w:ascii="Times New Roman" w:eastAsia="Times New Roman" w:hAnsi="Times New Roman" w:cs="Times New Roman"/>
          <w:color w:val="000000"/>
          <w:sz w:val="24"/>
          <w:szCs w:val="24"/>
        </w:rPr>
        <w:t>, although further efforts are still needed</w:t>
      </w:r>
      <w:r w:rsidR="00BB34BD">
        <w:rPr>
          <w:rFonts w:ascii="Times New Roman" w:eastAsia="Times New Roman" w:hAnsi="Times New Roman" w:cs="Times New Roman"/>
          <w:color w:val="000000"/>
          <w:sz w:val="24"/>
          <w:szCs w:val="24"/>
        </w:rPr>
        <w:t>. The European Commission has analysed the aggregated effects of the draft plans on reaching the 2030 targets, and issued country-specific recommendations</w:t>
      </w:r>
      <w:r w:rsidR="003A2C80">
        <w:rPr>
          <w:rStyle w:val="FootnoteReference"/>
          <w:rFonts w:ascii="Times New Roman" w:eastAsia="Times New Roman" w:hAnsi="Times New Roman" w:cs="Times New Roman"/>
          <w:color w:val="000000"/>
          <w:sz w:val="24"/>
          <w:szCs w:val="24"/>
        </w:rPr>
        <w:footnoteReference w:id="7"/>
      </w:r>
      <w:r w:rsidR="00BB34BD">
        <w:rPr>
          <w:rFonts w:ascii="Times New Roman" w:eastAsia="Times New Roman" w:hAnsi="Times New Roman" w:cs="Times New Roman"/>
          <w:color w:val="000000"/>
          <w:sz w:val="24"/>
          <w:szCs w:val="24"/>
        </w:rPr>
        <w:t xml:space="preserve">. Member States </w:t>
      </w:r>
      <w:r w:rsidR="0045741B">
        <w:rPr>
          <w:rFonts w:ascii="Times New Roman" w:eastAsia="Times New Roman" w:hAnsi="Times New Roman" w:cs="Times New Roman"/>
          <w:color w:val="000000"/>
          <w:sz w:val="24"/>
          <w:szCs w:val="24"/>
        </w:rPr>
        <w:t>must</w:t>
      </w:r>
      <w:r w:rsidR="00BB34BD">
        <w:rPr>
          <w:rFonts w:ascii="Times New Roman" w:eastAsia="Times New Roman" w:hAnsi="Times New Roman" w:cs="Times New Roman"/>
          <w:color w:val="000000"/>
          <w:sz w:val="24"/>
          <w:szCs w:val="24"/>
        </w:rPr>
        <w:t xml:space="preserve"> finalise their plans by the end of 2019. </w:t>
      </w:r>
    </w:p>
    <w:p w14:paraId="0D5EFDAD" w14:textId="701598D5" w:rsidR="003A2C80" w:rsidRDefault="00DF11B4" w:rsidP="00E04ACD">
      <w:pPr>
        <w:overflowPunct w:val="0"/>
        <w:autoSpaceDE w:val="0"/>
        <w:autoSpaceDN w:val="0"/>
        <w:adjustRightInd w:val="0"/>
        <w:spacing w:after="240" w:line="276" w:lineRule="auto"/>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 </w:t>
      </w:r>
      <w:r w:rsidR="009A600C">
        <w:rPr>
          <w:rFonts w:ascii="Times New Roman" w:eastAsia="Times New Roman" w:hAnsi="Times New Roman" w:cs="Times New Roman"/>
          <w:color w:val="000000"/>
          <w:sz w:val="24"/>
          <w:szCs w:val="24"/>
        </w:rPr>
        <w:t xml:space="preserve">national </w:t>
      </w:r>
      <w:r>
        <w:rPr>
          <w:rFonts w:ascii="Times New Roman" w:eastAsia="Times New Roman" w:hAnsi="Times New Roman" w:cs="Times New Roman"/>
          <w:color w:val="000000"/>
          <w:sz w:val="24"/>
          <w:szCs w:val="24"/>
        </w:rPr>
        <w:t>policies and measures already implemented, emissions are projected to be reduced by 30</w:t>
      </w:r>
      <w:r w:rsidR="0068441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in 2030</w:t>
      </w:r>
      <w:r w:rsidR="000C292C" w:rsidRPr="000C292C">
        <w:rPr>
          <w:rFonts w:ascii="Times New Roman" w:eastAsia="Times New Roman" w:hAnsi="Times New Roman" w:cs="Times New Roman"/>
          <w:color w:val="000000"/>
          <w:sz w:val="24"/>
          <w:szCs w:val="24"/>
        </w:rPr>
        <w:t xml:space="preserve"> </w:t>
      </w:r>
      <w:r w:rsidR="000C292C">
        <w:rPr>
          <w:rFonts w:ascii="Times New Roman" w:eastAsia="Times New Roman" w:hAnsi="Times New Roman" w:cs="Times New Roman"/>
          <w:color w:val="000000"/>
          <w:sz w:val="24"/>
          <w:szCs w:val="24"/>
        </w:rPr>
        <w:t>according to an aggregation of the latest national GHG projections</w:t>
      </w:r>
      <w:r>
        <w:rPr>
          <w:rFonts w:ascii="Times New Roman" w:eastAsia="Times New Roman" w:hAnsi="Times New Roman" w:cs="Times New Roman"/>
          <w:color w:val="000000"/>
          <w:sz w:val="24"/>
          <w:szCs w:val="24"/>
        </w:rPr>
        <w:t xml:space="preserve">. </w:t>
      </w:r>
      <w:r w:rsidR="00CE78E6">
        <w:rPr>
          <w:rFonts w:ascii="Times New Roman" w:eastAsia="Times New Roman" w:hAnsi="Times New Roman" w:cs="Times New Roman"/>
          <w:color w:val="000000"/>
          <w:sz w:val="24"/>
          <w:szCs w:val="24"/>
        </w:rPr>
        <w:t>W</w:t>
      </w:r>
      <w:r w:rsidR="003A2C80">
        <w:rPr>
          <w:rFonts w:ascii="Times New Roman" w:eastAsia="Times New Roman" w:hAnsi="Times New Roman" w:cs="Times New Roman"/>
          <w:color w:val="000000"/>
          <w:sz w:val="24"/>
          <w:szCs w:val="24"/>
        </w:rPr>
        <w:t xml:space="preserve">ith implementation of the planned measures or stated ambitions in the draft NECPs, the overall GHG reduction of the EU is estimated to </w:t>
      </w:r>
      <w:r w:rsidR="00CE78E6">
        <w:rPr>
          <w:rFonts w:ascii="Times New Roman" w:eastAsia="Times New Roman" w:hAnsi="Times New Roman" w:cs="Times New Roman"/>
          <w:color w:val="000000"/>
          <w:sz w:val="24"/>
          <w:szCs w:val="24"/>
        </w:rPr>
        <w:t xml:space="preserve">reach </w:t>
      </w:r>
      <w:r w:rsidR="003A2C80">
        <w:rPr>
          <w:rFonts w:ascii="Times New Roman" w:eastAsia="Times New Roman" w:hAnsi="Times New Roman" w:cs="Times New Roman"/>
          <w:color w:val="000000"/>
          <w:sz w:val="24"/>
          <w:szCs w:val="24"/>
        </w:rPr>
        <w:t xml:space="preserve">the </w:t>
      </w:r>
      <w:r w:rsidR="00D00063">
        <w:rPr>
          <w:rFonts w:ascii="Times New Roman" w:eastAsia="Times New Roman" w:hAnsi="Times New Roman" w:cs="Times New Roman"/>
          <w:color w:val="000000"/>
          <w:sz w:val="24"/>
          <w:szCs w:val="24"/>
        </w:rPr>
        <w:t xml:space="preserve">at least </w:t>
      </w:r>
      <w:r w:rsidR="003A2C80">
        <w:rPr>
          <w:rFonts w:ascii="Times New Roman" w:eastAsia="Times New Roman" w:hAnsi="Times New Roman" w:cs="Times New Roman"/>
          <w:color w:val="000000"/>
          <w:sz w:val="24"/>
          <w:szCs w:val="24"/>
        </w:rPr>
        <w:t>40</w:t>
      </w:r>
      <w:r w:rsidR="00684416">
        <w:rPr>
          <w:rFonts w:ascii="Times New Roman" w:eastAsia="Times New Roman" w:hAnsi="Times New Roman" w:cs="Times New Roman"/>
          <w:color w:val="000000"/>
          <w:sz w:val="24"/>
          <w:szCs w:val="24"/>
        </w:rPr>
        <w:t>%</w:t>
      </w:r>
      <w:r w:rsidR="003A2C80">
        <w:rPr>
          <w:rFonts w:ascii="Times New Roman" w:eastAsia="Times New Roman" w:hAnsi="Times New Roman" w:cs="Times New Roman"/>
          <w:color w:val="000000"/>
          <w:sz w:val="24"/>
          <w:szCs w:val="24"/>
        </w:rPr>
        <w:t xml:space="preserve"> reduction target. </w:t>
      </w:r>
    </w:p>
    <w:p w14:paraId="5FF7EA42" w14:textId="1D6EEDBD" w:rsidR="00CE78E6" w:rsidRDefault="00675E1B" w:rsidP="006E1D94">
      <w:pPr>
        <w:overflowPunct w:val="0"/>
        <w:autoSpaceDE w:val="0"/>
        <w:autoSpaceDN w:val="0"/>
        <w:adjustRightInd w:val="0"/>
        <w:spacing w:after="240" w:line="276" w:lineRule="auto"/>
        <w:jc w:val="both"/>
        <w:textAlignment w:val="baseline"/>
        <w:rPr>
          <w:rFonts w:ascii="Times New Roman" w:eastAsia="Times New Roman" w:hAnsi="Times New Roman" w:cs="Times New Roman"/>
          <w:color w:val="000000"/>
          <w:sz w:val="24"/>
          <w:szCs w:val="24"/>
        </w:rPr>
      </w:pPr>
      <w:r w:rsidRPr="009E18FF">
        <w:rPr>
          <w:rFonts w:ascii="Times New Roman" w:eastAsia="Times New Roman" w:hAnsi="Times New Roman" w:cs="Times New Roman"/>
          <w:color w:val="000000"/>
          <w:sz w:val="24"/>
          <w:szCs w:val="24"/>
        </w:rPr>
        <w:t xml:space="preserve">The latest projections from Member States, submitted after the draft NECPs, indicate that with implementation of </w:t>
      </w:r>
      <w:r w:rsidR="003A2C80" w:rsidRPr="009E18FF">
        <w:rPr>
          <w:rFonts w:ascii="Times New Roman" w:eastAsia="Times New Roman" w:hAnsi="Times New Roman" w:cs="Times New Roman"/>
          <w:color w:val="000000"/>
          <w:sz w:val="24"/>
          <w:szCs w:val="24"/>
        </w:rPr>
        <w:t>planned</w:t>
      </w:r>
      <w:r w:rsidR="00BF5162" w:rsidRPr="009E18FF">
        <w:rPr>
          <w:rFonts w:ascii="Times New Roman" w:eastAsia="Times New Roman" w:hAnsi="Times New Roman" w:cs="Times New Roman"/>
          <w:color w:val="000000"/>
          <w:sz w:val="24"/>
          <w:szCs w:val="24"/>
        </w:rPr>
        <w:t xml:space="preserve"> policies</w:t>
      </w:r>
      <w:r w:rsidR="00FB4E06" w:rsidRPr="009E18FF">
        <w:rPr>
          <w:rFonts w:ascii="Times New Roman" w:eastAsia="Times New Roman" w:hAnsi="Times New Roman" w:cs="Times New Roman"/>
          <w:color w:val="000000"/>
          <w:sz w:val="24"/>
          <w:szCs w:val="24"/>
        </w:rPr>
        <w:t>, but excluding stated ambitions</w:t>
      </w:r>
      <w:r w:rsidR="0011373B" w:rsidRPr="009E18FF">
        <w:rPr>
          <w:rFonts w:ascii="Times New Roman" w:eastAsia="Times New Roman" w:hAnsi="Times New Roman" w:cs="Times New Roman"/>
          <w:color w:val="000000"/>
          <w:sz w:val="24"/>
          <w:szCs w:val="24"/>
        </w:rPr>
        <w:t xml:space="preserve"> (targets)</w:t>
      </w:r>
      <w:r w:rsidR="00BF5162" w:rsidRPr="009E18FF">
        <w:rPr>
          <w:rFonts w:ascii="Times New Roman" w:eastAsia="Times New Roman" w:hAnsi="Times New Roman" w:cs="Times New Roman"/>
          <w:color w:val="000000"/>
          <w:sz w:val="24"/>
          <w:szCs w:val="24"/>
        </w:rPr>
        <w:t xml:space="preserve">, emissions </w:t>
      </w:r>
      <w:r w:rsidR="003A2C80" w:rsidRPr="009E18FF">
        <w:rPr>
          <w:rFonts w:ascii="Times New Roman" w:eastAsia="Times New Roman" w:hAnsi="Times New Roman" w:cs="Times New Roman"/>
          <w:color w:val="000000"/>
          <w:sz w:val="24"/>
          <w:szCs w:val="24"/>
        </w:rPr>
        <w:t>may be</w:t>
      </w:r>
      <w:r w:rsidR="00BF5162" w:rsidRPr="009E18FF">
        <w:rPr>
          <w:rFonts w:ascii="Times New Roman" w:eastAsia="Times New Roman" w:hAnsi="Times New Roman" w:cs="Times New Roman"/>
          <w:color w:val="000000"/>
          <w:sz w:val="24"/>
          <w:szCs w:val="24"/>
        </w:rPr>
        <w:t xml:space="preserve"> r</w:t>
      </w:r>
      <w:r w:rsidR="00767704" w:rsidRPr="009E18FF">
        <w:rPr>
          <w:rFonts w:ascii="Times New Roman" w:eastAsia="Times New Roman" w:hAnsi="Times New Roman" w:cs="Times New Roman"/>
          <w:color w:val="000000"/>
          <w:sz w:val="24"/>
          <w:szCs w:val="24"/>
        </w:rPr>
        <w:t xml:space="preserve">educed by </w:t>
      </w:r>
      <w:r w:rsidR="00525516" w:rsidRPr="009E18FF">
        <w:rPr>
          <w:rFonts w:ascii="Times New Roman" w:eastAsia="Times New Roman" w:hAnsi="Times New Roman" w:cs="Times New Roman"/>
          <w:color w:val="000000"/>
          <w:sz w:val="24"/>
          <w:szCs w:val="24"/>
        </w:rPr>
        <w:t>36</w:t>
      </w:r>
      <w:r w:rsidR="00684416" w:rsidRPr="009E18FF">
        <w:rPr>
          <w:rFonts w:ascii="Times New Roman" w:eastAsia="Times New Roman" w:hAnsi="Times New Roman" w:cs="Times New Roman"/>
          <w:color w:val="000000"/>
          <w:sz w:val="24"/>
          <w:szCs w:val="24"/>
        </w:rPr>
        <w:t>%</w:t>
      </w:r>
      <w:r w:rsidR="00767704" w:rsidRPr="009E18FF">
        <w:rPr>
          <w:rFonts w:ascii="Times New Roman" w:eastAsia="Times New Roman" w:hAnsi="Times New Roman" w:cs="Times New Roman"/>
          <w:color w:val="000000"/>
          <w:sz w:val="24"/>
          <w:szCs w:val="24"/>
        </w:rPr>
        <w:t xml:space="preserve"> in 2030. </w:t>
      </w:r>
      <w:r w:rsidR="00525516" w:rsidRPr="009E18FF">
        <w:rPr>
          <w:rFonts w:ascii="Times New Roman" w:eastAsia="Times New Roman" w:hAnsi="Times New Roman" w:cs="Times New Roman"/>
          <w:color w:val="000000"/>
          <w:sz w:val="24"/>
          <w:szCs w:val="24"/>
        </w:rPr>
        <w:t xml:space="preserve">This estimate is somewhat lower than the assessment of the draft NECPs. The main reasons for the difference are that the assessment of the draft NECPs takes into account the national targets expressed by Germany and the Netherlands in their draft NECPs and that Poland presented projections with planned measures in </w:t>
      </w:r>
      <w:r w:rsidR="00E809A6" w:rsidRPr="009E18FF">
        <w:rPr>
          <w:rFonts w:ascii="Times New Roman" w:eastAsia="Times New Roman" w:hAnsi="Times New Roman" w:cs="Times New Roman"/>
          <w:color w:val="000000"/>
          <w:sz w:val="24"/>
          <w:szCs w:val="24"/>
        </w:rPr>
        <w:t>its draft NECP</w:t>
      </w:r>
      <w:r w:rsidR="00525516" w:rsidRPr="009E18FF">
        <w:rPr>
          <w:rFonts w:ascii="Times New Roman" w:eastAsia="Times New Roman" w:hAnsi="Times New Roman" w:cs="Times New Roman"/>
          <w:color w:val="000000"/>
          <w:sz w:val="24"/>
          <w:szCs w:val="24"/>
        </w:rPr>
        <w:t>, but did not submit these as part of the reporting</w:t>
      </w:r>
      <w:r w:rsidR="00D00063">
        <w:rPr>
          <w:rFonts w:ascii="Times New Roman" w:eastAsia="Times New Roman" w:hAnsi="Times New Roman" w:cs="Times New Roman"/>
          <w:color w:val="000000"/>
          <w:sz w:val="24"/>
          <w:szCs w:val="24"/>
        </w:rPr>
        <w:t xml:space="preserve"> exercise</w:t>
      </w:r>
      <w:r w:rsidR="00525516" w:rsidRPr="009E18FF">
        <w:rPr>
          <w:rFonts w:ascii="Times New Roman" w:eastAsia="Times New Roman" w:hAnsi="Times New Roman" w:cs="Times New Roman"/>
          <w:color w:val="000000"/>
          <w:sz w:val="24"/>
          <w:szCs w:val="24"/>
        </w:rPr>
        <w:t xml:space="preserve"> on projections in 2019.</w:t>
      </w:r>
    </w:p>
    <w:p w14:paraId="71EF297C" w14:textId="77777777" w:rsidR="004C23CE" w:rsidRDefault="004C23CE" w:rsidP="006E1D94">
      <w:pPr>
        <w:overflowPunct w:val="0"/>
        <w:autoSpaceDE w:val="0"/>
        <w:autoSpaceDN w:val="0"/>
        <w:adjustRightInd w:val="0"/>
        <w:spacing w:after="240" w:line="276" w:lineRule="auto"/>
        <w:jc w:val="both"/>
        <w:textAlignment w:val="baseline"/>
        <w:rPr>
          <w:rFonts w:ascii="Times New Roman" w:eastAsia="Times New Roman" w:hAnsi="Times New Roman" w:cs="Times New Roman"/>
          <w:color w:val="000000"/>
          <w:sz w:val="24"/>
          <w:szCs w:val="24"/>
        </w:rPr>
      </w:pPr>
    </w:p>
    <w:p w14:paraId="7A2618DD" w14:textId="6ADA2809" w:rsidR="00CE78E6" w:rsidRPr="00446D1E" w:rsidRDefault="00CE78E6" w:rsidP="00446D1E">
      <w:pPr>
        <w:pStyle w:val="Heading1"/>
        <w:spacing w:after="240"/>
        <w:ind w:left="714" w:hanging="357"/>
        <w:jc w:val="both"/>
      </w:pPr>
      <w:r>
        <w:t>EMISSIONS IN THE EU EMISSIONS TRADING SYSTEM (EU ETS)</w:t>
      </w:r>
    </w:p>
    <w:p w14:paraId="04C61ACA" w14:textId="70514DE4" w:rsidR="00CE78E6" w:rsidRPr="00CA7B35" w:rsidRDefault="00CE78E6" w:rsidP="00CE78E6">
      <w:pPr>
        <w:jc w:val="both"/>
        <w:rPr>
          <w:rFonts w:ascii="Times New Roman" w:hAnsi="Times New Roman" w:cs="Times New Roman"/>
          <w:sz w:val="24"/>
        </w:rPr>
      </w:pPr>
      <w:r w:rsidRPr="00CA7B35">
        <w:rPr>
          <w:rFonts w:ascii="Times New Roman" w:hAnsi="Times New Roman" w:cs="Times New Roman"/>
          <w:sz w:val="24"/>
        </w:rPr>
        <w:t xml:space="preserve">The EU emissions trading system (EU ETS) covers </w:t>
      </w:r>
      <w:r>
        <w:rPr>
          <w:rFonts w:ascii="Times New Roman" w:hAnsi="Times New Roman" w:cs="Times New Roman"/>
          <w:sz w:val="24"/>
        </w:rPr>
        <w:t xml:space="preserve">emissions from </w:t>
      </w:r>
      <w:r w:rsidRPr="00CA7B35">
        <w:rPr>
          <w:rFonts w:ascii="Times New Roman" w:hAnsi="Times New Roman" w:cs="Times New Roman"/>
          <w:sz w:val="24"/>
        </w:rPr>
        <w:t xml:space="preserve">approximately 11 000 power stations and manufacturing plants, and aviation within and between the participating countries. </w:t>
      </w:r>
    </w:p>
    <w:p w14:paraId="3EFE708E" w14:textId="64A108B7" w:rsidR="00CE78E6" w:rsidRDefault="00CE78E6" w:rsidP="00CE78E6">
      <w:pPr>
        <w:jc w:val="both"/>
        <w:rPr>
          <w:rFonts w:ascii="Times New Roman" w:hAnsi="Times New Roman"/>
          <w:noProof/>
          <w:sz w:val="24"/>
          <w:szCs w:val="24"/>
        </w:rPr>
      </w:pPr>
      <w:r w:rsidRPr="001D33E9">
        <w:rPr>
          <w:rFonts w:ascii="Times New Roman" w:hAnsi="Times New Roman"/>
          <w:noProof/>
          <w:sz w:val="24"/>
          <w:szCs w:val="24"/>
        </w:rPr>
        <w:t xml:space="preserve">In 2018, emissions from </w:t>
      </w:r>
      <w:r>
        <w:rPr>
          <w:rFonts w:ascii="Times New Roman" w:hAnsi="Times New Roman"/>
          <w:noProof/>
          <w:sz w:val="24"/>
          <w:szCs w:val="24"/>
        </w:rPr>
        <w:t xml:space="preserve">stationary </w:t>
      </w:r>
      <w:r w:rsidRPr="001D33E9">
        <w:rPr>
          <w:rFonts w:ascii="Times New Roman" w:hAnsi="Times New Roman"/>
          <w:noProof/>
          <w:sz w:val="24"/>
          <w:szCs w:val="24"/>
        </w:rPr>
        <w:t>installations participating in the EU ETS are estimated to have decreased by 4.1% compared to 2017</w:t>
      </w:r>
      <w:r w:rsidR="00E809A6">
        <w:rPr>
          <w:rFonts w:ascii="Times New Roman" w:hAnsi="Times New Roman"/>
          <w:noProof/>
          <w:sz w:val="24"/>
          <w:szCs w:val="24"/>
        </w:rPr>
        <w:t>,</w:t>
      </w:r>
      <w:r w:rsidRPr="001D33E9">
        <w:rPr>
          <w:rFonts w:ascii="Times New Roman" w:hAnsi="Times New Roman"/>
          <w:noProof/>
          <w:sz w:val="24"/>
          <w:szCs w:val="24"/>
        </w:rPr>
        <w:t xml:space="preserve"> based on the information recorded in the Union Registry. </w:t>
      </w:r>
      <w:r>
        <w:rPr>
          <w:rFonts w:ascii="Times New Roman" w:hAnsi="Times New Roman"/>
          <w:noProof/>
          <w:sz w:val="24"/>
          <w:szCs w:val="24"/>
        </w:rPr>
        <w:t>T</w:t>
      </w:r>
      <w:r w:rsidRPr="001D33E9">
        <w:rPr>
          <w:rFonts w:ascii="Times New Roman" w:hAnsi="Times New Roman"/>
          <w:noProof/>
          <w:sz w:val="24"/>
          <w:szCs w:val="24"/>
        </w:rPr>
        <w:t xml:space="preserve">he decrease in emissions was mainly driven by the power sector, whereas emissions from industry decreased slightly. </w:t>
      </w:r>
    </w:p>
    <w:p w14:paraId="4230C1C4" w14:textId="77777777" w:rsidR="00CE78E6" w:rsidRDefault="00CE78E6" w:rsidP="00CE78E6">
      <w:pPr>
        <w:jc w:val="both"/>
        <w:rPr>
          <w:rFonts w:ascii="Times New Roman" w:hAnsi="Times New Roman"/>
          <w:noProof/>
          <w:sz w:val="24"/>
          <w:szCs w:val="24"/>
        </w:rPr>
      </w:pPr>
      <w:r w:rsidRPr="00C269C8">
        <w:rPr>
          <w:rFonts w:ascii="Times New Roman" w:hAnsi="Times New Roman"/>
          <w:noProof/>
          <w:sz w:val="24"/>
          <w:szCs w:val="24"/>
        </w:rPr>
        <w:t>With regard to developments in aviation emissions, verified emissions continued to grow and amounted to 67 million tonnes of CO</w:t>
      </w:r>
      <w:r w:rsidRPr="00C269C8">
        <w:rPr>
          <w:rFonts w:ascii="Times New Roman" w:hAnsi="Times New Roman"/>
          <w:noProof/>
          <w:sz w:val="24"/>
          <w:szCs w:val="24"/>
          <w:vertAlign w:val="subscript"/>
        </w:rPr>
        <w:t>2</w:t>
      </w:r>
      <w:r w:rsidRPr="00C269C8">
        <w:rPr>
          <w:rFonts w:ascii="Times New Roman" w:hAnsi="Times New Roman"/>
          <w:noProof/>
          <w:sz w:val="24"/>
          <w:szCs w:val="24"/>
        </w:rPr>
        <w:t xml:space="preserve"> in 2018, an increase of 4% compared to 2017.</w:t>
      </w:r>
    </w:p>
    <w:p w14:paraId="329D014F" w14:textId="22678F8E" w:rsidR="00CE78E6" w:rsidRPr="001D33E9" w:rsidRDefault="00CE78E6" w:rsidP="00CE78E6">
      <w:pPr>
        <w:jc w:val="both"/>
        <w:rPr>
          <w:noProof/>
          <w:highlight w:val="yellow"/>
        </w:rPr>
      </w:pPr>
      <w:r>
        <w:rPr>
          <w:rFonts w:ascii="Times New Roman" w:hAnsi="Times New Roman"/>
          <w:noProof/>
          <w:sz w:val="24"/>
          <w:szCs w:val="24"/>
        </w:rPr>
        <w:t xml:space="preserve">Figure </w:t>
      </w:r>
      <w:r w:rsidR="00D25DC5">
        <w:rPr>
          <w:rFonts w:ascii="Times New Roman" w:hAnsi="Times New Roman"/>
          <w:noProof/>
          <w:sz w:val="24"/>
          <w:szCs w:val="24"/>
        </w:rPr>
        <w:t>4</w:t>
      </w:r>
      <w:r>
        <w:rPr>
          <w:rFonts w:ascii="Times New Roman" w:hAnsi="Times New Roman"/>
          <w:noProof/>
          <w:sz w:val="24"/>
          <w:szCs w:val="24"/>
        </w:rPr>
        <w:t xml:space="preserve"> shows the historical and projected development in ETS emissions, together with the cap and the accumulated surplus of ETS allowances. </w:t>
      </w:r>
    </w:p>
    <w:p w14:paraId="4C48005A" w14:textId="6321EC1E" w:rsidR="00CE78E6" w:rsidRDefault="00525516" w:rsidP="00CE78E6">
      <w:pPr>
        <w:jc w:val="both"/>
        <w:rPr>
          <w:rFonts w:ascii="Times New Roman" w:hAnsi="Times New Roman"/>
          <w:noProof/>
          <w:sz w:val="24"/>
          <w:szCs w:val="24"/>
        </w:rPr>
      </w:pPr>
      <w:r>
        <w:rPr>
          <w:noProof/>
          <w:lang w:eastAsia="en-GB"/>
        </w:rPr>
        <w:drawing>
          <wp:inline distT="0" distB="0" distL="0" distR="0" wp14:anchorId="276C2646" wp14:editId="28DC9689">
            <wp:extent cx="5731510" cy="3418840"/>
            <wp:effectExtent l="0" t="0" r="2540" b="101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424F92" w14:textId="64980470" w:rsidR="00CE78E6" w:rsidRDefault="00D25DC5" w:rsidP="006E1D94">
      <w:pPr>
        <w:pStyle w:val="Caption"/>
        <w:rPr>
          <w:rFonts w:ascii="Times New Roman" w:hAnsi="Times New Roman"/>
          <w:noProof/>
          <w:sz w:val="24"/>
          <w:szCs w:val="24"/>
        </w:rPr>
      </w:pPr>
      <w:r>
        <w:t xml:space="preserve">Figure </w:t>
      </w:r>
      <w:fldSimple w:instr=" SEQ Figure \* ARABIC ">
        <w:r w:rsidR="006E3709">
          <w:rPr>
            <w:noProof/>
          </w:rPr>
          <w:t>4</w:t>
        </w:r>
      </w:fldSimple>
      <w:r w:rsidR="00CE78E6">
        <w:t>: Verified ETS emissions 2005-2018, Member States projections with existing measures 2019-2030, ETS cap phases 2, 3 and 4, and accumulated surplus of ETS allowances 2008-2018. Mt CO</w:t>
      </w:r>
      <w:r w:rsidR="00CE78E6" w:rsidRPr="00E04ACD">
        <w:rPr>
          <w:vertAlign w:val="subscript"/>
        </w:rPr>
        <w:t>2</w:t>
      </w:r>
      <w:r w:rsidR="00CE78E6">
        <w:t>-eq</w:t>
      </w:r>
      <w:r w:rsidR="00CE78E6">
        <w:rPr>
          <w:rStyle w:val="FootnoteReference"/>
        </w:rPr>
        <w:footnoteReference w:id="8"/>
      </w:r>
    </w:p>
    <w:p w14:paraId="67F34377" w14:textId="3C34F4E1" w:rsidR="00CE78E6" w:rsidRPr="001D33E9" w:rsidRDefault="00CE78E6" w:rsidP="00CE78E6">
      <w:pPr>
        <w:jc w:val="both"/>
        <w:rPr>
          <w:rFonts w:ascii="Times New Roman" w:hAnsi="Times New Roman"/>
          <w:noProof/>
          <w:sz w:val="24"/>
          <w:szCs w:val="24"/>
        </w:rPr>
      </w:pPr>
      <w:r w:rsidRPr="001D33E9">
        <w:rPr>
          <w:rFonts w:ascii="Times New Roman" w:hAnsi="Times New Roman"/>
          <w:noProof/>
          <w:sz w:val="24"/>
          <w:szCs w:val="24"/>
        </w:rPr>
        <w:t xml:space="preserve">As of </w:t>
      </w:r>
      <w:r w:rsidR="001C1F85">
        <w:rPr>
          <w:rFonts w:ascii="Times New Roman" w:hAnsi="Times New Roman"/>
          <w:noProof/>
          <w:sz w:val="24"/>
          <w:szCs w:val="24"/>
        </w:rPr>
        <w:t xml:space="preserve">the </w:t>
      </w:r>
      <w:r w:rsidRPr="001D33E9">
        <w:rPr>
          <w:rFonts w:ascii="Times New Roman" w:hAnsi="Times New Roman"/>
          <w:noProof/>
          <w:sz w:val="24"/>
          <w:szCs w:val="24"/>
        </w:rPr>
        <w:t xml:space="preserve">end </w:t>
      </w:r>
      <w:r>
        <w:rPr>
          <w:rFonts w:ascii="Times New Roman" w:hAnsi="Times New Roman"/>
          <w:noProof/>
          <w:sz w:val="24"/>
          <w:szCs w:val="24"/>
        </w:rPr>
        <w:t xml:space="preserve">of </w:t>
      </w:r>
      <w:r w:rsidRPr="001D33E9">
        <w:rPr>
          <w:rFonts w:ascii="Times New Roman" w:hAnsi="Times New Roman"/>
          <w:noProof/>
          <w:sz w:val="24"/>
          <w:szCs w:val="24"/>
        </w:rPr>
        <w:t>June 2019, the total number of international credits used or exchanged amounts to around 1.51 billion, accounting for over 90% of the estimate for the allowed maximum of 1.6 billion. In phase 3 alone</w:t>
      </w:r>
      <w:r>
        <w:rPr>
          <w:rFonts w:ascii="Times New Roman" w:hAnsi="Times New Roman"/>
          <w:noProof/>
          <w:sz w:val="24"/>
          <w:szCs w:val="24"/>
        </w:rPr>
        <w:t xml:space="preserve"> (2013-2020)</w:t>
      </w:r>
      <w:r w:rsidRPr="001D33E9">
        <w:rPr>
          <w:rFonts w:ascii="Times New Roman" w:hAnsi="Times New Roman"/>
          <w:noProof/>
          <w:sz w:val="24"/>
          <w:szCs w:val="24"/>
        </w:rPr>
        <w:t xml:space="preserve">, 453.49 million international credits </w:t>
      </w:r>
      <w:r w:rsidR="001C1F85">
        <w:rPr>
          <w:rFonts w:ascii="Times New Roman" w:hAnsi="Times New Roman"/>
          <w:noProof/>
          <w:sz w:val="24"/>
          <w:szCs w:val="24"/>
        </w:rPr>
        <w:t>were</w:t>
      </w:r>
      <w:r w:rsidRPr="001D33E9">
        <w:rPr>
          <w:rFonts w:ascii="Times New Roman" w:hAnsi="Times New Roman"/>
          <w:noProof/>
          <w:sz w:val="24"/>
          <w:szCs w:val="24"/>
        </w:rPr>
        <w:t xml:space="preserve"> exchanged </w:t>
      </w:r>
      <w:r w:rsidR="001C1F85">
        <w:rPr>
          <w:rFonts w:ascii="Times New Roman" w:hAnsi="Times New Roman"/>
          <w:noProof/>
          <w:sz w:val="24"/>
          <w:szCs w:val="24"/>
        </w:rPr>
        <w:t>until</w:t>
      </w:r>
      <w:r w:rsidRPr="001D33E9">
        <w:rPr>
          <w:rFonts w:ascii="Times New Roman" w:hAnsi="Times New Roman"/>
          <w:noProof/>
          <w:sz w:val="24"/>
          <w:szCs w:val="24"/>
        </w:rPr>
        <w:t xml:space="preserve"> the end of June 2019.</w:t>
      </w:r>
    </w:p>
    <w:p w14:paraId="7A702B9B" w14:textId="1C1A4EFA" w:rsidR="00CE78E6" w:rsidRDefault="00CE78E6" w:rsidP="00CE78E6">
      <w:pPr>
        <w:jc w:val="both"/>
        <w:rPr>
          <w:rFonts w:ascii="Times New Roman" w:hAnsi="Times New Roman"/>
          <w:noProof/>
          <w:sz w:val="24"/>
          <w:szCs w:val="24"/>
        </w:rPr>
      </w:pPr>
      <w:r w:rsidRPr="001D33E9">
        <w:rPr>
          <w:rFonts w:ascii="Times New Roman" w:hAnsi="Times New Roman"/>
          <w:noProof/>
          <w:sz w:val="24"/>
          <w:szCs w:val="24"/>
        </w:rPr>
        <w:t xml:space="preserve">In </w:t>
      </w:r>
      <w:r w:rsidR="001C1F85" w:rsidRPr="001D33E9">
        <w:rPr>
          <w:rFonts w:ascii="Times New Roman" w:hAnsi="Times New Roman"/>
          <w:noProof/>
          <w:sz w:val="24"/>
          <w:szCs w:val="24"/>
        </w:rPr>
        <w:t>prepar</w:t>
      </w:r>
      <w:r w:rsidR="001C1F85">
        <w:rPr>
          <w:rFonts w:ascii="Times New Roman" w:hAnsi="Times New Roman"/>
          <w:noProof/>
          <w:sz w:val="24"/>
          <w:szCs w:val="24"/>
        </w:rPr>
        <w:t>ing</w:t>
      </w:r>
      <w:r w:rsidR="001C1F85" w:rsidRPr="001D33E9">
        <w:rPr>
          <w:rFonts w:ascii="Times New Roman" w:hAnsi="Times New Roman"/>
          <w:noProof/>
          <w:sz w:val="24"/>
          <w:szCs w:val="24"/>
        </w:rPr>
        <w:t xml:space="preserve"> </w:t>
      </w:r>
      <w:r w:rsidRPr="001D33E9">
        <w:rPr>
          <w:rFonts w:ascii="Times New Roman" w:hAnsi="Times New Roman"/>
          <w:noProof/>
          <w:sz w:val="24"/>
          <w:szCs w:val="24"/>
        </w:rPr>
        <w:t xml:space="preserve">for the Market Stability Reserve </w:t>
      </w:r>
      <w:r w:rsidR="001C1F85">
        <w:rPr>
          <w:rFonts w:ascii="Times New Roman" w:hAnsi="Times New Roman"/>
          <w:noProof/>
          <w:sz w:val="24"/>
          <w:szCs w:val="24"/>
        </w:rPr>
        <w:t xml:space="preserve">to </w:t>
      </w:r>
      <w:r w:rsidRPr="001D33E9">
        <w:rPr>
          <w:rFonts w:ascii="Times New Roman" w:hAnsi="Times New Roman"/>
          <w:noProof/>
          <w:sz w:val="24"/>
          <w:szCs w:val="24"/>
        </w:rPr>
        <w:t>becom</w:t>
      </w:r>
      <w:r w:rsidR="001C1F85">
        <w:rPr>
          <w:rFonts w:ascii="Times New Roman" w:hAnsi="Times New Roman"/>
          <w:noProof/>
          <w:sz w:val="24"/>
          <w:szCs w:val="24"/>
        </w:rPr>
        <w:t>e</w:t>
      </w:r>
      <w:r w:rsidRPr="001D33E9">
        <w:rPr>
          <w:rFonts w:ascii="Times New Roman" w:hAnsi="Times New Roman"/>
          <w:noProof/>
          <w:sz w:val="24"/>
          <w:szCs w:val="24"/>
        </w:rPr>
        <w:t xml:space="preserve"> operational in 2019, the Commission has </w:t>
      </w:r>
      <w:r w:rsidR="001C1F85">
        <w:rPr>
          <w:rFonts w:ascii="Times New Roman" w:hAnsi="Times New Roman"/>
          <w:noProof/>
          <w:sz w:val="24"/>
          <w:szCs w:val="24"/>
        </w:rPr>
        <w:t>systematically</w:t>
      </w:r>
      <w:r w:rsidR="001C1F85" w:rsidRPr="001D33E9">
        <w:rPr>
          <w:rFonts w:ascii="Times New Roman" w:hAnsi="Times New Roman"/>
          <w:noProof/>
          <w:sz w:val="24"/>
          <w:szCs w:val="24"/>
        </w:rPr>
        <w:t xml:space="preserve"> </w:t>
      </w:r>
      <w:r w:rsidR="001C1F85">
        <w:rPr>
          <w:rFonts w:ascii="Times New Roman" w:hAnsi="Times New Roman"/>
          <w:noProof/>
          <w:sz w:val="24"/>
          <w:szCs w:val="24"/>
        </w:rPr>
        <w:t xml:space="preserve">been </w:t>
      </w:r>
      <w:r w:rsidRPr="001D33E9">
        <w:rPr>
          <w:rFonts w:ascii="Times New Roman" w:hAnsi="Times New Roman"/>
          <w:noProof/>
          <w:sz w:val="24"/>
          <w:szCs w:val="24"/>
        </w:rPr>
        <w:t>publish</w:t>
      </w:r>
      <w:r w:rsidR="001C1F85">
        <w:rPr>
          <w:rFonts w:ascii="Times New Roman" w:hAnsi="Times New Roman"/>
          <w:noProof/>
          <w:sz w:val="24"/>
          <w:szCs w:val="24"/>
        </w:rPr>
        <w:t>ing</w:t>
      </w:r>
      <w:r w:rsidRPr="001D33E9">
        <w:rPr>
          <w:rFonts w:ascii="Times New Roman" w:hAnsi="Times New Roman"/>
          <w:noProof/>
          <w:sz w:val="24"/>
          <w:szCs w:val="24"/>
        </w:rPr>
        <w:t xml:space="preserve"> as from mid-May 2017 the surplus</w:t>
      </w:r>
      <w:r w:rsidR="001C1F85">
        <w:rPr>
          <w:rFonts w:ascii="Times New Roman" w:hAnsi="Times New Roman"/>
          <w:noProof/>
          <w:sz w:val="24"/>
          <w:szCs w:val="24"/>
        </w:rPr>
        <w:t xml:space="preserve"> figures</w:t>
      </w:r>
      <w:r w:rsidR="008C7B9C">
        <w:rPr>
          <w:rStyle w:val="FootnoteReference"/>
          <w:rFonts w:ascii="Times New Roman" w:hAnsi="Times New Roman"/>
          <w:noProof/>
          <w:sz w:val="24"/>
          <w:szCs w:val="24"/>
        </w:rPr>
        <w:footnoteReference w:id="9"/>
      </w:r>
      <w:r w:rsidRPr="001D33E9">
        <w:rPr>
          <w:rFonts w:ascii="Times New Roman" w:hAnsi="Times New Roman"/>
          <w:noProof/>
          <w:sz w:val="24"/>
          <w:szCs w:val="24"/>
        </w:rPr>
        <w:t xml:space="preserve"> for the preceding year</w:t>
      </w:r>
      <w:r w:rsidR="001C1F85">
        <w:rPr>
          <w:rFonts w:ascii="Times New Roman" w:hAnsi="Times New Roman"/>
          <w:noProof/>
          <w:sz w:val="24"/>
          <w:szCs w:val="24"/>
        </w:rPr>
        <w:t>s</w:t>
      </w:r>
      <w:r w:rsidRPr="001D33E9">
        <w:rPr>
          <w:rFonts w:ascii="Times New Roman" w:hAnsi="Times New Roman"/>
          <w:noProof/>
          <w:sz w:val="24"/>
          <w:szCs w:val="24"/>
        </w:rPr>
        <w:t>. In May 2019, the surplus was published for the third time, corresponding to</w:t>
      </w:r>
      <w:r>
        <w:rPr>
          <w:rFonts w:ascii="Times New Roman" w:hAnsi="Times New Roman"/>
          <w:noProof/>
          <w:sz w:val="24"/>
          <w:szCs w:val="24"/>
        </w:rPr>
        <w:t xml:space="preserve"> ca. 1.65 billion</w:t>
      </w:r>
      <w:r w:rsidRPr="001D33E9">
        <w:rPr>
          <w:rFonts w:ascii="Times New Roman" w:hAnsi="Times New Roman"/>
          <w:noProof/>
          <w:sz w:val="24"/>
          <w:szCs w:val="24"/>
        </w:rPr>
        <w:t xml:space="preserve"> allowances</w:t>
      </w:r>
      <w:r w:rsidRPr="00DB0B0F">
        <w:rPr>
          <w:noProof/>
          <w:vertAlign w:val="superscript"/>
        </w:rPr>
        <w:footnoteReference w:id="10"/>
      </w:r>
      <w:r w:rsidRPr="001D33E9">
        <w:rPr>
          <w:rFonts w:ascii="Times New Roman" w:hAnsi="Times New Roman"/>
          <w:noProof/>
          <w:sz w:val="24"/>
          <w:szCs w:val="24"/>
        </w:rPr>
        <w:t xml:space="preserve">. On the basis of the 2018 surplus and the revised EU ETS legislation for the system’s fourth trading period (2021-2030), the auction volumes from September to December 2019, and from January to August 2020 will be reduced by close to 397 million allowances, or 24% of the surplus. </w:t>
      </w:r>
    </w:p>
    <w:p w14:paraId="45CB2451" w14:textId="126D1481" w:rsidR="0030411A" w:rsidRDefault="0030411A" w:rsidP="00CE78E6">
      <w:pPr>
        <w:jc w:val="both"/>
        <w:rPr>
          <w:rFonts w:ascii="Times New Roman" w:hAnsi="Times New Roman"/>
          <w:noProof/>
          <w:sz w:val="24"/>
          <w:szCs w:val="24"/>
        </w:rPr>
      </w:pPr>
      <w:r>
        <w:rPr>
          <w:rFonts w:ascii="Times New Roman" w:hAnsi="Times New Roman"/>
          <w:noProof/>
          <w:sz w:val="24"/>
          <w:szCs w:val="24"/>
          <w:lang w:eastAsia="en-GB"/>
        </w:rPr>
        <mc:AlternateContent>
          <mc:Choice Requires="wps">
            <w:drawing>
              <wp:inline distT="0" distB="0" distL="0" distR="0" wp14:anchorId="7DB85AA6" wp14:editId="2EF67092">
                <wp:extent cx="5701145" cy="4595751"/>
                <wp:effectExtent l="0" t="0" r="13970" b="14605"/>
                <wp:docPr id="3" name="Text Box 3"/>
                <wp:cNvGraphicFramePr/>
                <a:graphic xmlns:a="http://schemas.openxmlformats.org/drawingml/2006/main">
                  <a:graphicData uri="http://schemas.microsoft.com/office/word/2010/wordprocessingShape">
                    <wps:wsp>
                      <wps:cNvSpPr txBox="1"/>
                      <wps:spPr>
                        <a:xfrm>
                          <a:off x="0" y="0"/>
                          <a:ext cx="5701145" cy="4595751"/>
                        </a:xfrm>
                        <a:prstGeom prst="rect">
                          <a:avLst/>
                        </a:prstGeom>
                        <a:solidFill>
                          <a:schemeClr val="lt1"/>
                        </a:solidFill>
                        <a:ln w="6350">
                          <a:solidFill>
                            <a:prstClr val="black"/>
                          </a:solidFill>
                        </a:ln>
                      </wps:spPr>
                      <wps:txbx>
                        <w:txbxContent>
                          <w:p w14:paraId="0352D809" w14:textId="7CB379B4" w:rsidR="0030411A" w:rsidRPr="000B795E" w:rsidRDefault="0030411A" w:rsidP="0030411A">
                            <w:pPr>
                              <w:spacing w:line="240" w:lineRule="auto"/>
                              <w:rPr>
                                <w:rFonts w:ascii="Times New Roman" w:eastAsia="Times New Roman" w:hAnsi="Times New Roman" w:cs="Times New Roman"/>
                                <w:sz w:val="24"/>
                                <w:szCs w:val="24"/>
                              </w:rPr>
                            </w:pPr>
                            <w:r w:rsidRPr="000B795E">
                              <w:rPr>
                                <w:rFonts w:ascii="Times New Roman" w:eastAsia="Times New Roman" w:hAnsi="Times New Roman" w:cs="Times New Roman"/>
                                <w:b/>
                                <w:bCs/>
                                <w:sz w:val="24"/>
                                <w:szCs w:val="24"/>
                              </w:rPr>
                              <w:t>LIFE15 OPTIMELT</w:t>
                            </w:r>
                            <w:r w:rsidR="00CE5A68">
                              <w:rPr>
                                <w:rFonts w:ascii="Times New Roman" w:eastAsia="Times New Roman" w:hAnsi="Times New Roman" w:cs="Times New Roman"/>
                                <w:b/>
                                <w:bCs/>
                                <w:sz w:val="24"/>
                                <w:szCs w:val="24"/>
                              </w:rPr>
                              <w:t>*</w:t>
                            </w:r>
                            <w:r w:rsidRPr="000B795E">
                              <w:rPr>
                                <w:rFonts w:ascii="Times New Roman" w:eastAsia="Times New Roman" w:hAnsi="Times New Roman" w:cs="Times New Roman"/>
                                <w:sz w:val="24"/>
                                <w:szCs w:val="24"/>
                              </w:rPr>
                              <w:t xml:space="preserve"> - Demonstration of thermochemical reforming of natural gas for reducing GHG emissions in </w:t>
                            </w:r>
                            <w:r w:rsidR="00E809A6">
                              <w:rPr>
                                <w:rFonts w:ascii="Times New Roman" w:eastAsia="Times New Roman" w:hAnsi="Times New Roman" w:cs="Times New Roman"/>
                                <w:sz w:val="24"/>
                                <w:szCs w:val="24"/>
                              </w:rPr>
                              <w:t>e</w:t>
                            </w:r>
                            <w:r w:rsidRPr="000B795E">
                              <w:rPr>
                                <w:rFonts w:ascii="Times New Roman" w:eastAsia="Times New Roman" w:hAnsi="Times New Roman" w:cs="Times New Roman"/>
                                <w:sz w:val="24"/>
                                <w:szCs w:val="24"/>
                              </w:rPr>
                              <w:t xml:space="preserve">nergy </w:t>
                            </w:r>
                            <w:r w:rsidR="00E809A6">
                              <w:rPr>
                                <w:rFonts w:ascii="Times New Roman" w:eastAsia="Times New Roman" w:hAnsi="Times New Roman" w:cs="Times New Roman"/>
                                <w:sz w:val="24"/>
                                <w:szCs w:val="24"/>
                              </w:rPr>
                              <w:t>i</w:t>
                            </w:r>
                            <w:r w:rsidRPr="000B795E">
                              <w:rPr>
                                <w:rFonts w:ascii="Times New Roman" w:eastAsia="Times New Roman" w:hAnsi="Times New Roman" w:cs="Times New Roman"/>
                                <w:sz w:val="24"/>
                                <w:szCs w:val="24"/>
                              </w:rPr>
                              <w:t xml:space="preserve">ntensive </w:t>
                            </w:r>
                            <w:r w:rsidR="00E809A6">
                              <w:rPr>
                                <w:rFonts w:ascii="Times New Roman" w:eastAsia="Times New Roman" w:hAnsi="Times New Roman" w:cs="Times New Roman"/>
                                <w:sz w:val="24"/>
                                <w:szCs w:val="24"/>
                              </w:rPr>
                              <w:t>i</w:t>
                            </w:r>
                            <w:r w:rsidRPr="000B795E">
                              <w:rPr>
                                <w:rFonts w:ascii="Times New Roman" w:eastAsia="Times New Roman" w:hAnsi="Times New Roman" w:cs="Times New Roman"/>
                                <w:sz w:val="24"/>
                                <w:szCs w:val="24"/>
                              </w:rPr>
                              <w:t xml:space="preserve">ndustries – glass industry. </w:t>
                            </w:r>
                          </w:p>
                          <w:p w14:paraId="1C367ADB" w14:textId="3EA1C2B0" w:rsidR="0030411A" w:rsidRPr="000B795E" w:rsidRDefault="0030411A" w:rsidP="0030411A">
                            <w:pPr>
                              <w:jc w:val="both"/>
                              <w:rPr>
                                <w:rFonts w:ascii="Times New Roman" w:eastAsia="Times New Roman" w:hAnsi="Times New Roman" w:cs="Times New Roman"/>
                                <w:sz w:val="24"/>
                                <w:szCs w:val="24"/>
                              </w:rPr>
                            </w:pPr>
                            <w:r w:rsidRPr="000B795E">
                              <w:rPr>
                                <w:rFonts w:ascii="Times New Roman" w:eastAsia="Times New Roman" w:hAnsi="Times New Roman" w:cs="Times New Roman"/>
                                <w:sz w:val="24"/>
                                <w:szCs w:val="24"/>
                              </w:rPr>
                              <w:t>The project carries out the first full-scale demonstration of an innovative waste</w:t>
                            </w:r>
                            <w:r w:rsidR="00CE5A68">
                              <w:rPr>
                                <w:rFonts w:ascii="Times New Roman" w:eastAsia="Times New Roman" w:hAnsi="Times New Roman" w:cs="Times New Roman"/>
                                <w:sz w:val="24"/>
                                <w:szCs w:val="24"/>
                              </w:rPr>
                              <w:t>-</w:t>
                            </w:r>
                            <w:r w:rsidRPr="000B795E">
                              <w:rPr>
                                <w:rFonts w:ascii="Times New Roman" w:eastAsia="Times New Roman" w:hAnsi="Times New Roman" w:cs="Times New Roman"/>
                                <w:sz w:val="24"/>
                                <w:szCs w:val="24"/>
                              </w:rPr>
                              <w:t>heat recovery concept. The technology, called OPTIMELT, is able to use an endothermic reaction of natural gas with water vapour/CO</w:t>
                            </w:r>
                            <w:r w:rsidRPr="00E809A6">
                              <w:rPr>
                                <w:rFonts w:ascii="Times New Roman" w:eastAsia="Times New Roman" w:hAnsi="Times New Roman" w:cs="Times New Roman"/>
                                <w:sz w:val="24"/>
                                <w:szCs w:val="24"/>
                                <w:vertAlign w:val="subscript"/>
                              </w:rPr>
                              <w:t>2</w:t>
                            </w:r>
                            <w:r w:rsidRPr="000B795E">
                              <w:rPr>
                                <w:rFonts w:ascii="Times New Roman" w:eastAsia="Times New Roman" w:hAnsi="Times New Roman" w:cs="Times New Roman"/>
                                <w:sz w:val="24"/>
                                <w:szCs w:val="24"/>
                              </w:rPr>
                              <w:t xml:space="preserve"> in the flue gas to recover more heat than previously possible in high-temperature manufacturing processes.</w:t>
                            </w:r>
                          </w:p>
                          <w:p w14:paraId="7113F621" w14:textId="77777777" w:rsidR="0030411A" w:rsidRDefault="0030411A" w:rsidP="0030411A">
                            <w:pPr>
                              <w:jc w:val="both"/>
                              <w:rPr>
                                <w:rFonts w:ascii="Times New Roman" w:eastAsia="Times New Roman" w:hAnsi="Times New Roman" w:cs="Times New Roman"/>
                                <w:sz w:val="24"/>
                                <w:szCs w:val="24"/>
                              </w:rPr>
                            </w:pPr>
                            <w:r w:rsidRPr="000B795E">
                              <w:rPr>
                                <w:rFonts w:ascii="Times New Roman" w:eastAsia="Times New Roman" w:hAnsi="Times New Roman" w:cs="Times New Roman"/>
                                <w:sz w:val="24"/>
                                <w:szCs w:val="24"/>
                              </w:rPr>
                              <w:t>The project has been awarded EUR 2.2 million through LIFE</w:t>
                            </w:r>
                            <w:r>
                              <w:rPr>
                                <w:rFonts w:ascii="Times New Roman" w:eastAsia="Times New Roman" w:hAnsi="Times New Roman" w:cs="Times New Roman"/>
                                <w:sz w:val="24"/>
                                <w:szCs w:val="24"/>
                              </w:rPr>
                              <w:t>, the EU funding instrument for climate and environment</w:t>
                            </w:r>
                            <w:r w:rsidRPr="000B795E">
                              <w:rPr>
                                <w:rFonts w:ascii="Times New Roman" w:eastAsia="Times New Roman" w:hAnsi="Times New Roman" w:cs="Times New Roman"/>
                                <w:sz w:val="24"/>
                                <w:szCs w:val="24"/>
                              </w:rPr>
                              <w:t>.</w:t>
                            </w:r>
                          </w:p>
                          <w:p w14:paraId="25D64747" w14:textId="77777777" w:rsidR="0030411A" w:rsidRPr="000B795E" w:rsidRDefault="0030411A" w:rsidP="0030411A">
                            <w:pPr>
                              <w:jc w:val="both"/>
                              <w:rPr>
                                <w:rFonts w:ascii="Times New Roman" w:eastAsia="Times New Roman" w:hAnsi="Times New Roman" w:cs="Times New Roman"/>
                                <w:sz w:val="24"/>
                                <w:szCs w:val="24"/>
                              </w:rPr>
                            </w:pPr>
                            <w:r w:rsidRPr="000B795E">
                              <w:rPr>
                                <w:noProof/>
                                <w:lang w:eastAsia="en-GB"/>
                              </w:rPr>
                              <w:drawing>
                                <wp:inline distT="0" distB="0" distL="0" distR="0" wp14:anchorId="5DECCC6D" wp14:editId="03840FF3">
                                  <wp:extent cx="5493327" cy="239378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14:paraId="287928DD" w14:textId="2352247E" w:rsidR="0030411A" w:rsidRPr="00CE5A68" w:rsidRDefault="00CE5A68" w:rsidP="0030411A">
                            <w:pPr>
                              <w:rPr>
                                <w:rFonts w:ascii="Times New Roman" w:hAnsi="Times New Roman" w:cs="Times New Roman"/>
                                <w:sz w:val="20"/>
                              </w:rPr>
                            </w:pPr>
                            <w:r w:rsidRPr="00CE5A68">
                              <w:rPr>
                                <w:rFonts w:ascii="Times New Roman" w:hAnsi="Times New Roman" w:cs="Times New Roman"/>
                                <w:sz w:val="20"/>
                              </w:rPr>
                              <w:t>*The project is an example of how EU funds contribute to innovation in sectors covered by the ETS</w:t>
                            </w:r>
                            <w:r>
                              <w:rPr>
                                <w:rFonts w:ascii="Times New Roman" w:hAnsi="Times New Roman" w:cs="Times New Roman"/>
                                <w:sz w:val="20"/>
                              </w:rPr>
                              <w:t xml:space="preserve">. </w:t>
                            </w:r>
                            <w:r w:rsidRPr="00CE5A68">
                              <w:rPr>
                                <w:rFonts w:ascii="Times New Roman" w:hAnsi="Times New Roman" w:cs="Times New Roman"/>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DB85AA6" id="_x0000_t202" coordsize="21600,21600" o:spt="202" path="m,l,21600r21600,l21600,xe">
                <v:stroke joinstyle="miter"/>
                <v:path gradientshapeok="t" o:connecttype="rect"/>
              </v:shapetype>
              <v:shape id="Text Box 3" o:spid="_x0000_s1026" type="#_x0000_t202" style="width:448.9pt;height:36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" fillcolor="white [3201]" strokeweight=".5pt">
                <v:textbox>
                  <w:txbxContent>
                    <w:p w14:paraId="0352D809" w14:textId="7CB379B4" w:rsidR="0030411A" w:rsidRPr="000B795E" w:rsidRDefault="0030411A" w:rsidP="0030411A">
                      <w:pPr>
                        <w:spacing w:line="240" w:lineRule="auto"/>
                        <w:rPr>
                          <w:rFonts w:ascii="Times New Roman" w:eastAsia="Times New Roman" w:hAnsi="Times New Roman" w:cs="Times New Roman"/>
                          <w:sz w:val="24"/>
                          <w:szCs w:val="24"/>
                        </w:rPr>
                      </w:pPr>
                      <w:r w:rsidRPr="000B795E">
                        <w:rPr>
                          <w:rFonts w:ascii="Times New Roman" w:eastAsia="Times New Roman" w:hAnsi="Times New Roman" w:cs="Times New Roman"/>
                          <w:b/>
                          <w:bCs/>
                          <w:sz w:val="24"/>
                          <w:szCs w:val="24"/>
                        </w:rPr>
                        <w:t>LIFE15 OPTIMELT</w:t>
                      </w:r>
                      <w:r w:rsidR="00CE5A68">
                        <w:rPr>
                          <w:rFonts w:ascii="Times New Roman" w:eastAsia="Times New Roman" w:hAnsi="Times New Roman" w:cs="Times New Roman"/>
                          <w:b/>
                          <w:bCs/>
                          <w:sz w:val="24"/>
                          <w:szCs w:val="24"/>
                        </w:rPr>
                        <w:t>*</w:t>
                      </w:r>
                      <w:r w:rsidRPr="000B795E">
                        <w:rPr>
                          <w:rFonts w:ascii="Times New Roman" w:eastAsia="Times New Roman" w:hAnsi="Times New Roman" w:cs="Times New Roman"/>
                          <w:sz w:val="24"/>
                          <w:szCs w:val="24"/>
                        </w:rPr>
                        <w:t xml:space="preserve"> - Demonstration of thermochemical reforming of natural gas for reducing GHG emissions in </w:t>
                      </w:r>
                      <w:r w:rsidR="00E809A6">
                        <w:rPr>
                          <w:rFonts w:ascii="Times New Roman" w:eastAsia="Times New Roman" w:hAnsi="Times New Roman" w:cs="Times New Roman"/>
                          <w:sz w:val="24"/>
                          <w:szCs w:val="24"/>
                        </w:rPr>
                        <w:t>e</w:t>
                      </w:r>
                      <w:r w:rsidRPr="000B795E">
                        <w:rPr>
                          <w:rFonts w:ascii="Times New Roman" w:eastAsia="Times New Roman" w:hAnsi="Times New Roman" w:cs="Times New Roman"/>
                          <w:sz w:val="24"/>
                          <w:szCs w:val="24"/>
                        </w:rPr>
                        <w:t xml:space="preserve">nergy </w:t>
                      </w:r>
                      <w:r w:rsidR="00E809A6">
                        <w:rPr>
                          <w:rFonts w:ascii="Times New Roman" w:eastAsia="Times New Roman" w:hAnsi="Times New Roman" w:cs="Times New Roman"/>
                          <w:sz w:val="24"/>
                          <w:szCs w:val="24"/>
                        </w:rPr>
                        <w:t>i</w:t>
                      </w:r>
                      <w:r w:rsidRPr="000B795E">
                        <w:rPr>
                          <w:rFonts w:ascii="Times New Roman" w:eastAsia="Times New Roman" w:hAnsi="Times New Roman" w:cs="Times New Roman"/>
                          <w:sz w:val="24"/>
                          <w:szCs w:val="24"/>
                        </w:rPr>
                        <w:t xml:space="preserve">ntensive </w:t>
                      </w:r>
                      <w:r w:rsidR="00E809A6">
                        <w:rPr>
                          <w:rFonts w:ascii="Times New Roman" w:eastAsia="Times New Roman" w:hAnsi="Times New Roman" w:cs="Times New Roman"/>
                          <w:sz w:val="24"/>
                          <w:szCs w:val="24"/>
                        </w:rPr>
                        <w:t>i</w:t>
                      </w:r>
                      <w:r w:rsidRPr="000B795E">
                        <w:rPr>
                          <w:rFonts w:ascii="Times New Roman" w:eastAsia="Times New Roman" w:hAnsi="Times New Roman" w:cs="Times New Roman"/>
                          <w:sz w:val="24"/>
                          <w:szCs w:val="24"/>
                        </w:rPr>
                        <w:t xml:space="preserve">ndustries – glass industry. </w:t>
                      </w:r>
                    </w:p>
                    <w:p w14:paraId="1C367ADB" w14:textId="3EA1C2B0" w:rsidR="0030411A" w:rsidRPr="000B795E" w:rsidRDefault="0030411A" w:rsidP="0030411A">
                      <w:pPr>
                        <w:jc w:val="both"/>
                        <w:rPr>
                          <w:rFonts w:ascii="Times New Roman" w:eastAsia="Times New Roman" w:hAnsi="Times New Roman" w:cs="Times New Roman"/>
                          <w:sz w:val="24"/>
                          <w:szCs w:val="24"/>
                        </w:rPr>
                      </w:pPr>
                      <w:r w:rsidRPr="000B795E">
                        <w:rPr>
                          <w:rFonts w:ascii="Times New Roman" w:eastAsia="Times New Roman" w:hAnsi="Times New Roman" w:cs="Times New Roman"/>
                          <w:sz w:val="24"/>
                          <w:szCs w:val="24"/>
                        </w:rPr>
                        <w:t>The project carries out the first full-scale demonstration of an innovative waste</w:t>
                      </w:r>
                      <w:r w:rsidR="00CE5A68">
                        <w:rPr>
                          <w:rFonts w:ascii="Times New Roman" w:eastAsia="Times New Roman" w:hAnsi="Times New Roman" w:cs="Times New Roman"/>
                          <w:sz w:val="24"/>
                          <w:szCs w:val="24"/>
                        </w:rPr>
                        <w:t>-</w:t>
                      </w:r>
                      <w:r w:rsidRPr="000B795E">
                        <w:rPr>
                          <w:rFonts w:ascii="Times New Roman" w:eastAsia="Times New Roman" w:hAnsi="Times New Roman" w:cs="Times New Roman"/>
                          <w:sz w:val="24"/>
                          <w:szCs w:val="24"/>
                        </w:rPr>
                        <w:t>heat recovery concept. The technology, called OPTIMELT, is able to use an endothermic reaction of natural gas with water vapour/CO</w:t>
                      </w:r>
                      <w:r w:rsidRPr="00E809A6">
                        <w:rPr>
                          <w:rFonts w:ascii="Times New Roman" w:eastAsia="Times New Roman" w:hAnsi="Times New Roman" w:cs="Times New Roman"/>
                          <w:sz w:val="24"/>
                          <w:szCs w:val="24"/>
                          <w:vertAlign w:val="subscript"/>
                        </w:rPr>
                        <w:t>2</w:t>
                      </w:r>
                      <w:r w:rsidRPr="000B795E">
                        <w:rPr>
                          <w:rFonts w:ascii="Times New Roman" w:eastAsia="Times New Roman" w:hAnsi="Times New Roman" w:cs="Times New Roman"/>
                          <w:sz w:val="24"/>
                          <w:szCs w:val="24"/>
                        </w:rPr>
                        <w:t xml:space="preserve"> in the flue gas to recover more heat than previously possible in high-temperature manufacturing processes.</w:t>
                      </w:r>
                    </w:p>
                    <w:p w14:paraId="7113F621" w14:textId="77777777" w:rsidR="0030411A" w:rsidRDefault="0030411A" w:rsidP="0030411A">
                      <w:pPr>
                        <w:jc w:val="both"/>
                        <w:rPr>
                          <w:rFonts w:ascii="Times New Roman" w:eastAsia="Times New Roman" w:hAnsi="Times New Roman" w:cs="Times New Roman"/>
                          <w:sz w:val="24"/>
                          <w:szCs w:val="24"/>
                        </w:rPr>
                      </w:pPr>
                      <w:r w:rsidRPr="000B795E">
                        <w:rPr>
                          <w:rFonts w:ascii="Times New Roman" w:eastAsia="Times New Roman" w:hAnsi="Times New Roman" w:cs="Times New Roman"/>
                          <w:sz w:val="24"/>
                          <w:szCs w:val="24"/>
                        </w:rPr>
                        <w:t>The project has been awarded EUR 2.2 million through LIFE</w:t>
                      </w:r>
                      <w:r>
                        <w:rPr>
                          <w:rFonts w:ascii="Times New Roman" w:eastAsia="Times New Roman" w:hAnsi="Times New Roman" w:cs="Times New Roman"/>
                          <w:sz w:val="24"/>
                          <w:szCs w:val="24"/>
                        </w:rPr>
                        <w:t>, the EU funding instrument for climate and environment</w:t>
                      </w:r>
                      <w:r w:rsidRPr="000B795E">
                        <w:rPr>
                          <w:rFonts w:ascii="Times New Roman" w:eastAsia="Times New Roman" w:hAnsi="Times New Roman" w:cs="Times New Roman"/>
                          <w:sz w:val="24"/>
                          <w:szCs w:val="24"/>
                        </w:rPr>
                        <w:t>.</w:t>
                      </w:r>
                    </w:p>
                    <w:p w14:paraId="25D64747" w14:textId="77777777" w:rsidR="0030411A" w:rsidRPr="000B795E" w:rsidRDefault="0030411A" w:rsidP="0030411A">
                      <w:pPr>
                        <w:jc w:val="both"/>
                        <w:rPr>
                          <w:rFonts w:ascii="Times New Roman" w:eastAsia="Times New Roman" w:hAnsi="Times New Roman" w:cs="Times New Roman"/>
                          <w:sz w:val="24"/>
                          <w:szCs w:val="24"/>
                        </w:rPr>
                      </w:pPr>
                      <w:r w:rsidRPr="000B795E">
                        <w:rPr>
                          <w:noProof/>
                          <w:lang w:eastAsia="en-GB"/>
                        </w:rPr>
                        <w:drawing>
                          <wp:inline distT="0" distB="0" distL="0" distR="0" wp14:anchorId="5DECCC6D" wp14:editId="03840FF3">
                            <wp:extent cx="5493327" cy="239378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14:paraId="287928DD" w14:textId="2352247E" w:rsidR="0030411A" w:rsidRPr="00CE5A68" w:rsidRDefault="00CE5A68" w:rsidP="0030411A">
                      <w:pPr>
                        <w:rPr>
                          <w:rFonts w:ascii="Times New Roman" w:hAnsi="Times New Roman" w:cs="Times New Roman"/>
                          <w:sz w:val="20"/>
                        </w:rPr>
                      </w:pPr>
                      <w:r w:rsidRPr="00CE5A68">
                        <w:rPr>
                          <w:rFonts w:ascii="Times New Roman" w:hAnsi="Times New Roman" w:cs="Times New Roman"/>
                          <w:sz w:val="20"/>
                        </w:rPr>
                        <w:t>*The project is an example of how EU funds contribute to innovation in sectors covered by the ETS</w:t>
                      </w:r>
                      <w:r>
                        <w:rPr>
                          <w:rFonts w:ascii="Times New Roman" w:hAnsi="Times New Roman" w:cs="Times New Roman"/>
                          <w:sz w:val="20"/>
                        </w:rPr>
                        <w:t xml:space="preserve">. </w:t>
                      </w:r>
                      <w:r w:rsidRPr="00CE5A68">
                        <w:rPr>
                          <w:rFonts w:ascii="Times New Roman" w:hAnsi="Times New Roman" w:cs="Times New Roman"/>
                          <w:sz w:val="20"/>
                        </w:rPr>
                        <w:t xml:space="preserve"> </w:t>
                      </w:r>
                    </w:p>
                  </w:txbxContent>
                </v:textbox>
                <w10:anchorlock/>
              </v:shape>
            </w:pict>
          </mc:Fallback>
        </mc:AlternateContent>
      </w:r>
    </w:p>
    <w:p w14:paraId="470D48F4" w14:textId="77777777" w:rsidR="004C23CE" w:rsidRDefault="004C23CE" w:rsidP="004C23CE">
      <w:pPr>
        <w:pStyle w:val="Heading1"/>
        <w:numPr>
          <w:ilvl w:val="0"/>
          <w:numId w:val="0"/>
        </w:numPr>
        <w:spacing w:after="240"/>
        <w:ind w:left="714"/>
        <w:jc w:val="both"/>
      </w:pPr>
    </w:p>
    <w:p w14:paraId="5DDC48E9" w14:textId="250B8C2C" w:rsidR="008E5BD7" w:rsidRDefault="00E04ACD" w:rsidP="00446D1E">
      <w:pPr>
        <w:pStyle w:val="Heading1"/>
        <w:spacing w:after="240"/>
        <w:ind w:left="714" w:hanging="357"/>
        <w:jc w:val="both"/>
      </w:pPr>
      <w:r>
        <w:t>EFFORT SHARING EMISSIONS</w:t>
      </w:r>
    </w:p>
    <w:p w14:paraId="66E60702" w14:textId="1AF421FE" w:rsidR="00244111" w:rsidRDefault="00244111" w:rsidP="00E04ACD">
      <w:pPr>
        <w:jc w:val="both"/>
        <w:rPr>
          <w:rFonts w:ascii="Times New Roman" w:hAnsi="Times New Roman" w:cs="Times New Roman"/>
          <w:noProof/>
          <w:sz w:val="24"/>
          <w:szCs w:val="24"/>
        </w:rPr>
      </w:pPr>
      <w:r>
        <w:rPr>
          <w:rFonts w:ascii="Times New Roman" w:hAnsi="Times New Roman" w:cs="Times New Roman"/>
          <w:noProof/>
          <w:sz w:val="24"/>
          <w:szCs w:val="24"/>
        </w:rPr>
        <w:t>Emissions from most se</w:t>
      </w:r>
      <w:r w:rsidR="00CA7B35">
        <w:rPr>
          <w:rFonts w:ascii="Times New Roman" w:hAnsi="Times New Roman" w:cs="Times New Roman"/>
          <w:noProof/>
          <w:sz w:val="24"/>
          <w:szCs w:val="24"/>
        </w:rPr>
        <w:t>ctors not included in the EU ETS</w:t>
      </w:r>
      <w:r>
        <w:rPr>
          <w:rFonts w:ascii="Times New Roman" w:hAnsi="Times New Roman" w:cs="Times New Roman"/>
          <w:noProof/>
          <w:sz w:val="24"/>
          <w:szCs w:val="24"/>
        </w:rPr>
        <w:t>, such as transport, buildings, agriculture (non</w:t>
      </w:r>
      <w:r w:rsidR="00604E96">
        <w:rPr>
          <w:rFonts w:ascii="Times New Roman" w:hAnsi="Times New Roman" w:cs="Times New Roman"/>
          <w:noProof/>
          <w:sz w:val="24"/>
          <w:szCs w:val="24"/>
        </w:rPr>
        <w:t>-</w:t>
      </w:r>
      <w:r>
        <w:rPr>
          <w:rFonts w:ascii="Times New Roman" w:hAnsi="Times New Roman" w:cs="Times New Roman"/>
          <w:noProof/>
          <w:sz w:val="24"/>
          <w:szCs w:val="24"/>
        </w:rPr>
        <w:t>CO</w:t>
      </w:r>
      <w:r>
        <w:rPr>
          <w:rFonts w:ascii="Times New Roman" w:hAnsi="Times New Roman" w:cs="Times New Roman"/>
          <w:noProof/>
          <w:sz w:val="24"/>
          <w:szCs w:val="24"/>
          <w:vertAlign w:val="subscript"/>
        </w:rPr>
        <w:t>2</w:t>
      </w:r>
      <w:r>
        <w:rPr>
          <w:rFonts w:ascii="Times New Roman" w:hAnsi="Times New Roman" w:cs="Times New Roman"/>
          <w:noProof/>
          <w:sz w:val="24"/>
          <w:szCs w:val="24"/>
        </w:rPr>
        <w:t>-emissions) and waste, are covered by the EU effort</w:t>
      </w:r>
      <w:r w:rsidR="00604E96">
        <w:rPr>
          <w:rFonts w:ascii="Times New Roman" w:hAnsi="Times New Roman" w:cs="Times New Roman"/>
          <w:noProof/>
          <w:sz w:val="24"/>
          <w:szCs w:val="24"/>
        </w:rPr>
        <w:t xml:space="preserve"> </w:t>
      </w:r>
      <w:r>
        <w:rPr>
          <w:rFonts w:ascii="Times New Roman" w:hAnsi="Times New Roman" w:cs="Times New Roman"/>
          <w:noProof/>
          <w:sz w:val="24"/>
          <w:szCs w:val="24"/>
        </w:rPr>
        <w:t>sharing legislation. The Effort</w:t>
      </w:r>
      <w:r w:rsidR="00604E96">
        <w:rPr>
          <w:rFonts w:ascii="Times New Roman" w:hAnsi="Times New Roman" w:cs="Times New Roman"/>
          <w:noProof/>
          <w:sz w:val="24"/>
          <w:szCs w:val="24"/>
        </w:rPr>
        <w:t xml:space="preserve"> </w:t>
      </w:r>
      <w:r>
        <w:rPr>
          <w:rFonts w:ascii="Times New Roman" w:hAnsi="Times New Roman" w:cs="Times New Roman"/>
          <w:noProof/>
          <w:sz w:val="24"/>
          <w:szCs w:val="24"/>
        </w:rPr>
        <w:t>Sharing Decision</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 xml:space="preserve"> (ESD) sets national emissions targets for 2020, expressed as percentage changes from 2005 levels. Member States must </w:t>
      </w:r>
      <w:r w:rsidR="00604E96">
        <w:rPr>
          <w:rFonts w:ascii="Times New Roman" w:hAnsi="Times New Roman" w:cs="Times New Roman"/>
          <w:noProof/>
          <w:sz w:val="24"/>
          <w:szCs w:val="24"/>
        </w:rPr>
        <w:t xml:space="preserve">also </w:t>
      </w:r>
      <w:r>
        <w:rPr>
          <w:rFonts w:ascii="Times New Roman" w:hAnsi="Times New Roman" w:cs="Times New Roman"/>
          <w:noProof/>
          <w:sz w:val="24"/>
          <w:szCs w:val="24"/>
        </w:rPr>
        <w:t xml:space="preserve">respect annual emissions limits from 2013 </w:t>
      </w:r>
      <w:r w:rsidR="000C292C">
        <w:rPr>
          <w:rFonts w:ascii="Times New Roman" w:hAnsi="Times New Roman" w:cs="Times New Roman"/>
          <w:noProof/>
          <w:sz w:val="24"/>
          <w:szCs w:val="24"/>
        </w:rPr>
        <w:t xml:space="preserve">to 2020. Similarily, the Effort </w:t>
      </w:r>
      <w:r>
        <w:rPr>
          <w:rFonts w:ascii="Times New Roman" w:hAnsi="Times New Roman" w:cs="Times New Roman"/>
          <w:noProof/>
          <w:sz w:val="24"/>
          <w:szCs w:val="24"/>
        </w:rPr>
        <w:t>Sharing Regulation</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(ESR) sets national emission</w:t>
      </w:r>
      <w:r w:rsidR="00E809A6">
        <w:rPr>
          <w:rFonts w:ascii="Times New Roman" w:hAnsi="Times New Roman" w:cs="Times New Roman"/>
          <w:noProof/>
          <w:sz w:val="24"/>
          <w:szCs w:val="24"/>
        </w:rPr>
        <w:t>s</w:t>
      </w:r>
      <w:r>
        <w:rPr>
          <w:rFonts w:ascii="Times New Roman" w:hAnsi="Times New Roman" w:cs="Times New Roman"/>
          <w:noProof/>
          <w:sz w:val="24"/>
          <w:szCs w:val="24"/>
        </w:rPr>
        <w:t xml:space="preserve"> targets for 2030. </w:t>
      </w:r>
    </w:p>
    <w:p w14:paraId="77D30B90" w14:textId="1E14B043" w:rsidR="0045741B" w:rsidRDefault="0045741B" w:rsidP="00446D1E">
      <w:pPr>
        <w:pStyle w:val="Heading2"/>
        <w:spacing w:after="120"/>
        <w:rPr>
          <w:noProof/>
        </w:rPr>
      </w:pPr>
      <w:r>
        <w:rPr>
          <w:noProof/>
        </w:rPr>
        <w:t>Progress towards the effort sharing targets</w:t>
      </w:r>
    </w:p>
    <w:p w14:paraId="56C8AB37" w14:textId="017FCD42" w:rsidR="0045741B" w:rsidRDefault="0045741B" w:rsidP="00E04ACD">
      <w:pPr>
        <w:jc w:val="both"/>
        <w:rPr>
          <w:rFonts w:ascii="Times New Roman" w:hAnsi="Times New Roman" w:cs="Times New Roman"/>
          <w:sz w:val="24"/>
        </w:rPr>
      </w:pPr>
      <w:r>
        <w:rPr>
          <w:rFonts w:ascii="Times New Roman" w:hAnsi="Times New Roman" w:cs="Times New Roman"/>
          <w:sz w:val="24"/>
        </w:rPr>
        <w:t xml:space="preserve">Member States are planning how to achieve their 2030 effort sharing targets. If planned policies are implemented, the EU could reduce effort sharing emissions </w:t>
      </w:r>
      <w:r w:rsidR="0011373B">
        <w:rPr>
          <w:rFonts w:ascii="Times New Roman" w:hAnsi="Times New Roman" w:cs="Times New Roman"/>
          <w:sz w:val="24"/>
        </w:rPr>
        <w:t>by 27 to 28</w:t>
      </w:r>
      <w:r w:rsidR="00684416">
        <w:rPr>
          <w:rFonts w:ascii="Times New Roman" w:hAnsi="Times New Roman" w:cs="Times New Roman"/>
          <w:sz w:val="24"/>
        </w:rPr>
        <w:t>%</w:t>
      </w:r>
      <w:r w:rsidR="0011373B">
        <w:rPr>
          <w:rFonts w:ascii="Times New Roman" w:hAnsi="Times New Roman" w:cs="Times New Roman"/>
          <w:sz w:val="24"/>
        </w:rPr>
        <w:t xml:space="preserve"> by 2030</w:t>
      </w:r>
      <w:r w:rsidR="00A72AEB">
        <w:rPr>
          <w:rStyle w:val="FootnoteReference"/>
          <w:rFonts w:ascii="Times New Roman" w:hAnsi="Times New Roman" w:cs="Times New Roman"/>
          <w:sz w:val="24"/>
        </w:rPr>
        <w:footnoteReference w:id="13"/>
      </w:r>
      <w:r w:rsidR="0011373B">
        <w:rPr>
          <w:rFonts w:ascii="Times New Roman" w:hAnsi="Times New Roman" w:cs="Times New Roman"/>
          <w:sz w:val="24"/>
        </w:rPr>
        <w:t>,</w:t>
      </w:r>
      <w:r>
        <w:rPr>
          <w:rFonts w:ascii="Times New Roman" w:hAnsi="Times New Roman" w:cs="Times New Roman"/>
          <w:sz w:val="24"/>
        </w:rPr>
        <w:t xml:space="preserve"> as compared to 2005. This is clear progress as compared to existing policies, which would reduce emissions by 20</w:t>
      </w:r>
      <w:r w:rsidR="00684416">
        <w:rPr>
          <w:rFonts w:ascii="Times New Roman" w:hAnsi="Times New Roman" w:cs="Times New Roman"/>
          <w:sz w:val="24"/>
        </w:rPr>
        <w:t>%</w:t>
      </w:r>
      <w:r>
        <w:rPr>
          <w:rFonts w:ascii="Times New Roman" w:hAnsi="Times New Roman" w:cs="Times New Roman"/>
          <w:sz w:val="24"/>
        </w:rPr>
        <w:t xml:space="preserve"> by 2030. However, to achieve the emissions reduction target of 30</w:t>
      </w:r>
      <w:r w:rsidR="00684416">
        <w:rPr>
          <w:rFonts w:ascii="Times New Roman" w:hAnsi="Times New Roman" w:cs="Times New Roman"/>
          <w:sz w:val="24"/>
        </w:rPr>
        <w:t>%</w:t>
      </w:r>
      <w:r>
        <w:rPr>
          <w:rFonts w:ascii="Times New Roman" w:hAnsi="Times New Roman" w:cs="Times New Roman"/>
          <w:sz w:val="24"/>
        </w:rPr>
        <w:t xml:space="preserve"> for the effort sharing, Member States will need to identify additional measures. The European Commission has recommended several Member States to further specify their strategy for achieving the non-ETS target</w:t>
      </w:r>
      <w:r w:rsidR="00A72AEB">
        <w:rPr>
          <w:rStyle w:val="FootnoteReference"/>
          <w:rFonts w:ascii="Times New Roman" w:hAnsi="Times New Roman" w:cs="Times New Roman"/>
          <w:sz w:val="24"/>
        </w:rPr>
        <w:footnoteReference w:id="14"/>
      </w:r>
      <w:r>
        <w:rPr>
          <w:rFonts w:ascii="Times New Roman" w:hAnsi="Times New Roman" w:cs="Times New Roman"/>
          <w:sz w:val="24"/>
        </w:rPr>
        <w:t xml:space="preserve"> for the entire period 2021-2030 in their final NECPs. </w:t>
      </w:r>
    </w:p>
    <w:p w14:paraId="1DB03298" w14:textId="36270137" w:rsidR="0045741B" w:rsidRDefault="0045741B" w:rsidP="00E04ACD">
      <w:pPr>
        <w:jc w:val="both"/>
        <w:rPr>
          <w:rFonts w:ascii="Times New Roman" w:hAnsi="Times New Roman" w:cs="Times New Roman"/>
          <w:sz w:val="24"/>
        </w:rPr>
      </w:pPr>
      <w:r>
        <w:rPr>
          <w:rFonts w:ascii="Times New Roman" w:hAnsi="Times New Roman" w:cs="Times New Roman"/>
          <w:sz w:val="24"/>
        </w:rPr>
        <w:t xml:space="preserve">Figure </w:t>
      </w:r>
      <w:r w:rsidR="00D25DC5">
        <w:rPr>
          <w:rFonts w:ascii="Times New Roman" w:hAnsi="Times New Roman" w:cs="Times New Roman"/>
          <w:sz w:val="24"/>
        </w:rPr>
        <w:t xml:space="preserve">5 </w:t>
      </w:r>
      <w:r>
        <w:rPr>
          <w:rFonts w:ascii="Times New Roman" w:hAnsi="Times New Roman" w:cs="Times New Roman"/>
          <w:sz w:val="24"/>
        </w:rPr>
        <w:t xml:space="preserve">shows the distance between Member States’ 2030 targets under the ESR and their projections with existing and with additional measures. </w:t>
      </w:r>
    </w:p>
    <w:p w14:paraId="116672E0" w14:textId="77777777" w:rsidR="004C23CE" w:rsidRDefault="004C23CE" w:rsidP="00E04ACD">
      <w:pPr>
        <w:jc w:val="both"/>
        <w:rPr>
          <w:rFonts w:ascii="Times New Roman" w:hAnsi="Times New Roman" w:cs="Times New Roman"/>
          <w:sz w:val="24"/>
        </w:rPr>
      </w:pPr>
    </w:p>
    <w:p w14:paraId="29E25862" w14:textId="77777777" w:rsidR="004C23CE" w:rsidRDefault="004C23CE">
      <w:pPr>
        <w:rPr>
          <w:rFonts w:ascii="Calibri" w:eastAsia="Calibri" w:hAnsi="Calibri" w:cs="Times New Roman"/>
          <w:b/>
          <w:bCs/>
          <w:sz w:val="20"/>
          <w:szCs w:val="20"/>
        </w:rPr>
      </w:pPr>
      <w:r>
        <w:br w:type="page"/>
      </w:r>
    </w:p>
    <w:p w14:paraId="451C49E8" w14:textId="2603482A" w:rsidR="00342FE4" w:rsidRDefault="00F03FA4" w:rsidP="00E04ACD">
      <w:pPr>
        <w:pStyle w:val="Caption"/>
        <w:jc w:val="both"/>
      </w:pPr>
      <w:r>
        <w:rPr>
          <w:noProof/>
          <w:lang w:eastAsia="en-GB"/>
        </w:rPr>
        <w:drawing>
          <wp:inline distT="0" distB="0" distL="0" distR="0" wp14:anchorId="66F43C89" wp14:editId="0D3BB92C">
            <wp:extent cx="5162204" cy="6467303"/>
            <wp:effectExtent l="0" t="0" r="635"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1D3181B" w14:textId="5429FF0A" w:rsidR="0045741B" w:rsidRPr="0045741B" w:rsidRDefault="0045741B" w:rsidP="00E04ACD">
      <w:pPr>
        <w:pStyle w:val="Caption"/>
        <w:jc w:val="both"/>
        <w:rPr>
          <w:rFonts w:ascii="Times New Roman" w:hAnsi="Times New Roman"/>
          <w:sz w:val="24"/>
        </w:rPr>
      </w:pPr>
      <w:r>
        <w:t xml:space="preserve">Figure </w:t>
      </w:r>
      <w:fldSimple w:instr=" SEQ Figure \* ARABIC ">
        <w:r w:rsidR="006E3709">
          <w:rPr>
            <w:noProof/>
          </w:rPr>
          <w:t>5</w:t>
        </w:r>
      </w:fldSimple>
      <w:r>
        <w:t xml:space="preserve">: </w:t>
      </w:r>
      <w:r w:rsidRPr="006A4603">
        <w:t>Gaps between 2030 ESR targets and projected emissions with existing measures (WEM) and with additional measures (WAM) in percentage of 2005 base year emissions. Negative values indicate over-achievement of targets; positive values indicate that the tar</w:t>
      </w:r>
      <w:r>
        <w:t>get</w:t>
      </w:r>
      <w:r w:rsidR="00E809A6">
        <w:t>s</w:t>
      </w:r>
      <w:r>
        <w:t xml:space="preserve"> </w:t>
      </w:r>
      <w:r w:rsidR="00E809A6">
        <w:t xml:space="preserve">are </w:t>
      </w:r>
      <w:r>
        <w:t xml:space="preserve">not reached. </w:t>
      </w:r>
    </w:p>
    <w:p w14:paraId="3323D597" w14:textId="77777777" w:rsidR="004D7B88" w:rsidRDefault="004D7B88" w:rsidP="00E04ACD">
      <w:pPr>
        <w:jc w:val="both"/>
        <w:rPr>
          <w:rFonts w:ascii="Times New Roman" w:hAnsi="Times New Roman" w:cs="Times New Roman"/>
          <w:sz w:val="24"/>
        </w:rPr>
      </w:pPr>
      <w:r>
        <w:rPr>
          <w:rFonts w:ascii="Times New Roman" w:eastAsia="Times New Roman" w:hAnsi="Times New Roman" w:cs="Times New Roman"/>
          <w:noProof/>
          <w:color w:val="000000"/>
          <w:sz w:val="24"/>
          <w:szCs w:val="24"/>
          <w:lang w:eastAsia="en-GB"/>
        </w:rPr>
        <mc:AlternateContent>
          <mc:Choice Requires="wps">
            <w:drawing>
              <wp:inline distT="0" distB="0" distL="0" distR="0" wp14:anchorId="3DEF56DA" wp14:editId="0A8E221C">
                <wp:extent cx="5731510" cy="3390405"/>
                <wp:effectExtent l="0" t="0" r="21590" b="19685"/>
                <wp:docPr id="9" name="Text Box 9"/>
                <wp:cNvGraphicFramePr/>
                <a:graphic xmlns:a="http://schemas.openxmlformats.org/drawingml/2006/main">
                  <a:graphicData uri="http://schemas.microsoft.com/office/word/2010/wordprocessingShape">
                    <wps:wsp>
                      <wps:cNvSpPr txBox="1"/>
                      <wps:spPr>
                        <a:xfrm>
                          <a:off x="0" y="0"/>
                          <a:ext cx="5731510" cy="3390405"/>
                        </a:xfrm>
                        <a:prstGeom prst="rect">
                          <a:avLst/>
                        </a:prstGeom>
                        <a:solidFill>
                          <a:schemeClr val="lt1"/>
                        </a:solidFill>
                        <a:ln w="6350">
                          <a:solidFill>
                            <a:prstClr val="black"/>
                          </a:solidFill>
                        </a:ln>
                      </wps:spPr>
                      <wps:txbx>
                        <w:txbxContent>
                          <w:p w14:paraId="26CD9A07" w14:textId="432BA283" w:rsidR="004D7B88" w:rsidRPr="00651E7A" w:rsidRDefault="004D7B88" w:rsidP="00446D1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sidRPr="00651E7A">
                              <w:rPr>
                                <w:rFonts w:ascii="Times New Roman" w:eastAsia="Times New Roman" w:hAnsi="Times New Roman" w:cs="Times New Roman"/>
                                <w:b/>
                                <w:color w:val="000000"/>
                                <w:sz w:val="24"/>
                                <w:szCs w:val="24"/>
                              </w:rPr>
                              <w:t>Recommendations to Member States on their draft NECPs</w:t>
                            </w:r>
                          </w:p>
                          <w:p w14:paraId="389AC9C6" w14:textId="77777777" w:rsidR="004D7B88" w:rsidRDefault="004D7B88" w:rsidP="004D7B88">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June 2019, the European Commission issued recommendations to Member States based on their draft NECPs. As regards non-ETS GHG emissions, several Member States were recommended to:</w:t>
                            </w:r>
                          </w:p>
                          <w:p w14:paraId="253B727E" w14:textId="349E41FD" w:rsidR="004D7B88" w:rsidRPr="008E0CD0" w:rsidRDefault="004D7B88" w:rsidP="004D7B88">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sidRPr="008E0CD0">
                              <w:rPr>
                                <w:rFonts w:ascii="Times New Roman" w:eastAsia="Times New Roman" w:hAnsi="Times New Roman" w:cs="Times New Roman"/>
                                <w:color w:val="000000"/>
                                <w:sz w:val="24"/>
                                <w:szCs w:val="24"/>
                              </w:rPr>
                              <w:t xml:space="preserve">Clarify how </w:t>
                            </w:r>
                            <w:r w:rsidR="008C7B9C">
                              <w:rPr>
                                <w:rFonts w:ascii="Times New Roman" w:eastAsia="Times New Roman" w:hAnsi="Times New Roman" w:cs="Times New Roman"/>
                                <w:color w:val="000000"/>
                                <w:sz w:val="24"/>
                                <w:szCs w:val="24"/>
                              </w:rPr>
                              <w:t>the Member State</w:t>
                            </w:r>
                            <w:r w:rsidRPr="008E0CD0">
                              <w:rPr>
                                <w:rFonts w:ascii="Times New Roman" w:eastAsia="Times New Roman" w:hAnsi="Times New Roman" w:cs="Times New Roman"/>
                                <w:color w:val="000000"/>
                                <w:sz w:val="24"/>
                                <w:szCs w:val="24"/>
                              </w:rPr>
                              <w:t xml:space="preserve"> plans to reach its 2030 greenhouse gas target for sectors outside the EU emissions trading system by considering further cost-efficient policies over the period 2021-30</w:t>
                            </w:r>
                            <w:r w:rsidR="00C43AD6">
                              <w:rPr>
                                <w:rFonts w:ascii="Times New Roman" w:eastAsia="Times New Roman" w:hAnsi="Times New Roman" w:cs="Times New Roman"/>
                                <w:color w:val="000000"/>
                                <w:sz w:val="24"/>
                                <w:szCs w:val="24"/>
                              </w:rPr>
                              <w:t>;</w:t>
                            </w:r>
                          </w:p>
                          <w:p w14:paraId="74A42323" w14:textId="4407D890" w:rsidR="004D7B88" w:rsidRPr="008E0CD0" w:rsidRDefault="004D7B88" w:rsidP="004D7B88">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sidRPr="008E0CD0">
                              <w:rPr>
                                <w:rFonts w:ascii="Times New Roman" w:eastAsia="Times New Roman" w:hAnsi="Times New Roman" w:cs="Times New Roman"/>
                                <w:color w:val="000000"/>
                                <w:sz w:val="24"/>
                                <w:szCs w:val="24"/>
                              </w:rPr>
                              <w:t xml:space="preserve">Clarify how </w:t>
                            </w:r>
                            <w:r w:rsidR="008C7B9C">
                              <w:rPr>
                                <w:rFonts w:ascii="Times New Roman" w:eastAsia="Times New Roman" w:hAnsi="Times New Roman" w:cs="Times New Roman"/>
                                <w:color w:val="000000"/>
                                <w:sz w:val="24"/>
                                <w:szCs w:val="24"/>
                              </w:rPr>
                              <w:t>the Member State</w:t>
                            </w:r>
                            <w:r w:rsidRPr="008E0CD0">
                              <w:rPr>
                                <w:rFonts w:ascii="Times New Roman" w:eastAsia="Times New Roman" w:hAnsi="Times New Roman" w:cs="Times New Roman"/>
                                <w:color w:val="000000"/>
                                <w:sz w:val="24"/>
                                <w:szCs w:val="24"/>
                              </w:rPr>
                              <w:t xml:space="preserve"> plans to comply with the </w:t>
                            </w:r>
                            <w:r w:rsidR="00C43AD6">
                              <w:rPr>
                                <w:rFonts w:ascii="Times New Roman" w:eastAsia="Times New Roman" w:hAnsi="Times New Roman" w:cs="Times New Roman"/>
                                <w:color w:val="000000"/>
                                <w:sz w:val="24"/>
                                <w:szCs w:val="24"/>
                              </w:rPr>
                              <w:t>requirement</w:t>
                            </w:r>
                            <w:r w:rsidRPr="008E0CD0">
                              <w:rPr>
                                <w:rFonts w:ascii="Times New Roman" w:eastAsia="Times New Roman" w:hAnsi="Times New Roman" w:cs="Times New Roman"/>
                                <w:color w:val="000000"/>
                                <w:sz w:val="24"/>
                                <w:szCs w:val="24"/>
                              </w:rPr>
                              <w:t xml:space="preserve"> that land use, land use change and forestry (LULUCF) emissions do not exceed removals</w:t>
                            </w:r>
                            <w:r w:rsidR="00C43AD6">
                              <w:rPr>
                                <w:rFonts w:ascii="Times New Roman" w:eastAsia="Times New Roman" w:hAnsi="Times New Roman" w:cs="Times New Roman"/>
                                <w:color w:val="000000"/>
                                <w:sz w:val="24"/>
                                <w:szCs w:val="24"/>
                              </w:rPr>
                              <w:t>;</w:t>
                            </w:r>
                          </w:p>
                          <w:p w14:paraId="57E4EDF9" w14:textId="2F399185" w:rsidR="004D7B88" w:rsidRDefault="004D7B88" w:rsidP="004D7B88">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sidRPr="008E0CD0">
                              <w:rPr>
                                <w:rFonts w:ascii="Times New Roman" w:eastAsia="Times New Roman" w:hAnsi="Times New Roman" w:cs="Times New Roman"/>
                                <w:color w:val="000000"/>
                                <w:sz w:val="24"/>
                                <w:szCs w:val="24"/>
                              </w:rPr>
                              <w:t xml:space="preserve">Consider also the cost-effective generation of transfers to other Member States under </w:t>
                            </w:r>
                            <w:r w:rsidR="00E809A6">
                              <w:rPr>
                                <w:rFonts w:ascii="Times New Roman" w:eastAsia="Times New Roman" w:hAnsi="Times New Roman" w:cs="Times New Roman"/>
                                <w:color w:val="000000"/>
                                <w:sz w:val="24"/>
                                <w:szCs w:val="24"/>
                              </w:rPr>
                              <w:t>the ESR</w:t>
                            </w:r>
                            <w:r w:rsidRPr="008E0CD0">
                              <w:rPr>
                                <w:rFonts w:ascii="Times New Roman" w:eastAsia="Times New Roman" w:hAnsi="Times New Roman" w:cs="Times New Roman"/>
                                <w:color w:val="000000"/>
                                <w:sz w:val="24"/>
                                <w:szCs w:val="24"/>
                              </w:rPr>
                              <w:t xml:space="preserve"> as</w:t>
                            </w:r>
                            <w:r w:rsidR="00E809A6">
                              <w:rPr>
                                <w:rFonts w:ascii="Times New Roman" w:eastAsia="Times New Roman" w:hAnsi="Times New Roman" w:cs="Times New Roman"/>
                                <w:color w:val="000000"/>
                                <w:sz w:val="24"/>
                                <w:szCs w:val="24"/>
                              </w:rPr>
                              <w:t xml:space="preserve"> a</w:t>
                            </w:r>
                            <w:r w:rsidRPr="008E0CD0">
                              <w:rPr>
                                <w:rFonts w:ascii="Times New Roman" w:eastAsia="Times New Roman" w:hAnsi="Times New Roman" w:cs="Times New Roman"/>
                                <w:color w:val="000000"/>
                                <w:sz w:val="24"/>
                                <w:szCs w:val="24"/>
                              </w:rPr>
                              <w:t xml:space="preserve"> funding source</w:t>
                            </w:r>
                            <w:r w:rsidR="00E809A6">
                              <w:rPr>
                                <w:rFonts w:ascii="Times New Roman" w:eastAsia="Times New Roman" w:hAnsi="Times New Roman" w:cs="Times New Roman"/>
                                <w:color w:val="000000"/>
                                <w:sz w:val="24"/>
                                <w:szCs w:val="24"/>
                              </w:rPr>
                              <w:t>.</w:t>
                            </w:r>
                          </w:p>
                          <w:p w14:paraId="048A57D5" w14:textId="7C0BE506" w:rsidR="004D7B88" w:rsidRPr="008E0CD0" w:rsidRDefault="004D7B88" w:rsidP="004D7B88">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Several Member States were also recommended to reconsider their level of ambition for renewable energy and energy efficiency in order to close the ambition gaps at EU level.</w:t>
                            </w:r>
                            <w:r w:rsidR="0030411A">
                              <w:rPr>
                                <w:rFonts w:ascii="Times New Roman" w:eastAsia="Times New Roman" w:hAnsi="Times New Roman" w:cs="Times New Roman"/>
                                <w:color w:val="000000"/>
                                <w:sz w:val="24"/>
                                <w:szCs w:val="24"/>
                              </w:rPr>
                              <w:t xml:space="preserve"> Moreover, many Member States were recommended to further analyse interactions between planned energy and climate policies </w:t>
                            </w:r>
                            <w:r w:rsidR="00C43AD6">
                              <w:rPr>
                                <w:rFonts w:ascii="Times New Roman" w:eastAsia="Times New Roman" w:hAnsi="Times New Roman" w:cs="Times New Roman"/>
                                <w:color w:val="000000"/>
                                <w:sz w:val="24"/>
                                <w:szCs w:val="24"/>
                              </w:rPr>
                              <w:t xml:space="preserve">and measures </w:t>
                            </w:r>
                            <w:r w:rsidR="0030411A">
                              <w:rPr>
                                <w:rFonts w:ascii="Times New Roman" w:eastAsia="Times New Roman" w:hAnsi="Times New Roman" w:cs="Times New Roman"/>
                                <w:color w:val="000000"/>
                                <w:sz w:val="24"/>
                                <w:szCs w:val="24"/>
                              </w:rPr>
                              <w:t xml:space="preserve">and air pollution. </w:t>
                            </w:r>
                            <w:r>
                              <w:rPr>
                                <w:rFonts w:ascii="Times New Roman" w:eastAsia="Times New Roman" w:hAnsi="Times New Roman" w:cs="Times New Roman"/>
                                <w:color w:val="000000"/>
                                <w:sz w:val="24"/>
                                <w:szCs w:val="24"/>
                              </w:rPr>
                              <w:t xml:space="preserve"> </w:t>
                            </w:r>
                          </w:p>
                          <w:p w14:paraId="4A5828D8" w14:textId="77777777" w:rsidR="004D7B88" w:rsidRDefault="004D7B88" w:rsidP="004D7B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EF56DA" id="Text Box 9" o:spid="_x0000_s1027" type="#_x0000_t202" style="width:451.3pt;height:26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" fillcolor="white [3201]" strokeweight=".5pt">
                <v:textbox>
                  <w:txbxContent>
                    <w:p w14:paraId="26CD9A07" w14:textId="432BA283" w:rsidR="004D7B88" w:rsidRPr="00651E7A" w:rsidRDefault="004D7B88" w:rsidP="00446D1E">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sidRPr="00651E7A">
                        <w:rPr>
                          <w:rFonts w:ascii="Times New Roman" w:eastAsia="Times New Roman" w:hAnsi="Times New Roman" w:cs="Times New Roman"/>
                          <w:b/>
                          <w:color w:val="000000"/>
                          <w:sz w:val="24"/>
                          <w:szCs w:val="24"/>
                        </w:rPr>
                        <w:t>Recommendations to Member States on their draft NECPs</w:t>
                      </w:r>
                    </w:p>
                    <w:p w14:paraId="389AC9C6" w14:textId="77777777" w:rsidR="004D7B88" w:rsidRDefault="004D7B88" w:rsidP="004D7B88">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June 2019, the European Commission issued recommendations to Member States based on their draft NECPs. As regards non-ETS GHG emissions, several Member States were recommended to:</w:t>
                      </w:r>
                    </w:p>
                    <w:p w14:paraId="253B727E" w14:textId="349E41FD" w:rsidR="004D7B88" w:rsidRPr="008E0CD0" w:rsidRDefault="004D7B88" w:rsidP="004D7B88">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sidRPr="008E0CD0">
                        <w:rPr>
                          <w:rFonts w:ascii="Times New Roman" w:eastAsia="Times New Roman" w:hAnsi="Times New Roman" w:cs="Times New Roman"/>
                          <w:color w:val="000000"/>
                          <w:sz w:val="24"/>
                          <w:szCs w:val="24"/>
                        </w:rPr>
                        <w:t xml:space="preserve">Clarify how </w:t>
                      </w:r>
                      <w:r w:rsidR="008C7B9C">
                        <w:rPr>
                          <w:rFonts w:ascii="Times New Roman" w:eastAsia="Times New Roman" w:hAnsi="Times New Roman" w:cs="Times New Roman"/>
                          <w:color w:val="000000"/>
                          <w:sz w:val="24"/>
                          <w:szCs w:val="24"/>
                        </w:rPr>
                        <w:t>the Member State</w:t>
                      </w:r>
                      <w:r w:rsidRPr="008E0CD0">
                        <w:rPr>
                          <w:rFonts w:ascii="Times New Roman" w:eastAsia="Times New Roman" w:hAnsi="Times New Roman" w:cs="Times New Roman"/>
                          <w:color w:val="000000"/>
                          <w:sz w:val="24"/>
                          <w:szCs w:val="24"/>
                        </w:rPr>
                        <w:t xml:space="preserve"> plans to reach its 2030 greenhouse gas target for sectors outside the EU emissions trading system by considering further cost-efficient policies over the period 2021-30</w:t>
                      </w:r>
                      <w:r w:rsidR="00C43AD6">
                        <w:rPr>
                          <w:rFonts w:ascii="Times New Roman" w:eastAsia="Times New Roman" w:hAnsi="Times New Roman" w:cs="Times New Roman"/>
                          <w:color w:val="000000"/>
                          <w:sz w:val="24"/>
                          <w:szCs w:val="24"/>
                        </w:rPr>
                        <w:t>;</w:t>
                      </w:r>
                    </w:p>
                    <w:p w14:paraId="74A42323" w14:textId="4407D890" w:rsidR="004D7B88" w:rsidRPr="008E0CD0" w:rsidRDefault="004D7B88" w:rsidP="004D7B88">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sidRPr="008E0CD0">
                        <w:rPr>
                          <w:rFonts w:ascii="Times New Roman" w:eastAsia="Times New Roman" w:hAnsi="Times New Roman" w:cs="Times New Roman"/>
                          <w:color w:val="000000"/>
                          <w:sz w:val="24"/>
                          <w:szCs w:val="24"/>
                        </w:rPr>
                        <w:t xml:space="preserve">Clarify how </w:t>
                      </w:r>
                      <w:r w:rsidR="008C7B9C">
                        <w:rPr>
                          <w:rFonts w:ascii="Times New Roman" w:eastAsia="Times New Roman" w:hAnsi="Times New Roman" w:cs="Times New Roman"/>
                          <w:color w:val="000000"/>
                          <w:sz w:val="24"/>
                          <w:szCs w:val="24"/>
                        </w:rPr>
                        <w:t>the Member State</w:t>
                      </w:r>
                      <w:r w:rsidRPr="008E0CD0">
                        <w:rPr>
                          <w:rFonts w:ascii="Times New Roman" w:eastAsia="Times New Roman" w:hAnsi="Times New Roman" w:cs="Times New Roman"/>
                          <w:color w:val="000000"/>
                          <w:sz w:val="24"/>
                          <w:szCs w:val="24"/>
                        </w:rPr>
                        <w:t xml:space="preserve"> plans to comply with the </w:t>
                      </w:r>
                      <w:r w:rsidR="00C43AD6">
                        <w:rPr>
                          <w:rFonts w:ascii="Times New Roman" w:eastAsia="Times New Roman" w:hAnsi="Times New Roman" w:cs="Times New Roman"/>
                          <w:color w:val="000000"/>
                          <w:sz w:val="24"/>
                          <w:szCs w:val="24"/>
                        </w:rPr>
                        <w:t>requirement</w:t>
                      </w:r>
                      <w:r w:rsidRPr="008E0CD0">
                        <w:rPr>
                          <w:rFonts w:ascii="Times New Roman" w:eastAsia="Times New Roman" w:hAnsi="Times New Roman" w:cs="Times New Roman"/>
                          <w:color w:val="000000"/>
                          <w:sz w:val="24"/>
                          <w:szCs w:val="24"/>
                        </w:rPr>
                        <w:t xml:space="preserve"> that land use, land use change and forestry (LULUCF) emissions do not exceed removals</w:t>
                      </w:r>
                      <w:r w:rsidR="00C43AD6">
                        <w:rPr>
                          <w:rFonts w:ascii="Times New Roman" w:eastAsia="Times New Roman" w:hAnsi="Times New Roman" w:cs="Times New Roman"/>
                          <w:color w:val="000000"/>
                          <w:sz w:val="24"/>
                          <w:szCs w:val="24"/>
                        </w:rPr>
                        <w:t>;</w:t>
                      </w:r>
                    </w:p>
                    <w:p w14:paraId="57E4EDF9" w14:textId="2F399185" w:rsidR="004D7B88" w:rsidRDefault="004D7B88" w:rsidP="004D7B88">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sidRPr="008E0CD0">
                        <w:rPr>
                          <w:rFonts w:ascii="Times New Roman" w:eastAsia="Times New Roman" w:hAnsi="Times New Roman" w:cs="Times New Roman"/>
                          <w:color w:val="000000"/>
                          <w:sz w:val="24"/>
                          <w:szCs w:val="24"/>
                        </w:rPr>
                        <w:t xml:space="preserve">Consider also the cost-effective generation of transfers to other Member States under </w:t>
                      </w:r>
                      <w:r w:rsidR="00E809A6">
                        <w:rPr>
                          <w:rFonts w:ascii="Times New Roman" w:eastAsia="Times New Roman" w:hAnsi="Times New Roman" w:cs="Times New Roman"/>
                          <w:color w:val="000000"/>
                          <w:sz w:val="24"/>
                          <w:szCs w:val="24"/>
                        </w:rPr>
                        <w:t>the ESR</w:t>
                      </w:r>
                      <w:r w:rsidRPr="008E0CD0">
                        <w:rPr>
                          <w:rFonts w:ascii="Times New Roman" w:eastAsia="Times New Roman" w:hAnsi="Times New Roman" w:cs="Times New Roman"/>
                          <w:color w:val="000000"/>
                          <w:sz w:val="24"/>
                          <w:szCs w:val="24"/>
                        </w:rPr>
                        <w:t xml:space="preserve"> as</w:t>
                      </w:r>
                      <w:r w:rsidR="00E809A6">
                        <w:rPr>
                          <w:rFonts w:ascii="Times New Roman" w:eastAsia="Times New Roman" w:hAnsi="Times New Roman" w:cs="Times New Roman"/>
                          <w:color w:val="000000"/>
                          <w:sz w:val="24"/>
                          <w:szCs w:val="24"/>
                        </w:rPr>
                        <w:t xml:space="preserve"> a</w:t>
                      </w:r>
                      <w:r w:rsidRPr="008E0CD0">
                        <w:rPr>
                          <w:rFonts w:ascii="Times New Roman" w:eastAsia="Times New Roman" w:hAnsi="Times New Roman" w:cs="Times New Roman"/>
                          <w:color w:val="000000"/>
                          <w:sz w:val="24"/>
                          <w:szCs w:val="24"/>
                        </w:rPr>
                        <w:t xml:space="preserve"> funding source</w:t>
                      </w:r>
                      <w:r w:rsidR="00E809A6">
                        <w:rPr>
                          <w:rFonts w:ascii="Times New Roman" w:eastAsia="Times New Roman" w:hAnsi="Times New Roman" w:cs="Times New Roman"/>
                          <w:color w:val="000000"/>
                          <w:sz w:val="24"/>
                          <w:szCs w:val="24"/>
                        </w:rPr>
                        <w:t>.</w:t>
                      </w:r>
                    </w:p>
                    <w:p w14:paraId="048A57D5" w14:textId="7C0BE506" w:rsidR="004D7B88" w:rsidRPr="008E0CD0" w:rsidRDefault="004D7B88" w:rsidP="004D7B88">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Several Member States were also recommended to reconsider their level of ambition for renewable energy and energy efficiency in order to close the ambition gaps at EU level.</w:t>
                      </w:r>
                      <w:r w:rsidR="0030411A">
                        <w:rPr>
                          <w:rFonts w:ascii="Times New Roman" w:eastAsia="Times New Roman" w:hAnsi="Times New Roman" w:cs="Times New Roman"/>
                          <w:color w:val="000000"/>
                          <w:sz w:val="24"/>
                          <w:szCs w:val="24"/>
                        </w:rPr>
                        <w:t xml:space="preserve"> Moreover, many Member States were recommended to further analyse interactions between planned energy and climate policies </w:t>
                      </w:r>
                      <w:r w:rsidR="00C43AD6">
                        <w:rPr>
                          <w:rFonts w:ascii="Times New Roman" w:eastAsia="Times New Roman" w:hAnsi="Times New Roman" w:cs="Times New Roman"/>
                          <w:color w:val="000000"/>
                          <w:sz w:val="24"/>
                          <w:szCs w:val="24"/>
                        </w:rPr>
                        <w:t xml:space="preserve">and measures </w:t>
                      </w:r>
                      <w:r w:rsidR="0030411A">
                        <w:rPr>
                          <w:rFonts w:ascii="Times New Roman" w:eastAsia="Times New Roman" w:hAnsi="Times New Roman" w:cs="Times New Roman"/>
                          <w:color w:val="000000"/>
                          <w:sz w:val="24"/>
                          <w:szCs w:val="24"/>
                        </w:rPr>
                        <w:t xml:space="preserve">and air pollution. </w:t>
                      </w:r>
                      <w:r>
                        <w:rPr>
                          <w:rFonts w:ascii="Times New Roman" w:eastAsia="Times New Roman" w:hAnsi="Times New Roman" w:cs="Times New Roman"/>
                          <w:color w:val="000000"/>
                          <w:sz w:val="24"/>
                          <w:szCs w:val="24"/>
                        </w:rPr>
                        <w:t xml:space="preserve"> </w:t>
                      </w:r>
                    </w:p>
                    <w:p w14:paraId="4A5828D8" w14:textId="77777777" w:rsidR="004D7B88" w:rsidRDefault="004D7B88" w:rsidP="004D7B88"/>
                  </w:txbxContent>
                </v:textbox>
                <w10:anchorlock/>
              </v:shape>
            </w:pict>
          </mc:Fallback>
        </mc:AlternateContent>
      </w:r>
    </w:p>
    <w:p w14:paraId="4326A1CD" w14:textId="0C8DEBC8" w:rsidR="00C02801" w:rsidRDefault="00CE0BDE" w:rsidP="00E04ACD">
      <w:pPr>
        <w:jc w:val="both"/>
        <w:rPr>
          <w:rFonts w:ascii="Times New Roman" w:hAnsi="Times New Roman" w:cs="Times New Roman"/>
          <w:sz w:val="24"/>
        </w:rPr>
      </w:pPr>
      <w:r w:rsidRPr="00CE0BDE">
        <w:rPr>
          <w:rFonts w:ascii="Times New Roman" w:hAnsi="Times New Roman" w:cs="Times New Roman"/>
          <w:sz w:val="24"/>
        </w:rPr>
        <w:t xml:space="preserve">Emissions covered by the ESD were </w:t>
      </w:r>
      <w:r w:rsidR="00A72AEB">
        <w:rPr>
          <w:rFonts w:ascii="Times New Roman" w:hAnsi="Times New Roman" w:cs="Times New Roman"/>
          <w:sz w:val="24"/>
        </w:rPr>
        <w:t>11</w:t>
      </w:r>
      <w:r w:rsidR="00684416">
        <w:rPr>
          <w:rFonts w:ascii="Times New Roman" w:hAnsi="Times New Roman" w:cs="Times New Roman"/>
          <w:sz w:val="24"/>
        </w:rPr>
        <w:t>%</w:t>
      </w:r>
      <w:r w:rsidRPr="00CE0BDE">
        <w:rPr>
          <w:rFonts w:ascii="Times New Roman" w:hAnsi="Times New Roman" w:cs="Times New Roman"/>
          <w:sz w:val="24"/>
        </w:rPr>
        <w:t xml:space="preserve"> lower in 2018 </w:t>
      </w:r>
      <w:r w:rsidR="00C43AD6">
        <w:rPr>
          <w:rFonts w:ascii="Times New Roman" w:hAnsi="Times New Roman" w:cs="Times New Roman"/>
          <w:sz w:val="24"/>
        </w:rPr>
        <w:t>in comparison to</w:t>
      </w:r>
      <w:r w:rsidRPr="00CE0BDE">
        <w:rPr>
          <w:rFonts w:ascii="Times New Roman" w:hAnsi="Times New Roman" w:cs="Times New Roman"/>
          <w:sz w:val="24"/>
        </w:rPr>
        <w:t xml:space="preserve"> 2005</w:t>
      </w:r>
      <w:r w:rsidR="00CE78E6">
        <w:rPr>
          <w:rFonts w:ascii="Times New Roman" w:hAnsi="Times New Roman" w:cs="Times New Roman"/>
          <w:sz w:val="24"/>
        </w:rPr>
        <w:t xml:space="preserve"> as shown in Figure </w:t>
      </w:r>
      <w:r w:rsidR="00D25DC5">
        <w:rPr>
          <w:rFonts w:ascii="Times New Roman" w:hAnsi="Times New Roman" w:cs="Times New Roman"/>
          <w:sz w:val="24"/>
        </w:rPr>
        <w:t>6</w:t>
      </w:r>
      <w:r w:rsidR="0045741B">
        <w:rPr>
          <w:rFonts w:ascii="Times New Roman" w:hAnsi="Times New Roman" w:cs="Times New Roman"/>
          <w:sz w:val="24"/>
        </w:rPr>
        <w:t>. This is</w:t>
      </w:r>
      <w:r w:rsidR="00AE2711">
        <w:rPr>
          <w:rFonts w:ascii="Times New Roman" w:hAnsi="Times New Roman" w:cs="Times New Roman"/>
          <w:sz w:val="24"/>
        </w:rPr>
        <w:t xml:space="preserve"> as an</w:t>
      </w:r>
      <w:r>
        <w:rPr>
          <w:rFonts w:ascii="Times New Roman" w:hAnsi="Times New Roman" w:cs="Times New Roman"/>
          <w:sz w:val="24"/>
        </w:rPr>
        <w:t xml:space="preserve"> overachieve</w:t>
      </w:r>
      <w:r w:rsidR="00AE2711">
        <w:rPr>
          <w:rFonts w:ascii="Times New Roman" w:hAnsi="Times New Roman" w:cs="Times New Roman"/>
          <w:sz w:val="24"/>
        </w:rPr>
        <w:t>ment</w:t>
      </w:r>
      <w:r>
        <w:rPr>
          <w:rFonts w:ascii="Times New Roman" w:hAnsi="Times New Roman" w:cs="Times New Roman"/>
          <w:sz w:val="24"/>
        </w:rPr>
        <w:t xml:space="preserve"> by </w:t>
      </w:r>
      <w:r w:rsidR="00A72AEB">
        <w:rPr>
          <w:rFonts w:ascii="Times New Roman" w:hAnsi="Times New Roman" w:cs="Times New Roman"/>
          <w:sz w:val="24"/>
        </w:rPr>
        <w:t>3</w:t>
      </w:r>
      <w:r>
        <w:rPr>
          <w:rFonts w:ascii="Times New Roman" w:hAnsi="Times New Roman" w:cs="Times New Roman"/>
          <w:sz w:val="24"/>
        </w:rPr>
        <w:t xml:space="preserve"> percentage</w:t>
      </w:r>
      <w:r w:rsidR="00E0093B">
        <w:rPr>
          <w:rFonts w:ascii="Times New Roman" w:hAnsi="Times New Roman" w:cs="Times New Roman"/>
          <w:sz w:val="24"/>
        </w:rPr>
        <w:t xml:space="preserve"> points </w:t>
      </w:r>
      <w:r w:rsidR="0045741B">
        <w:rPr>
          <w:rFonts w:ascii="Times New Roman" w:hAnsi="Times New Roman" w:cs="Times New Roman"/>
          <w:sz w:val="24"/>
        </w:rPr>
        <w:t xml:space="preserve">of the </w:t>
      </w:r>
      <w:r w:rsidR="00E0093B">
        <w:rPr>
          <w:rFonts w:ascii="Times New Roman" w:hAnsi="Times New Roman" w:cs="Times New Roman"/>
          <w:sz w:val="24"/>
        </w:rPr>
        <w:t>interim target of an 8</w:t>
      </w:r>
      <w:r w:rsidR="00684416">
        <w:rPr>
          <w:rFonts w:ascii="Times New Roman" w:hAnsi="Times New Roman" w:cs="Times New Roman"/>
          <w:sz w:val="24"/>
        </w:rPr>
        <w:t>%</w:t>
      </w:r>
      <w:r w:rsidR="00E0093B">
        <w:rPr>
          <w:rFonts w:ascii="Times New Roman" w:hAnsi="Times New Roman" w:cs="Times New Roman"/>
          <w:sz w:val="24"/>
        </w:rPr>
        <w:t xml:space="preserve"> reduction. Since the system was launched in 2013, EU-wide emissions have been below the total limit each year. This </w:t>
      </w:r>
      <w:r w:rsidR="00AE2711">
        <w:rPr>
          <w:rFonts w:ascii="Times New Roman" w:hAnsi="Times New Roman" w:cs="Times New Roman"/>
          <w:sz w:val="24"/>
        </w:rPr>
        <w:t xml:space="preserve">has </w:t>
      </w:r>
      <w:r w:rsidR="00E0093B">
        <w:rPr>
          <w:rFonts w:ascii="Times New Roman" w:hAnsi="Times New Roman" w:cs="Times New Roman"/>
          <w:sz w:val="24"/>
        </w:rPr>
        <w:t xml:space="preserve">led to a cumulative surplus of annual emission allocations (AEAs) of </w:t>
      </w:r>
      <w:r w:rsidR="00CA7B35">
        <w:rPr>
          <w:rFonts w:ascii="Times New Roman" w:hAnsi="Times New Roman" w:cs="Times New Roman"/>
          <w:sz w:val="24"/>
        </w:rPr>
        <w:t xml:space="preserve">about </w:t>
      </w:r>
      <w:r w:rsidR="00A72AEB">
        <w:rPr>
          <w:rFonts w:ascii="Times New Roman" w:hAnsi="Times New Roman" w:cs="Times New Roman"/>
          <w:sz w:val="24"/>
        </w:rPr>
        <w:t>1110</w:t>
      </w:r>
      <w:r w:rsidR="00CA7B35">
        <w:rPr>
          <w:rFonts w:ascii="Times New Roman" w:hAnsi="Times New Roman" w:cs="Times New Roman"/>
          <w:sz w:val="24"/>
        </w:rPr>
        <w:t xml:space="preserve"> Mt CO</w:t>
      </w:r>
      <w:r w:rsidR="00CA7B35" w:rsidRPr="0045741B">
        <w:rPr>
          <w:rFonts w:ascii="Times New Roman" w:hAnsi="Times New Roman" w:cs="Times New Roman"/>
          <w:sz w:val="24"/>
          <w:vertAlign w:val="subscript"/>
        </w:rPr>
        <w:t>2</w:t>
      </w:r>
      <w:r w:rsidR="00CA7B35">
        <w:rPr>
          <w:rFonts w:ascii="Times New Roman" w:hAnsi="Times New Roman" w:cs="Times New Roman"/>
          <w:sz w:val="24"/>
        </w:rPr>
        <w:t>eq in 2013-2018</w:t>
      </w:r>
      <w:r w:rsidR="00E0093B">
        <w:rPr>
          <w:rFonts w:ascii="Times New Roman" w:hAnsi="Times New Roman" w:cs="Times New Roman"/>
          <w:sz w:val="24"/>
        </w:rPr>
        <w:t>.</w:t>
      </w:r>
      <w:r w:rsidR="00FA1455">
        <w:rPr>
          <w:rFonts w:ascii="Times New Roman" w:hAnsi="Times New Roman" w:cs="Times New Roman"/>
          <w:sz w:val="24"/>
        </w:rPr>
        <w:t xml:space="preserve"> Until 2020, emissions are projected to remain below the annual limit and the 2020 target for effort sharing emissions is projected to be over-achieved by 3 percentage points, with existing measures. </w:t>
      </w:r>
    </w:p>
    <w:p w14:paraId="75B2CAB3" w14:textId="5FE6FE34" w:rsidR="00342FE4" w:rsidRDefault="00A72AEB" w:rsidP="006E1D94">
      <w:r>
        <w:rPr>
          <w:noProof/>
          <w:lang w:eastAsia="en-GB"/>
        </w:rPr>
        <w:drawing>
          <wp:inline distT="0" distB="0" distL="0" distR="0" wp14:anchorId="3BB30A5A" wp14:editId="594C7144">
            <wp:extent cx="5536277" cy="3129742"/>
            <wp:effectExtent l="0" t="0" r="7620" b="139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8AC74ED" w14:textId="0DC2932F" w:rsidR="0045741B" w:rsidRDefault="0045741B" w:rsidP="00E04ACD">
      <w:pPr>
        <w:pStyle w:val="Caption"/>
        <w:jc w:val="both"/>
      </w:pPr>
      <w:r>
        <w:t xml:space="preserve">Figure </w:t>
      </w:r>
      <w:fldSimple w:instr=" SEQ Figure \* ARABIC ">
        <w:r w:rsidR="006E3709">
          <w:rPr>
            <w:noProof/>
          </w:rPr>
          <w:t>6</w:t>
        </w:r>
      </w:fldSimple>
      <w:r>
        <w:t xml:space="preserve">: </w:t>
      </w:r>
      <w:r w:rsidR="00F03FA4">
        <w:t xml:space="preserve">Emissions in sectors presently covered by effort </w:t>
      </w:r>
      <w:r w:rsidRPr="00765775">
        <w:t>sharing legislation 2005-2030 and AEAs (Mt CO</w:t>
      </w:r>
      <w:r w:rsidRPr="00342FE4">
        <w:rPr>
          <w:vertAlign w:val="subscript"/>
        </w:rPr>
        <w:t>2</w:t>
      </w:r>
      <w:r w:rsidRPr="00765775">
        <w:t>eq)</w:t>
      </w:r>
    </w:p>
    <w:p w14:paraId="36913D88" w14:textId="5F3036B8" w:rsidR="0045741B" w:rsidRDefault="0045741B" w:rsidP="00E04ACD">
      <w:pPr>
        <w:jc w:val="both"/>
        <w:rPr>
          <w:rFonts w:ascii="Times New Roman" w:hAnsi="Times New Roman" w:cs="Times New Roman"/>
          <w:noProof/>
          <w:sz w:val="24"/>
          <w:szCs w:val="24"/>
        </w:rPr>
      </w:pPr>
      <w:r>
        <w:rPr>
          <w:rFonts w:ascii="Times New Roman" w:hAnsi="Times New Roman" w:cs="Times New Roman"/>
          <w:sz w:val="24"/>
        </w:rPr>
        <w:t xml:space="preserve">Emissions in the sectors covered by the effort sharing legislation decreased gradually from 2005 to 2014. After 2014, emissions increased in three consecutive years, followed by a reduction in 2018. </w:t>
      </w:r>
    </w:p>
    <w:p w14:paraId="130C11E0" w14:textId="55E3F7D9" w:rsidR="00211875" w:rsidRDefault="00FA1455" w:rsidP="00E04ACD">
      <w:pPr>
        <w:jc w:val="both"/>
        <w:rPr>
          <w:rFonts w:ascii="Times New Roman" w:hAnsi="Times New Roman" w:cs="Times New Roman"/>
          <w:noProof/>
          <w:sz w:val="24"/>
          <w:szCs w:val="24"/>
        </w:rPr>
      </w:pPr>
      <w:r>
        <w:rPr>
          <w:rFonts w:ascii="Times New Roman" w:hAnsi="Times New Roman" w:cs="Times New Roman"/>
          <w:noProof/>
          <w:sz w:val="24"/>
          <w:szCs w:val="24"/>
        </w:rPr>
        <w:t>More than one third</w:t>
      </w:r>
      <w:r w:rsidR="00211875" w:rsidRPr="00211875">
        <w:rPr>
          <w:rFonts w:ascii="Times New Roman" w:hAnsi="Times New Roman" w:cs="Times New Roman"/>
          <w:noProof/>
          <w:sz w:val="24"/>
          <w:szCs w:val="24"/>
        </w:rPr>
        <w:t xml:space="preserve"> of </w:t>
      </w:r>
      <w:r>
        <w:rPr>
          <w:rFonts w:ascii="Times New Roman" w:hAnsi="Times New Roman" w:cs="Times New Roman"/>
          <w:noProof/>
          <w:sz w:val="24"/>
          <w:szCs w:val="24"/>
        </w:rPr>
        <w:t xml:space="preserve">the </w:t>
      </w:r>
      <w:r w:rsidR="00211875">
        <w:rPr>
          <w:rFonts w:ascii="Times New Roman" w:hAnsi="Times New Roman" w:cs="Times New Roman"/>
          <w:noProof/>
          <w:sz w:val="24"/>
          <w:szCs w:val="24"/>
        </w:rPr>
        <w:t xml:space="preserve">effort sharing emissions come from </w:t>
      </w:r>
      <w:r w:rsidR="00211875" w:rsidRPr="00E36457">
        <w:rPr>
          <w:rFonts w:ascii="Times New Roman" w:hAnsi="Times New Roman" w:cs="Times New Roman"/>
          <w:b/>
          <w:noProof/>
          <w:sz w:val="24"/>
          <w:szCs w:val="24"/>
        </w:rPr>
        <w:t>transport</w:t>
      </w:r>
      <w:r w:rsidR="00211875">
        <w:rPr>
          <w:rFonts w:ascii="Times New Roman" w:hAnsi="Times New Roman" w:cs="Times New Roman"/>
          <w:noProof/>
          <w:sz w:val="24"/>
          <w:szCs w:val="24"/>
        </w:rPr>
        <w:t xml:space="preserve">. After a decrease in emissions between 2007 and 2013, emissions from transport </w:t>
      </w:r>
      <w:r w:rsidR="008C7B9C">
        <w:rPr>
          <w:rFonts w:ascii="Times New Roman" w:hAnsi="Times New Roman" w:cs="Times New Roman"/>
          <w:noProof/>
          <w:sz w:val="24"/>
          <w:szCs w:val="24"/>
        </w:rPr>
        <w:t>have</w:t>
      </w:r>
      <w:r>
        <w:rPr>
          <w:rFonts w:ascii="Times New Roman" w:hAnsi="Times New Roman" w:cs="Times New Roman"/>
          <w:noProof/>
          <w:sz w:val="24"/>
          <w:szCs w:val="24"/>
        </w:rPr>
        <w:t xml:space="preserve"> increased in each of the last five years</w:t>
      </w:r>
      <w:r w:rsidR="00211875">
        <w:rPr>
          <w:rFonts w:ascii="Times New Roman" w:hAnsi="Times New Roman" w:cs="Times New Roman"/>
          <w:noProof/>
          <w:sz w:val="24"/>
          <w:szCs w:val="24"/>
        </w:rPr>
        <w:t xml:space="preserve">, and are now </w:t>
      </w:r>
      <w:r>
        <w:rPr>
          <w:rFonts w:ascii="Times New Roman" w:hAnsi="Times New Roman" w:cs="Times New Roman"/>
          <w:noProof/>
          <w:sz w:val="24"/>
          <w:szCs w:val="24"/>
        </w:rPr>
        <w:t>only 3</w:t>
      </w:r>
      <w:r w:rsidR="00684416">
        <w:rPr>
          <w:rFonts w:ascii="Times New Roman" w:hAnsi="Times New Roman" w:cs="Times New Roman"/>
          <w:noProof/>
          <w:sz w:val="24"/>
          <w:szCs w:val="24"/>
        </w:rPr>
        <w:t>%</w:t>
      </w:r>
      <w:r>
        <w:rPr>
          <w:rFonts w:ascii="Times New Roman" w:hAnsi="Times New Roman" w:cs="Times New Roman"/>
          <w:noProof/>
          <w:sz w:val="24"/>
          <w:szCs w:val="24"/>
        </w:rPr>
        <w:t xml:space="preserve"> lower</w:t>
      </w:r>
      <w:r w:rsidR="008C7B9C">
        <w:rPr>
          <w:rFonts w:ascii="Times New Roman" w:hAnsi="Times New Roman" w:cs="Times New Roman"/>
          <w:noProof/>
          <w:sz w:val="24"/>
          <w:szCs w:val="24"/>
        </w:rPr>
        <w:t xml:space="preserve"> </w:t>
      </w:r>
      <w:r w:rsidR="004D7B88">
        <w:rPr>
          <w:rFonts w:ascii="Times New Roman" w:hAnsi="Times New Roman" w:cs="Times New Roman"/>
          <w:noProof/>
          <w:sz w:val="24"/>
          <w:szCs w:val="24"/>
        </w:rPr>
        <w:t>than in 2005</w:t>
      </w:r>
      <w:r w:rsidR="00211875">
        <w:rPr>
          <w:rFonts w:ascii="Times New Roman" w:hAnsi="Times New Roman" w:cs="Times New Roman"/>
          <w:noProof/>
          <w:sz w:val="24"/>
          <w:szCs w:val="24"/>
        </w:rPr>
        <w:t xml:space="preserve">. Towards 2030, </w:t>
      </w:r>
      <w:r w:rsidR="00E36457">
        <w:rPr>
          <w:rFonts w:ascii="Times New Roman" w:hAnsi="Times New Roman" w:cs="Times New Roman"/>
          <w:noProof/>
          <w:sz w:val="24"/>
          <w:szCs w:val="24"/>
        </w:rPr>
        <w:t>Member States project a small reduction (</w:t>
      </w:r>
      <w:r>
        <w:rPr>
          <w:rFonts w:ascii="Times New Roman" w:hAnsi="Times New Roman" w:cs="Times New Roman"/>
          <w:noProof/>
          <w:sz w:val="24"/>
          <w:szCs w:val="24"/>
        </w:rPr>
        <w:t>7</w:t>
      </w:r>
      <w:r w:rsidR="00684416">
        <w:rPr>
          <w:rFonts w:ascii="Times New Roman" w:hAnsi="Times New Roman" w:cs="Times New Roman"/>
          <w:noProof/>
          <w:sz w:val="24"/>
          <w:szCs w:val="24"/>
        </w:rPr>
        <w:t>%</w:t>
      </w:r>
      <w:r>
        <w:rPr>
          <w:rFonts w:ascii="Times New Roman" w:hAnsi="Times New Roman" w:cs="Times New Roman"/>
          <w:noProof/>
          <w:sz w:val="24"/>
          <w:szCs w:val="24"/>
        </w:rPr>
        <w:t xml:space="preserve"> compared to 2005</w:t>
      </w:r>
      <w:r w:rsidR="008C7B9C">
        <w:rPr>
          <w:rFonts w:ascii="Times New Roman" w:hAnsi="Times New Roman" w:cs="Times New Roman"/>
          <w:noProof/>
          <w:sz w:val="24"/>
          <w:szCs w:val="24"/>
        </w:rPr>
        <w:t>)</w:t>
      </w:r>
      <w:r w:rsidR="00E36457">
        <w:rPr>
          <w:rFonts w:ascii="Times New Roman" w:hAnsi="Times New Roman" w:cs="Times New Roman"/>
          <w:noProof/>
          <w:sz w:val="24"/>
          <w:szCs w:val="24"/>
        </w:rPr>
        <w:t xml:space="preserve"> with existing measures. However, with implementation of planned policies and measures, transport emissions </w:t>
      </w:r>
      <w:r w:rsidR="00455964">
        <w:rPr>
          <w:rFonts w:ascii="Times New Roman" w:hAnsi="Times New Roman" w:cs="Times New Roman"/>
          <w:noProof/>
          <w:sz w:val="24"/>
          <w:szCs w:val="24"/>
        </w:rPr>
        <w:t xml:space="preserve">are projected to </w:t>
      </w:r>
      <w:r w:rsidR="00E36457">
        <w:rPr>
          <w:rFonts w:ascii="Times New Roman" w:hAnsi="Times New Roman" w:cs="Times New Roman"/>
          <w:noProof/>
          <w:sz w:val="24"/>
          <w:szCs w:val="24"/>
        </w:rPr>
        <w:t xml:space="preserve">be reduced by </w:t>
      </w:r>
      <w:r>
        <w:rPr>
          <w:rFonts w:ascii="Times New Roman" w:hAnsi="Times New Roman" w:cs="Times New Roman"/>
          <w:noProof/>
          <w:sz w:val="24"/>
          <w:szCs w:val="24"/>
        </w:rPr>
        <w:t>18</w:t>
      </w:r>
      <w:r w:rsidR="00684416">
        <w:rPr>
          <w:rFonts w:ascii="Times New Roman" w:hAnsi="Times New Roman" w:cs="Times New Roman"/>
          <w:noProof/>
          <w:sz w:val="24"/>
          <w:szCs w:val="24"/>
        </w:rPr>
        <w:t>%</w:t>
      </w:r>
      <w:r w:rsidR="00E36457">
        <w:rPr>
          <w:rFonts w:ascii="Times New Roman" w:hAnsi="Times New Roman" w:cs="Times New Roman"/>
          <w:noProof/>
          <w:sz w:val="24"/>
          <w:szCs w:val="24"/>
        </w:rPr>
        <w:t xml:space="preserve"> by 2030</w:t>
      </w:r>
      <w:r w:rsidR="008C7B9C">
        <w:rPr>
          <w:rFonts w:ascii="Times New Roman" w:hAnsi="Times New Roman" w:cs="Times New Roman"/>
          <w:noProof/>
          <w:sz w:val="24"/>
          <w:szCs w:val="24"/>
        </w:rPr>
        <w:t>,</w:t>
      </w:r>
      <w:r>
        <w:rPr>
          <w:rFonts w:ascii="Times New Roman" w:hAnsi="Times New Roman" w:cs="Times New Roman"/>
          <w:noProof/>
          <w:sz w:val="24"/>
          <w:szCs w:val="24"/>
        </w:rPr>
        <w:t xml:space="preserve"> compared to 2005</w:t>
      </w:r>
      <w:r w:rsidR="00E36457">
        <w:rPr>
          <w:rFonts w:ascii="Times New Roman" w:hAnsi="Times New Roman" w:cs="Times New Roman"/>
          <w:noProof/>
          <w:sz w:val="24"/>
          <w:szCs w:val="24"/>
        </w:rPr>
        <w:t xml:space="preserve">. </w:t>
      </w:r>
    </w:p>
    <w:p w14:paraId="594ADF04" w14:textId="25A834AF" w:rsidR="00DA03BE" w:rsidRPr="009E18FF" w:rsidRDefault="00DA03BE" w:rsidP="00DA03BE">
      <w:pPr>
        <w:jc w:val="both"/>
        <w:rPr>
          <w:rFonts w:ascii="Times New Roman" w:hAnsi="Times New Roman" w:cs="Times New Roman"/>
          <w:sz w:val="24"/>
          <w:szCs w:val="24"/>
        </w:rPr>
      </w:pPr>
      <w:r w:rsidRPr="009E18FF">
        <w:rPr>
          <w:rFonts w:ascii="Times New Roman" w:hAnsi="Times New Roman" w:cs="Times New Roman"/>
          <w:sz w:val="24"/>
          <w:szCs w:val="24"/>
        </w:rPr>
        <w:t>The CO</w:t>
      </w:r>
      <w:r w:rsidRPr="009E18FF">
        <w:rPr>
          <w:rFonts w:ascii="Times New Roman" w:hAnsi="Times New Roman" w:cs="Times New Roman"/>
          <w:sz w:val="24"/>
          <w:szCs w:val="24"/>
          <w:vertAlign w:val="subscript"/>
        </w:rPr>
        <w:t>2</w:t>
      </w:r>
      <w:r w:rsidRPr="009E18FF">
        <w:rPr>
          <w:rFonts w:ascii="Times New Roman" w:hAnsi="Times New Roman" w:cs="Times New Roman"/>
          <w:sz w:val="24"/>
          <w:szCs w:val="24"/>
        </w:rPr>
        <w:t xml:space="preserve"> emissions standards for new cars and vans are key drivers for road transport emissions reduction. While average CO</w:t>
      </w:r>
      <w:r w:rsidRPr="009E18FF">
        <w:rPr>
          <w:rFonts w:ascii="Times New Roman" w:hAnsi="Times New Roman" w:cs="Times New Roman"/>
          <w:sz w:val="24"/>
          <w:szCs w:val="24"/>
          <w:vertAlign w:val="subscript"/>
        </w:rPr>
        <w:t>2</w:t>
      </w:r>
      <w:r w:rsidRPr="009E18FF">
        <w:rPr>
          <w:rFonts w:ascii="Times New Roman" w:hAnsi="Times New Roman" w:cs="Times New Roman"/>
          <w:sz w:val="24"/>
          <w:szCs w:val="24"/>
        </w:rPr>
        <w:t xml:space="preserve"> emissions per kilometre of new cars and vans remain below the current applicable targets, as shown in </w:t>
      </w:r>
      <w:r w:rsidR="00355431" w:rsidRPr="009E18FF">
        <w:rPr>
          <w:rFonts w:ascii="Times New Roman" w:hAnsi="Times New Roman" w:cs="Times New Roman"/>
          <w:sz w:val="24"/>
          <w:szCs w:val="24"/>
        </w:rPr>
        <w:t>Figure 7</w:t>
      </w:r>
      <w:r w:rsidRPr="009E18FF">
        <w:rPr>
          <w:rFonts w:ascii="Times New Roman" w:hAnsi="Times New Roman" w:cs="Times New Roman"/>
          <w:sz w:val="24"/>
          <w:szCs w:val="24"/>
        </w:rPr>
        <w:t xml:space="preserve"> below, provisional data for 2018 show</w:t>
      </w:r>
      <w:r w:rsidR="005C76F1">
        <w:rPr>
          <w:rFonts w:ascii="Times New Roman" w:hAnsi="Times New Roman" w:cs="Times New Roman"/>
          <w:sz w:val="24"/>
          <w:szCs w:val="24"/>
        </w:rPr>
        <w:t>s</w:t>
      </w:r>
      <w:r w:rsidRPr="009E18FF">
        <w:rPr>
          <w:rFonts w:ascii="Times New Roman" w:hAnsi="Times New Roman" w:cs="Times New Roman"/>
          <w:sz w:val="24"/>
          <w:szCs w:val="24"/>
        </w:rPr>
        <w:t xml:space="preserve"> an increase in emissions as compared to 2017. Therefore, vehicles manufacturers will have to significantly reduce emissions of their fleet, on average by around 25 g CO</w:t>
      </w:r>
      <w:r w:rsidRPr="009E18FF">
        <w:rPr>
          <w:rFonts w:ascii="Times New Roman" w:hAnsi="Times New Roman" w:cs="Times New Roman"/>
          <w:sz w:val="24"/>
          <w:szCs w:val="24"/>
          <w:vertAlign w:val="subscript"/>
        </w:rPr>
        <w:t>2</w:t>
      </w:r>
      <w:r w:rsidRPr="009E18FF">
        <w:rPr>
          <w:rFonts w:ascii="Times New Roman" w:hAnsi="Times New Roman" w:cs="Times New Roman"/>
          <w:sz w:val="24"/>
          <w:szCs w:val="24"/>
        </w:rPr>
        <w:t>/km for cars and 11 g CO</w:t>
      </w:r>
      <w:r w:rsidRPr="009E18FF">
        <w:rPr>
          <w:rFonts w:ascii="Times New Roman" w:hAnsi="Times New Roman" w:cs="Times New Roman"/>
          <w:sz w:val="24"/>
          <w:szCs w:val="24"/>
          <w:vertAlign w:val="subscript"/>
        </w:rPr>
        <w:t>2</w:t>
      </w:r>
      <w:r w:rsidRPr="009E18FF">
        <w:rPr>
          <w:rFonts w:ascii="Times New Roman" w:hAnsi="Times New Roman" w:cs="Times New Roman"/>
          <w:sz w:val="24"/>
          <w:szCs w:val="24"/>
        </w:rPr>
        <w:t>/km for vans, to meet the upcoming 2020 and 2021 targets.</w:t>
      </w:r>
    </w:p>
    <w:p w14:paraId="285A8DBF" w14:textId="77777777" w:rsidR="00DA03BE" w:rsidRPr="009E18FF" w:rsidRDefault="00DA03BE" w:rsidP="00DA03BE">
      <w:pPr>
        <w:keepNext/>
        <w:jc w:val="both"/>
      </w:pPr>
      <w:r w:rsidRPr="009E18FF">
        <w:rPr>
          <w:rFonts w:ascii="Times New Roman" w:hAnsi="Times New Roman" w:cs="Times New Roman"/>
          <w:noProof/>
          <w:sz w:val="24"/>
          <w:szCs w:val="24"/>
          <w:lang w:eastAsia="en-GB"/>
        </w:rPr>
        <w:drawing>
          <wp:inline distT="0" distB="0" distL="0" distR="0" wp14:anchorId="1EFC5A28" wp14:editId="521B75EA">
            <wp:extent cx="5580000" cy="3650400"/>
            <wp:effectExtent l="0" t="0" r="190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0000" cy="3650400"/>
                    </a:xfrm>
                    <a:prstGeom prst="rect">
                      <a:avLst/>
                    </a:prstGeom>
                    <a:noFill/>
                  </pic:spPr>
                </pic:pic>
              </a:graphicData>
            </a:graphic>
          </wp:inline>
        </w:drawing>
      </w:r>
    </w:p>
    <w:p w14:paraId="0F48EAED" w14:textId="03633607" w:rsidR="00DA03BE" w:rsidRPr="009E18FF" w:rsidRDefault="00DA03BE" w:rsidP="00DA03BE">
      <w:pPr>
        <w:pStyle w:val="Caption"/>
        <w:rPr>
          <w:rFonts w:ascii="Times New Roman" w:hAnsi="Times New Roman"/>
          <w:sz w:val="24"/>
          <w:szCs w:val="24"/>
        </w:rPr>
      </w:pPr>
      <w:r w:rsidRPr="009E18FF">
        <w:t xml:space="preserve">Figure </w:t>
      </w:r>
      <w:fldSimple w:instr=" SEQ Figure \* ARABIC ">
        <w:r w:rsidR="006E3709">
          <w:rPr>
            <w:noProof/>
          </w:rPr>
          <w:t>7</w:t>
        </w:r>
      </w:fldSimple>
      <w:r w:rsidRPr="009E18FF">
        <w:t>: Average CO</w:t>
      </w:r>
      <w:r w:rsidRPr="009E18FF">
        <w:rPr>
          <w:vertAlign w:val="subscript"/>
        </w:rPr>
        <w:t>2</w:t>
      </w:r>
      <w:r w:rsidRPr="009E18FF">
        <w:t xml:space="preserve"> emissions per kilometre for new cars and vans </w:t>
      </w:r>
    </w:p>
    <w:p w14:paraId="5B3D4489" w14:textId="403E988B" w:rsidR="00DA03BE" w:rsidRPr="009E18FF" w:rsidRDefault="00DA03BE" w:rsidP="0076107C">
      <w:pPr>
        <w:jc w:val="both"/>
        <w:rPr>
          <w:rFonts w:ascii="Times New Roman" w:eastAsia="Times New Roman" w:hAnsi="Times New Roman" w:cs="Times New Roman"/>
          <w:sz w:val="24"/>
          <w:szCs w:val="24"/>
        </w:rPr>
      </w:pPr>
      <w:r w:rsidRPr="009E18FF">
        <w:rPr>
          <w:rFonts w:ascii="Times New Roman" w:hAnsi="Times New Roman" w:cs="Times New Roman"/>
          <w:sz w:val="24"/>
          <w:szCs w:val="24"/>
        </w:rPr>
        <w:t xml:space="preserve">The Fuel Quality Directive contributes to decreasing GHG emissions from transport. It obliges Member States to require that fuel suppliers reduce life cycle GHG emissions intensity of fuels supplied by 6% by 2020, compared </w:t>
      </w:r>
      <w:r w:rsidR="005C76F1">
        <w:rPr>
          <w:rFonts w:ascii="Times New Roman" w:hAnsi="Times New Roman" w:cs="Times New Roman"/>
          <w:sz w:val="24"/>
          <w:szCs w:val="24"/>
        </w:rPr>
        <w:t>to</w:t>
      </w:r>
      <w:r w:rsidR="005C76F1" w:rsidRPr="009E18FF">
        <w:rPr>
          <w:rFonts w:ascii="Times New Roman" w:hAnsi="Times New Roman" w:cs="Times New Roman"/>
          <w:sz w:val="24"/>
          <w:szCs w:val="24"/>
        </w:rPr>
        <w:t xml:space="preserve"> </w:t>
      </w:r>
      <w:r w:rsidRPr="009E18FF">
        <w:rPr>
          <w:rFonts w:ascii="Times New Roman" w:hAnsi="Times New Roman" w:cs="Times New Roman"/>
          <w:sz w:val="24"/>
          <w:szCs w:val="24"/>
        </w:rPr>
        <w:t xml:space="preserve">2010. </w:t>
      </w:r>
      <w:r w:rsidRPr="009E18FF">
        <w:rPr>
          <w:rFonts w:ascii="Times New Roman" w:eastAsia="Times New Roman" w:hAnsi="Times New Roman" w:cs="Times New Roman"/>
          <w:sz w:val="24"/>
          <w:szCs w:val="24"/>
        </w:rPr>
        <w:t>T</w:t>
      </w:r>
      <w:r w:rsidRPr="009E18FF">
        <w:rPr>
          <w:rFonts w:ascii="Times New Roman" w:hAnsi="Times New Roman" w:cs="Times New Roman"/>
          <w:sz w:val="24"/>
          <w:szCs w:val="24"/>
        </w:rPr>
        <w:t>he average GHG intensity of the fuels supplied in 2017 was 3.4% lower than 2010 (based on data from 22 Member States, reported for the first time in 2019). As shown in</w:t>
      </w:r>
      <w:r w:rsidR="00C44178" w:rsidRPr="009E18FF">
        <w:rPr>
          <w:rFonts w:ascii="Times New Roman" w:hAnsi="Times New Roman" w:cs="Times New Roman"/>
          <w:sz w:val="24"/>
          <w:szCs w:val="24"/>
        </w:rPr>
        <w:t xml:space="preserve"> Figure 8</w:t>
      </w:r>
      <w:r w:rsidRPr="009E18FF">
        <w:rPr>
          <w:rFonts w:ascii="Times New Roman" w:hAnsi="Times New Roman" w:cs="Times New Roman"/>
          <w:sz w:val="24"/>
          <w:szCs w:val="24"/>
        </w:rPr>
        <w:t>, t</w:t>
      </w:r>
      <w:r w:rsidRPr="009E18FF">
        <w:rPr>
          <w:rFonts w:ascii="Times New Roman" w:eastAsia="Times New Roman" w:hAnsi="Times New Roman" w:cs="Times New Roman"/>
          <w:sz w:val="24"/>
          <w:szCs w:val="24"/>
        </w:rPr>
        <w:t xml:space="preserve">he progress achieved varies greatly across Member States, but almost all need to take swiftly further action to ensure that the 2020 target </w:t>
      </w:r>
      <w:r w:rsidR="005C76F1">
        <w:rPr>
          <w:rFonts w:ascii="Times New Roman" w:eastAsia="Times New Roman" w:hAnsi="Times New Roman" w:cs="Times New Roman"/>
          <w:sz w:val="24"/>
          <w:szCs w:val="24"/>
        </w:rPr>
        <w:t>will be</w:t>
      </w:r>
      <w:r w:rsidR="005C76F1" w:rsidRPr="009E18FF">
        <w:rPr>
          <w:rFonts w:ascii="Times New Roman" w:eastAsia="Times New Roman" w:hAnsi="Times New Roman" w:cs="Times New Roman"/>
          <w:sz w:val="24"/>
          <w:szCs w:val="24"/>
        </w:rPr>
        <w:t xml:space="preserve"> </w:t>
      </w:r>
      <w:r w:rsidRPr="009E18FF">
        <w:rPr>
          <w:rFonts w:ascii="Times New Roman" w:eastAsia="Times New Roman" w:hAnsi="Times New Roman" w:cs="Times New Roman"/>
          <w:sz w:val="24"/>
          <w:szCs w:val="24"/>
        </w:rPr>
        <w:t xml:space="preserve">met. </w:t>
      </w:r>
    </w:p>
    <w:p w14:paraId="587B3288" w14:textId="548265CD" w:rsidR="00DA03BE" w:rsidRPr="009E18FF" w:rsidRDefault="00DA03BE" w:rsidP="00DA03BE"/>
    <w:p w14:paraId="182C9527" w14:textId="7CF463B0" w:rsidR="00F03FA4" w:rsidRDefault="00F03FA4" w:rsidP="00E04ACD">
      <w:pPr>
        <w:jc w:val="both"/>
        <w:rPr>
          <w:b/>
          <w:sz w:val="20"/>
          <w:szCs w:val="20"/>
        </w:rPr>
      </w:pPr>
      <w:r>
        <w:rPr>
          <w:noProof/>
          <w:lang w:eastAsia="en-GB"/>
        </w:rPr>
        <w:drawing>
          <wp:inline distT="0" distB="0" distL="0" distR="0" wp14:anchorId="46A15784" wp14:editId="2EB4A6B6">
            <wp:extent cx="5731510" cy="3742417"/>
            <wp:effectExtent l="0" t="0" r="2540" b="10795"/>
            <wp:docPr id="12" name="Chart 12">
              <a:extLst xmlns:a="http://schemas.openxmlformats.org/drawingml/2006/main">
                <a:ext uri="{FF2B5EF4-FFF2-40B4-BE49-F238E27FC236}">
                  <a16:creationId xmlns:a16="http://schemas.microsoft.com/office/drawing/2014/main" id="{48DB409F-C5A3-43D6-B022-F91281F481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F36E82" w14:textId="703B9407" w:rsidR="004C23CE" w:rsidRPr="004C23CE" w:rsidRDefault="00DA03BE" w:rsidP="00E04ACD">
      <w:pPr>
        <w:jc w:val="both"/>
        <w:rPr>
          <w:b/>
          <w:sz w:val="20"/>
          <w:szCs w:val="20"/>
        </w:rPr>
      </w:pPr>
      <w:r w:rsidRPr="009E18FF">
        <w:rPr>
          <w:b/>
          <w:sz w:val="20"/>
          <w:szCs w:val="20"/>
        </w:rPr>
        <w:t xml:space="preserve">Figure </w:t>
      </w:r>
      <w:r w:rsidRPr="009E18FF">
        <w:rPr>
          <w:rFonts w:ascii="Calibri" w:eastAsia="Calibri" w:hAnsi="Calibri" w:cs="Times New Roman"/>
          <w:b/>
          <w:sz w:val="20"/>
          <w:szCs w:val="20"/>
        </w:rPr>
        <w:fldChar w:fldCharType="begin"/>
      </w:r>
      <w:r w:rsidRPr="009E18FF">
        <w:rPr>
          <w:b/>
          <w:sz w:val="20"/>
          <w:szCs w:val="20"/>
        </w:rPr>
        <w:instrText xml:space="preserve"> SEQ Figure \* ARABIC </w:instrText>
      </w:r>
      <w:r w:rsidRPr="009E18FF">
        <w:rPr>
          <w:rFonts w:ascii="Calibri" w:eastAsia="Calibri" w:hAnsi="Calibri" w:cs="Times New Roman"/>
          <w:b/>
          <w:sz w:val="20"/>
          <w:szCs w:val="20"/>
        </w:rPr>
        <w:fldChar w:fldCharType="separate"/>
      </w:r>
      <w:r w:rsidR="006E3709">
        <w:rPr>
          <w:b/>
          <w:noProof/>
          <w:sz w:val="20"/>
          <w:szCs w:val="20"/>
        </w:rPr>
        <w:t>8</w:t>
      </w:r>
      <w:r w:rsidRPr="009E18FF">
        <w:rPr>
          <w:rFonts w:ascii="Calibri" w:eastAsia="Calibri" w:hAnsi="Calibri" w:cs="Times New Roman"/>
          <w:b/>
          <w:sz w:val="20"/>
          <w:szCs w:val="20"/>
        </w:rPr>
        <w:fldChar w:fldCharType="end"/>
      </w:r>
      <w:r w:rsidRPr="009E18FF">
        <w:rPr>
          <w:b/>
          <w:sz w:val="20"/>
          <w:szCs w:val="20"/>
        </w:rPr>
        <w:t>: Reductions in GHG intensity of fuels achieved by EU fuel suppliers in the 22 reporting Member States, 2010-2017</w:t>
      </w:r>
      <w:r w:rsidRPr="004C23CE">
        <w:rPr>
          <w:b/>
          <w:sz w:val="20"/>
          <w:szCs w:val="20"/>
        </w:rPr>
        <w:t xml:space="preserve"> </w:t>
      </w:r>
    </w:p>
    <w:p w14:paraId="51166796" w14:textId="5C81E322" w:rsidR="00211875" w:rsidRDefault="00211875" w:rsidP="00E04ACD">
      <w:pPr>
        <w:jc w:val="both"/>
        <w:rPr>
          <w:rFonts w:ascii="Times New Roman" w:hAnsi="Times New Roman" w:cs="Times New Roman"/>
          <w:noProof/>
          <w:sz w:val="24"/>
          <w:szCs w:val="24"/>
        </w:rPr>
      </w:pPr>
      <w:r>
        <w:rPr>
          <w:rFonts w:ascii="Times New Roman" w:hAnsi="Times New Roman" w:cs="Times New Roman"/>
          <w:noProof/>
          <w:sz w:val="24"/>
          <w:szCs w:val="24"/>
        </w:rPr>
        <w:t xml:space="preserve">Emissions from </w:t>
      </w:r>
      <w:r>
        <w:rPr>
          <w:rFonts w:ascii="Times New Roman" w:hAnsi="Times New Roman" w:cs="Times New Roman"/>
          <w:b/>
          <w:noProof/>
          <w:sz w:val="24"/>
          <w:szCs w:val="24"/>
        </w:rPr>
        <w:t xml:space="preserve">energy use in buildings </w:t>
      </w:r>
      <w:r>
        <w:rPr>
          <w:rFonts w:ascii="Times New Roman" w:hAnsi="Times New Roman" w:cs="Times New Roman"/>
          <w:noProof/>
          <w:sz w:val="24"/>
          <w:szCs w:val="24"/>
        </w:rPr>
        <w:t>show some year</w:t>
      </w:r>
      <w:r>
        <w:rPr>
          <w:rFonts w:ascii="Times New Roman" w:hAnsi="Times New Roman" w:cs="Times New Roman"/>
          <w:noProof/>
          <w:sz w:val="24"/>
          <w:szCs w:val="24"/>
        </w:rPr>
        <w:noBreakHyphen/>
        <w:t>to</w:t>
      </w:r>
      <w:r>
        <w:rPr>
          <w:rFonts w:ascii="Times New Roman" w:hAnsi="Times New Roman" w:cs="Times New Roman"/>
          <w:noProof/>
          <w:sz w:val="24"/>
          <w:szCs w:val="24"/>
        </w:rPr>
        <w:noBreakHyphen/>
        <w:t>year variation due to weather</w:t>
      </w:r>
      <w:r>
        <w:rPr>
          <w:rFonts w:ascii="Times New Roman" w:hAnsi="Times New Roman" w:cs="Times New Roman"/>
          <w:noProof/>
          <w:sz w:val="24"/>
          <w:szCs w:val="24"/>
        </w:rPr>
        <w:noBreakHyphen/>
        <w:t xml:space="preserve">related changes in heating demand. </w:t>
      </w:r>
      <w:r w:rsidR="00E36457">
        <w:rPr>
          <w:rFonts w:ascii="Times New Roman" w:hAnsi="Times New Roman" w:cs="Times New Roman"/>
          <w:noProof/>
          <w:sz w:val="24"/>
          <w:szCs w:val="24"/>
        </w:rPr>
        <w:t>Over the longer term, emissions have shown a</w:t>
      </w:r>
      <w:r>
        <w:rPr>
          <w:rFonts w:ascii="Times New Roman" w:hAnsi="Times New Roman" w:cs="Times New Roman"/>
          <w:noProof/>
          <w:sz w:val="24"/>
          <w:szCs w:val="24"/>
        </w:rPr>
        <w:t xml:space="preserve"> downward trend</w:t>
      </w:r>
      <w:r w:rsidR="00E36457">
        <w:rPr>
          <w:rFonts w:ascii="Times New Roman" w:hAnsi="Times New Roman" w:cs="Times New Roman"/>
          <w:noProof/>
          <w:sz w:val="24"/>
          <w:szCs w:val="24"/>
        </w:rPr>
        <w:t xml:space="preserve">, </w:t>
      </w:r>
      <w:r w:rsidR="008C7B9C">
        <w:rPr>
          <w:rFonts w:ascii="Times New Roman" w:hAnsi="Times New Roman" w:cs="Times New Roman"/>
          <w:noProof/>
          <w:sz w:val="24"/>
          <w:szCs w:val="24"/>
        </w:rPr>
        <w:t>which</w:t>
      </w:r>
      <w:r>
        <w:rPr>
          <w:rFonts w:ascii="Times New Roman" w:hAnsi="Times New Roman" w:cs="Times New Roman"/>
          <w:noProof/>
          <w:sz w:val="24"/>
          <w:szCs w:val="24"/>
        </w:rPr>
        <w:t xml:space="preserve"> is projected to continue </w:t>
      </w:r>
      <w:r w:rsidR="008C7B9C">
        <w:rPr>
          <w:rFonts w:ascii="Times New Roman" w:hAnsi="Times New Roman" w:cs="Times New Roman"/>
          <w:noProof/>
          <w:sz w:val="24"/>
          <w:szCs w:val="24"/>
        </w:rPr>
        <w:t>towards</w:t>
      </w:r>
      <w:r>
        <w:rPr>
          <w:rFonts w:ascii="Times New Roman" w:hAnsi="Times New Roman" w:cs="Times New Roman"/>
          <w:noProof/>
          <w:sz w:val="24"/>
          <w:szCs w:val="24"/>
        </w:rPr>
        <w:t xml:space="preserve"> 2030.</w:t>
      </w:r>
      <w:r w:rsidR="0011373B">
        <w:rPr>
          <w:rFonts w:ascii="Times New Roman" w:hAnsi="Times New Roman" w:cs="Times New Roman"/>
          <w:noProof/>
          <w:sz w:val="24"/>
          <w:szCs w:val="24"/>
        </w:rPr>
        <w:t xml:space="preserve"> </w:t>
      </w:r>
      <w:r w:rsidR="0011373B" w:rsidRPr="0011373B">
        <w:rPr>
          <w:rFonts w:ascii="Times New Roman" w:hAnsi="Times New Roman" w:cs="Times New Roman"/>
          <w:noProof/>
          <w:sz w:val="24"/>
          <w:szCs w:val="24"/>
        </w:rPr>
        <w:t xml:space="preserve">The </w:t>
      </w:r>
      <w:r w:rsidR="0011373B">
        <w:rPr>
          <w:rFonts w:ascii="Times New Roman" w:hAnsi="Times New Roman" w:cs="Times New Roman"/>
          <w:noProof/>
          <w:sz w:val="24"/>
          <w:szCs w:val="24"/>
        </w:rPr>
        <w:t>projected emissions decrease reflects</w:t>
      </w:r>
      <w:r w:rsidR="0011373B" w:rsidRPr="0011373B">
        <w:rPr>
          <w:rFonts w:ascii="Times New Roman" w:hAnsi="Times New Roman" w:cs="Times New Roman"/>
          <w:noProof/>
          <w:sz w:val="24"/>
          <w:szCs w:val="24"/>
        </w:rPr>
        <w:t xml:space="preserve"> the availability of marketable technologies that reduce energy demand and integration of renewables.</w:t>
      </w:r>
      <w:r>
        <w:rPr>
          <w:rFonts w:ascii="Times New Roman" w:hAnsi="Times New Roman" w:cs="Times New Roman"/>
          <w:noProof/>
          <w:sz w:val="24"/>
          <w:szCs w:val="24"/>
        </w:rPr>
        <w:t xml:space="preserve"> </w:t>
      </w:r>
      <w:r w:rsidR="00B51CB3">
        <w:rPr>
          <w:rFonts w:ascii="Times New Roman" w:hAnsi="Times New Roman" w:cs="Times New Roman"/>
          <w:noProof/>
          <w:sz w:val="24"/>
          <w:szCs w:val="24"/>
        </w:rPr>
        <w:t xml:space="preserve">Member States have planned new policies that can reduce emissions faster. </w:t>
      </w:r>
    </w:p>
    <w:p w14:paraId="6390BB95" w14:textId="7363400B" w:rsidR="00211875" w:rsidRDefault="00211875" w:rsidP="00E04ACD">
      <w:pPr>
        <w:jc w:val="both"/>
        <w:rPr>
          <w:rFonts w:ascii="Times New Roman" w:hAnsi="Times New Roman" w:cs="Times New Roman"/>
          <w:noProof/>
          <w:sz w:val="24"/>
          <w:szCs w:val="24"/>
        </w:rPr>
      </w:pPr>
      <w:r>
        <w:rPr>
          <w:rFonts w:ascii="Times New Roman" w:hAnsi="Times New Roman" w:cs="Times New Roman"/>
          <w:noProof/>
          <w:sz w:val="24"/>
          <w:szCs w:val="24"/>
        </w:rPr>
        <w:t xml:space="preserve">Emissions from </w:t>
      </w:r>
      <w:r>
        <w:rPr>
          <w:rFonts w:ascii="Times New Roman" w:hAnsi="Times New Roman" w:cs="Times New Roman"/>
          <w:b/>
          <w:noProof/>
          <w:sz w:val="24"/>
          <w:szCs w:val="24"/>
        </w:rPr>
        <w:t>agriculture</w:t>
      </w:r>
      <w:r>
        <w:rPr>
          <w:rFonts w:ascii="Times New Roman" w:hAnsi="Times New Roman" w:cs="Times New Roman"/>
          <w:noProof/>
          <w:sz w:val="24"/>
          <w:szCs w:val="24"/>
        </w:rPr>
        <w:t xml:space="preserve"> </w:t>
      </w:r>
      <w:r w:rsidR="0030411A">
        <w:rPr>
          <w:rFonts w:ascii="Times New Roman" w:hAnsi="Times New Roman" w:cs="Times New Roman"/>
          <w:noProof/>
          <w:sz w:val="24"/>
          <w:szCs w:val="24"/>
        </w:rPr>
        <w:t>(non-CO</w:t>
      </w:r>
      <w:r w:rsidR="0030411A" w:rsidRPr="0030411A">
        <w:rPr>
          <w:rFonts w:ascii="Times New Roman" w:hAnsi="Times New Roman" w:cs="Times New Roman"/>
          <w:noProof/>
          <w:sz w:val="24"/>
          <w:szCs w:val="24"/>
          <w:vertAlign w:val="subscript"/>
        </w:rPr>
        <w:t>2</w:t>
      </w:r>
      <w:r w:rsidR="0030411A">
        <w:rPr>
          <w:rFonts w:ascii="Times New Roman" w:hAnsi="Times New Roman" w:cs="Times New Roman"/>
          <w:noProof/>
          <w:sz w:val="24"/>
          <w:szCs w:val="24"/>
        </w:rPr>
        <w:t xml:space="preserve">) </w:t>
      </w:r>
      <w:r>
        <w:rPr>
          <w:rFonts w:ascii="Times New Roman" w:hAnsi="Times New Roman" w:cs="Times New Roman"/>
          <w:noProof/>
          <w:sz w:val="24"/>
          <w:szCs w:val="24"/>
        </w:rPr>
        <w:t>were at a similar level in 201</w:t>
      </w:r>
      <w:r w:rsidR="00390E7B">
        <w:rPr>
          <w:rFonts w:ascii="Times New Roman" w:hAnsi="Times New Roman" w:cs="Times New Roman"/>
          <w:noProof/>
          <w:sz w:val="24"/>
          <w:szCs w:val="24"/>
        </w:rPr>
        <w:t>8</w:t>
      </w:r>
      <w:r>
        <w:rPr>
          <w:rFonts w:ascii="Times New Roman" w:hAnsi="Times New Roman" w:cs="Times New Roman"/>
          <w:noProof/>
          <w:sz w:val="24"/>
          <w:szCs w:val="24"/>
        </w:rPr>
        <w:t xml:space="preserve"> as in 2005 and are projected to remain stable in the period to 2030, with existing policies. </w:t>
      </w:r>
      <w:r w:rsidR="00B51CB3">
        <w:rPr>
          <w:rFonts w:ascii="Times New Roman" w:hAnsi="Times New Roman" w:cs="Times New Roman"/>
          <w:noProof/>
          <w:sz w:val="24"/>
          <w:szCs w:val="24"/>
        </w:rPr>
        <w:t xml:space="preserve">Even with the implementation of planned policies, only a minor decrease is projected. </w:t>
      </w:r>
    </w:p>
    <w:p w14:paraId="419CDDCF" w14:textId="7644C5A6" w:rsidR="004C23CE" w:rsidRDefault="004C23CE" w:rsidP="00E04ACD">
      <w:pPr>
        <w:jc w:val="both"/>
        <w:rPr>
          <w:rFonts w:ascii="Times New Roman" w:hAnsi="Times New Roman" w:cs="Times New Roman"/>
          <w:noProof/>
          <w:sz w:val="24"/>
          <w:szCs w:val="24"/>
        </w:rPr>
      </w:pPr>
      <w:r>
        <w:rPr>
          <w:noProof/>
          <w:lang w:eastAsia="en-GB"/>
        </w:rPr>
        <mc:AlternateContent>
          <mc:Choice Requires="wps">
            <w:drawing>
              <wp:inline distT="0" distB="0" distL="0" distR="0" wp14:anchorId="475F66F1" wp14:editId="05532316">
                <wp:extent cx="5695950" cy="5729844"/>
                <wp:effectExtent l="0" t="0" r="19050" b="23495"/>
                <wp:docPr id="8" name="Text Box 8"/>
                <wp:cNvGraphicFramePr/>
                <a:graphic xmlns:a="http://schemas.openxmlformats.org/drawingml/2006/main">
                  <a:graphicData uri="http://schemas.microsoft.com/office/word/2010/wordprocessingShape">
                    <wps:wsp>
                      <wps:cNvSpPr txBox="1"/>
                      <wps:spPr>
                        <a:xfrm>
                          <a:off x="0" y="0"/>
                          <a:ext cx="5695950" cy="5729844"/>
                        </a:xfrm>
                        <a:prstGeom prst="rect">
                          <a:avLst/>
                        </a:prstGeom>
                        <a:solidFill>
                          <a:schemeClr val="lt1"/>
                        </a:solidFill>
                        <a:ln w="6350">
                          <a:solidFill>
                            <a:prstClr val="black"/>
                          </a:solidFill>
                        </a:ln>
                      </wps:spPr>
                      <wps:txbx>
                        <w:txbxContent>
                          <w:p w14:paraId="27E75FD2" w14:textId="7FD12C9D" w:rsidR="004C23CE" w:rsidRPr="001848EE" w:rsidRDefault="004C23CE" w:rsidP="004C23CE">
                            <w:pPr>
                              <w:jc w:val="both"/>
                              <w:rPr>
                                <w:rFonts w:ascii="Times New Roman" w:hAnsi="Times New Roman" w:cs="Times New Roman"/>
                                <w:b/>
                                <w:sz w:val="24"/>
                                <w:szCs w:val="24"/>
                              </w:rPr>
                            </w:pPr>
                            <w:r w:rsidRPr="001848EE">
                              <w:rPr>
                                <w:rFonts w:ascii="Times New Roman" w:hAnsi="Times New Roman" w:cs="Times New Roman"/>
                                <w:b/>
                                <w:sz w:val="24"/>
                                <w:szCs w:val="24"/>
                              </w:rPr>
                              <w:t>Verbiostraw</w:t>
                            </w:r>
                            <w:r>
                              <w:rPr>
                                <w:rFonts w:ascii="Times New Roman" w:hAnsi="Times New Roman" w:cs="Times New Roman"/>
                                <w:b/>
                                <w:sz w:val="24"/>
                                <w:szCs w:val="24"/>
                              </w:rPr>
                              <w:t xml:space="preserve"> biogas plant</w:t>
                            </w:r>
                            <w:r w:rsidR="00CE5A68">
                              <w:rPr>
                                <w:rFonts w:ascii="Times New Roman" w:hAnsi="Times New Roman" w:cs="Times New Roman"/>
                                <w:b/>
                                <w:sz w:val="24"/>
                                <w:szCs w:val="24"/>
                              </w:rPr>
                              <w:t>*</w:t>
                            </w:r>
                          </w:p>
                          <w:p w14:paraId="7253D1AE" w14:textId="77777777" w:rsidR="004C23CE" w:rsidRPr="001848EE" w:rsidRDefault="004C23CE" w:rsidP="004C23CE">
                            <w:pPr>
                              <w:jc w:val="both"/>
                              <w:rPr>
                                <w:rFonts w:ascii="Times New Roman" w:hAnsi="Times New Roman" w:cs="Times New Roman"/>
                                <w:sz w:val="24"/>
                                <w:szCs w:val="24"/>
                              </w:rPr>
                            </w:pPr>
                            <w:r w:rsidRPr="001848EE">
                              <w:rPr>
                                <w:rFonts w:ascii="Times New Roman" w:hAnsi="Times New Roman" w:cs="Times New Roman"/>
                                <w:noProof/>
                                <w:sz w:val="24"/>
                                <w:szCs w:val="24"/>
                                <w:lang w:eastAsia="en-GB"/>
                              </w:rPr>
                              <w:drawing>
                                <wp:inline distT="0" distB="0" distL="0" distR="0" wp14:anchorId="008A7ADD" wp14:editId="5B98215D">
                                  <wp:extent cx="4952390" cy="2823210"/>
                                  <wp:effectExtent l="0" t="0" r="635" b="0"/>
                                  <wp:docPr id="10" name="Content Placeholder 8">
                                    <a:extLst xmlns:a="http://schemas.openxmlformats.org/drawingml/2006/main">
                                      <a:ext uri="{FF2B5EF4-FFF2-40B4-BE49-F238E27FC236}">
                                        <a16:creationId xmlns:a16="http://schemas.microsoft.com/office/drawing/2014/main"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515AF2AC-35A9-427C-B117-848B799863BA}"/>
                                              </a:ext>
                                            </a:extLst>
                                          </pic:cNvPr>
                                          <pic:cNvPicPr>
                                            <a:picLocks noGrp="1" noChangeAspect="1"/>
                                          </pic:cNvPicPr>
                                        </pic:nvPicPr>
                                        <pic:blipFill>
                                          <a:blip r:embed="rId23"/>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14:paraId="149FEA9D" w14:textId="77777777" w:rsidR="004C23CE" w:rsidRPr="001848EE" w:rsidRDefault="004C23CE" w:rsidP="004C23CE">
                            <w:pPr>
                              <w:jc w:val="both"/>
                              <w:rPr>
                                <w:rFonts w:ascii="Times New Roman" w:hAnsi="Times New Roman" w:cs="Times New Roman"/>
                                <w:sz w:val="24"/>
                                <w:szCs w:val="24"/>
                              </w:rPr>
                            </w:pPr>
                            <w:r w:rsidRPr="001848EE">
                              <w:rPr>
                                <w:rFonts w:ascii="Times New Roman" w:hAnsi="Times New Roman" w:cs="Times New Roman"/>
                                <w:sz w:val="24"/>
                                <w:szCs w:val="24"/>
                              </w:rPr>
                              <w:t xml:space="preserve">Verbiostraw is a biogas plant that converts straw into biomethane which is fed into the local natural gas network. The current capacity of the plant is 8 MW to be extended up to 16.5 MW generating up to140 GWh of biomethane annually.  </w:t>
                            </w:r>
                          </w:p>
                          <w:p w14:paraId="55F839D0" w14:textId="77777777" w:rsidR="004C23CE" w:rsidRPr="001848EE" w:rsidRDefault="004C23CE" w:rsidP="004C23CE">
                            <w:pPr>
                              <w:jc w:val="both"/>
                              <w:rPr>
                                <w:rFonts w:ascii="Times New Roman" w:hAnsi="Times New Roman" w:cs="Times New Roman"/>
                                <w:sz w:val="24"/>
                                <w:szCs w:val="24"/>
                              </w:rPr>
                            </w:pPr>
                            <w:r w:rsidRPr="001848EE">
                              <w:rPr>
                                <w:rFonts w:ascii="Times New Roman" w:hAnsi="Times New Roman" w:cs="Times New Roman"/>
                                <w:sz w:val="24"/>
                                <w:szCs w:val="24"/>
                              </w:rPr>
                              <w:t>Verbiostraw is a first-of-a-kind project that demonstrates an advanced biogas technology at large scale. The plant uses an innovative mono straw fermentation technology to manufacture biomethane from straw</w:t>
                            </w:r>
                            <w:r>
                              <w:rPr>
                                <w:rFonts w:ascii="Times New Roman" w:hAnsi="Times New Roman" w:cs="Times New Roman"/>
                                <w:sz w:val="24"/>
                                <w:szCs w:val="24"/>
                              </w:rPr>
                              <w:t xml:space="preserve"> only</w:t>
                            </w:r>
                            <w:r w:rsidRPr="001848EE">
                              <w:rPr>
                                <w:rFonts w:ascii="Times New Roman" w:hAnsi="Times New Roman" w:cs="Times New Roman"/>
                                <w:sz w:val="24"/>
                                <w:szCs w:val="24"/>
                              </w:rPr>
                              <w:t xml:space="preserve">. It demonstrates that not only foodstuff raw materials can be used to produce biofuels but also residual materials from agriculture. </w:t>
                            </w:r>
                          </w:p>
                          <w:p w14:paraId="2ECEC3EB" w14:textId="2336EE69" w:rsidR="004C23CE" w:rsidRDefault="004C23CE" w:rsidP="004C23CE">
                            <w:pPr>
                              <w:jc w:val="both"/>
                              <w:rPr>
                                <w:rFonts w:ascii="Times New Roman" w:hAnsi="Times New Roman" w:cs="Times New Roman"/>
                                <w:sz w:val="24"/>
                                <w:szCs w:val="24"/>
                              </w:rPr>
                            </w:pPr>
                            <w:r w:rsidRPr="001848EE">
                              <w:rPr>
                                <w:rFonts w:ascii="Times New Roman" w:hAnsi="Times New Roman" w:cs="Times New Roman"/>
                                <w:sz w:val="24"/>
                                <w:szCs w:val="24"/>
                              </w:rPr>
                              <w:t xml:space="preserve">The project is located in Schwedt, Brandenburg (Germany) </w:t>
                            </w:r>
                            <w:r>
                              <w:rPr>
                                <w:rFonts w:ascii="Times New Roman" w:hAnsi="Times New Roman" w:cs="Times New Roman"/>
                                <w:sz w:val="24"/>
                                <w:szCs w:val="24"/>
                              </w:rPr>
                              <w:t>and</w:t>
                            </w:r>
                            <w:r w:rsidRPr="001848EE">
                              <w:rPr>
                                <w:rFonts w:ascii="Times New Roman" w:hAnsi="Times New Roman" w:cs="Times New Roman"/>
                                <w:sz w:val="24"/>
                                <w:szCs w:val="24"/>
                              </w:rPr>
                              <w:t xml:space="preserve"> received EUR 22.3 million of N</w:t>
                            </w:r>
                            <w:r w:rsidR="00ED69A9">
                              <w:rPr>
                                <w:rFonts w:ascii="Times New Roman" w:hAnsi="Times New Roman" w:cs="Times New Roman"/>
                                <w:sz w:val="24"/>
                                <w:szCs w:val="24"/>
                              </w:rPr>
                              <w:t xml:space="preserve">ew </w:t>
                            </w:r>
                            <w:r w:rsidRPr="001848EE">
                              <w:rPr>
                                <w:rFonts w:ascii="Times New Roman" w:hAnsi="Times New Roman" w:cs="Times New Roman"/>
                                <w:sz w:val="24"/>
                                <w:szCs w:val="24"/>
                              </w:rPr>
                              <w:t>E</w:t>
                            </w:r>
                            <w:r w:rsidR="00ED69A9">
                              <w:rPr>
                                <w:rFonts w:ascii="Times New Roman" w:hAnsi="Times New Roman" w:cs="Times New Roman"/>
                                <w:sz w:val="24"/>
                                <w:szCs w:val="24"/>
                              </w:rPr>
                              <w:t xml:space="preserve">ntrants </w:t>
                            </w:r>
                            <w:r w:rsidRPr="001848EE">
                              <w:rPr>
                                <w:rFonts w:ascii="Times New Roman" w:hAnsi="Times New Roman" w:cs="Times New Roman"/>
                                <w:sz w:val="24"/>
                                <w:szCs w:val="24"/>
                              </w:rPr>
                              <w:t>R</w:t>
                            </w:r>
                            <w:r w:rsidR="00ED69A9">
                              <w:rPr>
                                <w:rFonts w:ascii="Times New Roman" w:hAnsi="Times New Roman" w:cs="Times New Roman"/>
                                <w:sz w:val="24"/>
                                <w:szCs w:val="24"/>
                              </w:rPr>
                              <w:t>eserve</w:t>
                            </w:r>
                            <w:r w:rsidRPr="001848EE">
                              <w:rPr>
                                <w:rFonts w:ascii="Times New Roman" w:hAnsi="Times New Roman" w:cs="Times New Roman"/>
                                <w:sz w:val="24"/>
                                <w:szCs w:val="24"/>
                              </w:rPr>
                              <w:t xml:space="preserve"> </w:t>
                            </w:r>
                            <w:r w:rsidR="00ED69A9">
                              <w:rPr>
                                <w:rFonts w:ascii="Times New Roman" w:hAnsi="Times New Roman" w:cs="Times New Roman"/>
                                <w:sz w:val="24"/>
                                <w:szCs w:val="24"/>
                              </w:rPr>
                              <w:t xml:space="preserve">(NER) </w:t>
                            </w:r>
                            <w:r w:rsidRPr="001848EE">
                              <w:rPr>
                                <w:rFonts w:ascii="Times New Roman" w:hAnsi="Times New Roman" w:cs="Times New Roman"/>
                                <w:sz w:val="24"/>
                                <w:szCs w:val="24"/>
                              </w:rPr>
                              <w:t>300 funding.</w:t>
                            </w:r>
                          </w:p>
                          <w:p w14:paraId="768502AD" w14:textId="6F5E19C7" w:rsidR="00CE5A68" w:rsidRPr="00CE5A68" w:rsidRDefault="00CE5A68" w:rsidP="004C23CE">
                            <w:pPr>
                              <w:jc w:val="both"/>
                              <w:rPr>
                                <w:rFonts w:ascii="Times New Roman" w:hAnsi="Times New Roman" w:cs="Times New Roman"/>
                                <w:sz w:val="20"/>
                                <w:szCs w:val="24"/>
                              </w:rPr>
                            </w:pPr>
                            <w:r w:rsidRPr="00CE5A68">
                              <w:rPr>
                                <w:rFonts w:ascii="Times New Roman" w:hAnsi="Times New Roman" w:cs="Times New Roman"/>
                                <w:sz w:val="20"/>
                                <w:szCs w:val="24"/>
                              </w:rPr>
                              <w:t>*The project is an example of how EU funds contribute to innovation in sectors covered by the effort</w:t>
                            </w:r>
                            <w:r w:rsidR="00AE1D47">
                              <w:rPr>
                                <w:rFonts w:ascii="Times New Roman" w:hAnsi="Times New Roman" w:cs="Times New Roman"/>
                                <w:sz w:val="20"/>
                                <w:szCs w:val="24"/>
                              </w:rPr>
                              <w:t xml:space="preserve"> </w:t>
                            </w:r>
                            <w:r w:rsidRPr="00CE5A68">
                              <w:rPr>
                                <w:rFonts w:ascii="Times New Roman" w:hAnsi="Times New Roman" w:cs="Times New Roman"/>
                                <w:sz w:val="20"/>
                                <w:szCs w:val="24"/>
                              </w:rPr>
                              <w:t xml:space="preserve">sharing legislation. </w:t>
                            </w:r>
                          </w:p>
                          <w:p w14:paraId="4D3EE2AA" w14:textId="77777777" w:rsidR="004C23CE" w:rsidRPr="00CE5A68" w:rsidRDefault="004C23CE" w:rsidP="004C23CE">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5F66F1" id="Text Box 8" o:spid="_x0000_s1028" type="#_x0000_t202" style="width:448.5pt;height:4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" fillcolor="white [3201]" strokeweight=".5pt">
                <v:textbox>
                  <w:txbxContent>
                    <w:p w14:paraId="27E75FD2" w14:textId="7FD12C9D" w:rsidR="004C23CE" w:rsidRPr="001848EE" w:rsidRDefault="004C23CE" w:rsidP="004C23CE">
                      <w:pPr>
                        <w:jc w:val="both"/>
                        <w:rPr>
                          <w:rFonts w:ascii="Times New Roman" w:hAnsi="Times New Roman" w:cs="Times New Roman"/>
                          <w:b/>
                          <w:sz w:val="24"/>
                          <w:szCs w:val="24"/>
                        </w:rPr>
                      </w:pPr>
                      <w:r w:rsidRPr="001848EE">
                        <w:rPr>
                          <w:rFonts w:ascii="Times New Roman" w:hAnsi="Times New Roman" w:cs="Times New Roman"/>
                          <w:b/>
                          <w:sz w:val="24"/>
                          <w:szCs w:val="24"/>
                        </w:rPr>
                        <w:t>Verbiostraw</w:t>
                      </w:r>
                      <w:r>
                        <w:rPr>
                          <w:rFonts w:ascii="Times New Roman" w:hAnsi="Times New Roman" w:cs="Times New Roman"/>
                          <w:b/>
                          <w:sz w:val="24"/>
                          <w:szCs w:val="24"/>
                        </w:rPr>
                        <w:t xml:space="preserve"> biogas plant</w:t>
                      </w:r>
                      <w:r w:rsidR="00CE5A68">
                        <w:rPr>
                          <w:rFonts w:ascii="Times New Roman" w:hAnsi="Times New Roman" w:cs="Times New Roman"/>
                          <w:b/>
                          <w:sz w:val="24"/>
                          <w:szCs w:val="24"/>
                        </w:rPr>
                        <w:t>*</w:t>
                      </w:r>
                    </w:p>
                    <w:p w14:paraId="7253D1AE" w14:textId="77777777" w:rsidR="004C23CE" w:rsidRPr="001848EE" w:rsidRDefault="004C23CE" w:rsidP="004C23CE">
                      <w:pPr>
                        <w:jc w:val="both"/>
                        <w:rPr>
                          <w:rFonts w:ascii="Times New Roman" w:hAnsi="Times New Roman" w:cs="Times New Roman"/>
                          <w:sz w:val="24"/>
                          <w:szCs w:val="24"/>
                        </w:rPr>
                      </w:pPr>
                      <w:r w:rsidRPr="001848EE">
                        <w:rPr>
                          <w:rFonts w:ascii="Times New Roman" w:hAnsi="Times New Roman" w:cs="Times New Roman"/>
                          <w:noProof/>
                          <w:sz w:val="24"/>
                          <w:szCs w:val="24"/>
                          <w:lang w:eastAsia="en-GB"/>
                        </w:rPr>
                        <w:drawing>
                          <wp:inline distT="0" distB="0" distL="0" distR="0" wp14:anchorId="008A7ADD" wp14:editId="5B98215D">
                            <wp:extent cx="4952390" cy="2823210"/>
                            <wp:effectExtent l="0" t="0" r="635" b="0"/>
                            <wp:docPr id="10" name="Content Placeholder 8">
                              <a:extLst xmlns:a="http://schemas.openxmlformats.org/drawingml/2006/main">
                                <a:ext uri="{FF2B5EF4-FFF2-40B4-BE49-F238E27FC236}">
                                  <a16:creationId xmlns:a16="http://schemas.microsoft.com/office/drawing/2014/main"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515AF2AC-35A9-427C-B117-848B799863BA}"/>
                                        </a:ext>
                                      </a:extLst>
                                    </pic:cNvPr>
                                    <pic:cNvPicPr>
                                      <a:picLocks noGrp="1" noChangeAspect="1"/>
                                    </pic:cNvPicPr>
                                  </pic:nvPicPr>
                                  <pic:blipFill>
                                    <a:blip r:embed="rId23"/>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14:paraId="149FEA9D" w14:textId="77777777" w:rsidR="004C23CE" w:rsidRPr="001848EE" w:rsidRDefault="004C23CE" w:rsidP="004C23CE">
                      <w:pPr>
                        <w:jc w:val="both"/>
                        <w:rPr>
                          <w:rFonts w:ascii="Times New Roman" w:hAnsi="Times New Roman" w:cs="Times New Roman"/>
                          <w:sz w:val="24"/>
                          <w:szCs w:val="24"/>
                        </w:rPr>
                      </w:pPr>
                      <w:r w:rsidRPr="001848EE">
                        <w:rPr>
                          <w:rFonts w:ascii="Times New Roman" w:hAnsi="Times New Roman" w:cs="Times New Roman"/>
                          <w:sz w:val="24"/>
                          <w:szCs w:val="24"/>
                        </w:rPr>
                        <w:t xml:space="preserve">Verbiostraw is a biogas plant that converts straw into biomethane which is fed into the local natural gas network. The current capacity of the plant is 8 MW to be extended up to 16.5 MW generating up to140 GWh of biomethane annually.  </w:t>
                      </w:r>
                    </w:p>
                    <w:p w14:paraId="55F839D0" w14:textId="77777777" w:rsidR="004C23CE" w:rsidRPr="001848EE" w:rsidRDefault="004C23CE" w:rsidP="004C23CE">
                      <w:pPr>
                        <w:jc w:val="both"/>
                        <w:rPr>
                          <w:rFonts w:ascii="Times New Roman" w:hAnsi="Times New Roman" w:cs="Times New Roman"/>
                          <w:sz w:val="24"/>
                          <w:szCs w:val="24"/>
                        </w:rPr>
                      </w:pPr>
                      <w:r w:rsidRPr="001848EE">
                        <w:rPr>
                          <w:rFonts w:ascii="Times New Roman" w:hAnsi="Times New Roman" w:cs="Times New Roman"/>
                          <w:sz w:val="24"/>
                          <w:szCs w:val="24"/>
                        </w:rPr>
                        <w:t>Verbiostraw is a first-of-a-kind project that demonstrates an advanced biogas technology at large scale. The plant uses an innovative mono straw fermentation technology to manufacture biomethane from straw</w:t>
                      </w:r>
                      <w:r>
                        <w:rPr>
                          <w:rFonts w:ascii="Times New Roman" w:hAnsi="Times New Roman" w:cs="Times New Roman"/>
                          <w:sz w:val="24"/>
                          <w:szCs w:val="24"/>
                        </w:rPr>
                        <w:t xml:space="preserve"> only</w:t>
                      </w:r>
                      <w:r w:rsidRPr="001848EE">
                        <w:rPr>
                          <w:rFonts w:ascii="Times New Roman" w:hAnsi="Times New Roman" w:cs="Times New Roman"/>
                          <w:sz w:val="24"/>
                          <w:szCs w:val="24"/>
                        </w:rPr>
                        <w:t xml:space="preserve">. It demonstrates that not only foodstuff raw materials can be used to produce biofuels but also residual materials from agriculture. </w:t>
                      </w:r>
                    </w:p>
                    <w:p w14:paraId="2ECEC3EB" w14:textId="2336EE69" w:rsidR="004C23CE" w:rsidRDefault="004C23CE" w:rsidP="004C23CE">
                      <w:pPr>
                        <w:jc w:val="both"/>
                        <w:rPr>
                          <w:rFonts w:ascii="Times New Roman" w:hAnsi="Times New Roman" w:cs="Times New Roman"/>
                          <w:sz w:val="24"/>
                          <w:szCs w:val="24"/>
                        </w:rPr>
                      </w:pPr>
                      <w:r w:rsidRPr="001848EE">
                        <w:rPr>
                          <w:rFonts w:ascii="Times New Roman" w:hAnsi="Times New Roman" w:cs="Times New Roman"/>
                          <w:sz w:val="24"/>
                          <w:szCs w:val="24"/>
                        </w:rPr>
                        <w:t xml:space="preserve">The project is located in Schwedt, Brandenburg (Germany) </w:t>
                      </w:r>
                      <w:r>
                        <w:rPr>
                          <w:rFonts w:ascii="Times New Roman" w:hAnsi="Times New Roman" w:cs="Times New Roman"/>
                          <w:sz w:val="24"/>
                          <w:szCs w:val="24"/>
                        </w:rPr>
                        <w:t>and</w:t>
                      </w:r>
                      <w:r w:rsidRPr="001848EE">
                        <w:rPr>
                          <w:rFonts w:ascii="Times New Roman" w:hAnsi="Times New Roman" w:cs="Times New Roman"/>
                          <w:sz w:val="24"/>
                          <w:szCs w:val="24"/>
                        </w:rPr>
                        <w:t xml:space="preserve"> received EUR 22.3 million of N</w:t>
                      </w:r>
                      <w:r w:rsidR="00ED69A9">
                        <w:rPr>
                          <w:rFonts w:ascii="Times New Roman" w:hAnsi="Times New Roman" w:cs="Times New Roman"/>
                          <w:sz w:val="24"/>
                          <w:szCs w:val="24"/>
                        </w:rPr>
                        <w:t xml:space="preserve">ew </w:t>
                      </w:r>
                      <w:r w:rsidRPr="001848EE">
                        <w:rPr>
                          <w:rFonts w:ascii="Times New Roman" w:hAnsi="Times New Roman" w:cs="Times New Roman"/>
                          <w:sz w:val="24"/>
                          <w:szCs w:val="24"/>
                        </w:rPr>
                        <w:t>E</w:t>
                      </w:r>
                      <w:r w:rsidR="00ED69A9">
                        <w:rPr>
                          <w:rFonts w:ascii="Times New Roman" w:hAnsi="Times New Roman" w:cs="Times New Roman"/>
                          <w:sz w:val="24"/>
                          <w:szCs w:val="24"/>
                        </w:rPr>
                        <w:t xml:space="preserve">ntrants </w:t>
                      </w:r>
                      <w:r w:rsidRPr="001848EE">
                        <w:rPr>
                          <w:rFonts w:ascii="Times New Roman" w:hAnsi="Times New Roman" w:cs="Times New Roman"/>
                          <w:sz w:val="24"/>
                          <w:szCs w:val="24"/>
                        </w:rPr>
                        <w:t>R</w:t>
                      </w:r>
                      <w:r w:rsidR="00ED69A9">
                        <w:rPr>
                          <w:rFonts w:ascii="Times New Roman" w:hAnsi="Times New Roman" w:cs="Times New Roman"/>
                          <w:sz w:val="24"/>
                          <w:szCs w:val="24"/>
                        </w:rPr>
                        <w:t>eserve</w:t>
                      </w:r>
                      <w:r w:rsidRPr="001848EE">
                        <w:rPr>
                          <w:rFonts w:ascii="Times New Roman" w:hAnsi="Times New Roman" w:cs="Times New Roman"/>
                          <w:sz w:val="24"/>
                          <w:szCs w:val="24"/>
                        </w:rPr>
                        <w:t xml:space="preserve"> </w:t>
                      </w:r>
                      <w:r w:rsidR="00ED69A9">
                        <w:rPr>
                          <w:rFonts w:ascii="Times New Roman" w:hAnsi="Times New Roman" w:cs="Times New Roman"/>
                          <w:sz w:val="24"/>
                          <w:szCs w:val="24"/>
                        </w:rPr>
                        <w:t xml:space="preserve">(NER) </w:t>
                      </w:r>
                      <w:r w:rsidRPr="001848EE">
                        <w:rPr>
                          <w:rFonts w:ascii="Times New Roman" w:hAnsi="Times New Roman" w:cs="Times New Roman"/>
                          <w:sz w:val="24"/>
                          <w:szCs w:val="24"/>
                        </w:rPr>
                        <w:t>300 funding.</w:t>
                      </w:r>
                    </w:p>
                    <w:p w14:paraId="768502AD" w14:textId="6F5E19C7" w:rsidR="00CE5A68" w:rsidRPr="00CE5A68" w:rsidRDefault="00CE5A68" w:rsidP="004C23CE">
                      <w:pPr>
                        <w:jc w:val="both"/>
                        <w:rPr>
                          <w:rFonts w:ascii="Times New Roman" w:hAnsi="Times New Roman" w:cs="Times New Roman"/>
                          <w:sz w:val="20"/>
                          <w:szCs w:val="24"/>
                        </w:rPr>
                      </w:pPr>
                      <w:r w:rsidRPr="00CE5A68">
                        <w:rPr>
                          <w:rFonts w:ascii="Times New Roman" w:hAnsi="Times New Roman" w:cs="Times New Roman"/>
                          <w:sz w:val="20"/>
                          <w:szCs w:val="24"/>
                        </w:rPr>
                        <w:t>*The project is an example of how EU funds contribute to innovation in sectors covered by the effort</w:t>
                      </w:r>
                      <w:r w:rsidR="00AE1D47">
                        <w:rPr>
                          <w:rFonts w:ascii="Times New Roman" w:hAnsi="Times New Roman" w:cs="Times New Roman"/>
                          <w:sz w:val="20"/>
                          <w:szCs w:val="24"/>
                        </w:rPr>
                        <w:t xml:space="preserve"> </w:t>
                      </w:r>
                      <w:r w:rsidRPr="00CE5A68">
                        <w:rPr>
                          <w:rFonts w:ascii="Times New Roman" w:hAnsi="Times New Roman" w:cs="Times New Roman"/>
                          <w:sz w:val="20"/>
                          <w:szCs w:val="24"/>
                        </w:rPr>
                        <w:t xml:space="preserve">sharing legislation. </w:t>
                      </w:r>
                    </w:p>
                    <w:p w14:paraId="4D3EE2AA" w14:textId="77777777" w:rsidR="004C23CE" w:rsidRPr="00CE5A68" w:rsidRDefault="004C23CE" w:rsidP="004C23CE">
                      <w:pPr>
                        <w:rPr>
                          <w:sz w:val="20"/>
                        </w:rPr>
                      </w:pPr>
                    </w:p>
                  </w:txbxContent>
                </v:textbox>
                <w10:anchorlock/>
              </v:shape>
            </w:pict>
          </mc:Fallback>
        </mc:AlternateContent>
      </w:r>
    </w:p>
    <w:p w14:paraId="3BE06A1D" w14:textId="02FAC046" w:rsidR="00CE78E6" w:rsidRDefault="00211875" w:rsidP="00E04ACD">
      <w:pPr>
        <w:jc w:val="both"/>
        <w:rPr>
          <w:rFonts w:ascii="Times New Roman" w:hAnsi="Times New Roman" w:cs="Times New Roman"/>
          <w:noProof/>
          <w:sz w:val="24"/>
          <w:szCs w:val="24"/>
        </w:rPr>
      </w:pPr>
      <w:r>
        <w:rPr>
          <w:rFonts w:ascii="Times New Roman" w:hAnsi="Times New Roman" w:cs="Times New Roman"/>
          <w:noProof/>
          <w:sz w:val="24"/>
          <w:szCs w:val="24"/>
        </w:rPr>
        <w:t xml:space="preserve">Emissions from </w:t>
      </w:r>
      <w:r>
        <w:rPr>
          <w:rFonts w:ascii="Times New Roman" w:hAnsi="Times New Roman" w:cs="Times New Roman"/>
          <w:b/>
          <w:noProof/>
          <w:sz w:val="24"/>
          <w:szCs w:val="24"/>
        </w:rPr>
        <w:t xml:space="preserve">waste management </w:t>
      </w:r>
      <w:r>
        <w:rPr>
          <w:rFonts w:ascii="Times New Roman" w:hAnsi="Times New Roman" w:cs="Times New Roman"/>
          <w:noProof/>
          <w:sz w:val="24"/>
          <w:szCs w:val="24"/>
        </w:rPr>
        <w:t>decreased by 3</w:t>
      </w:r>
      <w:r w:rsidR="00390E7B">
        <w:rPr>
          <w:rFonts w:ascii="Times New Roman" w:hAnsi="Times New Roman" w:cs="Times New Roman"/>
          <w:noProof/>
          <w:sz w:val="24"/>
          <w:szCs w:val="24"/>
        </w:rPr>
        <w:t>3</w:t>
      </w:r>
      <w:r w:rsidR="00684416">
        <w:rPr>
          <w:rFonts w:ascii="Times New Roman" w:hAnsi="Times New Roman" w:cs="Times New Roman"/>
          <w:noProof/>
          <w:sz w:val="24"/>
          <w:szCs w:val="24"/>
        </w:rPr>
        <w:t>%</w:t>
      </w:r>
      <w:r>
        <w:rPr>
          <w:rFonts w:ascii="Times New Roman" w:hAnsi="Times New Roman" w:cs="Times New Roman"/>
          <w:noProof/>
          <w:sz w:val="24"/>
          <w:szCs w:val="24"/>
        </w:rPr>
        <w:t xml:space="preserve"> between 2005 and 201</w:t>
      </w:r>
      <w:r w:rsidR="00390E7B">
        <w:rPr>
          <w:rFonts w:ascii="Times New Roman" w:hAnsi="Times New Roman" w:cs="Times New Roman"/>
          <w:noProof/>
          <w:sz w:val="24"/>
          <w:szCs w:val="24"/>
        </w:rPr>
        <w:t>8</w:t>
      </w:r>
      <w:r>
        <w:rPr>
          <w:rFonts w:ascii="Times New Roman" w:hAnsi="Times New Roman" w:cs="Times New Roman"/>
          <w:noProof/>
          <w:sz w:val="24"/>
          <w:szCs w:val="24"/>
        </w:rPr>
        <w:t>, and th</w:t>
      </w:r>
      <w:r w:rsidR="00ED69A9">
        <w:rPr>
          <w:rFonts w:ascii="Times New Roman" w:hAnsi="Times New Roman" w:cs="Times New Roman"/>
          <w:noProof/>
          <w:sz w:val="24"/>
          <w:szCs w:val="24"/>
        </w:rPr>
        <w:t>is</w:t>
      </w:r>
      <w:r>
        <w:rPr>
          <w:rFonts w:ascii="Times New Roman" w:hAnsi="Times New Roman" w:cs="Times New Roman"/>
          <w:noProof/>
          <w:sz w:val="24"/>
          <w:szCs w:val="24"/>
        </w:rPr>
        <w:t xml:space="preserve"> steep downward trend is projected to continue. </w:t>
      </w:r>
    </w:p>
    <w:p w14:paraId="23A5AF52" w14:textId="1C81CD42" w:rsidR="00CE78E6" w:rsidRPr="000A05F2" w:rsidRDefault="00211875" w:rsidP="00CE78E6">
      <w:pPr>
        <w:pStyle w:val="NormalWeb"/>
        <w:spacing w:after="200" w:line="276" w:lineRule="auto"/>
        <w:jc w:val="both"/>
        <w:rPr>
          <w:noProof/>
        </w:rPr>
      </w:pPr>
      <w:r>
        <w:rPr>
          <w:noProof/>
        </w:rPr>
        <w:t xml:space="preserve">ESD emissions from </w:t>
      </w:r>
      <w:r>
        <w:rPr>
          <w:b/>
          <w:noProof/>
        </w:rPr>
        <w:t>industry and other sectors</w:t>
      </w:r>
      <w:r>
        <w:rPr>
          <w:noProof/>
        </w:rPr>
        <w:t xml:space="preserve"> were 12</w:t>
      </w:r>
      <w:r w:rsidR="00684416">
        <w:rPr>
          <w:noProof/>
        </w:rPr>
        <w:t>%</w:t>
      </w:r>
      <w:r>
        <w:rPr>
          <w:noProof/>
        </w:rPr>
        <w:t xml:space="preserve"> lower in 2017 than in 2005 and are projected to continue to fall.</w:t>
      </w:r>
      <w:r w:rsidR="00CE78E6">
        <w:rPr>
          <w:noProof/>
        </w:rPr>
        <w:t xml:space="preserve"> As part of this, m</w:t>
      </w:r>
      <w:r w:rsidR="00CE78E6" w:rsidRPr="000A05F2">
        <w:rPr>
          <w:noProof/>
        </w:rPr>
        <w:t xml:space="preserve">any </w:t>
      </w:r>
      <w:r w:rsidR="00CE78E6">
        <w:rPr>
          <w:noProof/>
        </w:rPr>
        <w:t>ozone-depleting substances (</w:t>
      </w:r>
      <w:r w:rsidR="00CE78E6" w:rsidRPr="000A05F2">
        <w:rPr>
          <w:noProof/>
        </w:rPr>
        <w:t>ODS</w:t>
      </w:r>
      <w:r w:rsidR="00CE78E6">
        <w:rPr>
          <w:noProof/>
        </w:rPr>
        <w:t>)</w:t>
      </w:r>
      <w:r w:rsidR="00CE78E6" w:rsidRPr="000A05F2">
        <w:rPr>
          <w:noProof/>
        </w:rPr>
        <w:t xml:space="preserve"> are </w:t>
      </w:r>
      <w:r w:rsidR="00CE78E6">
        <w:rPr>
          <w:noProof/>
        </w:rPr>
        <w:t xml:space="preserve">also </w:t>
      </w:r>
      <w:r w:rsidR="00CE78E6" w:rsidRPr="000A05F2">
        <w:rPr>
          <w:noProof/>
        </w:rPr>
        <w:t>powerful greenhouse gases.</w:t>
      </w:r>
      <w:r w:rsidR="00CE78E6">
        <w:rPr>
          <w:noProof/>
        </w:rPr>
        <w:t xml:space="preserve"> T</w:t>
      </w:r>
      <w:r w:rsidR="00CE78E6" w:rsidRPr="000A05F2">
        <w:rPr>
          <w:noProof/>
        </w:rPr>
        <w:t>he EU is already meeting its international obligations to phase</w:t>
      </w:r>
      <w:r w:rsidR="00ED69A9">
        <w:rPr>
          <w:noProof/>
        </w:rPr>
        <w:t xml:space="preserve"> </w:t>
      </w:r>
      <w:r w:rsidR="00CE78E6" w:rsidRPr="000A05F2">
        <w:rPr>
          <w:noProof/>
        </w:rPr>
        <w:t xml:space="preserve">out </w:t>
      </w:r>
      <w:r w:rsidR="00CE78E6">
        <w:rPr>
          <w:noProof/>
        </w:rPr>
        <w:t>ODS</w:t>
      </w:r>
      <w:r w:rsidR="00CE78E6" w:rsidRPr="000A05F2">
        <w:rPr>
          <w:noProof/>
        </w:rPr>
        <w:t xml:space="preserve"> consumption by 2020</w:t>
      </w:r>
      <w:r w:rsidR="00CE78E6">
        <w:rPr>
          <w:noProof/>
        </w:rPr>
        <w:t>, as</w:t>
      </w:r>
      <w:r w:rsidR="00CE78E6" w:rsidRPr="000A05F2">
        <w:rPr>
          <w:noProof/>
        </w:rPr>
        <w:t xml:space="preserve"> required under the Montreal Protocol</w:t>
      </w:r>
      <w:r w:rsidR="00CE78E6">
        <w:rPr>
          <w:noProof/>
        </w:rPr>
        <w:t xml:space="preserve">. </w:t>
      </w:r>
      <w:r w:rsidR="00CE78E6" w:rsidRPr="000A05F2">
        <w:rPr>
          <w:noProof/>
        </w:rPr>
        <w:t>With, the exception  of  2012, EU consumption, as counted under the Montreal Protocol</w:t>
      </w:r>
      <w:r w:rsidR="00CE78E6" w:rsidRPr="000A05F2">
        <w:rPr>
          <w:rStyle w:val="FootnoteReference"/>
          <w:noProof/>
        </w:rPr>
        <w:footnoteReference w:id="15"/>
      </w:r>
      <w:r w:rsidR="00CE78E6" w:rsidRPr="000A05F2">
        <w:rPr>
          <w:noProof/>
        </w:rPr>
        <w:t>,  has been negative since 2010.</w:t>
      </w:r>
      <w:r w:rsidR="00CE78E6">
        <w:rPr>
          <w:noProof/>
        </w:rPr>
        <w:t xml:space="preserve"> </w:t>
      </w:r>
      <w:r w:rsidR="00CE78E6" w:rsidRPr="000A05F2">
        <w:rPr>
          <w:noProof/>
        </w:rPr>
        <w:t>The consumption</w:t>
      </w:r>
      <w:r w:rsidR="00CE78E6">
        <w:rPr>
          <w:noProof/>
        </w:rPr>
        <w:t xml:space="preserve"> in 2017 was calculated to be -</w:t>
      </w:r>
      <w:r w:rsidR="00CE78E6" w:rsidRPr="000A05F2">
        <w:rPr>
          <w:noProof/>
        </w:rPr>
        <w:t xml:space="preserve">4 080 metric tonnes. </w:t>
      </w:r>
      <w:r w:rsidR="00CE78E6">
        <w:rPr>
          <w:noProof/>
        </w:rPr>
        <w:t xml:space="preserve">Negative consumption means that more ODS are being destroyed or exported than produced or imported. </w:t>
      </w:r>
      <w:r w:rsidR="00CE78E6" w:rsidRPr="000A05F2">
        <w:rPr>
          <w:noProof/>
        </w:rPr>
        <w:t xml:space="preserve">These results show that </w:t>
      </w:r>
      <w:r w:rsidR="00CE78E6">
        <w:rPr>
          <w:noProof/>
        </w:rPr>
        <w:t xml:space="preserve">ODS are not being reintroduced </w:t>
      </w:r>
      <w:r w:rsidR="00CE78E6" w:rsidRPr="000A05F2">
        <w:rPr>
          <w:noProof/>
        </w:rPr>
        <w:t xml:space="preserve">in applications where more environmentally friendly alternatives exist. </w:t>
      </w:r>
    </w:p>
    <w:p w14:paraId="2643949D" w14:textId="00FD81AD" w:rsidR="00CE78E6" w:rsidRPr="000A05F2" w:rsidRDefault="00CE78E6" w:rsidP="00CE78E6">
      <w:pPr>
        <w:pStyle w:val="NormalWeb"/>
        <w:spacing w:line="276" w:lineRule="auto"/>
        <w:jc w:val="both"/>
        <w:rPr>
          <w:noProof/>
        </w:rPr>
      </w:pPr>
      <w:r w:rsidRPr="000A05F2">
        <w:rPr>
          <w:noProof/>
        </w:rPr>
        <w:t xml:space="preserve">The Commission evaluated the </w:t>
      </w:r>
      <w:r>
        <w:rPr>
          <w:noProof/>
        </w:rPr>
        <w:t xml:space="preserve">ODS </w:t>
      </w:r>
      <w:r w:rsidRPr="000A05F2">
        <w:rPr>
          <w:noProof/>
        </w:rPr>
        <w:t>Regulation</w:t>
      </w:r>
      <w:r w:rsidRPr="00886C4C">
        <w:rPr>
          <w:rStyle w:val="FootnoteReference"/>
          <w:noProof/>
        </w:rPr>
        <w:footnoteReference w:id="16"/>
      </w:r>
      <w:r w:rsidRPr="000A05F2">
        <w:rPr>
          <w:noProof/>
        </w:rPr>
        <w:t xml:space="preserve"> in 2019. The evaluation shows that while the Regulation is very effective in reaching its objectives, it may be possible to </w:t>
      </w:r>
      <w:r>
        <w:rPr>
          <w:noProof/>
        </w:rPr>
        <w:t xml:space="preserve">achieve </w:t>
      </w:r>
      <w:r w:rsidR="00390E7B">
        <w:rPr>
          <w:noProof/>
        </w:rPr>
        <w:t xml:space="preserve">these results </w:t>
      </w:r>
      <w:r w:rsidRPr="000A05F2">
        <w:rPr>
          <w:noProof/>
        </w:rPr>
        <w:t xml:space="preserve">in a more efficient manner. </w:t>
      </w:r>
    </w:p>
    <w:p w14:paraId="09A90AE1" w14:textId="588D92A1" w:rsidR="00CE78E6" w:rsidRPr="000A05F2" w:rsidRDefault="00CE78E6" w:rsidP="00CE78E6">
      <w:pPr>
        <w:pStyle w:val="NormalWeb"/>
        <w:spacing w:after="200" w:line="276" w:lineRule="auto"/>
        <w:jc w:val="both"/>
        <w:rPr>
          <w:noProof/>
        </w:rPr>
      </w:pPr>
      <w:r>
        <w:t xml:space="preserve">Fluorinated gases (F-gases) are a group of gases often used as substitutes for ozone-depleting substances. However, F-gases are powerful greenhouse gases. </w:t>
      </w:r>
      <w:r w:rsidRPr="000A05F2">
        <w:rPr>
          <w:noProof/>
        </w:rPr>
        <w:t>The Regulation on F-gases</w:t>
      </w:r>
      <w:r w:rsidRPr="000A05F2">
        <w:rPr>
          <w:rStyle w:val="FootnoteReference"/>
          <w:noProof/>
        </w:rPr>
        <w:footnoteReference w:id="17"/>
      </w:r>
      <w:r w:rsidRPr="000A05F2">
        <w:rPr>
          <w:noProof/>
        </w:rPr>
        <w:t xml:space="preserve"> provides for an EU-wide phase-down </w:t>
      </w:r>
      <w:r>
        <w:rPr>
          <w:noProof/>
        </w:rPr>
        <w:t xml:space="preserve">of hydrofluorocarbons (HFC) </w:t>
      </w:r>
      <w:r w:rsidRPr="000A05F2">
        <w:rPr>
          <w:noProof/>
        </w:rPr>
        <w:t xml:space="preserve">from 2015 and other measures targeting emissions from F-gases, with the aim of cutting emissions by </w:t>
      </w:r>
      <w:r>
        <w:rPr>
          <w:noProof/>
        </w:rPr>
        <w:t>two thirds</w:t>
      </w:r>
      <w:r w:rsidRPr="000A05F2">
        <w:rPr>
          <w:noProof/>
        </w:rPr>
        <w:t xml:space="preserve"> by 2030 compared </w:t>
      </w:r>
      <w:r w:rsidR="008F6D89">
        <w:rPr>
          <w:noProof/>
        </w:rPr>
        <w:t>to</w:t>
      </w:r>
      <w:r w:rsidR="008F6D89" w:rsidRPr="000A05F2">
        <w:rPr>
          <w:noProof/>
        </w:rPr>
        <w:t xml:space="preserve"> </w:t>
      </w:r>
      <w:r w:rsidRPr="000A05F2">
        <w:rPr>
          <w:noProof/>
        </w:rPr>
        <w:t xml:space="preserve">2014. </w:t>
      </w:r>
      <w:r w:rsidR="00FC7587" w:rsidRPr="00D62CEF">
        <w:rPr>
          <w:noProof/>
        </w:rPr>
        <w:t>HFCs are also covered by the Kigali Amendment to the Montreal Protocol, which entered into force on 1</w:t>
      </w:r>
      <w:r w:rsidR="00FC7587">
        <w:rPr>
          <w:noProof/>
        </w:rPr>
        <w:t xml:space="preserve"> </w:t>
      </w:r>
      <w:r w:rsidR="00FC7587" w:rsidRPr="00D62CEF">
        <w:rPr>
          <w:noProof/>
        </w:rPr>
        <w:t>January 2019</w:t>
      </w:r>
      <w:r w:rsidR="00FC7587">
        <w:rPr>
          <w:noProof/>
        </w:rPr>
        <w:t xml:space="preserve">. </w:t>
      </w:r>
    </w:p>
    <w:p w14:paraId="42793804" w14:textId="2942CBBA" w:rsidR="00244111" w:rsidRDefault="00CE78E6" w:rsidP="00CE78E6">
      <w:pPr>
        <w:jc w:val="both"/>
        <w:rPr>
          <w:rFonts w:ascii="Times New Roman" w:hAnsi="Times New Roman" w:cs="Times New Roman"/>
          <w:noProof/>
          <w:sz w:val="24"/>
          <w:szCs w:val="24"/>
        </w:rPr>
      </w:pPr>
      <w:r w:rsidRPr="00B410C1">
        <w:rPr>
          <w:rFonts w:ascii="Times New Roman" w:hAnsi="Times New Roman" w:cs="Times New Roman"/>
          <w:noProof/>
          <w:sz w:val="24"/>
          <w:szCs w:val="24"/>
        </w:rPr>
        <w:t xml:space="preserve">Data for 2017 </w:t>
      </w:r>
      <w:r>
        <w:rPr>
          <w:rFonts w:ascii="Times New Roman" w:hAnsi="Times New Roman" w:cs="Times New Roman"/>
          <w:noProof/>
          <w:sz w:val="24"/>
          <w:szCs w:val="24"/>
        </w:rPr>
        <w:t>show</w:t>
      </w:r>
      <w:r w:rsidR="008F6D89">
        <w:rPr>
          <w:rFonts w:ascii="Times New Roman" w:hAnsi="Times New Roman" w:cs="Times New Roman"/>
          <w:noProof/>
          <w:sz w:val="24"/>
          <w:szCs w:val="24"/>
        </w:rPr>
        <w:t>s</w:t>
      </w:r>
      <w:r w:rsidRPr="00B410C1">
        <w:rPr>
          <w:rFonts w:ascii="Times New Roman" w:hAnsi="Times New Roman" w:cs="Times New Roman"/>
          <w:noProof/>
          <w:sz w:val="24"/>
          <w:szCs w:val="24"/>
        </w:rPr>
        <w:t xml:space="preserve"> that the supply of F-gases decreased by 2% in terms of climate impact (CO</w:t>
      </w:r>
      <w:r w:rsidRPr="00B410C1">
        <w:rPr>
          <w:rFonts w:ascii="Times New Roman" w:hAnsi="Times New Roman" w:cs="Times New Roman"/>
          <w:noProof/>
          <w:sz w:val="24"/>
          <w:szCs w:val="24"/>
          <w:vertAlign w:val="subscript"/>
        </w:rPr>
        <w:t>2</w:t>
      </w:r>
      <w:r>
        <w:rPr>
          <w:rFonts w:ascii="Times New Roman" w:hAnsi="Times New Roman" w:cs="Times New Roman"/>
          <w:noProof/>
          <w:sz w:val="24"/>
          <w:szCs w:val="24"/>
        </w:rPr>
        <w:t>eq</w:t>
      </w:r>
      <w:r w:rsidRPr="00B410C1">
        <w:rPr>
          <w:rFonts w:ascii="Times New Roman" w:hAnsi="Times New Roman" w:cs="Times New Roman"/>
          <w:noProof/>
          <w:sz w:val="24"/>
          <w:szCs w:val="24"/>
        </w:rPr>
        <w:t>), but increased by 3%  in terms of mass compared to 2016. In 2017, the total placing on the market under the quota system was 0.4% below the maximum quantity allowed</w:t>
      </w:r>
      <w:r w:rsidRPr="00B410C1">
        <w:rPr>
          <w:rStyle w:val="FootnoteReference"/>
          <w:rFonts w:ascii="Times New Roman" w:hAnsi="Times New Roman" w:cs="Times New Roman"/>
          <w:noProof/>
          <w:color w:val="000000"/>
          <w:sz w:val="24"/>
          <w:szCs w:val="24"/>
        </w:rPr>
        <w:footnoteReference w:id="18"/>
      </w:r>
      <w:r w:rsidR="008F6D89">
        <w:rPr>
          <w:rFonts w:ascii="Times New Roman" w:hAnsi="Times New Roman" w:cs="Times New Roman"/>
          <w:color w:val="000000"/>
          <w:sz w:val="24"/>
          <w:szCs w:val="24"/>
        </w:rPr>
        <w:t>.</w:t>
      </w:r>
      <w:r w:rsidRPr="00B410C1">
        <w:rPr>
          <w:rFonts w:ascii="Times New Roman" w:hAnsi="Times New Roman" w:cs="Times New Roman"/>
          <w:noProof/>
          <w:color w:val="000000"/>
          <w:sz w:val="24"/>
          <w:szCs w:val="24"/>
        </w:rPr>
        <w:t xml:space="preserve"> T</w:t>
      </w:r>
      <w:r w:rsidRPr="00B410C1">
        <w:rPr>
          <w:rFonts w:ascii="Times New Roman" w:hAnsi="Times New Roman" w:cs="Times New Roman"/>
          <w:noProof/>
          <w:sz w:val="24"/>
          <w:szCs w:val="24"/>
        </w:rPr>
        <w:t>his success reflects a shift towards gases with lower global</w:t>
      </w:r>
      <w:r w:rsidRPr="00B410C1">
        <w:rPr>
          <w:rFonts w:ascii="Times New Roman" w:hAnsi="Times New Roman" w:cs="Times New Roman"/>
          <w:noProof/>
          <w:sz w:val="24"/>
          <w:szCs w:val="24"/>
        </w:rPr>
        <w:noBreakHyphen/>
        <w:t>warming potential and indicates that the Regulation is proving effective in reducing F-gas emissions.</w:t>
      </w:r>
    </w:p>
    <w:p w14:paraId="67A2B61F" w14:textId="77777777" w:rsidR="00B700A4" w:rsidRDefault="00B700A4" w:rsidP="00E04ACD">
      <w:pPr>
        <w:pStyle w:val="Heading2"/>
      </w:pPr>
    </w:p>
    <w:p w14:paraId="6831A5A4" w14:textId="028E6887" w:rsidR="00CE7DFD" w:rsidRDefault="00CE7DFD" w:rsidP="00446D1E">
      <w:pPr>
        <w:pStyle w:val="Heading2"/>
        <w:spacing w:after="120"/>
      </w:pPr>
      <w:r>
        <w:t>Member States compliance with the Effort-Sharing Decision</w:t>
      </w:r>
      <w:r w:rsidR="00455964">
        <w:t xml:space="preserve"> (ESD)</w:t>
      </w:r>
    </w:p>
    <w:p w14:paraId="53AC7160" w14:textId="179DEB80" w:rsidR="00CE7DFD" w:rsidRDefault="00CE7DFD" w:rsidP="00E04ACD">
      <w:pPr>
        <w:spacing w:line="276" w:lineRule="auto"/>
        <w:jc w:val="both"/>
        <w:rPr>
          <w:rFonts w:ascii="Times New Roman" w:hAnsi="Times New Roman" w:cs="Times New Roman"/>
          <w:noProof/>
          <w:sz w:val="24"/>
          <w:szCs w:val="24"/>
        </w:rPr>
      </w:pPr>
      <w:r w:rsidRPr="00CE7DFD">
        <w:rPr>
          <w:rFonts w:ascii="Times New Roman" w:hAnsi="Times New Roman" w:cs="Times New Roman"/>
          <w:sz w:val="24"/>
        </w:rPr>
        <w:t>All 28 Member States complied with their ESD obligations in 2013-2016.</w:t>
      </w:r>
      <w:r w:rsidRPr="00CE7DFD">
        <w:rPr>
          <w:sz w:val="24"/>
        </w:rPr>
        <w:t xml:space="preserve"> </w:t>
      </w:r>
      <w:r>
        <w:rPr>
          <w:rFonts w:ascii="Times New Roman" w:hAnsi="Times New Roman" w:cs="Times New Roman"/>
          <w:b/>
          <w:noProof/>
          <w:sz w:val="24"/>
          <w:szCs w:val="24"/>
        </w:rPr>
        <w:t>Malta</w:t>
      </w:r>
      <w:r>
        <w:rPr>
          <w:rFonts w:ascii="Times New Roman" w:hAnsi="Times New Roman" w:cs="Times New Roman"/>
          <w:noProof/>
          <w:sz w:val="24"/>
          <w:szCs w:val="24"/>
        </w:rPr>
        <w:t xml:space="preserve"> exceeded its </w:t>
      </w:r>
      <w:r w:rsidR="00455964">
        <w:rPr>
          <w:rFonts w:ascii="Times New Roman" w:hAnsi="Times New Roman" w:cs="Times New Roman"/>
          <w:noProof/>
          <w:sz w:val="24"/>
          <w:szCs w:val="24"/>
        </w:rPr>
        <w:t>annual emissions allocations (</w:t>
      </w:r>
      <w:r>
        <w:rPr>
          <w:rFonts w:ascii="Times New Roman" w:hAnsi="Times New Roman" w:cs="Times New Roman"/>
          <w:noProof/>
          <w:sz w:val="24"/>
          <w:szCs w:val="24"/>
        </w:rPr>
        <w:t>AEAs</w:t>
      </w:r>
      <w:r w:rsidR="00455964">
        <w:rPr>
          <w:rFonts w:ascii="Times New Roman" w:hAnsi="Times New Roman" w:cs="Times New Roman"/>
          <w:noProof/>
          <w:sz w:val="24"/>
          <w:szCs w:val="24"/>
        </w:rPr>
        <w:t>)</w:t>
      </w:r>
      <w:r>
        <w:rPr>
          <w:rFonts w:ascii="Times New Roman" w:hAnsi="Times New Roman" w:cs="Times New Roman"/>
          <w:noProof/>
          <w:sz w:val="24"/>
          <w:szCs w:val="24"/>
        </w:rPr>
        <w:t xml:space="preserve"> in each of the years in question, but covered the deficit by purchasing </w:t>
      </w:r>
      <w:r w:rsidR="009E7F64">
        <w:rPr>
          <w:rFonts w:ascii="Times New Roman" w:hAnsi="Times New Roman" w:cs="Times New Roman"/>
          <w:noProof/>
          <w:sz w:val="24"/>
          <w:szCs w:val="24"/>
        </w:rPr>
        <w:t>AEAs</w:t>
      </w:r>
      <w:r>
        <w:rPr>
          <w:rFonts w:ascii="Times New Roman" w:hAnsi="Times New Roman" w:cs="Times New Roman"/>
          <w:noProof/>
          <w:sz w:val="24"/>
          <w:szCs w:val="24"/>
        </w:rPr>
        <w:t xml:space="preserve"> from Bulgaria. </w:t>
      </w:r>
      <w:r w:rsidRPr="00DA4895">
        <w:rPr>
          <w:rFonts w:ascii="Times New Roman" w:hAnsi="Times New Roman" w:cs="Times New Roman"/>
          <w:b/>
          <w:noProof/>
          <w:sz w:val="24"/>
          <w:szCs w:val="24"/>
        </w:rPr>
        <w:t xml:space="preserve">Finland, Poland, Ireland, Germany </w:t>
      </w:r>
      <w:r w:rsidRPr="00DA4895">
        <w:rPr>
          <w:rFonts w:ascii="Times New Roman" w:hAnsi="Times New Roman" w:cs="Times New Roman"/>
          <w:noProof/>
          <w:sz w:val="24"/>
          <w:szCs w:val="24"/>
        </w:rPr>
        <w:t>and</w:t>
      </w:r>
      <w:r w:rsidRPr="00DA4895">
        <w:rPr>
          <w:rFonts w:ascii="Times New Roman" w:hAnsi="Times New Roman" w:cs="Times New Roman"/>
          <w:b/>
          <w:noProof/>
          <w:sz w:val="24"/>
          <w:szCs w:val="24"/>
        </w:rPr>
        <w:t xml:space="preserve"> Belgium</w:t>
      </w:r>
      <w:r>
        <w:rPr>
          <w:rFonts w:ascii="Times New Roman" w:hAnsi="Times New Roman" w:cs="Times New Roman"/>
          <w:noProof/>
          <w:sz w:val="24"/>
          <w:szCs w:val="24"/>
        </w:rPr>
        <w:t xml:space="preserve"> exceeded their AEAs in 2016, but were able to cover the deficit through </w:t>
      </w:r>
      <w:r w:rsidR="00DA4895">
        <w:rPr>
          <w:rFonts w:ascii="Times New Roman" w:hAnsi="Times New Roman" w:cs="Times New Roman"/>
          <w:noProof/>
          <w:sz w:val="24"/>
          <w:szCs w:val="24"/>
        </w:rPr>
        <w:t xml:space="preserve">the surplus of AEAs banked from previous years. </w:t>
      </w:r>
      <w:r>
        <w:rPr>
          <w:rFonts w:ascii="Times New Roman" w:hAnsi="Times New Roman" w:cs="Times New Roman"/>
          <w:b/>
          <w:noProof/>
          <w:sz w:val="24"/>
          <w:szCs w:val="24"/>
        </w:rPr>
        <w:t>Sweden</w:t>
      </w:r>
      <w:r>
        <w:rPr>
          <w:rFonts w:ascii="Times New Roman" w:hAnsi="Times New Roman" w:cs="Times New Roman"/>
          <w:noProof/>
          <w:sz w:val="24"/>
          <w:szCs w:val="24"/>
        </w:rPr>
        <w:t xml:space="preserve"> did not use its full allocation and cancelled </w:t>
      </w:r>
      <w:r w:rsidR="008F6D89">
        <w:rPr>
          <w:rFonts w:ascii="Times New Roman" w:hAnsi="Times New Roman" w:cs="Times New Roman"/>
          <w:noProof/>
          <w:sz w:val="24"/>
          <w:szCs w:val="24"/>
        </w:rPr>
        <w:t xml:space="preserve">its </w:t>
      </w:r>
      <w:r>
        <w:rPr>
          <w:rFonts w:ascii="Times New Roman" w:hAnsi="Times New Roman" w:cs="Times New Roman"/>
          <w:noProof/>
          <w:sz w:val="24"/>
          <w:szCs w:val="24"/>
        </w:rPr>
        <w:t xml:space="preserve">surplus AEAs </w:t>
      </w:r>
      <w:r w:rsidR="00B9480F">
        <w:rPr>
          <w:rFonts w:ascii="Times New Roman" w:hAnsi="Times New Roman" w:cs="Times New Roman"/>
          <w:noProof/>
          <w:sz w:val="24"/>
          <w:szCs w:val="24"/>
        </w:rPr>
        <w:t xml:space="preserve"> from </w:t>
      </w:r>
      <w:r w:rsidR="00BC3EC9">
        <w:rPr>
          <w:rFonts w:ascii="Times New Roman" w:hAnsi="Times New Roman" w:cs="Times New Roman"/>
          <w:noProof/>
          <w:sz w:val="24"/>
          <w:szCs w:val="24"/>
        </w:rPr>
        <w:t xml:space="preserve">2013 to 2016 </w:t>
      </w:r>
      <w:r>
        <w:rPr>
          <w:rFonts w:ascii="Times New Roman" w:hAnsi="Times New Roman" w:cs="Times New Roman"/>
          <w:noProof/>
          <w:sz w:val="24"/>
          <w:szCs w:val="24"/>
        </w:rPr>
        <w:t xml:space="preserve">to enhance the environmental integrity of the system. All other Member States banked their surplus allocations for </w:t>
      </w:r>
      <w:r w:rsidR="00CA7B35">
        <w:rPr>
          <w:rFonts w:ascii="Times New Roman" w:hAnsi="Times New Roman" w:cs="Times New Roman"/>
          <w:noProof/>
          <w:sz w:val="24"/>
          <w:szCs w:val="24"/>
        </w:rPr>
        <w:t xml:space="preserve">possible </w:t>
      </w:r>
      <w:r>
        <w:rPr>
          <w:rFonts w:ascii="Times New Roman" w:hAnsi="Times New Roman" w:cs="Times New Roman"/>
          <w:noProof/>
          <w:sz w:val="24"/>
          <w:szCs w:val="24"/>
        </w:rPr>
        <w:t>use in later years. No international credits from the clean development mechanism (CDM) or joint implementation were used to comply with ESD obligations.</w:t>
      </w:r>
    </w:p>
    <w:p w14:paraId="19863FD3" w14:textId="61FEC8C5" w:rsidR="00DA4895" w:rsidRDefault="00DA4895" w:rsidP="00E04ACD">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compliance cycle for 2017 is ongoing. </w:t>
      </w:r>
      <w:r w:rsidR="001E440B">
        <w:rPr>
          <w:rFonts w:ascii="Times New Roman" w:hAnsi="Times New Roman" w:cs="Times New Roman"/>
          <w:noProof/>
          <w:sz w:val="24"/>
          <w:szCs w:val="24"/>
        </w:rPr>
        <w:t xml:space="preserve">In 2017, </w:t>
      </w:r>
      <w:r w:rsidR="00B9480F" w:rsidRPr="00B9480F">
        <w:rPr>
          <w:rFonts w:ascii="Times New Roman" w:hAnsi="Times New Roman" w:cs="Times New Roman"/>
          <w:b/>
          <w:noProof/>
          <w:sz w:val="24"/>
          <w:szCs w:val="24"/>
        </w:rPr>
        <w:t>Malta</w:t>
      </w:r>
      <w:r w:rsidR="00B9480F">
        <w:rPr>
          <w:rFonts w:ascii="Times New Roman" w:hAnsi="Times New Roman" w:cs="Times New Roman"/>
          <w:noProof/>
          <w:sz w:val="24"/>
          <w:szCs w:val="24"/>
        </w:rPr>
        <w:t xml:space="preserve">’s emissions exceeded its AEA by 23 percentage points. </w:t>
      </w:r>
      <w:r w:rsidR="00DD227D">
        <w:rPr>
          <w:rFonts w:ascii="Times New Roman" w:hAnsi="Times New Roman" w:cs="Times New Roman"/>
          <w:noProof/>
          <w:sz w:val="24"/>
          <w:szCs w:val="24"/>
        </w:rPr>
        <w:t xml:space="preserve">Malta will therefore again need to purchase AEAs and/or international project credits. Emissions in </w:t>
      </w:r>
      <w:r w:rsidR="001E440B" w:rsidRPr="001E440B">
        <w:rPr>
          <w:rFonts w:ascii="Times New Roman" w:hAnsi="Times New Roman" w:cs="Times New Roman"/>
          <w:b/>
          <w:noProof/>
          <w:sz w:val="24"/>
          <w:szCs w:val="24"/>
        </w:rPr>
        <w:t>Germany, Poland, Irel</w:t>
      </w:r>
      <w:r w:rsidR="00B9480F">
        <w:rPr>
          <w:rFonts w:ascii="Times New Roman" w:hAnsi="Times New Roman" w:cs="Times New Roman"/>
          <w:b/>
          <w:noProof/>
          <w:sz w:val="24"/>
          <w:szCs w:val="24"/>
        </w:rPr>
        <w:t xml:space="preserve">and, Estonia, Austria, Bulgaria </w:t>
      </w:r>
      <w:r w:rsidR="00B9480F" w:rsidRPr="00B9480F">
        <w:rPr>
          <w:rFonts w:ascii="Times New Roman" w:hAnsi="Times New Roman" w:cs="Times New Roman"/>
          <w:noProof/>
          <w:sz w:val="24"/>
          <w:szCs w:val="24"/>
        </w:rPr>
        <w:t>and</w:t>
      </w:r>
      <w:r w:rsidR="00B9480F">
        <w:rPr>
          <w:rFonts w:ascii="Times New Roman" w:hAnsi="Times New Roman" w:cs="Times New Roman"/>
          <w:b/>
          <w:noProof/>
          <w:sz w:val="24"/>
          <w:szCs w:val="24"/>
        </w:rPr>
        <w:t xml:space="preserve"> Cyprus </w:t>
      </w:r>
      <w:r w:rsidR="00DD227D">
        <w:rPr>
          <w:rFonts w:ascii="Times New Roman" w:hAnsi="Times New Roman" w:cs="Times New Roman"/>
          <w:noProof/>
          <w:sz w:val="24"/>
          <w:szCs w:val="24"/>
        </w:rPr>
        <w:t>exceeded the AEAs of 2017 by 2-7 percentage points. Also</w:t>
      </w:r>
      <w:r w:rsidR="00DD227D">
        <w:rPr>
          <w:rFonts w:ascii="Times New Roman" w:hAnsi="Times New Roman" w:cs="Times New Roman"/>
          <w:b/>
          <w:noProof/>
          <w:sz w:val="24"/>
          <w:szCs w:val="24"/>
        </w:rPr>
        <w:t xml:space="preserve"> </w:t>
      </w:r>
      <w:r w:rsidR="001E440B" w:rsidRPr="001E440B">
        <w:rPr>
          <w:rFonts w:ascii="Times New Roman" w:hAnsi="Times New Roman" w:cs="Times New Roman"/>
          <w:b/>
          <w:noProof/>
          <w:sz w:val="24"/>
          <w:szCs w:val="24"/>
        </w:rPr>
        <w:t xml:space="preserve">Lithuania </w:t>
      </w:r>
      <w:r w:rsidR="001E440B" w:rsidRPr="001E440B">
        <w:rPr>
          <w:rFonts w:ascii="Times New Roman" w:hAnsi="Times New Roman" w:cs="Times New Roman"/>
          <w:noProof/>
          <w:sz w:val="24"/>
          <w:szCs w:val="24"/>
        </w:rPr>
        <w:t>and</w:t>
      </w:r>
      <w:r w:rsidR="001E440B" w:rsidRPr="001E440B">
        <w:rPr>
          <w:rFonts w:ascii="Times New Roman" w:hAnsi="Times New Roman" w:cs="Times New Roman"/>
          <w:b/>
          <w:noProof/>
          <w:sz w:val="24"/>
          <w:szCs w:val="24"/>
        </w:rPr>
        <w:t xml:space="preserve"> Luxembourg</w:t>
      </w:r>
      <w:r w:rsidR="001E440B">
        <w:rPr>
          <w:rFonts w:ascii="Times New Roman" w:hAnsi="Times New Roman" w:cs="Times New Roman"/>
          <w:noProof/>
          <w:sz w:val="24"/>
          <w:szCs w:val="24"/>
        </w:rPr>
        <w:t xml:space="preserve"> </w:t>
      </w:r>
      <w:r w:rsidR="00DD227D">
        <w:rPr>
          <w:rFonts w:ascii="Times New Roman" w:hAnsi="Times New Roman" w:cs="Times New Roman"/>
          <w:noProof/>
          <w:sz w:val="24"/>
          <w:szCs w:val="24"/>
        </w:rPr>
        <w:t>had emissions that slightly exceeded the</w:t>
      </w:r>
      <w:r w:rsidR="00D9289F">
        <w:rPr>
          <w:rFonts w:ascii="Times New Roman" w:hAnsi="Times New Roman" w:cs="Times New Roman"/>
          <w:noProof/>
          <w:sz w:val="24"/>
          <w:szCs w:val="24"/>
        </w:rPr>
        <w:t>ir</w:t>
      </w:r>
      <w:r w:rsidR="00DD227D">
        <w:rPr>
          <w:rFonts w:ascii="Times New Roman" w:hAnsi="Times New Roman" w:cs="Times New Roman"/>
          <w:noProof/>
          <w:sz w:val="24"/>
          <w:szCs w:val="24"/>
        </w:rPr>
        <w:t xml:space="preserve"> AEAs</w:t>
      </w:r>
      <w:r w:rsidR="001E440B">
        <w:rPr>
          <w:rFonts w:ascii="Times New Roman" w:hAnsi="Times New Roman" w:cs="Times New Roman"/>
          <w:noProof/>
          <w:sz w:val="24"/>
          <w:szCs w:val="24"/>
        </w:rPr>
        <w:t xml:space="preserve">. </w:t>
      </w:r>
      <w:r w:rsidR="00DD227D">
        <w:rPr>
          <w:rFonts w:ascii="Times New Roman" w:hAnsi="Times New Roman" w:cs="Times New Roman"/>
          <w:noProof/>
          <w:sz w:val="24"/>
          <w:szCs w:val="24"/>
        </w:rPr>
        <w:t>These</w:t>
      </w:r>
      <w:r w:rsidR="001E440B">
        <w:rPr>
          <w:rFonts w:ascii="Times New Roman" w:hAnsi="Times New Roman" w:cs="Times New Roman"/>
          <w:noProof/>
          <w:sz w:val="24"/>
          <w:szCs w:val="24"/>
        </w:rPr>
        <w:t xml:space="preserve"> Member States have a surplus of AEAs banked from previous years that can be used to ensure compliance. </w:t>
      </w:r>
    </w:p>
    <w:p w14:paraId="4E4B5439" w14:textId="18647B27" w:rsidR="001E440B" w:rsidRDefault="001E440B" w:rsidP="00E04ACD">
      <w:pPr>
        <w:jc w:val="both"/>
        <w:rPr>
          <w:rFonts w:ascii="Times New Roman" w:hAnsi="Times New Roman" w:cs="Times New Roman"/>
          <w:noProof/>
          <w:sz w:val="24"/>
          <w:szCs w:val="24"/>
        </w:rPr>
      </w:pPr>
      <w:r>
        <w:rPr>
          <w:rFonts w:ascii="Times New Roman" w:hAnsi="Times New Roman" w:cs="Times New Roman"/>
          <w:noProof/>
          <w:sz w:val="24"/>
          <w:szCs w:val="24"/>
        </w:rPr>
        <w:t xml:space="preserve">The cumulative surplus of AEAs per Member State for 2013-2017 is shown in Figure </w:t>
      </w:r>
      <w:r w:rsidR="00355431">
        <w:rPr>
          <w:rFonts w:ascii="Times New Roman" w:hAnsi="Times New Roman" w:cs="Times New Roman"/>
          <w:noProof/>
          <w:sz w:val="24"/>
          <w:szCs w:val="24"/>
        </w:rPr>
        <w:t>9</w:t>
      </w:r>
      <w:r>
        <w:rPr>
          <w:rFonts w:ascii="Times New Roman" w:hAnsi="Times New Roman" w:cs="Times New Roman"/>
          <w:noProof/>
          <w:sz w:val="24"/>
          <w:szCs w:val="24"/>
        </w:rPr>
        <w:t xml:space="preserve">. </w:t>
      </w:r>
    </w:p>
    <w:p w14:paraId="3AEAEEFE" w14:textId="3065462C" w:rsidR="001E440B" w:rsidRPr="00CE7DFD" w:rsidRDefault="001E440B" w:rsidP="00E04ACD">
      <w:pPr>
        <w:jc w:val="both"/>
      </w:pPr>
    </w:p>
    <w:p w14:paraId="1A6847E3" w14:textId="722FDC97" w:rsidR="00F03FA4" w:rsidRDefault="00F03FA4" w:rsidP="00E04ACD">
      <w:pPr>
        <w:pStyle w:val="Caption"/>
        <w:jc w:val="both"/>
      </w:pPr>
      <w:r>
        <w:rPr>
          <w:noProof/>
          <w:lang w:eastAsia="en-GB"/>
        </w:rPr>
        <w:drawing>
          <wp:inline distT="0" distB="0" distL="0" distR="0" wp14:anchorId="312E8CE9" wp14:editId="1646FFCD">
            <wp:extent cx="5186796" cy="5888181"/>
            <wp:effectExtent l="0" t="0" r="13970" b="177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73AD23" w14:textId="01655246" w:rsidR="00342FE4" w:rsidRDefault="00342FE4" w:rsidP="00E04ACD">
      <w:pPr>
        <w:pStyle w:val="Caption"/>
        <w:jc w:val="both"/>
      </w:pPr>
      <w:r>
        <w:t xml:space="preserve">Figure </w:t>
      </w:r>
      <w:fldSimple w:instr=" SEQ Figure \* ARABIC ">
        <w:r w:rsidR="006E3709">
          <w:rPr>
            <w:noProof/>
          </w:rPr>
          <w:t>9</w:t>
        </w:r>
      </w:fldSimple>
      <w:r>
        <w:t xml:space="preserve">: </w:t>
      </w:r>
      <w:r w:rsidRPr="007817A4">
        <w:t>Cumulative surplus of AEAs as percentage of 2005 base year emissions, 2013-2017</w:t>
      </w:r>
    </w:p>
    <w:p w14:paraId="597817C5" w14:textId="00465A87" w:rsidR="00CE7DFD" w:rsidRDefault="00342FE4" w:rsidP="00E04ACD">
      <w:pPr>
        <w:jc w:val="both"/>
        <w:rPr>
          <w:rFonts w:ascii="Times New Roman" w:hAnsi="Times New Roman" w:cs="Times New Roman"/>
          <w:sz w:val="24"/>
        </w:rPr>
      </w:pPr>
      <w:r>
        <w:rPr>
          <w:rFonts w:ascii="Times New Roman" w:hAnsi="Times New Roman" w:cs="Times New Roman"/>
          <w:sz w:val="24"/>
        </w:rPr>
        <w:t xml:space="preserve">Preliminary data for 2018 show a similar picture as for 2017. </w:t>
      </w:r>
      <w:r w:rsidR="00FA1455" w:rsidRPr="00390E7B">
        <w:rPr>
          <w:rFonts w:ascii="Times New Roman" w:hAnsi="Times New Roman" w:cs="Times New Roman"/>
          <w:b/>
          <w:sz w:val="24"/>
        </w:rPr>
        <w:t>Malta</w:t>
      </w:r>
      <w:r w:rsidR="00FA1455">
        <w:rPr>
          <w:rFonts w:ascii="Times New Roman" w:hAnsi="Times New Roman" w:cs="Times New Roman"/>
          <w:sz w:val="24"/>
        </w:rPr>
        <w:t xml:space="preserve"> exceeded its AEA by 27 percentage points, </w:t>
      </w:r>
      <w:r w:rsidR="00FA1455" w:rsidRPr="00390E7B">
        <w:rPr>
          <w:rFonts w:ascii="Times New Roman" w:hAnsi="Times New Roman" w:cs="Times New Roman"/>
          <w:b/>
          <w:sz w:val="24"/>
        </w:rPr>
        <w:t>Ireland</w:t>
      </w:r>
      <w:r w:rsidR="00FA1455">
        <w:rPr>
          <w:rFonts w:ascii="Times New Roman" w:hAnsi="Times New Roman" w:cs="Times New Roman"/>
          <w:sz w:val="24"/>
        </w:rPr>
        <w:t xml:space="preserve"> by 12 percentage points and </w:t>
      </w:r>
      <w:r w:rsidR="00FA1455" w:rsidRPr="00390E7B">
        <w:rPr>
          <w:rFonts w:ascii="Times New Roman" w:hAnsi="Times New Roman" w:cs="Times New Roman"/>
          <w:b/>
          <w:sz w:val="24"/>
        </w:rPr>
        <w:t>Poland</w:t>
      </w:r>
      <w:r w:rsidR="00FA1455">
        <w:rPr>
          <w:rFonts w:ascii="Times New Roman" w:hAnsi="Times New Roman" w:cs="Times New Roman"/>
          <w:sz w:val="24"/>
        </w:rPr>
        <w:t xml:space="preserve"> by 9 percentage points. Also </w:t>
      </w:r>
      <w:r w:rsidR="00FA1455" w:rsidRPr="00390E7B">
        <w:rPr>
          <w:rFonts w:ascii="Times New Roman" w:hAnsi="Times New Roman" w:cs="Times New Roman"/>
          <w:b/>
          <w:sz w:val="24"/>
        </w:rPr>
        <w:t>Estonia, Luxembourg, Germany, Austria, Bulgaria, Cyprus, Finland</w:t>
      </w:r>
      <w:r w:rsidR="00FA1455">
        <w:rPr>
          <w:rFonts w:ascii="Times New Roman" w:hAnsi="Times New Roman" w:cs="Times New Roman"/>
          <w:sz w:val="24"/>
        </w:rPr>
        <w:t xml:space="preserve"> and </w:t>
      </w:r>
      <w:r w:rsidR="00FA1455" w:rsidRPr="00390E7B">
        <w:rPr>
          <w:rFonts w:ascii="Times New Roman" w:hAnsi="Times New Roman" w:cs="Times New Roman"/>
          <w:b/>
          <w:sz w:val="24"/>
        </w:rPr>
        <w:t>Belgium</w:t>
      </w:r>
      <w:r w:rsidR="00FA1455">
        <w:rPr>
          <w:rFonts w:ascii="Times New Roman" w:hAnsi="Times New Roman" w:cs="Times New Roman"/>
          <w:sz w:val="24"/>
        </w:rPr>
        <w:t xml:space="preserve"> </w:t>
      </w:r>
      <w:r>
        <w:rPr>
          <w:rFonts w:ascii="Times New Roman" w:hAnsi="Times New Roman" w:cs="Times New Roman"/>
          <w:sz w:val="24"/>
        </w:rPr>
        <w:t xml:space="preserve">had higher emissions than their AEA. </w:t>
      </w:r>
      <w:r w:rsidR="00FA1455">
        <w:rPr>
          <w:rFonts w:ascii="Times New Roman" w:hAnsi="Times New Roman" w:cs="Times New Roman"/>
          <w:sz w:val="24"/>
        </w:rPr>
        <w:t xml:space="preserve"> All these Member States already had higher emissions than their AEA in either 2016, 2017</w:t>
      </w:r>
      <w:r w:rsidR="003505C5">
        <w:rPr>
          <w:rFonts w:ascii="Times New Roman" w:hAnsi="Times New Roman" w:cs="Times New Roman"/>
          <w:sz w:val="24"/>
        </w:rPr>
        <w:t>,</w:t>
      </w:r>
      <w:r w:rsidR="00FA1455">
        <w:rPr>
          <w:rFonts w:ascii="Times New Roman" w:hAnsi="Times New Roman" w:cs="Times New Roman"/>
          <w:sz w:val="24"/>
        </w:rPr>
        <w:t xml:space="preserve"> or both years. </w:t>
      </w:r>
    </w:p>
    <w:p w14:paraId="68CB602A" w14:textId="77777777" w:rsidR="00083BD6" w:rsidRDefault="00083BD6" w:rsidP="00083BD6">
      <w:pPr>
        <w:jc w:val="both"/>
        <w:rPr>
          <w:rFonts w:ascii="Times New Roman" w:hAnsi="Times New Roman" w:cs="Times New Roman"/>
          <w:sz w:val="24"/>
        </w:rPr>
      </w:pPr>
      <w:r w:rsidRPr="009E18FF">
        <w:rPr>
          <w:rFonts w:ascii="Times New Roman" w:hAnsi="Times New Roman" w:cs="Times New Roman"/>
          <w:sz w:val="24"/>
        </w:rPr>
        <w:t xml:space="preserve">For 2018, all Member States, except Malta, may still be able to comply with their obligations through using AEAs banked from previous years. However, in 2019 and 2020, some Member States may no longer have a sufficient amount of banked AEAs to cover potential deficits. Projections indicate that </w:t>
      </w:r>
      <w:r w:rsidRPr="009E18FF">
        <w:rPr>
          <w:rFonts w:ascii="Times New Roman" w:hAnsi="Times New Roman" w:cs="Times New Roman"/>
          <w:b/>
          <w:sz w:val="24"/>
        </w:rPr>
        <w:t xml:space="preserve">Malta, Germany, Ireland </w:t>
      </w:r>
      <w:r w:rsidRPr="009E18FF">
        <w:rPr>
          <w:rFonts w:ascii="Times New Roman" w:hAnsi="Times New Roman" w:cs="Times New Roman"/>
          <w:sz w:val="24"/>
        </w:rPr>
        <w:t>and</w:t>
      </w:r>
      <w:r w:rsidRPr="009E18FF">
        <w:rPr>
          <w:rFonts w:ascii="Times New Roman" w:hAnsi="Times New Roman" w:cs="Times New Roman"/>
          <w:b/>
          <w:sz w:val="24"/>
        </w:rPr>
        <w:t xml:space="preserve"> Austria</w:t>
      </w:r>
      <w:r w:rsidRPr="009E18FF">
        <w:rPr>
          <w:rFonts w:ascii="Times New Roman" w:hAnsi="Times New Roman" w:cs="Times New Roman"/>
          <w:sz w:val="24"/>
        </w:rPr>
        <w:t xml:space="preserve"> are likely to incur a net deficit of AEAs over the period 2013-2020. In case of a net deficit, Member States will have to use the flexibility mechanisms in the Effort Sharing Decision (beyond banking and borrowing AEAs).</w:t>
      </w:r>
    </w:p>
    <w:p w14:paraId="030DC346" w14:textId="2A716162" w:rsidR="00E04ACD" w:rsidRPr="00E04ACD" w:rsidRDefault="00E04ACD" w:rsidP="00446D1E">
      <w:pPr>
        <w:pStyle w:val="Heading1"/>
        <w:spacing w:after="240"/>
        <w:ind w:left="714" w:hanging="357"/>
        <w:jc w:val="both"/>
      </w:pPr>
      <w:r>
        <w:t>LAND USE, LAND USE CHANGE AND FORESTRY</w:t>
      </w:r>
    </w:p>
    <w:p w14:paraId="68C30AB1" w14:textId="25CE1E7B" w:rsidR="00F47D23" w:rsidRPr="00CA7B35" w:rsidRDefault="00CA7B35" w:rsidP="00F47D23">
      <w:pPr>
        <w:jc w:val="both"/>
        <w:rPr>
          <w:rFonts w:ascii="Times New Roman" w:hAnsi="Times New Roman" w:cs="Times New Roman"/>
          <w:sz w:val="24"/>
        </w:rPr>
      </w:pPr>
      <w:r w:rsidRPr="00CA7B35">
        <w:rPr>
          <w:rFonts w:ascii="Times New Roman" w:hAnsi="Times New Roman" w:cs="Times New Roman"/>
          <w:sz w:val="24"/>
        </w:rPr>
        <w:t xml:space="preserve">Land use and forestry </w:t>
      </w:r>
      <w:r>
        <w:rPr>
          <w:rFonts w:ascii="Times New Roman" w:hAnsi="Times New Roman" w:cs="Times New Roman"/>
          <w:sz w:val="24"/>
        </w:rPr>
        <w:t xml:space="preserve">can generate </w:t>
      </w:r>
      <w:r w:rsidR="0030411A">
        <w:rPr>
          <w:rFonts w:ascii="Times New Roman" w:hAnsi="Times New Roman" w:cs="Times New Roman"/>
          <w:sz w:val="24"/>
        </w:rPr>
        <w:t xml:space="preserve">both </w:t>
      </w:r>
      <w:r>
        <w:rPr>
          <w:rFonts w:ascii="Times New Roman" w:hAnsi="Times New Roman" w:cs="Times New Roman"/>
          <w:sz w:val="24"/>
        </w:rPr>
        <w:t>emissions and removals of CO</w:t>
      </w:r>
      <w:r w:rsidRPr="00CA7B35">
        <w:rPr>
          <w:rFonts w:ascii="Times New Roman" w:hAnsi="Times New Roman" w:cs="Times New Roman"/>
          <w:sz w:val="24"/>
          <w:vertAlign w:val="subscript"/>
        </w:rPr>
        <w:t>2</w:t>
      </w:r>
      <w:r>
        <w:rPr>
          <w:rFonts w:ascii="Times New Roman" w:hAnsi="Times New Roman" w:cs="Times New Roman"/>
          <w:sz w:val="24"/>
        </w:rPr>
        <w:t xml:space="preserve"> from the atmosphere. </w:t>
      </w:r>
      <w:r w:rsidR="00F47D23">
        <w:rPr>
          <w:rFonts w:ascii="Times New Roman" w:hAnsi="Times New Roman" w:cs="Times New Roman"/>
          <w:sz w:val="24"/>
        </w:rPr>
        <w:t>From 2013 to 2020</w:t>
      </w:r>
      <w:r w:rsidR="00F47D23" w:rsidRPr="00CA7B35">
        <w:rPr>
          <w:rFonts w:ascii="Times New Roman" w:hAnsi="Times New Roman" w:cs="Times New Roman"/>
          <w:sz w:val="24"/>
        </w:rPr>
        <w:t>, EU Member States are committed to ensur</w:t>
      </w:r>
      <w:r w:rsidR="001101D0">
        <w:rPr>
          <w:rFonts w:ascii="Times New Roman" w:hAnsi="Times New Roman" w:cs="Times New Roman"/>
          <w:sz w:val="24"/>
        </w:rPr>
        <w:t>ing</w:t>
      </w:r>
      <w:r w:rsidR="00F47D23" w:rsidRPr="00CA7B35">
        <w:rPr>
          <w:rFonts w:ascii="Times New Roman" w:hAnsi="Times New Roman" w:cs="Times New Roman"/>
          <w:sz w:val="24"/>
        </w:rPr>
        <w:t xml:space="preserve"> that greenhouse gas emissions </w:t>
      </w:r>
      <w:r w:rsidR="00F47D23">
        <w:rPr>
          <w:rFonts w:ascii="Times New Roman" w:hAnsi="Times New Roman" w:cs="Times New Roman"/>
          <w:sz w:val="24"/>
        </w:rPr>
        <w:t xml:space="preserve">and removals </w:t>
      </w:r>
      <w:r w:rsidR="00F47D23" w:rsidRPr="00CA7B35">
        <w:rPr>
          <w:rFonts w:ascii="Times New Roman" w:hAnsi="Times New Roman" w:cs="Times New Roman"/>
          <w:sz w:val="24"/>
        </w:rPr>
        <w:t xml:space="preserve">from </w:t>
      </w:r>
      <w:r w:rsidR="00F47D23">
        <w:rPr>
          <w:rFonts w:ascii="Times New Roman" w:hAnsi="Times New Roman" w:cs="Times New Roman"/>
          <w:sz w:val="24"/>
        </w:rPr>
        <w:t xml:space="preserve">additional action in this </w:t>
      </w:r>
      <w:r w:rsidR="00F47D23" w:rsidRPr="00CA7B35">
        <w:rPr>
          <w:rFonts w:ascii="Times New Roman" w:hAnsi="Times New Roman" w:cs="Times New Roman"/>
          <w:sz w:val="24"/>
        </w:rPr>
        <w:t>sector</w:t>
      </w:r>
      <w:r w:rsidR="00F47D23">
        <w:rPr>
          <w:rFonts w:ascii="Times New Roman" w:hAnsi="Times New Roman" w:cs="Times New Roman"/>
          <w:sz w:val="24"/>
        </w:rPr>
        <w:t xml:space="preserve"> are accounted towards their reduction target under the Kyoto Protocol</w:t>
      </w:r>
      <w:r w:rsidR="00F47D23" w:rsidRPr="00CA7B35">
        <w:rPr>
          <w:rFonts w:ascii="Times New Roman" w:hAnsi="Times New Roman" w:cs="Times New Roman"/>
          <w:sz w:val="24"/>
        </w:rPr>
        <w:t>.</w:t>
      </w:r>
      <w:r w:rsidR="00F47D23">
        <w:rPr>
          <w:rFonts w:ascii="Times New Roman" w:hAnsi="Times New Roman" w:cs="Times New Roman"/>
          <w:sz w:val="24"/>
        </w:rPr>
        <w:t xml:space="preserve"> However, these emissions and removals do not count towards the EU domestic reduction target of 20% by 2020.</w:t>
      </w:r>
    </w:p>
    <w:p w14:paraId="2EC99E76" w14:textId="77777777" w:rsidR="00C54747" w:rsidRDefault="00C54747" w:rsidP="00E04ACD">
      <w:pPr>
        <w:keepNext/>
        <w:jc w:val="both"/>
        <w:rPr>
          <w:noProof/>
        </w:rPr>
      </w:pPr>
      <w:r>
        <w:rPr>
          <w:noProof/>
          <w:lang w:eastAsia="en-GB"/>
        </w:rPr>
        <w:drawing>
          <wp:inline distT="0" distB="0" distL="0" distR="0" wp14:anchorId="61DEB663" wp14:editId="3807EDCD">
            <wp:extent cx="5238750" cy="300037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7D0D7DB" w14:textId="2C74DCA4" w:rsidR="00C54747" w:rsidRDefault="00D25DC5" w:rsidP="006E1D94">
      <w:pPr>
        <w:pStyle w:val="Caption"/>
        <w:rPr>
          <w:rFonts w:ascii="Times New Roman" w:hAnsi="Times New Roman"/>
          <w:noProof/>
        </w:rPr>
      </w:pPr>
      <w:r>
        <w:t xml:space="preserve">Figure </w:t>
      </w:r>
      <w:fldSimple w:instr=" SEQ Figure \* ARABIC ">
        <w:r w:rsidR="006E3709">
          <w:rPr>
            <w:noProof/>
          </w:rPr>
          <w:t>10</w:t>
        </w:r>
      </w:fldSimple>
      <w:r w:rsidR="004D7B88" w:rsidRPr="006E1D94">
        <w:rPr>
          <w:rFonts w:asciiTheme="minorHAnsi" w:hAnsiTheme="minorHAnsi" w:cstheme="minorHAnsi"/>
          <w:noProof/>
          <w:szCs w:val="22"/>
        </w:rPr>
        <w:t xml:space="preserve">: </w:t>
      </w:r>
      <w:r w:rsidR="00C54747" w:rsidRPr="006E1D94">
        <w:rPr>
          <w:rFonts w:asciiTheme="minorHAnsi" w:hAnsiTheme="minorHAnsi" w:cstheme="minorHAnsi"/>
          <w:noProof/>
          <w:szCs w:val="22"/>
        </w:rPr>
        <w:t>Preliminary accounted emissions and removals for activities reported under the Kyoto Protocol, second commitment period, EU-28</w:t>
      </w:r>
      <w:r w:rsidR="004D7B88" w:rsidRPr="006E1D94">
        <w:rPr>
          <w:rStyle w:val="FootnoteReference"/>
          <w:rFonts w:asciiTheme="minorHAnsi" w:hAnsiTheme="minorHAnsi" w:cstheme="minorHAnsi"/>
          <w:noProof/>
          <w:szCs w:val="22"/>
        </w:rPr>
        <w:footnoteReference w:id="19"/>
      </w:r>
      <w:r w:rsidR="004D7B88" w:rsidRPr="006E1D94">
        <w:rPr>
          <w:rFonts w:ascii="Times New Roman" w:hAnsi="Times New Roman"/>
          <w:noProof/>
          <w:szCs w:val="22"/>
        </w:rPr>
        <w:t xml:space="preserve"> </w:t>
      </w:r>
    </w:p>
    <w:p w14:paraId="45556374" w14:textId="74CAEA85" w:rsidR="00F47D23" w:rsidRDefault="0045741B" w:rsidP="00F47D23">
      <w:pPr>
        <w:jc w:val="both"/>
        <w:rPr>
          <w:rFonts w:ascii="Times New Roman" w:eastAsia="Times New Roman" w:hAnsi="Times New Roman" w:cs="Times New Roman"/>
          <w:noProof/>
          <w:color w:val="000000"/>
          <w:sz w:val="24"/>
          <w:szCs w:val="24"/>
        </w:rPr>
      </w:pPr>
      <w:r>
        <w:rPr>
          <w:rFonts w:ascii="Times New Roman" w:hAnsi="Times New Roman" w:cs="Times New Roman"/>
          <w:noProof/>
          <w:sz w:val="24"/>
          <w:szCs w:val="24"/>
        </w:rPr>
        <w:t xml:space="preserve">The EU’s </w:t>
      </w:r>
      <w:r w:rsidRPr="00CA7B35">
        <w:rPr>
          <w:rFonts w:ascii="Times New Roman" w:eastAsia="Times New Roman" w:hAnsi="Times New Roman" w:cs="Times New Roman"/>
          <w:noProof/>
          <w:color w:val="000000"/>
          <w:sz w:val="24"/>
          <w:szCs w:val="24"/>
        </w:rPr>
        <w:t>‘accounted’ debits and credits</w:t>
      </w:r>
      <w:r>
        <w:rPr>
          <w:rFonts w:ascii="Times New Roman" w:eastAsia="Times New Roman" w:hAnsi="Times New Roman" w:cs="Times New Roman"/>
          <w:noProof/>
          <w:color w:val="000000"/>
          <w:sz w:val="24"/>
          <w:szCs w:val="24"/>
        </w:rPr>
        <w:t xml:space="preserve"> per activity for 2013-2017 produce an average sink of -111.9 Mt CO</w:t>
      </w:r>
      <w:r>
        <w:rPr>
          <w:rFonts w:ascii="Times New Roman" w:eastAsia="Times New Roman" w:hAnsi="Times New Roman" w:cs="Times New Roman"/>
          <w:noProof/>
          <w:color w:val="000000"/>
          <w:sz w:val="24"/>
          <w:szCs w:val="24"/>
          <w:vertAlign w:val="subscript"/>
        </w:rPr>
        <w:t>2</w:t>
      </w:r>
      <w:r>
        <w:rPr>
          <w:rFonts w:ascii="Times New Roman" w:eastAsia="Times New Roman" w:hAnsi="Times New Roman" w:cs="Times New Roman"/>
          <w:noProof/>
          <w:color w:val="000000"/>
          <w:sz w:val="24"/>
          <w:szCs w:val="24"/>
        </w:rPr>
        <w:t>eq</w:t>
      </w:r>
      <w:r w:rsidR="00F03FA4">
        <w:rPr>
          <w:rStyle w:val="FootnoteReference"/>
          <w:rFonts w:ascii="Times New Roman" w:eastAsia="Times New Roman" w:hAnsi="Times New Roman" w:cs="Times New Roman"/>
          <w:noProof/>
          <w:color w:val="000000"/>
          <w:sz w:val="24"/>
          <w:szCs w:val="24"/>
        </w:rPr>
        <w:footnoteReference w:id="20"/>
      </w:r>
      <w:r w:rsidR="00F90C48">
        <w:rPr>
          <w:rFonts w:ascii="Times New Roman" w:eastAsia="Times New Roman" w:hAnsi="Times New Roman" w:cs="Times New Roman"/>
          <w:noProof/>
          <w:color w:val="000000"/>
          <w:sz w:val="24"/>
          <w:szCs w:val="24"/>
        </w:rPr>
        <w:t>.</w:t>
      </w:r>
      <w:r>
        <w:rPr>
          <w:rFonts w:ascii="Times New Roman" w:eastAsia="Times New Roman" w:hAnsi="Times New Roman" w:cs="Times New Roman"/>
          <w:noProof/>
          <w:color w:val="000000"/>
          <w:sz w:val="24"/>
          <w:szCs w:val="24"/>
        </w:rPr>
        <w:t xml:space="preserve"> The accounted net credits fell from -133.9 to </w:t>
      </w:r>
      <w:r>
        <w:rPr>
          <w:rFonts w:ascii="Times New Roman" w:eastAsia="Times New Roman" w:hAnsi="Times New Roman" w:cs="Times New Roman"/>
          <w:noProof/>
          <w:color w:val="000000"/>
          <w:sz w:val="24"/>
          <w:szCs w:val="24"/>
        </w:rPr>
        <w:noBreakHyphen/>
        <w:t>80.5 Mt CO</w:t>
      </w:r>
      <w:r>
        <w:rPr>
          <w:rFonts w:ascii="Times New Roman" w:eastAsia="Times New Roman" w:hAnsi="Times New Roman" w:cs="Times New Roman"/>
          <w:noProof/>
          <w:color w:val="000000"/>
          <w:sz w:val="24"/>
          <w:szCs w:val="24"/>
          <w:vertAlign w:val="subscript"/>
        </w:rPr>
        <w:t>2</w:t>
      </w:r>
      <w:r>
        <w:rPr>
          <w:rFonts w:ascii="Times New Roman" w:eastAsia="Times New Roman" w:hAnsi="Times New Roman" w:cs="Times New Roman"/>
          <w:noProof/>
          <w:color w:val="000000"/>
          <w:sz w:val="24"/>
          <w:szCs w:val="24"/>
        </w:rPr>
        <w:t xml:space="preserve">eq from 2013 to 2017. </w:t>
      </w:r>
      <w:r w:rsidR="00F47D23">
        <w:rPr>
          <w:rFonts w:ascii="Times New Roman" w:eastAsia="Times New Roman" w:hAnsi="Times New Roman" w:cs="Times New Roman"/>
          <w:noProof/>
          <w:color w:val="000000"/>
          <w:sz w:val="24"/>
          <w:szCs w:val="24"/>
        </w:rPr>
        <w:t>These quantities for the EU include both ‘mandatory’ (Afforestation/Reforestation, Deforestation and Forest Management) and ‘elected’ activities under the Kyoto Protocol</w:t>
      </w:r>
      <w:r w:rsidR="00F47D23">
        <w:rPr>
          <w:rStyle w:val="FootnoteReference"/>
          <w:rFonts w:ascii="Times New Roman" w:eastAsia="Times New Roman" w:hAnsi="Times New Roman" w:cs="Times New Roman"/>
          <w:noProof/>
          <w:color w:val="000000"/>
          <w:sz w:val="24"/>
          <w:szCs w:val="24"/>
        </w:rPr>
        <w:footnoteReference w:id="21"/>
      </w:r>
      <w:r w:rsidR="00F47D23">
        <w:rPr>
          <w:rFonts w:ascii="Times New Roman" w:eastAsia="Times New Roman" w:hAnsi="Times New Roman" w:cs="Times New Roman"/>
          <w:noProof/>
          <w:color w:val="000000"/>
          <w:sz w:val="24"/>
          <w:szCs w:val="24"/>
        </w:rPr>
        <w:t xml:space="preserve">. </w:t>
      </w:r>
    </w:p>
    <w:p w14:paraId="5A5043CE" w14:textId="72A97276" w:rsidR="00D3588F" w:rsidRPr="009E18FF" w:rsidRDefault="00F47D23" w:rsidP="00E04ACD">
      <w:pPr>
        <w:jc w:val="both"/>
        <w:rPr>
          <w:rFonts w:ascii="Times New Roman" w:eastAsia="Times New Roman" w:hAnsi="Times New Roman" w:cs="Times New Roman"/>
          <w:noProof/>
          <w:color w:val="000000"/>
          <w:sz w:val="24"/>
          <w:szCs w:val="24"/>
        </w:rPr>
      </w:pPr>
      <w:r w:rsidRPr="009E18FF">
        <w:rPr>
          <w:rFonts w:ascii="Times New Roman" w:eastAsia="Times New Roman" w:hAnsi="Times New Roman" w:cs="Times New Roman"/>
          <w:noProof/>
          <w:color w:val="000000"/>
          <w:sz w:val="24"/>
          <w:szCs w:val="24"/>
        </w:rPr>
        <w:t xml:space="preserve">The decrease in net credits described above mainly results from </w:t>
      </w:r>
      <w:r w:rsidR="0045741B" w:rsidRPr="009E18FF">
        <w:rPr>
          <w:rFonts w:ascii="Times New Roman" w:eastAsia="Times New Roman" w:hAnsi="Times New Roman" w:cs="Times New Roman"/>
          <w:noProof/>
          <w:color w:val="000000"/>
          <w:sz w:val="24"/>
          <w:szCs w:val="24"/>
        </w:rPr>
        <w:t xml:space="preserve">decreasing credits or credits turning into debits for </w:t>
      </w:r>
      <w:r w:rsidR="00F90C48">
        <w:rPr>
          <w:rFonts w:ascii="Times New Roman" w:eastAsia="Times New Roman" w:hAnsi="Times New Roman" w:cs="Times New Roman"/>
          <w:noProof/>
          <w:color w:val="000000"/>
          <w:sz w:val="24"/>
          <w:szCs w:val="24"/>
        </w:rPr>
        <w:t>f</w:t>
      </w:r>
      <w:r w:rsidR="0045741B" w:rsidRPr="009E18FF">
        <w:rPr>
          <w:rFonts w:ascii="Times New Roman" w:eastAsia="Times New Roman" w:hAnsi="Times New Roman" w:cs="Times New Roman"/>
          <w:noProof/>
          <w:color w:val="000000"/>
          <w:sz w:val="24"/>
          <w:szCs w:val="24"/>
        </w:rPr>
        <w:t xml:space="preserve">orest </w:t>
      </w:r>
      <w:r w:rsidR="00F90C48">
        <w:rPr>
          <w:rFonts w:ascii="Times New Roman" w:eastAsia="Times New Roman" w:hAnsi="Times New Roman" w:cs="Times New Roman"/>
          <w:noProof/>
          <w:color w:val="000000"/>
          <w:sz w:val="24"/>
          <w:szCs w:val="24"/>
        </w:rPr>
        <w:t>m</w:t>
      </w:r>
      <w:r w:rsidR="0045741B" w:rsidRPr="009E18FF">
        <w:rPr>
          <w:rFonts w:ascii="Times New Roman" w:eastAsia="Times New Roman" w:hAnsi="Times New Roman" w:cs="Times New Roman"/>
          <w:noProof/>
          <w:color w:val="000000"/>
          <w:sz w:val="24"/>
          <w:szCs w:val="24"/>
        </w:rPr>
        <w:t>anagement in Croatia, Czec</w:t>
      </w:r>
      <w:r w:rsidR="00D3588F" w:rsidRPr="009E18FF">
        <w:rPr>
          <w:rFonts w:ascii="Times New Roman" w:eastAsia="Times New Roman" w:hAnsi="Times New Roman" w:cs="Times New Roman"/>
          <w:noProof/>
          <w:color w:val="000000"/>
          <w:sz w:val="24"/>
          <w:szCs w:val="24"/>
        </w:rPr>
        <w:t>h</w:t>
      </w:r>
      <w:r w:rsidR="00955F27">
        <w:rPr>
          <w:rFonts w:ascii="Times New Roman" w:eastAsia="Times New Roman" w:hAnsi="Times New Roman" w:cs="Times New Roman"/>
          <w:noProof/>
          <w:color w:val="000000"/>
          <w:sz w:val="24"/>
          <w:szCs w:val="24"/>
        </w:rPr>
        <w:t>ia</w:t>
      </w:r>
      <w:r w:rsidR="0045741B" w:rsidRPr="009E18FF">
        <w:rPr>
          <w:rFonts w:ascii="Times New Roman" w:eastAsia="Times New Roman" w:hAnsi="Times New Roman" w:cs="Times New Roman"/>
          <w:noProof/>
          <w:color w:val="000000"/>
          <w:sz w:val="24"/>
          <w:szCs w:val="24"/>
        </w:rPr>
        <w:t xml:space="preserve">, Denmark, France, Italy, Lithuania, Portugal, Slovenia and the United Kingdom.  </w:t>
      </w:r>
      <w:r w:rsidR="00D3588F" w:rsidRPr="009E18FF">
        <w:rPr>
          <w:rFonts w:ascii="Times New Roman" w:eastAsia="Times New Roman" w:hAnsi="Times New Roman" w:cs="Times New Roman"/>
          <w:noProof/>
          <w:color w:val="000000"/>
          <w:sz w:val="24"/>
          <w:szCs w:val="24"/>
        </w:rPr>
        <w:t>The main reason is the increase in harvesting rates. This was driven mostly by a marked increase in wood-demand and national policies that enhanced harvest, and to a lesser extent by more forest reaching mature age</w:t>
      </w:r>
      <w:r w:rsidR="00F90C48">
        <w:rPr>
          <w:rFonts w:ascii="Times New Roman" w:eastAsia="Times New Roman" w:hAnsi="Times New Roman" w:cs="Times New Roman"/>
          <w:noProof/>
          <w:color w:val="000000"/>
          <w:sz w:val="24"/>
          <w:szCs w:val="24"/>
        </w:rPr>
        <w:t>,</w:t>
      </w:r>
      <w:r w:rsidR="00D3588F" w:rsidRPr="009E18FF">
        <w:rPr>
          <w:rFonts w:ascii="Times New Roman" w:eastAsia="Times New Roman" w:hAnsi="Times New Roman" w:cs="Times New Roman"/>
          <w:noProof/>
          <w:color w:val="000000"/>
          <w:sz w:val="24"/>
          <w:szCs w:val="24"/>
        </w:rPr>
        <w:t xml:space="preserve"> e.g. in Denmark and France. Natural disturbances also contributed to the increased emissions. For instance, 2017 emissions from wildfires in Italy and Portugal were among the highest ever recorded.  Pest and windstorms have dramatically affected forests in Lithuania, Slovenia and Czech</w:t>
      </w:r>
      <w:r w:rsidR="00955F27">
        <w:rPr>
          <w:rFonts w:ascii="Times New Roman" w:eastAsia="Times New Roman" w:hAnsi="Times New Roman" w:cs="Times New Roman"/>
          <w:noProof/>
          <w:color w:val="000000"/>
          <w:sz w:val="24"/>
          <w:szCs w:val="24"/>
        </w:rPr>
        <w:t>ia</w:t>
      </w:r>
      <w:r w:rsidR="00D3588F" w:rsidRPr="009E18FF">
        <w:rPr>
          <w:rFonts w:ascii="Times New Roman" w:eastAsia="Times New Roman" w:hAnsi="Times New Roman" w:cs="Times New Roman"/>
          <w:noProof/>
          <w:color w:val="000000"/>
          <w:sz w:val="24"/>
          <w:szCs w:val="24"/>
        </w:rPr>
        <w:t xml:space="preserve">. </w:t>
      </w:r>
    </w:p>
    <w:p w14:paraId="16AFBCAB" w14:textId="1D6282F6" w:rsidR="0045741B" w:rsidRDefault="00D3588F" w:rsidP="00E04ACD">
      <w:pPr>
        <w:jc w:val="both"/>
        <w:rPr>
          <w:rFonts w:ascii="Times New Roman" w:eastAsia="Times New Roman" w:hAnsi="Times New Roman" w:cs="Times New Roman"/>
          <w:noProof/>
          <w:color w:val="000000"/>
          <w:sz w:val="24"/>
          <w:szCs w:val="24"/>
        </w:rPr>
      </w:pPr>
      <w:r w:rsidRPr="009E18FF">
        <w:rPr>
          <w:rFonts w:ascii="Times New Roman" w:eastAsia="Times New Roman" w:hAnsi="Times New Roman" w:cs="Times New Roman"/>
          <w:noProof/>
          <w:color w:val="000000"/>
          <w:sz w:val="24"/>
          <w:szCs w:val="24"/>
        </w:rPr>
        <w:t xml:space="preserve">It </w:t>
      </w:r>
      <w:r w:rsidR="008C7B9C" w:rsidRPr="009E18FF">
        <w:rPr>
          <w:rFonts w:ascii="Times New Roman" w:eastAsia="Times New Roman" w:hAnsi="Times New Roman" w:cs="Times New Roman"/>
          <w:noProof/>
          <w:color w:val="000000"/>
          <w:sz w:val="24"/>
          <w:szCs w:val="24"/>
        </w:rPr>
        <w:t>remains uncertain</w:t>
      </w:r>
      <w:r w:rsidRPr="009E18FF">
        <w:rPr>
          <w:rFonts w:ascii="Times New Roman" w:eastAsia="Times New Roman" w:hAnsi="Times New Roman" w:cs="Times New Roman"/>
          <w:noProof/>
          <w:color w:val="000000"/>
          <w:sz w:val="24"/>
          <w:szCs w:val="24"/>
        </w:rPr>
        <w:t xml:space="preserve"> whether this trend will continue. Yet, in a context of climate change, natural disturbance events are expected to become more frequent. Market behaviour will mainly depend on the economic context. Material substitution and wood for energy initiatives along with afforestation and reforestation program</w:t>
      </w:r>
      <w:r w:rsidR="00ED2123">
        <w:rPr>
          <w:rFonts w:ascii="Times New Roman" w:eastAsia="Times New Roman" w:hAnsi="Times New Roman" w:cs="Times New Roman"/>
          <w:noProof/>
          <w:color w:val="000000"/>
          <w:sz w:val="24"/>
          <w:szCs w:val="24"/>
        </w:rPr>
        <w:t>me</w:t>
      </w:r>
      <w:r w:rsidRPr="009E18FF">
        <w:rPr>
          <w:rFonts w:ascii="Times New Roman" w:eastAsia="Times New Roman" w:hAnsi="Times New Roman" w:cs="Times New Roman"/>
          <w:noProof/>
          <w:color w:val="000000"/>
          <w:sz w:val="24"/>
          <w:szCs w:val="24"/>
        </w:rPr>
        <w:t>s are expected to increase as they are driven by policies that will enter into force in 2021.</w:t>
      </w:r>
    </w:p>
    <w:p w14:paraId="6CE3D456" w14:textId="2F21D35B" w:rsidR="00F47D23" w:rsidRDefault="0045741B" w:rsidP="00F47D23">
      <w:pPr>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Under accounting rules for the Kyoto Protocol second commitment period, Cyprus, Czech</w:t>
      </w:r>
      <w:r w:rsidR="00955F27">
        <w:rPr>
          <w:rFonts w:ascii="Times New Roman" w:eastAsia="Times New Roman" w:hAnsi="Times New Roman" w:cs="Times New Roman"/>
          <w:noProof/>
          <w:color w:val="000000"/>
          <w:sz w:val="24"/>
          <w:szCs w:val="24"/>
        </w:rPr>
        <w:t>ia</w:t>
      </w:r>
      <w:r>
        <w:rPr>
          <w:rFonts w:ascii="Times New Roman" w:eastAsia="Times New Roman" w:hAnsi="Times New Roman" w:cs="Times New Roman"/>
          <w:noProof/>
          <w:color w:val="000000"/>
          <w:sz w:val="24"/>
          <w:szCs w:val="24"/>
        </w:rPr>
        <w:t xml:space="preserve">, Finland, France, Italy, Latvia, Lithuania, the Netherlands, Portugal and </w:t>
      </w:r>
      <w:r w:rsidR="00F47D23">
        <w:rPr>
          <w:rFonts w:ascii="Times New Roman" w:eastAsia="Times New Roman" w:hAnsi="Times New Roman" w:cs="Times New Roman"/>
          <w:noProof/>
          <w:color w:val="000000"/>
          <w:sz w:val="24"/>
          <w:szCs w:val="24"/>
        </w:rPr>
        <w:t xml:space="preserve">Slovenia show net debits for at least one year in this preliminary accounting exercise. </w:t>
      </w:r>
    </w:p>
    <w:p w14:paraId="5AAA81F3" w14:textId="1CF78BA2" w:rsidR="0045741B" w:rsidRDefault="0045741B" w:rsidP="00E04ACD">
      <w:pPr>
        <w:jc w:val="both"/>
        <w:rPr>
          <w:rFonts w:ascii="Times New Roman" w:hAnsi="Times New Roman" w:cs="Times New Roman"/>
          <w:noProof/>
          <w:sz w:val="24"/>
          <w:szCs w:val="24"/>
        </w:rPr>
      </w:pPr>
      <w:r>
        <w:rPr>
          <w:rFonts w:ascii="Times New Roman" w:hAnsi="Times New Roman" w:cs="Times New Roman"/>
          <w:noProof/>
          <w:sz w:val="24"/>
          <w:szCs w:val="24"/>
        </w:rPr>
        <w:t xml:space="preserve">The 2030 </w:t>
      </w:r>
      <w:r w:rsidR="00ED2123">
        <w:rPr>
          <w:rFonts w:ascii="Times New Roman" w:hAnsi="Times New Roman" w:cs="Times New Roman"/>
          <w:noProof/>
          <w:sz w:val="24"/>
          <w:szCs w:val="24"/>
        </w:rPr>
        <w:t>C</w:t>
      </w:r>
      <w:r>
        <w:rPr>
          <w:rFonts w:ascii="Times New Roman" w:hAnsi="Times New Roman" w:cs="Times New Roman"/>
          <w:noProof/>
          <w:sz w:val="24"/>
          <w:szCs w:val="24"/>
        </w:rPr>
        <w:t xml:space="preserve">limate and </w:t>
      </w:r>
      <w:r w:rsidR="00ED2123">
        <w:rPr>
          <w:rFonts w:ascii="Times New Roman" w:hAnsi="Times New Roman" w:cs="Times New Roman"/>
          <w:noProof/>
          <w:sz w:val="24"/>
          <w:szCs w:val="24"/>
        </w:rPr>
        <w:t>E</w:t>
      </w:r>
      <w:r>
        <w:rPr>
          <w:rFonts w:ascii="Times New Roman" w:hAnsi="Times New Roman" w:cs="Times New Roman"/>
          <w:noProof/>
          <w:sz w:val="24"/>
          <w:szCs w:val="24"/>
        </w:rPr>
        <w:t xml:space="preserve">nergy </w:t>
      </w:r>
      <w:r w:rsidR="00ED2123">
        <w:rPr>
          <w:rFonts w:ascii="Times New Roman" w:hAnsi="Times New Roman" w:cs="Times New Roman"/>
          <w:noProof/>
          <w:sz w:val="24"/>
          <w:szCs w:val="24"/>
        </w:rPr>
        <w:t>F</w:t>
      </w:r>
      <w:r>
        <w:rPr>
          <w:rFonts w:ascii="Times New Roman" w:hAnsi="Times New Roman" w:cs="Times New Roman"/>
          <w:noProof/>
          <w:sz w:val="24"/>
          <w:szCs w:val="24"/>
        </w:rPr>
        <w:t xml:space="preserve">ramework integrates, for the first time, emissions and removals from </w:t>
      </w:r>
      <w:r>
        <w:rPr>
          <w:rFonts w:ascii="Times New Roman" w:hAnsi="Times New Roman" w:cs="Times New Roman"/>
          <w:noProof/>
          <w:color w:val="000000"/>
          <w:sz w:val="24"/>
          <w:szCs w:val="24"/>
        </w:rPr>
        <w:t xml:space="preserve">land.  </w:t>
      </w:r>
      <w:r>
        <w:rPr>
          <w:rFonts w:ascii="Times New Roman" w:hAnsi="Times New Roman" w:cs="Times New Roman"/>
          <w:noProof/>
          <w:sz w:val="24"/>
          <w:szCs w:val="24"/>
        </w:rPr>
        <w:t>From 2021, the LULUCF Regulation</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xml:space="preserve">  requires each Member State to ensure that accounted emissions from land use are entirely compensated by an equivalent removal of CO</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from the atmosphere through action in the sector. This ‘no</w:t>
      </w:r>
      <w:r>
        <w:rPr>
          <w:rFonts w:ascii="Times New Roman" w:hAnsi="Times New Roman" w:cs="Times New Roman"/>
          <w:noProof/>
          <w:sz w:val="24"/>
          <w:szCs w:val="24"/>
        </w:rPr>
        <w:noBreakHyphen/>
        <w:t xml:space="preserve">debit rule’ means that Member States have to offset emissions from deforestation, for instance by equivalent carbon sinks from afforestation or improving the sustainable management of existing forests. </w:t>
      </w:r>
    </w:p>
    <w:p w14:paraId="5A48234A" w14:textId="341684A6" w:rsidR="0045741B" w:rsidRDefault="00E809A6" w:rsidP="00E04ACD">
      <w:pPr>
        <w:jc w:val="both"/>
        <w:rPr>
          <w:rFonts w:ascii="Times New Roman" w:hAnsi="Times New Roman" w:cs="Times New Roman"/>
          <w:noProof/>
          <w:sz w:val="24"/>
          <w:szCs w:val="24"/>
        </w:rPr>
      </w:pPr>
      <w:r>
        <w:rPr>
          <w:rFonts w:ascii="Times New Roman" w:hAnsi="Times New Roman" w:cs="Times New Roman"/>
          <w:noProof/>
          <w:sz w:val="24"/>
          <w:szCs w:val="24"/>
        </w:rPr>
        <w:t>Member State have submitted</w:t>
      </w:r>
      <w:r w:rsidR="0045741B">
        <w:rPr>
          <w:rFonts w:ascii="Times New Roman" w:hAnsi="Times New Roman" w:cs="Times New Roman"/>
          <w:noProof/>
          <w:sz w:val="24"/>
          <w:szCs w:val="24"/>
        </w:rPr>
        <w:t xml:space="preserve"> National Forestry Accounting Plans</w:t>
      </w:r>
      <w:r>
        <w:rPr>
          <w:rFonts w:ascii="Times New Roman" w:hAnsi="Times New Roman" w:cs="Times New Roman"/>
          <w:noProof/>
          <w:sz w:val="24"/>
          <w:szCs w:val="24"/>
        </w:rPr>
        <w:t>, including proposed forest reference levels. An expert group</w:t>
      </w:r>
      <w:r w:rsidR="0045741B">
        <w:rPr>
          <w:rFonts w:ascii="Times New Roman" w:hAnsi="Times New Roman" w:cs="Times New Roman"/>
          <w:noProof/>
          <w:sz w:val="24"/>
          <w:szCs w:val="24"/>
        </w:rPr>
        <w:t xml:space="preserve"> </w:t>
      </w:r>
      <w:r>
        <w:rPr>
          <w:rFonts w:ascii="Times New Roman" w:hAnsi="Times New Roman" w:cs="Times New Roman"/>
          <w:noProof/>
          <w:sz w:val="24"/>
          <w:szCs w:val="24"/>
        </w:rPr>
        <w:t xml:space="preserve">have </w:t>
      </w:r>
      <w:r w:rsidR="0045741B">
        <w:rPr>
          <w:rFonts w:ascii="Times New Roman" w:hAnsi="Times New Roman" w:cs="Times New Roman"/>
          <w:noProof/>
          <w:sz w:val="24"/>
          <w:szCs w:val="24"/>
        </w:rPr>
        <w:t xml:space="preserve">technically assessed </w:t>
      </w:r>
      <w:r>
        <w:rPr>
          <w:rFonts w:ascii="Times New Roman" w:hAnsi="Times New Roman" w:cs="Times New Roman"/>
          <w:noProof/>
          <w:sz w:val="24"/>
          <w:szCs w:val="24"/>
        </w:rPr>
        <w:t>the proposals</w:t>
      </w:r>
      <w:r w:rsidR="0045741B">
        <w:rPr>
          <w:rStyle w:val="FootnoteReference"/>
          <w:rFonts w:ascii="Times New Roman" w:hAnsi="Times New Roman" w:cs="Times New Roman"/>
          <w:noProof/>
          <w:sz w:val="24"/>
          <w:szCs w:val="24"/>
        </w:rPr>
        <w:footnoteReference w:id="23"/>
      </w:r>
      <w:r w:rsidR="0045741B">
        <w:rPr>
          <w:rFonts w:ascii="Times New Roman" w:hAnsi="Times New Roman" w:cs="Times New Roman"/>
          <w:noProof/>
          <w:sz w:val="24"/>
          <w:szCs w:val="24"/>
        </w:rPr>
        <w:t xml:space="preserve">, and the </w:t>
      </w:r>
      <w:r>
        <w:rPr>
          <w:rFonts w:ascii="Times New Roman" w:hAnsi="Times New Roman" w:cs="Times New Roman"/>
          <w:noProof/>
          <w:sz w:val="24"/>
          <w:szCs w:val="24"/>
        </w:rPr>
        <w:t xml:space="preserve">European </w:t>
      </w:r>
      <w:r w:rsidR="0045741B">
        <w:rPr>
          <w:rFonts w:ascii="Times New Roman" w:hAnsi="Times New Roman" w:cs="Times New Roman"/>
          <w:noProof/>
          <w:sz w:val="24"/>
          <w:szCs w:val="24"/>
        </w:rPr>
        <w:t xml:space="preserve">Commission </w:t>
      </w:r>
      <w:r>
        <w:rPr>
          <w:rFonts w:ascii="Times New Roman" w:hAnsi="Times New Roman" w:cs="Times New Roman"/>
          <w:noProof/>
          <w:sz w:val="24"/>
          <w:szCs w:val="24"/>
        </w:rPr>
        <w:t xml:space="preserve">has </w:t>
      </w:r>
      <w:r w:rsidR="0045741B">
        <w:rPr>
          <w:rFonts w:ascii="Times New Roman" w:hAnsi="Times New Roman" w:cs="Times New Roman"/>
          <w:noProof/>
          <w:sz w:val="24"/>
          <w:szCs w:val="24"/>
        </w:rPr>
        <w:t>issued technical recommendations</w:t>
      </w:r>
      <w:r>
        <w:rPr>
          <w:rFonts w:ascii="Times New Roman" w:hAnsi="Times New Roman" w:cs="Times New Roman"/>
          <w:noProof/>
          <w:sz w:val="24"/>
          <w:szCs w:val="24"/>
        </w:rPr>
        <w:t xml:space="preserve"> for improving the national plans</w:t>
      </w:r>
      <w:r w:rsidR="0045741B">
        <w:rPr>
          <w:rStyle w:val="FootnoteReference"/>
          <w:rFonts w:ascii="Times New Roman" w:hAnsi="Times New Roman" w:cs="Times New Roman"/>
          <w:noProof/>
          <w:sz w:val="24"/>
          <w:szCs w:val="24"/>
        </w:rPr>
        <w:footnoteReference w:id="24"/>
      </w:r>
      <w:r>
        <w:rPr>
          <w:rFonts w:ascii="Times New Roman" w:hAnsi="Times New Roman" w:cs="Times New Roman"/>
          <w:noProof/>
          <w:sz w:val="24"/>
          <w:szCs w:val="24"/>
        </w:rPr>
        <w:t xml:space="preserve">. </w:t>
      </w:r>
      <w:r w:rsidR="0045741B">
        <w:rPr>
          <w:rFonts w:ascii="Times New Roman" w:hAnsi="Times New Roman" w:cs="Times New Roman"/>
          <w:noProof/>
          <w:sz w:val="24"/>
          <w:szCs w:val="24"/>
        </w:rPr>
        <w:t xml:space="preserve"> </w:t>
      </w:r>
      <w:r>
        <w:rPr>
          <w:rFonts w:ascii="Times New Roman" w:hAnsi="Times New Roman" w:cs="Times New Roman"/>
          <w:noProof/>
          <w:sz w:val="24"/>
          <w:szCs w:val="24"/>
        </w:rPr>
        <w:t>On this basis,</w:t>
      </w:r>
      <w:r w:rsidR="0045741B">
        <w:rPr>
          <w:rFonts w:ascii="Times New Roman" w:hAnsi="Times New Roman" w:cs="Times New Roman"/>
          <w:noProof/>
          <w:sz w:val="24"/>
          <w:szCs w:val="24"/>
        </w:rPr>
        <w:t xml:space="preserve"> Member States</w:t>
      </w:r>
      <w:r>
        <w:rPr>
          <w:rFonts w:ascii="Times New Roman" w:hAnsi="Times New Roman" w:cs="Times New Roman"/>
          <w:noProof/>
          <w:sz w:val="24"/>
          <w:szCs w:val="24"/>
        </w:rPr>
        <w:t xml:space="preserve"> should revise their plans</w:t>
      </w:r>
      <w:r w:rsidR="0045741B">
        <w:rPr>
          <w:rFonts w:ascii="Times New Roman" w:hAnsi="Times New Roman" w:cs="Times New Roman"/>
          <w:noProof/>
          <w:sz w:val="24"/>
          <w:szCs w:val="24"/>
        </w:rPr>
        <w:t xml:space="preserve"> by 31 December 2019.</w:t>
      </w:r>
    </w:p>
    <w:p w14:paraId="245413F3" w14:textId="40515FF0" w:rsidR="00F47D23" w:rsidRDefault="00F47D23" w:rsidP="00F47D23">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Communication “A </w:t>
      </w:r>
      <w:r w:rsidR="00ED2123">
        <w:rPr>
          <w:rFonts w:ascii="Times New Roman" w:hAnsi="Times New Roman" w:cs="Times New Roman"/>
          <w:noProof/>
          <w:sz w:val="24"/>
          <w:szCs w:val="24"/>
        </w:rPr>
        <w:t>C</w:t>
      </w:r>
      <w:r>
        <w:rPr>
          <w:rFonts w:ascii="Times New Roman" w:hAnsi="Times New Roman" w:cs="Times New Roman"/>
          <w:noProof/>
          <w:sz w:val="24"/>
          <w:szCs w:val="24"/>
        </w:rPr>
        <w:t>lean planet for all”</w:t>
      </w:r>
      <w:r>
        <w:rPr>
          <w:rStyle w:val="FootnoteReference"/>
          <w:rFonts w:ascii="Times New Roman" w:hAnsi="Times New Roman" w:cs="Times New Roman"/>
          <w:noProof/>
          <w:sz w:val="24"/>
          <w:szCs w:val="24"/>
        </w:rPr>
        <w:footnoteReference w:id="25"/>
      </w:r>
      <w:r>
        <w:rPr>
          <w:rFonts w:ascii="Times New Roman" w:hAnsi="Times New Roman" w:cs="Times New Roman"/>
          <w:noProof/>
          <w:sz w:val="24"/>
          <w:szCs w:val="24"/>
        </w:rPr>
        <w:t xml:space="preserve"> also included emissions and removals from LULUCF. At present, the EU land stores more emissions than it emits. Even though this sink is projected to decline, it will </w:t>
      </w:r>
      <w:r w:rsidR="00CE78E6">
        <w:rPr>
          <w:rFonts w:ascii="Times New Roman" w:hAnsi="Times New Roman" w:cs="Times New Roman"/>
          <w:noProof/>
          <w:sz w:val="24"/>
          <w:szCs w:val="24"/>
        </w:rPr>
        <w:t xml:space="preserve">have to </w:t>
      </w:r>
      <w:r>
        <w:rPr>
          <w:rFonts w:ascii="Times New Roman" w:hAnsi="Times New Roman" w:cs="Times New Roman"/>
          <w:noProof/>
          <w:sz w:val="24"/>
          <w:szCs w:val="24"/>
        </w:rPr>
        <w:t>play an i</w:t>
      </w:r>
      <w:r w:rsidR="00CE78E6">
        <w:rPr>
          <w:rFonts w:ascii="Times New Roman" w:hAnsi="Times New Roman" w:cs="Times New Roman"/>
          <w:noProof/>
          <w:sz w:val="24"/>
          <w:szCs w:val="24"/>
        </w:rPr>
        <w:t>ncreasing</w:t>
      </w:r>
      <w:r>
        <w:rPr>
          <w:rFonts w:ascii="Times New Roman" w:hAnsi="Times New Roman" w:cs="Times New Roman"/>
          <w:noProof/>
          <w:sz w:val="24"/>
          <w:szCs w:val="24"/>
        </w:rPr>
        <w:t xml:space="preserve"> role, together with other technological solutions, in order to offset the remaining emissions from other sectors and achieve a net-zero balance by 2050</w:t>
      </w:r>
      <w:r w:rsidR="00CE78E6">
        <w:rPr>
          <w:rFonts w:ascii="Times New Roman" w:hAnsi="Times New Roman" w:cs="Times New Roman"/>
          <w:noProof/>
          <w:sz w:val="24"/>
          <w:szCs w:val="24"/>
        </w:rPr>
        <w:t xml:space="preserve"> as illustrated in Figure 1</w:t>
      </w:r>
      <w:r>
        <w:rPr>
          <w:rFonts w:ascii="Times New Roman" w:hAnsi="Times New Roman" w:cs="Times New Roman"/>
          <w:noProof/>
          <w:sz w:val="24"/>
          <w:szCs w:val="24"/>
        </w:rPr>
        <w:t xml:space="preserve">. </w:t>
      </w:r>
    </w:p>
    <w:p w14:paraId="3AA111AB" w14:textId="77777777" w:rsidR="00E268FF" w:rsidRDefault="00E268FF" w:rsidP="00E04ACD">
      <w:pPr>
        <w:jc w:val="both"/>
        <w:rPr>
          <w:rFonts w:ascii="Times New Roman" w:hAnsi="Times New Roman"/>
          <w:noProof/>
          <w:sz w:val="24"/>
          <w:szCs w:val="24"/>
        </w:rPr>
      </w:pPr>
    </w:p>
    <w:p w14:paraId="2F88EAE6" w14:textId="70E9DDF3" w:rsidR="008E5BD7" w:rsidRDefault="00E04ACD" w:rsidP="00446D1E">
      <w:pPr>
        <w:pStyle w:val="Heading1"/>
        <w:spacing w:after="240"/>
        <w:ind w:left="714" w:hanging="357"/>
        <w:jc w:val="both"/>
      </w:pPr>
      <w:r>
        <w:t>POLICY DEVELOPMENTS SINCE OCTOBER</w:t>
      </w:r>
      <w:r w:rsidR="008E5BD7">
        <w:t xml:space="preserve"> 2018</w:t>
      </w:r>
    </w:p>
    <w:p w14:paraId="32A83772" w14:textId="083D50E9" w:rsidR="00367115" w:rsidRPr="00210000" w:rsidRDefault="00210000" w:rsidP="00E04ACD">
      <w:pPr>
        <w:jc w:val="both"/>
        <w:rPr>
          <w:rFonts w:ascii="Times New Roman" w:hAnsi="Times New Roman" w:cs="Times New Roman"/>
          <w:sz w:val="24"/>
        </w:rPr>
      </w:pPr>
      <w:r w:rsidRPr="00210000">
        <w:rPr>
          <w:rFonts w:ascii="Times New Roman" w:hAnsi="Times New Roman" w:cs="Times New Roman"/>
          <w:sz w:val="24"/>
        </w:rPr>
        <w:t xml:space="preserve">The EU continues developing its </w:t>
      </w:r>
      <w:r>
        <w:rPr>
          <w:rFonts w:ascii="Times New Roman" w:hAnsi="Times New Roman" w:cs="Times New Roman"/>
          <w:sz w:val="24"/>
        </w:rPr>
        <w:t xml:space="preserve">policy framework for cutting GHG emissions and adapting to climate change. Over the last year, there has been significant progress </w:t>
      </w:r>
      <w:r w:rsidR="00ED2123">
        <w:rPr>
          <w:rFonts w:ascii="Times New Roman" w:hAnsi="Times New Roman" w:cs="Times New Roman"/>
          <w:sz w:val="24"/>
        </w:rPr>
        <w:t>to</w:t>
      </w:r>
      <w:r>
        <w:rPr>
          <w:rFonts w:ascii="Times New Roman" w:hAnsi="Times New Roman" w:cs="Times New Roman"/>
          <w:sz w:val="24"/>
        </w:rPr>
        <w:t xml:space="preserve"> </w:t>
      </w:r>
      <w:r w:rsidR="00897B66">
        <w:rPr>
          <w:rFonts w:ascii="Times New Roman" w:hAnsi="Times New Roman" w:cs="Times New Roman"/>
          <w:sz w:val="24"/>
        </w:rPr>
        <w:t xml:space="preserve">reduce emissions from road transport and </w:t>
      </w:r>
      <w:r w:rsidR="003F37D2">
        <w:rPr>
          <w:rFonts w:ascii="Times New Roman" w:hAnsi="Times New Roman" w:cs="Times New Roman"/>
          <w:sz w:val="24"/>
        </w:rPr>
        <w:t>promot</w:t>
      </w:r>
      <w:r w:rsidR="00ED2123">
        <w:rPr>
          <w:rFonts w:ascii="Times New Roman" w:hAnsi="Times New Roman" w:cs="Times New Roman"/>
          <w:sz w:val="24"/>
        </w:rPr>
        <w:t>e</w:t>
      </w:r>
      <w:r w:rsidR="003F37D2">
        <w:rPr>
          <w:rFonts w:ascii="Times New Roman" w:hAnsi="Times New Roman" w:cs="Times New Roman"/>
          <w:sz w:val="24"/>
        </w:rPr>
        <w:t xml:space="preserve"> </w:t>
      </w:r>
      <w:r>
        <w:rPr>
          <w:rFonts w:ascii="Times New Roman" w:hAnsi="Times New Roman" w:cs="Times New Roman"/>
          <w:sz w:val="24"/>
        </w:rPr>
        <w:t xml:space="preserve">sustainable finance. </w:t>
      </w:r>
    </w:p>
    <w:p w14:paraId="24143A86" w14:textId="77777777" w:rsidR="001D33E9" w:rsidRPr="000B795E" w:rsidRDefault="001D33E9" w:rsidP="00446D1E">
      <w:pPr>
        <w:pStyle w:val="Heading2"/>
        <w:spacing w:after="120"/>
      </w:pPr>
      <w:bookmarkStart w:id="2" w:name="_Toc526502282"/>
      <w:bookmarkStart w:id="3" w:name="_Toc529975161"/>
      <w:r w:rsidRPr="000B795E">
        <w:t>Road transport</w:t>
      </w:r>
      <w:bookmarkEnd w:id="2"/>
      <w:bookmarkEnd w:id="3"/>
      <w:r w:rsidRPr="000B795E">
        <w:t xml:space="preserve"> </w:t>
      </w:r>
    </w:p>
    <w:p w14:paraId="5C48033C" w14:textId="4EFEE08D" w:rsidR="001D33E9" w:rsidRDefault="005D7B8B" w:rsidP="00E04ACD">
      <w:pPr>
        <w:jc w:val="both"/>
        <w:rPr>
          <w:rFonts w:ascii="Times New Roman" w:hAnsi="Times New Roman" w:cs="Times New Roman"/>
          <w:noProof/>
          <w:sz w:val="24"/>
          <w:szCs w:val="24"/>
        </w:rPr>
      </w:pPr>
      <w:r>
        <w:rPr>
          <w:rFonts w:ascii="Times New Roman" w:hAnsi="Times New Roman" w:cs="Times New Roman"/>
          <w:noProof/>
          <w:sz w:val="24"/>
          <w:szCs w:val="24"/>
        </w:rPr>
        <w:t xml:space="preserve">A </w:t>
      </w:r>
      <w:r w:rsidR="001D33E9" w:rsidRPr="005D2798">
        <w:rPr>
          <w:rFonts w:ascii="Times New Roman" w:hAnsi="Times New Roman" w:cs="Times New Roman"/>
          <w:noProof/>
          <w:sz w:val="24"/>
          <w:szCs w:val="24"/>
        </w:rPr>
        <w:t>Regulation</w:t>
      </w:r>
      <w:r w:rsidR="001D33E9">
        <w:rPr>
          <w:rStyle w:val="FootnoteReference"/>
          <w:rFonts w:ascii="Times New Roman" w:hAnsi="Times New Roman" w:cs="Times New Roman"/>
          <w:noProof/>
          <w:sz w:val="24"/>
          <w:szCs w:val="24"/>
        </w:rPr>
        <w:footnoteReference w:id="26"/>
      </w:r>
      <w:r w:rsidR="001D33E9">
        <w:rPr>
          <w:rFonts w:ascii="Times New Roman" w:hAnsi="Times New Roman" w:cs="Times New Roman"/>
          <w:noProof/>
          <w:sz w:val="24"/>
          <w:szCs w:val="24"/>
        </w:rPr>
        <w:t xml:space="preserve"> adopted on 17 April 2019, sets new emissions standar</w:t>
      </w:r>
      <w:r w:rsidR="00CE78E6">
        <w:rPr>
          <w:rFonts w:ascii="Times New Roman" w:hAnsi="Times New Roman" w:cs="Times New Roman"/>
          <w:noProof/>
          <w:sz w:val="24"/>
          <w:szCs w:val="24"/>
        </w:rPr>
        <w:t>d</w:t>
      </w:r>
      <w:r w:rsidR="001D33E9">
        <w:rPr>
          <w:rFonts w:ascii="Times New Roman" w:hAnsi="Times New Roman" w:cs="Times New Roman"/>
          <w:noProof/>
          <w:sz w:val="24"/>
          <w:szCs w:val="24"/>
        </w:rPr>
        <w:t>s for passenger cars and vans from 2020 onwards. By 2025 and 2030</w:t>
      </w:r>
      <w:r w:rsidR="00CE78E6">
        <w:rPr>
          <w:rFonts w:ascii="Times New Roman" w:hAnsi="Times New Roman" w:cs="Times New Roman"/>
          <w:noProof/>
          <w:sz w:val="24"/>
          <w:szCs w:val="24"/>
        </w:rPr>
        <w:t>,</w:t>
      </w:r>
      <w:r w:rsidR="001D33E9">
        <w:rPr>
          <w:rFonts w:ascii="Times New Roman" w:hAnsi="Times New Roman" w:cs="Times New Roman"/>
          <w:noProof/>
          <w:sz w:val="24"/>
          <w:szCs w:val="24"/>
        </w:rPr>
        <w:t xml:space="preserve"> respectively, average emissions from new cars will have to be 15</w:t>
      </w:r>
      <w:r w:rsidR="00684416">
        <w:rPr>
          <w:rFonts w:ascii="Times New Roman" w:hAnsi="Times New Roman" w:cs="Times New Roman"/>
          <w:noProof/>
          <w:sz w:val="24"/>
          <w:szCs w:val="24"/>
        </w:rPr>
        <w:t>%</w:t>
      </w:r>
      <w:r w:rsidR="001D33E9">
        <w:rPr>
          <w:rFonts w:ascii="Times New Roman" w:hAnsi="Times New Roman" w:cs="Times New Roman"/>
          <w:noProof/>
          <w:sz w:val="24"/>
          <w:szCs w:val="24"/>
        </w:rPr>
        <w:t xml:space="preserve"> and 37.5</w:t>
      </w:r>
      <w:r w:rsidR="00684416">
        <w:rPr>
          <w:rFonts w:ascii="Times New Roman" w:hAnsi="Times New Roman" w:cs="Times New Roman"/>
          <w:noProof/>
          <w:sz w:val="24"/>
          <w:szCs w:val="24"/>
        </w:rPr>
        <w:t>%</w:t>
      </w:r>
      <w:r w:rsidR="001D33E9">
        <w:rPr>
          <w:rFonts w:ascii="Times New Roman" w:hAnsi="Times New Roman" w:cs="Times New Roman"/>
          <w:noProof/>
          <w:sz w:val="24"/>
          <w:szCs w:val="24"/>
        </w:rPr>
        <w:t xml:space="preserve"> lower than in 2021, and average emissions from vans will have to be 15% and 31% lower than in 2021.</w:t>
      </w:r>
    </w:p>
    <w:p w14:paraId="51B10F27" w14:textId="1FDFA349" w:rsidR="001D33E9" w:rsidRDefault="001D33E9" w:rsidP="00E04ACD">
      <w:pPr>
        <w:jc w:val="both"/>
        <w:rPr>
          <w:rFonts w:ascii="Times New Roman" w:hAnsi="Times New Roman" w:cs="Times New Roman"/>
          <w:noProof/>
          <w:sz w:val="24"/>
          <w:szCs w:val="24"/>
        </w:rPr>
      </w:pPr>
      <w:r>
        <w:rPr>
          <w:rFonts w:ascii="Times New Roman" w:hAnsi="Times New Roman" w:cs="Times New Roman"/>
          <w:noProof/>
          <w:sz w:val="24"/>
          <w:szCs w:val="24"/>
        </w:rPr>
        <w:t xml:space="preserve">For heavy duty vehicles, </w:t>
      </w:r>
      <w:r w:rsidR="005D7B8B">
        <w:rPr>
          <w:rFonts w:ascii="Times New Roman" w:hAnsi="Times New Roman" w:cs="Times New Roman"/>
          <w:noProof/>
          <w:sz w:val="24"/>
          <w:szCs w:val="24"/>
        </w:rPr>
        <w:t xml:space="preserve">a </w:t>
      </w:r>
      <w:r w:rsidRPr="005D2798">
        <w:rPr>
          <w:rFonts w:ascii="Times New Roman" w:hAnsi="Times New Roman" w:cs="Times New Roman"/>
          <w:noProof/>
          <w:sz w:val="24"/>
          <w:szCs w:val="24"/>
        </w:rPr>
        <w:t>Regulation</w:t>
      </w:r>
      <w:r w:rsidR="005D7B8B">
        <w:rPr>
          <w:rStyle w:val="FootnoteReference"/>
          <w:rFonts w:ascii="Times New Roman" w:hAnsi="Times New Roman" w:cs="Times New Roman"/>
          <w:noProof/>
          <w:sz w:val="24"/>
          <w:szCs w:val="24"/>
        </w:rPr>
        <w:footnoteReference w:id="27"/>
      </w:r>
      <w:r w:rsidRPr="00886C4C">
        <w:rPr>
          <w:rFonts w:ascii="Times New Roman" w:hAnsi="Times New Roman" w:cs="Times New Roman"/>
          <w:noProof/>
          <w:sz w:val="24"/>
          <w:szCs w:val="24"/>
        </w:rPr>
        <w:t xml:space="preserve"> adopted on </w:t>
      </w:r>
      <w:r w:rsidR="00886C4C" w:rsidRPr="00886C4C">
        <w:rPr>
          <w:rFonts w:ascii="Times New Roman" w:hAnsi="Times New Roman" w:cs="Times New Roman"/>
          <w:noProof/>
          <w:sz w:val="24"/>
          <w:szCs w:val="24"/>
        </w:rPr>
        <w:t>20</w:t>
      </w:r>
      <w:r w:rsidRPr="00886C4C">
        <w:rPr>
          <w:rFonts w:ascii="Times New Roman" w:hAnsi="Times New Roman" w:cs="Times New Roman"/>
          <w:noProof/>
          <w:sz w:val="24"/>
          <w:szCs w:val="24"/>
        </w:rPr>
        <w:t xml:space="preserve"> June 2019</w:t>
      </w:r>
      <w:r w:rsidRPr="005D2798">
        <w:rPr>
          <w:rFonts w:ascii="Times New Roman" w:hAnsi="Times New Roman" w:cs="Times New Roman"/>
          <w:noProof/>
          <w:sz w:val="24"/>
          <w:szCs w:val="24"/>
        </w:rPr>
        <w:t xml:space="preserve"> set</w:t>
      </w:r>
      <w:r>
        <w:rPr>
          <w:rFonts w:ascii="Times New Roman" w:hAnsi="Times New Roman" w:cs="Times New Roman"/>
          <w:noProof/>
          <w:sz w:val="24"/>
          <w:szCs w:val="24"/>
        </w:rPr>
        <w:t>s</w:t>
      </w:r>
      <w:r w:rsidRPr="005D2798">
        <w:rPr>
          <w:rFonts w:ascii="Times New Roman" w:hAnsi="Times New Roman" w:cs="Times New Roman"/>
          <w:noProof/>
          <w:sz w:val="24"/>
          <w:szCs w:val="24"/>
        </w:rPr>
        <w:t xml:space="preserve"> </w:t>
      </w:r>
      <w:r>
        <w:rPr>
          <w:rFonts w:ascii="Times New Roman" w:hAnsi="Times New Roman" w:cs="Times New Roman"/>
          <w:noProof/>
          <w:sz w:val="24"/>
          <w:szCs w:val="24"/>
        </w:rPr>
        <w:t xml:space="preserve">for </w:t>
      </w:r>
      <w:r w:rsidRPr="005D2798">
        <w:rPr>
          <w:rFonts w:ascii="Times New Roman" w:hAnsi="Times New Roman" w:cs="Times New Roman"/>
          <w:noProof/>
          <w:sz w:val="24"/>
          <w:szCs w:val="24"/>
        </w:rPr>
        <w:t xml:space="preserve">the first </w:t>
      </w:r>
      <w:r>
        <w:rPr>
          <w:rFonts w:ascii="Times New Roman" w:hAnsi="Times New Roman" w:cs="Times New Roman"/>
          <w:noProof/>
          <w:sz w:val="24"/>
          <w:szCs w:val="24"/>
        </w:rPr>
        <w:t>time</w:t>
      </w:r>
      <w:r w:rsidRPr="005D2798">
        <w:rPr>
          <w:rFonts w:ascii="Times New Roman" w:hAnsi="Times New Roman" w:cs="Times New Roman"/>
          <w:noProof/>
          <w:sz w:val="24"/>
          <w:szCs w:val="24"/>
        </w:rPr>
        <w:t xml:space="preserve"> CO</w:t>
      </w:r>
      <w:r w:rsidRPr="006E1D94">
        <w:rPr>
          <w:rFonts w:ascii="Times New Roman" w:hAnsi="Times New Roman" w:cs="Times New Roman"/>
          <w:noProof/>
          <w:sz w:val="24"/>
          <w:szCs w:val="24"/>
          <w:vertAlign w:val="subscript"/>
        </w:rPr>
        <w:t>2</w:t>
      </w:r>
      <w:r w:rsidRPr="005D2798">
        <w:rPr>
          <w:rFonts w:ascii="Times New Roman" w:hAnsi="Times New Roman" w:cs="Times New Roman"/>
          <w:noProof/>
          <w:sz w:val="24"/>
          <w:szCs w:val="24"/>
        </w:rPr>
        <w:t xml:space="preserve"> emission standards for heavy-duty vehicles in the EU.</w:t>
      </w:r>
      <w:r>
        <w:rPr>
          <w:rFonts w:ascii="Times New Roman" w:hAnsi="Times New Roman" w:cs="Times New Roman"/>
          <w:noProof/>
          <w:sz w:val="24"/>
          <w:szCs w:val="24"/>
        </w:rPr>
        <w:t xml:space="preserve">  </w:t>
      </w:r>
      <w:r w:rsidR="00A03576">
        <w:rPr>
          <w:rFonts w:ascii="Times New Roman" w:hAnsi="Times New Roman" w:cs="Times New Roman"/>
          <w:noProof/>
          <w:sz w:val="24"/>
          <w:szCs w:val="24"/>
        </w:rPr>
        <w:t>Emissions from l</w:t>
      </w:r>
      <w:r>
        <w:rPr>
          <w:rFonts w:ascii="Times New Roman" w:hAnsi="Times New Roman" w:cs="Times New Roman"/>
          <w:noProof/>
          <w:sz w:val="24"/>
          <w:szCs w:val="24"/>
        </w:rPr>
        <w:t>orries newly put on the market in the EU will by 2025 have to be on average 15</w:t>
      </w:r>
      <w:r w:rsidR="00684416">
        <w:rPr>
          <w:rFonts w:ascii="Times New Roman" w:hAnsi="Times New Roman" w:cs="Times New Roman"/>
          <w:noProof/>
          <w:sz w:val="24"/>
          <w:szCs w:val="24"/>
        </w:rPr>
        <w:t>%</w:t>
      </w:r>
      <w:r>
        <w:rPr>
          <w:rFonts w:ascii="Times New Roman" w:hAnsi="Times New Roman" w:cs="Times New Roman"/>
          <w:noProof/>
          <w:sz w:val="24"/>
          <w:szCs w:val="24"/>
        </w:rPr>
        <w:t xml:space="preserve"> lower than in 2019 and 30% </w:t>
      </w:r>
      <w:r w:rsidR="001848EE">
        <w:rPr>
          <w:rFonts w:ascii="Times New Roman" w:hAnsi="Times New Roman" w:cs="Times New Roman"/>
          <w:noProof/>
          <w:sz w:val="24"/>
          <w:szCs w:val="24"/>
        </w:rPr>
        <w:t xml:space="preserve">lower </w:t>
      </w:r>
      <w:r>
        <w:rPr>
          <w:rFonts w:ascii="Times New Roman" w:hAnsi="Times New Roman" w:cs="Times New Roman"/>
          <w:noProof/>
          <w:sz w:val="24"/>
          <w:szCs w:val="24"/>
        </w:rPr>
        <w:t xml:space="preserve">by 2030. </w:t>
      </w:r>
    </w:p>
    <w:p w14:paraId="109F3CC3" w14:textId="3355AA13" w:rsidR="001D33E9" w:rsidRDefault="001D33E9" w:rsidP="00E04ACD">
      <w:pPr>
        <w:jc w:val="both"/>
        <w:rPr>
          <w:rFonts w:ascii="Times New Roman" w:hAnsi="Times New Roman" w:cs="Times New Roman"/>
          <w:noProof/>
          <w:sz w:val="24"/>
          <w:szCs w:val="24"/>
        </w:rPr>
      </w:pPr>
      <w:r>
        <w:rPr>
          <w:rFonts w:ascii="Times New Roman" w:hAnsi="Times New Roman" w:cs="Times New Roman"/>
          <w:noProof/>
          <w:sz w:val="24"/>
          <w:szCs w:val="24"/>
        </w:rPr>
        <w:t xml:space="preserve">Both Regulations </w:t>
      </w:r>
      <w:r w:rsidRPr="00A9542A">
        <w:rPr>
          <w:rFonts w:ascii="Times New Roman" w:hAnsi="Times New Roman" w:cs="Times New Roman"/>
          <w:noProof/>
          <w:sz w:val="24"/>
          <w:szCs w:val="24"/>
        </w:rPr>
        <w:t>include a mechanism to incentivise the uptake of z</w:t>
      </w:r>
      <w:r>
        <w:rPr>
          <w:rFonts w:ascii="Times New Roman" w:hAnsi="Times New Roman" w:cs="Times New Roman"/>
          <w:noProof/>
          <w:sz w:val="24"/>
          <w:szCs w:val="24"/>
        </w:rPr>
        <w:t xml:space="preserve">ero and low-emission vehicles based on benchmarks values from 2025 onwards. They also introduce new provisions to ensure the real-world representativeness of the monitored emissions. </w:t>
      </w:r>
    </w:p>
    <w:p w14:paraId="47EAC667" w14:textId="3ED4D4B7" w:rsidR="001D33E9" w:rsidRDefault="001D33E9" w:rsidP="00E04ACD">
      <w:pPr>
        <w:jc w:val="both"/>
        <w:rPr>
          <w:rFonts w:ascii="Times New Roman" w:hAnsi="Times New Roman" w:cs="Times New Roman"/>
          <w:noProof/>
          <w:sz w:val="24"/>
          <w:szCs w:val="24"/>
        </w:rPr>
      </w:pPr>
      <w:r>
        <w:rPr>
          <w:rFonts w:ascii="Times New Roman" w:hAnsi="Times New Roman" w:cs="Times New Roman"/>
          <w:noProof/>
          <w:sz w:val="24"/>
          <w:szCs w:val="24"/>
        </w:rPr>
        <w:t>In addition,</w:t>
      </w:r>
      <w:r w:rsidR="005D7B8B">
        <w:rPr>
          <w:rFonts w:ascii="Times New Roman" w:hAnsi="Times New Roman" w:cs="Times New Roman"/>
          <w:noProof/>
          <w:sz w:val="24"/>
          <w:szCs w:val="24"/>
        </w:rPr>
        <w:t xml:space="preserve"> </w:t>
      </w:r>
      <w:r>
        <w:rPr>
          <w:rFonts w:ascii="Times New Roman" w:hAnsi="Times New Roman" w:cs="Times New Roman"/>
          <w:noProof/>
          <w:sz w:val="24"/>
          <w:szCs w:val="24"/>
        </w:rPr>
        <w:t>the revision of the Clean Vehicles Directive</w:t>
      </w:r>
      <w:r w:rsidR="005D7B8B">
        <w:rPr>
          <w:rStyle w:val="FootnoteReference"/>
          <w:rFonts w:ascii="Times New Roman" w:hAnsi="Times New Roman" w:cs="Times New Roman"/>
          <w:noProof/>
          <w:sz w:val="24"/>
          <w:szCs w:val="24"/>
        </w:rPr>
        <w:footnoteReference w:id="28"/>
      </w:r>
      <w:r>
        <w:rPr>
          <w:rFonts w:ascii="Times New Roman" w:hAnsi="Times New Roman" w:cs="Times New Roman"/>
          <w:noProof/>
          <w:sz w:val="24"/>
          <w:szCs w:val="24"/>
        </w:rPr>
        <w:t xml:space="preserve"> was adopted </w:t>
      </w:r>
      <w:r w:rsidRPr="00881EC8">
        <w:rPr>
          <w:rFonts w:ascii="Times New Roman" w:hAnsi="Times New Roman" w:cs="Times New Roman"/>
          <w:noProof/>
          <w:sz w:val="24"/>
          <w:szCs w:val="24"/>
        </w:rPr>
        <w:t xml:space="preserve">on </w:t>
      </w:r>
      <w:r w:rsidRPr="00847BCC">
        <w:rPr>
          <w:rFonts w:ascii="Times New Roman" w:hAnsi="Times New Roman" w:cs="Times New Roman"/>
          <w:noProof/>
          <w:sz w:val="24"/>
          <w:szCs w:val="24"/>
        </w:rPr>
        <w:t>20 June 2019</w:t>
      </w:r>
      <w:r w:rsidRPr="00881EC8">
        <w:rPr>
          <w:rFonts w:ascii="Times New Roman" w:hAnsi="Times New Roman" w:cs="Times New Roman"/>
          <w:noProof/>
          <w:sz w:val="24"/>
          <w:szCs w:val="24"/>
        </w:rPr>
        <w:t>,</w:t>
      </w:r>
      <w:r>
        <w:rPr>
          <w:rFonts w:ascii="Times New Roman" w:hAnsi="Times New Roman" w:cs="Times New Roman"/>
          <w:noProof/>
          <w:sz w:val="24"/>
          <w:szCs w:val="24"/>
        </w:rPr>
        <w:t xml:space="preserve"> to </w:t>
      </w:r>
      <w:r w:rsidRPr="00040EDE">
        <w:rPr>
          <w:rFonts w:ascii="Times New Roman" w:hAnsi="Times New Roman" w:cs="Times New Roman"/>
          <w:noProof/>
          <w:sz w:val="24"/>
          <w:szCs w:val="24"/>
        </w:rPr>
        <w:t>promote clean mobility solutions</w:t>
      </w:r>
      <w:r>
        <w:rPr>
          <w:rFonts w:ascii="Times New Roman" w:hAnsi="Times New Roman" w:cs="Times New Roman"/>
          <w:noProof/>
          <w:sz w:val="24"/>
          <w:szCs w:val="24"/>
        </w:rPr>
        <w:t xml:space="preserve"> in public procurement tenders. </w:t>
      </w:r>
    </w:p>
    <w:p w14:paraId="2C57D4EB" w14:textId="11A68107" w:rsidR="00E268FF" w:rsidRDefault="001D33E9" w:rsidP="00E04ACD">
      <w:pPr>
        <w:jc w:val="both"/>
        <w:rPr>
          <w:rFonts w:ascii="Times New Roman" w:hAnsi="Times New Roman" w:cs="Times New Roman"/>
          <w:noProof/>
          <w:sz w:val="24"/>
          <w:szCs w:val="24"/>
        </w:rPr>
      </w:pPr>
      <w:r>
        <w:rPr>
          <w:rFonts w:ascii="Times New Roman" w:hAnsi="Times New Roman" w:cs="Times New Roman"/>
          <w:noProof/>
          <w:sz w:val="24"/>
          <w:szCs w:val="24"/>
        </w:rPr>
        <w:t xml:space="preserve">Finally, negotiations are ongoing between the European </w:t>
      </w:r>
      <w:r w:rsidR="00367115">
        <w:rPr>
          <w:rFonts w:ascii="Times New Roman" w:hAnsi="Times New Roman" w:cs="Times New Roman"/>
          <w:noProof/>
          <w:sz w:val="24"/>
          <w:szCs w:val="24"/>
        </w:rPr>
        <w:t>P</w:t>
      </w:r>
      <w:r>
        <w:rPr>
          <w:rFonts w:ascii="Times New Roman" w:hAnsi="Times New Roman" w:cs="Times New Roman"/>
          <w:noProof/>
          <w:sz w:val="24"/>
          <w:szCs w:val="24"/>
        </w:rPr>
        <w:t xml:space="preserve">arliament and the Council on the </w:t>
      </w:r>
      <w:r w:rsidRPr="00367115">
        <w:rPr>
          <w:rFonts w:ascii="Times New Roman" w:hAnsi="Times New Roman" w:cs="Times New Roman"/>
          <w:noProof/>
          <w:sz w:val="24"/>
          <w:szCs w:val="24"/>
        </w:rPr>
        <w:t>revision of</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(i) </w:t>
      </w:r>
      <w:r w:rsidRPr="00F8754B">
        <w:rPr>
          <w:rFonts w:ascii="Times New Roman" w:hAnsi="Times New Roman" w:cs="Times New Roman"/>
          <w:noProof/>
          <w:sz w:val="24"/>
          <w:szCs w:val="24"/>
        </w:rPr>
        <w:t>the Eurovignette Directive</w:t>
      </w:r>
      <w:r w:rsidR="005D7B8B">
        <w:rPr>
          <w:rStyle w:val="FootnoteReference"/>
          <w:rFonts w:ascii="Times New Roman" w:hAnsi="Times New Roman" w:cs="Times New Roman"/>
          <w:noProof/>
          <w:sz w:val="24"/>
          <w:szCs w:val="24"/>
        </w:rPr>
        <w:footnoteReference w:id="29"/>
      </w:r>
      <w:r w:rsidRPr="00F8754B">
        <w:rPr>
          <w:rFonts w:ascii="Times New Roman" w:hAnsi="Times New Roman" w:cs="Times New Roman"/>
          <w:noProof/>
          <w:sz w:val="24"/>
          <w:szCs w:val="24"/>
        </w:rPr>
        <w:t>, to promote smarter road</w:t>
      </w:r>
      <w:r w:rsidRPr="00F8754B">
        <w:rPr>
          <w:rFonts w:ascii="Times New Roman" w:hAnsi="Times New Roman" w:cs="Times New Roman"/>
          <w:noProof/>
          <w:sz w:val="24"/>
          <w:szCs w:val="24"/>
        </w:rPr>
        <w:noBreakHyphen/>
        <w:t>infrastructure charging</w:t>
      </w:r>
      <w:r>
        <w:rPr>
          <w:rFonts w:ascii="Times New Roman" w:hAnsi="Times New Roman" w:cs="Times New Roman"/>
          <w:noProof/>
          <w:sz w:val="24"/>
          <w:szCs w:val="24"/>
        </w:rPr>
        <w:t xml:space="preserve"> and (ii) the Combined Transport Directive</w:t>
      </w:r>
      <w:r w:rsidR="005D7B8B">
        <w:rPr>
          <w:rStyle w:val="FootnoteReference"/>
          <w:rFonts w:ascii="Times New Roman" w:hAnsi="Times New Roman" w:cs="Times New Roman"/>
          <w:noProof/>
          <w:sz w:val="24"/>
          <w:szCs w:val="24"/>
        </w:rPr>
        <w:footnoteReference w:id="30"/>
      </w:r>
      <w:r>
        <w:rPr>
          <w:rFonts w:ascii="Times New Roman" w:hAnsi="Times New Roman" w:cs="Times New Roman"/>
          <w:noProof/>
          <w:sz w:val="24"/>
          <w:szCs w:val="24"/>
        </w:rPr>
        <w:t>, to promote the combined use of different modes (e.g. trucks and trains) for freight transport</w:t>
      </w:r>
      <w:r w:rsidR="00367115">
        <w:rPr>
          <w:rFonts w:ascii="Times New Roman" w:hAnsi="Times New Roman" w:cs="Times New Roman"/>
          <w:noProof/>
          <w:sz w:val="24"/>
          <w:szCs w:val="24"/>
        </w:rPr>
        <w:t>.</w:t>
      </w:r>
    </w:p>
    <w:p w14:paraId="4090034D" w14:textId="77777777" w:rsidR="000B795E" w:rsidRPr="003F37D2" w:rsidRDefault="000B795E" w:rsidP="00446D1E">
      <w:pPr>
        <w:pStyle w:val="Heading2"/>
        <w:spacing w:after="120"/>
      </w:pPr>
      <w:r w:rsidRPr="003F37D2">
        <w:t>Sustainable finance</w:t>
      </w:r>
    </w:p>
    <w:p w14:paraId="6FDB8932" w14:textId="786A73EA" w:rsidR="000B795E" w:rsidRPr="000B795E" w:rsidRDefault="000B795E" w:rsidP="00E04ACD">
      <w:pPr>
        <w:spacing w:line="276" w:lineRule="auto"/>
        <w:jc w:val="both"/>
        <w:rPr>
          <w:rFonts w:ascii="Times New Roman" w:eastAsia="Times New Roman" w:hAnsi="Times New Roman" w:cs="Times New Roman"/>
          <w:noProof/>
          <w:sz w:val="24"/>
          <w:szCs w:val="24"/>
          <w:lang w:eastAsia="en-GB"/>
        </w:rPr>
      </w:pPr>
      <w:r w:rsidRPr="000B795E">
        <w:rPr>
          <w:rFonts w:ascii="Times New Roman" w:eastAsia="Times New Roman" w:hAnsi="Times New Roman" w:cs="Times New Roman"/>
          <w:noProof/>
          <w:sz w:val="24"/>
          <w:szCs w:val="24"/>
          <w:lang w:eastAsia="en-GB"/>
        </w:rPr>
        <w:t xml:space="preserve">Shifting investment patterns is a necessity for achieving EU climate objectives. As part of the legislative environment, the EU is aligning its financial and </w:t>
      </w:r>
      <w:r w:rsidR="001848EE">
        <w:rPr>
          <w:rFonts w:ascii="Times New Roman" w:eastAsia="Times New Roman" w:hAnsi="Times New Roman" w:cs="Times New Roman"/>
          <w:noProof/>
          <w:sz w:val="24"/>
          <w:szCs w:val="24"/>
          <w:lang w:eastAsia="en-GB"/>
        </w:rPr>
        <w:t xml:space="preserve">capital markets framework to </w:t>
      </w:r>
      <w:r w:rsidRPr="000B795E">
        <w:rPr>
          <w:rFonts w:ascii="Times New Roman" w:eastAsia="Times New Roman" w:hAnsi="Times New Roman" w:cs="Times New Roman"/>
          <w:noProof/>
          <w:sz w:val="24"/>
          <w:szCs w:val="24"/>
          <w:lang w:eastAsia="en-GB"/>
        </w:rPr>
        <w:t xml:space="preserve">climate </w:t>
      </w:r>
      <w:r w:rsidR="00B3718B">
        <w:rPr>
          <w:rFonts w:ascii="Times New Roman" w:eastAsia="Times New Roman" w:hAnsi="Times New Roman" w:cs="Times New Roman"/>
          <w:noProof/>
          <w:sz w:val="24"/>
          <w:szCs w:val="24"/>
          <w:lang w:eastAsia="en-GB"/>
        </w:rPr>
        <w:t>challenges</w:t>
      </w:r>
      <w:r w:rsidRPr="000B795E">
        <w:rPr>
          <w:rFonts w:ascii="Times New Roman" w:eastAsia="Times New Roman" w:hAnsi="Times New Roman" w:cs="Times New Roman"/>
          <w:noProof/>
          <w:sz w:val="24"/>
          <w:szCs w:val="24"/>
          <w:lang w:eastAsia="en-GB"/>
        </w:rPr>
        <w:t>. In March 2018, the Commission proposed a comprehensive action plan to integrate sustainability in capital markets</w:t>
      </w:r>
      <w:r w:rsidRPr="000B795E">
        <w:rPr>
          <w:rStyle w:val="FootnoteReference"/>
          <w:rFonts w:ascii="Times New Roman" w:eastAsia="Times New Roman" w:hAnsi="Times New Roman" w:cs="Times New Roman"/>
          <w:noProof/>
          <w:sz w:val="24"/>
          <w:szCs w:val="24"/>
          <w:lang w:eastAsia="en-GB"/>
        </w:rPr>
        <w:footnoteReference w:id="31"/>
      </w:r>
      <w:r w:rsidRPr="000B795E">
        <w:rPr>
          <w:rFonts w:ascii="Times New Roman" w:eastAsia="Times New Roman" w:hAnsi="Times New Roman" w:cs="Times New Roman"/>
          <w:noProof/>
          <w:sz w:val="24"/>
          <w:szCs w:val="24"/>
          <w:lang w:eastAsia="en-GB"/>
        </w:rPr>
        <w:t xml:space="preserve">, with three main objectives: </w:t>
      </w:r>
      <w:r w:rsidR="005D7B8B">
        <w:rPr>
          <w:rFonts w:ascii="Times New Roman" w:eastAsia="Times New Roman" w:hAnsi="Times New Roman" w:cs="Times New Roman"/>
          <w:noProof/>
          <w:sz w:val="24"/>
          <w:szCs w:val="24"/>
          <w:lang w:eastAsia="en-GB"/>
        </w:rPr>
        <w:t xml:space="preserve">to </w:t>
      </w:r>
      <w:r w:rsidRPr="000B795E">
        <w:rPr>
          <w:rFonts w:ascii="Times New Roman" w:eastAsia="Times New Roman" w:hAnsi="Times New Roman" w:cs="Times New Roman"/>
          <w:noProof/>
          <w:sz w:val="24"/>
          <w:szCs w:val="24"/>
          <w:lang w:eastAsia="en-GB"/>
        </w:rPr>
        <w:t xml:space="preserve">reorient capital flows towards sustainable investment, </w:t>
      </w:r>
      <w:r w:rsidR="005D7B8B">
        <w:rPr>
          <w:rFonts w:ascii="Times New Roman" w:eastAsia="Times New Roman" w:hAnsi="Times New Roman" w:cs="Times New Roman"/>
          <w:noProof/>
          <w:sz w:val="24"/>
          <w:szCs w:val="24"/>
          <w:lang w:eastAsia="en-GB"/>
        </w:rPr>
        <w:t xml:space="preserve">to </w:t>
      </w:r>
      <w:r w:rsidRPr="000B795E">
        <w:rPr>
          <w:rFonts w:ascii="Times New Roman" w:eastAsia="Times New Roman" w:hAnsi="Times New Roman" w:cs="Times New Roman"/>
          <w:noProof/>
          <w:sz w:val="24"/>
          <w:szCs w:val="24"/>
          <w:lang w:eastAsia="en-GB"/>
        </w:rPr>
        <w:t xml:space="preserve">manage financial risks stemming from climate change, environmental degradation and social issues, and </w:t>
      </w:r>
      <w:r w:rsidR="005D7B8B">
        <w:rPr>
          <w:rFonts w:ascii="Times New Roman" w:eastAsia="Times New Roman" w:hAnsi="Times New Roman" w:cs="Times New Roman"/>
          <w:noProof/>
          <w:sz w:val="24"/>
          <w:szCs w:val="24"/>
          <w:lang w:eastAsia="en-GB"/>
        </w:rPr>
        <w:t xml:space="preserve">to </w:t>
      </w:r>
      <w:r w:rsidRPr="000B795E">
        <w:rPr>
          <w:rFonts w:ascii="Times New Roman" w:eastAsia="Times New Roman" w:hAnsi="Times New Roman" w:cs="Times New Roman"/>
          <w:noProof/>
          <w:sz w:val="24"/>
          <w:szCs w:val="24"/>
          <w:lang w:eastAsia="en-GB"/>
        </w:rPr>
        <w:t xml:space="preserve">foster transparency and long-termism in financial and economic activity. </w:t>
      </w:r>
    </w:p>
    <w:p w14:paraId="581B9D23" w14:textId="048F9772" w:rsidR="00643CDF" w:rsidRDefault="000B795E" w:rsidP="00FA1455">
      <w:pPr>
        <w:pStyle w:val="NormalWeb"/>
        <w:spacing w:line="276" w:lineRule="auto"/>
        <w:jc w:val="both"/>
        <w:rPr>
          <w:noProof/>
        </w:rPr>
      </w:pPr>
      <w:r w:rsidRPr="000B795E">
        <w:rPr>
          <w:noProof/>
        </w:rPr>
        <w:t xml:space="preserve">In May 2018, the </w:t>
      </w:r>
      <w:r w:rsidR="005D7B8B">
        <w:rPr>
          <w:noProof/>
        </w:rPr>
        <w:t xml:space="preserve">European </w:t>
      </w:r>
      <w:r w:rsidRPr="000B795E">
        <w:rPr>
          <w:noProof/>
        </w:rPr>
        <w:t>Commission proposed a first legislative package of measures</w:t>
      </w:r>
      <w:r w:rsidRPr="000B795E">
        <w:rPr>
          <w:rStyle w:val="FootnoteReference"/>
          <w:noProof/>
        </w:rPr>
        <w:footnoteReference w:id="32"/>
      </w:r>
      <w:r w:rsidRPr="000B795E">
        <w:rPr>
          <w:noProof/>
        </w:rPr>
        <w:t xml:space="preserve"> to implement the action plan. The co-legislators have agreed on the Regulation on disclosures relating to sustainable investments and sustainability risks and on </w:t>
      </w:r>
      <w:r w:rsidR="005D7B8B">
        <w:rPr>
          <w:noProof/>
        </w:rPr>
        <w:t xml:space="preserve">the </w:t>
      </w:r>
      <w:r w:rsidRPr="000B795E">
        <w:rPr>
          <w:noProof/>
        </w:rPr>
        <w:t>Regulation on low carbon benchmarks and positive carbon impact benchmarks. The Commission has issued guidelines for corporate reporting of climate-related information under the Non-Financial Reporting Directive</w:t>
      </w:r>
      <w:r w:rsidRPr="000B795E">
        <w:rPr>
          <w:rStyle w:val="FootnoteReference"/>
          <w:noProof/>
        </w:rPr>
        <w:footnoteReference w:id="33"/>
      </w:r>
      <w:r w:rsidRPr="000B795E">
        <w:rPr>
          <w:noProof/>
        </w:rPr>
        <w:t>. Negotiations are ongoing on the proposal  for a regulation on the establishment of a framework to facilitate sustainable investment</w:t>
      </w:r>
      <w:r w:rsidR="0030411A">
        <w:rPr>
          <w:noProof/>
        </w:rPr>
        <w:t xml:space="preserve"> </w:t>
      </w:r>
      <w:r w:rsidR="0030411A" w:rsidRPr="0030411A">
        <w:rPr>
          <w:noProof/>
        </w:rPr>
        <w:t>(through a so-called “taxonomy”)</w:t>
      </w:r>
      <w:r w:rsidRPr="000B795E">
        <w:rPr>
          <w:noProof/>
        </w:rPr>
        <w:t>. Preparatory and non-legislative work is also progressing on other elements of the action plan.</w:t>
      </w:r>
    </w:p>
    <w:p w14:paraId="56EFB2D2" w14:textId="4B1035DA" w:rsidR="001848EE" w:rsidRDefault="00E04ACD" w:rsidP="00446D1E">
      <w:pPr>
        <w:pStyle w:val="Heading1"/>
        <w:spacing w:after="240"/>
        <w:ind w:left="714" w:hanging="357"/>
        <w:jc w:val="both"/>
      </w:pPr>
      <w:r>
        <w:t>FINANCING CLIMATE ACTION</w:t>
      </w:r>
      <w:bookmarkStart w:id="4" w:name="_Toc526502291"/>
      <w:bookmarkStart w:id="5" w:name="_Toc529975170"/>
    </w:p>
    <w:p w14:paraId="44AC1168" w14:textId="77777777" w:rsidR="001848EE" w:rsidRPr="000B795E" w:rsidRDefault="001848EE" w:rsidP="00446D1E">
      <w:pPr>
        <w:pStyle w:val="Heading2"/>
        <w:spacing w:after="120"/>
      </w:pPr>
      <w:r w:rsidRPr="000B795E">
        <w:t>Mainstreaming climate policies into the EU budget</w:t>
      </w:r>
      <w:bookmarkEnd w:id="4"/>
      <w:bookmarkEnd w:id="5"/>
      <w:r w:rsidRPr="000B795E">
        <w:t xml:space="preserve"> </w:t>
      </w:r>
    </w:p>
    <w:p w14:paraId="1824AAEF" w14:textId="243A126C" w:rsidR="001848EE" w:rsidRDefault="001848EE" w:rsidP="00E04ACD">
      <w:pPr>
        <w:jc w:val="both"/>
        <w:rPr>
          <w:rFonts w:ascii="Times New Roman" w:hAnsi="Times New Roman" w:cs="Times New Roman"/>
          <w:noProof/>
          <w:sz w:val="24"/>
          <w:szCs w:val="24"/>
        </w:rPr>
      </w:pPr>
      <w:r>
        <w:rPr>
          <w:rFonts w:ascii="Times New Roman" w:hAnsi="Times New Roman" w:cs="Times New Roman"/>
          <w:noProof/>
          <w:sz w:val="24"/>
          <w:szCs w:val="24"/>
        </w:rPr>
        <w:t xml:space="preserve">The EU </w:t>
      </w:r>
      <w:r w:rsidR="00886C4C">
        <w:rPr>
          <w:rFonts w:ascii="Times New Roman" w:hAnsi="Times New Roman" w:cs="Times New Roman"/>
          <w:noProof/>
          <w:sz w:val="24"/>
          <w:szCs w:val="24"/>
        </w:rPr>
        <w:t xml:space="preserve">has </w:t>
      </w:r>
      <w:r>
        <w:rPr>
          <w:rFonts w:ascii="Times New Roman" w:hAnsi="Times New Roman" w:cs="Times New Roman"/>
          <w:noProof/>
          <w:sz w:val="24"/>
          <w:szCs w:val="24"/>
        </w:rPr>
        <w:t>set out to spend an average of at least 20</w:t>
      </w:r>
      <w:r w:rsidR="00684416">
        <w:rPr>
          <w:rFonts w:ascii="Times New Roman" w:hAnsi="Times New Roman" w:cs="Times New Roman"/>
          <w:noProof/>
          <w:sz w:val="24"/>
          <w:szCs w:val="24"/>
        </w:rPr>
        <w:t>%</w:t>
      </w:r>
      <w:r>
        <w:rPr>
          <w:rFonts w:ascii="Times New Roman" w:hAnsi="Times New Roman" w:cs="Times New Roman"/>
          <w:noProof/>
          <w:sz w:val="24"/>
          <w:szCs w:val="24"/>
        </w:rPr>
        <w:t xml:space="preserve"> of its budget on climate</w:t>
      </w:r>
      <w:r>
        <w:rPr>
          <w:rFonts w:ascii="Times New Roman" w:hAnsi="Times New Roman" w:cs="Times New Roman"/>
          <w:noProof/>
          <w:sz w:val="24"/>
          <w:szCs w:val="24"/>
        </w:rPr>
        <w:noBreakHyphen/>
        <w:t>relevant expenditure in 2014-2020. The latest available data show that such expenditure accounted for 20.7</w:t>
      </w:r>
      <w:r w:rsidR="00684416">
        <w:rPr>
          <w:rFonts w:ascii="Times New Roman" w:hAnsi="Times New Roman" w:cs="Times New Roman"/>
          <w:noProof/>
          <w:sz w:val="24"/>
          <w:szCs w:val="24"/>
        </w:rPr>
        <w:t>%</w:t>
      </w:r>
      <w:r>
        <w:rPr>
          <w:rFonts w:ascii="Times New Roman" w:hAnsi="Times New Roman" w:cs="Times New Roman"/>
          <w:noProof/>
          <w:sz w:val="24"/>
          <w:szCs w:val="24"/>
        </w:rPr>
        <w:t xml:space="preserve"> of the budget in 2018.</w:t>
      </w:r>
      <w:r>
        <w:rPr>
          <w:rFonts w:ascii="Times New Roman" w:hAnsi="Times New Roman" w:cs="Times New Roman"/>
          <w:noProof/>
          <w:sz w:val="24"/>
          <w:szCs w:val="24"/>
          <w:vertAlign w:val="superscript"/>
        </w:rPr>
        <w:footnoteReference w:id="34"/>
      </w:r>
      <w:r>
        <w:rPr>
          <w:rFonts w:ascii="Times New Roman" w:hAnsi="Times New Roman" w:cs="Times New Roman"/>
          <w:noProof/>
          <w:sz w:val="24"/>
          <w:szCs w:val="24"/>
        </w:rPr>
        <w:t xml:space="preserve"> On average, the budget trend would deliver EUR 209 billion (19.7</w:t>
      </w:r>
      <w:r w:rsidR="00684416">
        <w:rPr>
          <w:rFonts w:ascii="Times New Roman" w:hAnsi="Times New Roman" w:cs="Times New Roman"/>
          <w:noProof/>
          <w:sz w:val="24"/>
          <w:szCs w:val="24"/>
        </w:rPr>
        <w:t>%</w:t>
      </w:r>
      <w:r>
        <w:rPr>
          <w:rFonts w:ascii="Times New Roman" w:hAnsi="Times New Roman" w:cs="Times New Roman"/>
          <w:noProof/>
          <w:sz w:val="24"/>
          <w:szCs w:val="24"/>
        </w:rPr>
        <w:t xml:space="preserve"> of the budget) under the current multiannual financial framework (MFF). </w:t>
      </w:r>
    </w:p>
    <w:p w14:paraId="51BE58BB" w14:textId="0055EE4A" w:rsidR="001848EE" w:rsidRDefault="001848EE" w:rsidP="00E04ACD">
      <w:pPr>
        <w:jc w:val="both"/>
        <w:rPr>
          <w:rFonts w:ascii="Times New Roman" w:hAnsi="Times New Roman" w:cs="Times New Roman"/>
          <w:noProof/>
          <w:sz w:val="24"/>
          <w:szCs w:val="24"/>
          <w:vertAlign w:val="superscript"/>
        </w:rPr>
      </w:pPr>
      <w:r>
        <w:rPr>
          <w:rFonts w:ascii="Times New Roman" w:hAnsi="Times New Roman" w:cs="Times New Roman"/>
          <w:noProof/>
          <w:sz w:val="24"/>
          <w:szCs w:val="24"/>
        </w:rPr>
        <w:t>Building on this success, on 2 May 2018 the Commission proposed a more ambitious target of 25</w:t>
      </w:r>
      <w:r w:rsidR="00684416">
        <w:rPr>
          <w:rFonts w:ascii="Times New Roman" w:hAnsi="Times New Roman" w:cs="Times New Roman"/>
          <w:noProof/>
          <w:sz w:val="24"/>
          <w:szCs w:val="24"/>
        </w:rPr>
        <w:t>%</w:t>
      </w:r>
      <w:r>
        <w:rPr>
          <w:rFonts w:ascii="Times New Roman" w:hAnsi="Times New Roman" w:cs="Times New Roman"/>
          <w:noProof/>
          <w:sz w:val="24"/>
          <w:szCs w:val="24"/>
        </w:rPr>
        <w:t xml:space="preserve"> of expenditure contributing to climate objectives under the next (2021-2027) MFF.</w:t>
      </w:r>
      <w:r>
        <w:rPr>
          <w:rFonts w:ascii="Times New Roman" w:hAnsi="Times New Roman" w:cs="Times New Roman"/>
          <w:noProof/>
          <w:sz w:val="24"/>
          <w:szCs w:val="24"/>
          <w:vertAlign w:val="superscript"/>
        </w:rPr>
        <w:t xml:space="preserve"> </w:t>
      </w:r>
      <w:r>
        <w:rPr>
          <w:rFonts w:ascii="Times New Roman" w:hAnsi="Times New Roman" w:cs="Times New Roman"/>
          <w:noProof/>
          <w:sz w:val="24"/>
          <w:szCs w:val="24"/>
          <w:vertAlign w:val="superscript"/>
        </w:rPr>
        <w:footnoteReference w:id="35"/>
      </w:r>
    </w:p>
    <w:p w14:paraId="0E5EE9D5" w14:textId="7F6C1AC9" w:rsidR="001848EE" w:rsidRDefault="001848EE" w:rsidP="00E04ACD">
      <w:pPr>
        <w:jc w:val="both"/>
        <w:rPr>
          <w:rFonts w:ascii="Times New Roman" w:hAnsi="Times New Roman" w:cs="Times New Roman"/>
          <w:noProof/>
          <w:sz w:val="24"/>
          <w:szCs w:val="24"/>
          <w:vertAlign w:val="superscript"/>
        </w:rPr>
      </w:pPr>
    </w:p>
    <w:p w14:paraId="6A3D596F" w14:textId="45050C7E" w:rsidR="001848EE" w:rsidRDefault="000B2576" w:rsidP="00E04ACD">
      <w:pPr>
        <w:jc w:val="both"/>
        <w:rPr>
          <w:rFonts w:ascii="Times New Roman" w:hAnsi="Times New Roman" w:cs="Times New Roman"/>
          <w:noProof/>
          <w:sz w:val="24"/>
          <w:szCs w:val="24"/>
        </w:rPr>
      </w:pPr>
      <w:r>
        <w:rPr>
          <w:noProof/>
          <w:lang w:eastAsia="en-GB"/>
        </w:rPr>
        <w:drawing>
          <wp:inline distT="0" distB="0" distL="0" distR="0" wp14:anchorId="6DBD1151" wp14:editId="4F900AEC">
            <wp:extent cx="5731510" cy="3550920"/>
            <wp:effectExtent l="0" t="0" r="2540" b="1143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A342D1" w14:textId="50C4B64D" w:rsidR="00962211" w:rsidRDefault="00962211" w:rsidP="00962211">
      <w:pPr>
        <w:pStyle w:val="Caption"/>
        <w:rPr>
          <w:rFonts w:ascii="Times New Roman" w:hAnsi="Times New Roman"/>
          <w:noProof/>
          <w:sz w:val="22"/>
          <w:szCs w:val="24"/>
        </w:rPr>
      </w:pPr>
      <w:r>
        <w:t xml:space="preserve">Figure </w:t>
      </w:r>
      <w:fldSimple w:instr=" SEQ Figure \* ARABIC ">
        <w:r w:rsidR="006E3709">
          <w:rPr>
            <w:noProof/>
          </w:rPr>
          <w:t>11</w:t>
        </w:r>
      </w:fldSimple>
      <w:r>
        <w:t xml:space="preserve">: </w:t>
      </w:r>
      <w:r w:rsidRPr="00E52B16">
        <w:t>Climate</w:t>
      </w:r>
      <w:r w:rsidR="005D7B8B">
        <w:t>-</w:t>
      </w:r>
      <w:r w:rsidRPr="00E52B16">
        <w:t>relevant spending in the EU budget, 2014-2020 (EUR million</w:t>
      </w:r>
      <w:r w:rsidR="005D7B8B">
        <w:t xml:space="preserve"> and percentage of the EU budget</w:t>
      </w:r>
      <w:r w:rsidRPr="00E52B16">
        <w:t>)</w:t>
      </w:r>
    </w:p>
    <w:p w14:paraId="71A3A355" w14:textId="77777777" w:rsidR="001848EE" w:rsidRDefault="001848EE" w:rsidP="00E04ACD">
      <w:pPr>
        <w:pStyle w:val="Heading2"/>
      </w:pPr>
    </w:p>
    <w:p w14:paraId="2DBDE147" w14:textId="77777777" w:rsidR="004319ED" w:rsidRDefault="004F5428" w:rsidP="00446D1E">
      <w:pPr>
        <w:pStyle w:val="Heading2"/>
        <w:spacing w:after="120"/>
      </w:pPr>
      <w:r>
        <w:t>The use of revenues from the auctioning of EU ETS allowances</w:t>
      </w:r>
    </w:p>
    <w:p w14:paraId="68781BC2" w14:textId="02A3604D" w:rsidR="004F5428" w:rsidRDefault="004F5428" w:rsidP="00E04ACD">
      <w:pPr>
        <w:jc w:val="both"/>
        <w:rPr>
          <w:rFonts w:ascii="Times New Roman" w:hAnsi="Times New Roman" w:cs="Times New Roman"/>
          <w:sz w:val="24"/>
        </w:rPr>
      </w:pPr>
      <w:r w:rsidRPr="004F5428">
        <w:rPr>
          <w:rFonts w:ascii="Times New Roman" w:hAnsi="Times New Roman" w:cs="Times New Roman"/>
          <w:sz w:val="24"/>
        </w:rPr>
        <w:t xml:space="preserve">In 2018, </w:t>
      </w:r>
      <w:r>
        <w:rPr>
          <w:rFonts w:ascii="Times New Roman" w:hAnsi="Times New Roman" w:cs="Times New Roman"/>
          <w:sz w:val="24"/>
        </w:rPr>
        <w:t xml:space="preserve">Member States earned EUR </w:t>
      </w:r>
      <w:r w:rsidR="00791B41">
        <w:rPr>
          <w:rFonts w:ascii="Times New Roman" w:hAnsi="Times New Roman" w:cs="Times New Roman"/>
          <w:sz w:val="24"/>
        </w:rPr>
        <w:t>13.6 billion</w:t>
      </w:r>
      <w:r>
        <w:rPr>
          <w:rFonts w:ascii="Times New Roman" w:hAnsi="Times New Roman" w:cs="Times New Roman"/>
          <w:sz w:val="24"/>
        </w:rPr>
        <w:t xml:space="preserve"> from the auctioning of EU ETS allowances, EUR </w:t>
      </w:r>
      <w:r w:rsidR="00484DE3">
        <w:rPr>
          <w:rFonts w:ascii="Times New Roman" w:hAnsi="Times New Roman" w:cs="Times New Roman"/>
          <w:sz w:val="24"/>
        </w:rPr>
        <w:t>8</w:t>
      </w:r>
      <w:r>
        <w:rPr>
          <w:rFonts w:ascii="Times New Roman" w:hAnsi="Times New Roman" w:cs="Times New Roman"/>
          <w:sz w:val="24"/>
        </w:rPr>
        <w:t xml:space="preserve"> billion more than in 2017 as a result of higher </w:t>
      </w:r>
      <w:r w:rsidR="008C7B9C">
        <w:rPr>
          <w:rFonts w:ascii="Times New Roman" w:hAnsi="Times New Roman" w:cs="Times New Roman"/>
          <w:sz w:val="24"/>
        </w:rPr>
        <w:t xml:space="preserve">carbon </w:t>
      </w:r>
      <w:r>
        <w:rPr>
          <w:rFonts w:ascii="Times New Roman" w:hAnsi="Times New Roman" w:cs="Times New Roman"/>
          <w:sz w:val="24"/>
        </w:rPr>
        <w:t xml:space="preserve">price. </w:t>
      </w:r>
      <w:r w:rsidR="00083BD6">
        <w:rPr>
          <w:rFonts w:ascii="Times New Roman" w:hAnsi="Times New Roman" w:cs="Times New Roman"/>
          <w:sz w:val="24"/>
        </w:rPr>
        <w:t>In 2018, close to 70 % of the revenues were used, or are planned to be used</w:t>
      </w:r>
      <w:r w:rsidR="007116A9" w:rsidRPr="007116A9">
        <w:rPr>
          <w:rFonts w:ascii="Times New Roman" w:hAnsi="Times New Roman"/>
          <w:i/>
          <w:noProof/>
          <w:sz w:val="24"/>
          <w:szCs w:val="24"/>
        </w:rPr>
        <w:t xml:space="preserve"> </w:t>
      </w:r>
      <w:r w:rsidR="007116A9">
        <w:rPr>
          <w:rFonts w:ascii="Times New Roman" w:hAnsi="Times New Roman" w:cs="Times New Roman"/>
          <w:sz w:val="24"/>
        </w:rPr>
        <w:t>for climate and energy purposes.</w:t>
      </w:r>
      <w:r w:rsidR="007116A9">
        <w:rPr>
          <w:rFonts w:ascii="Times New Roman" w:hAnsi="Times New Roman"/>
          <w:i/>
          <w:noProof/>
          <w:sz w:val="24"/>
          <w:szCs w:val="24"/>
        </w:rPr>
        <w:t xml:space="preserve"> </w:t>
      </w:r>
      <w:r w:rsidR="007116A9" w:rsidRPr="007116A9">
        <w:rPr>
          <w:rFonts w:ascii="Times New Roman" w:hAnsi="Times New Roman"/>
          <w:noProof/>
          <w:sz w:val="24"/>
          <w:szCs w:val="24"/>
        </w:rPr>
        <w:t xml:space="preserve">In the period </w:t>
      </w:r>
      <w:r>
        <w:rPr>
          <w:rFonts w:ascii="Times New Roman" w:hAnsi="Times New Roman" w:cs="Times New Roman"/>
          <w:sz w:val="24"/>
        </w:rPr>
        <w:t>from 2013-2018</w:t>
      </w:r>
      <w:r w:rsidR="007116A9">
        <w:rPr>
          <w:rFonts w:ascii="Times New Roman" w:hAnsi="Times New Roman" w:cs="Times New Roman"/>
          <w:sz w:val="24"/>
        </w:rPr>
        <w:t>, close to 80%</w:t>
      </w:r>
      <w:r>
        <w:rPr>
          <w:rFonts w:ascii="Times New Roman" w:hAnsi="Times New Roman" w:cs="Times New Roman"/>
          <w:sz w:val="24"/>
        </w:rPr>
        <w:t xml:space="preserve"> were used, or are planned to be used</w:t>
      </w:r>
      <w:r w:rsidR="007116A9">
        <w:rPr>
          <w:rFonts w:ascii="Times New Roman" w:hAnsi="Times New Roman" w:cs="Times New Roman"/>
          <w:sz w:val="24"/>
        </w:rPr>
        <w:t xml:space="preserve"> </w:t>
      </w:r>
      <w:r w:rsidR="007116A9" w:rsidRPr="007116A9">
        <w:rPr>
          <w:rFonts w:ascii="Times New Roman" w:hAnsi="Times New Roman"/>
          <w:noProof/>
          <w:sz w:val="24"/>
          <w:szCs w:val="24"/>
        </w:rPr>
        <w:t>for such purposes</w:t>
      </w:r>
      <w:r>
        <w:rPr>
          <w:rFonts w:ascii="Times New Roman" w:hAnsi="Times New Roman" w:cs="Times New Roman"/>
          <w:sz w:val="24"/>
        </w:rPr>
        <w:t xml:space="preserve">. Most of the revenues </w:t>
      </w:r>
      <w:r w:rsidR="00B922B3">
        <w:rPr>
          <w:rFonts w:ascii="Times New Roman" w:hAnsi="Times New Roman" w:cs="Times New Roman"/>
          <w:sz w:val="24"/>
        </w:rPr>
        <w:t>go to</w:t>
      </w:r>
      <w:r>
        <w:rPr>
          <w:rFonts w:ascii="Times New Roman" w:hAnsi="Times New Roman" w:cs="Times New Roman"/>
          <w:sz w:val="24"/>
        </w:rPr>
        <w:t xml:space="preserve"> </w:t>
      </w:r>
      <w:r w:rsidR="00656196">
        <w:rPr>
          <w:rFonts w:ascii="Times New Roman" w:hAnsi="Times New Roman" w:cs="Times New Roman"/>
          <w:sz w:val="24"/>
        </w:rPr>
        <w:t xml:space="preserve">national </w:t>
      </w:r>
      <w:r>
        <w:rPr>
          <w:rFonts w:ascii="Times New Roman" w:hAnsi="Times New Roman" w:cs="Times New Roman"/>
          <w:sz w:val="24"/>
        </w:rPr>
        <w:t xml:space="preserve">and EU purposes, while a smaller amount </w:t>
      </w:r>
      <w:r w:rsidR="00B922B3">
        <w:rPr>
          <w:rFonts w:ascii="Times New Roman" w:hAnsi="Times New Roman" w:cs="Times New Roman"/>
          <w:sz w:val="24"/>
        </w:rPr>
        <w:t>goes to</w:t>
      </w:r>
      <w:r>
        <w:rPr>
          <w:rFonts w:ascii="Times New Roman" w:hAnsi="Times New Roman" w:cs="Times New Roman"/>
          <w:sz w:val="24"/>
        </w:rPr>
        <w:t xml:space="preserve"> international climate and energy purposes. Figure </w:t>
      </w:r>
      <w:r w:rsidR="00791B41">
        <w:rPr>
          <w:rFonts w:ascii="Times New Roman" w:hAnsi="Times New Roman" w:cs="Times New Roman"/>
          <w:sz w:val="24"/>
        </w:rPr>
        <w:t>1</w:t>
      </w:r>
      <w:r w:rsidR="00C44178">
        <w:rPr>
          <w:rFonts w:ascii="Times New Roman" w:hAnsi="Times New Roman" w:cs="Times New Roman"/>
          <w:sz w:val="24"/>
        </w:rPr>
        <w:t>2</w:t>
      </w:r>
      <w:r w:rsidR="00791B41">
        <w:rPr>
          <w:rFonts w:ascii="Times New Roman" w:hAnsi="Times New Roman" w:cs="Times New Roman"/>
          <w:sz w:val="24"/>
        </w:rPr>
        <w:t xml:space="preserve"> </w:t>
      </w:r>
      <w:r>
        <w:rPr>
          <w:rFonts w:ascii="Times New Roman" w:hAnsi="Times New Roman" w:cs="Times New Roman"/>
          <w:sz w:val="24"/>
        </w:rPr>
        <w:t xml:space="preserve">shows the total EU ETS revenues and their use on climate and energy purposes. </w:t>
      </w:r>
    </w:p>
    <w:p w14:paraId="25FF0553" w14:textId="4B97C0BE" w:rsidR="00791B41" w:rsidRDefault="00791B41" w:rsidP="00E04ACD">
      <w:pPr>
        <w:jc w:val="both"/>
        <w:rPr>
          <w:rFonts w:ascii="Times New Roman" w:hAnsi="Times New Roman" w:cs="Times New Roman"/>
          <w:sz w:val="24"/>
        </w:rPr>
      </w:pPr>
    </w:p>
    <w:p w14:paraId="766C9790" w14:textId="42859623" w:rsidR="00083BD6" w:rsidRDefault="00083BD6" w:rsidP="00791B41">
      <w:pPr>
        <w:pStyle w:val="Caption"/>
      </w:pPr>
      <w:r>
        <w:rPr>
          <w:noProof/>
          <w:lang w:eastAsia="en-GB"/>
        </w:rPr>
        <w:drawing>
          <wp:inline distT="0" distB="0" distL="0" distR="0" wp14:anchorId="19DD9176" wp14:editId="3A1F397A">
            <wp:extent cx="5544589" cy="2730732"/>
            <wp:effectExtent l="0" t="0" r="18415"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22AE45F" w14:textId="77D1F6F3" w:rsidR="00791B41" w:rsidRDefault="00791B41" w:rsidP="00791B41">
      <w:pPr>
        <w:pStyle w:val="Caption"/>
        <w:rPr>
          <w:rFonts w:ascii="Times New Roman" w:hAnsi="Times New Roman"/>
          <w:sz w:val="24"/>
        </w:rPr>
      </w:pPr>
      <w:r>
        <w:t xml:space="preserve">Figure </w:t>
      </w:r>
      <w:fldSimple w:instr=" SEQ Figure \* ARABIC ">
        <w:r w:rsidR="006E3709">
          <w:rPr>
            <w:noProof/>
          </w:rPr>
          <w:t>12</w:t>
        </w:r>
      </w:fldSimple>
      <w:r>
        <w:t>: Use of revenues from the auctioning of ETS allowances 2013-2018 (EUR billion)</w:t>
      </w:r>
    </w:p>
    <w:p w14:paraId="0F0FC51F" w14:textId="19E02B75" w:rsidR="004F5428" w:rsidRDefault="004F5428" w:rsidP="00E04ACD">
      <w:pPr>
        <w:jc w:val="both"/>
        <w:rPr>
          <w:rFonts w:ascii="Times New Roman" w:hAnsi="Times New Roman" w:cs="Times New Roman"/>
          <w:sz w:val="24"/>
        </w:rPr>
      </w:pPr>
      <w:r>
        <w:rPr>
          <w:rFonts w:ascii="Times New Roman" w:hAnsi="Times New Roman" w:cs="Times New Roman"/>
          <w:sz w:val="24"/>
        </w:rPr>
        <w:t xml:space="preserve">Of revenues used domestically, the largest amounts were spent on renewable energy, energy efficiency and sustainable transport. Figure </w:t>
      </w:r>
      <w:r w:rsidR="00791B41">
        <w:rPr>
          <w:rFonts w:ascii="Times New Roman" w:hAnsi="Times New Roman" w:cs="Times New Roman"/>
          <w:sz w:val="24"/>
        </w:rPr>
        <w:t>1</w:t>
      </w:r>
      <w:r w:rsidR="00C44178">
        <w:rPr>
          <w:rFonts w:ascii="Times New Roman" w:hAnsi="Times New Roman" w:cs="Times New Roman"/>
          <w:sz w:val="24"/>
        </w:rPr>
        <w:t>3</w:t>
      </w:r>
      <w:r w:rsidR="00791B41">
        <w:rPr>
          <w:rFonts w:ascii="Times New Roman" w:hAnsi="Times New Roman" w:cs="Times New Roman"/>
          <w:sz w:val="24"/>
        </w:rPr>
        <w:t xml:space="preserve"> </w:t>
      </w:r>
      <w:r>
        <w:rPr>
          <w:rFonts w:ascii="Times New Roman" w:hAnsi="Times New Roman" w:cs="Times New Roman"/>
          <w:sz w:val="24"/>
        </w:rPr>
        <w:t xml:space="preserve">shows the domestic use of auction revenues. </w:t>
      </w:r>
    </w:p>
    <w:p w14:paraId="592BC451" w14:textId="6866D6C6" w:rsidR="00791B41" w:rsidRDefault="00791B41" w:rsidP="00E04ACD">
      <w:pPr>
        <w:jc w:val="both"/>
        <w:rPr>
          <w:rFonts w:ascii="Times New Roman" w:hAnsi="Times New Roman" w:cs="Times New Roman"/>
          <w:sz w:val="24"/>
        </w:rPr>
      </w:pPr>
      <w:r>
        <w:rPr>
          <w:noProof/>
          <w:lang w:eastAsia="en-GB"/>
        </w:rPr>
        <w:drawing>
          <wp:inline distT="0" distB="0" distL="0" distR="0" wp14:anchorId="5388F0E1" wp14:editId="51CDACB5">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4A492A" w14:textId="65448A94" w:rsidR="00791B41" w:rsidRDefault="00791B41" w:rsidP="00791B41">
      <w:pPr>
        <w:pStyle w:val="Caption"/>
        <w:rPr>
          <w:rFonts w:ascii="Times New Roman" w:hAnsi="Times New Roman"/>
          <w:sz w:val="24"/>
        </w:rPr>
      </w:pPr>
      <w:r>
        <w:t xml:space="preserve">Figure </w:t>
      </w:r>
      <w:fldSimple w:instr=" SEQ Figure \* ARABIC ">
        <w:r w:rsidR="006E3709">
          <w:rPr>
            <w:noProof/>
          </w:rPr>
          <w:t>13</w:t>
        </w:r>
      </w:fldSimple>
      <w:r>
        <w:t>: Domestic use of revenues from auctioning of ETS allowances 2013-2018 (EUR billion)</w:t>
      </w:r>
    </w:p>
    <w:p w14:paraId="5741879A" w14:textId="77777777" w:rsidR="004F5428" w:rsidRDefault="004F5428" w:rsidP="00E04ACD">
      <w:pPr>
        <w:spacing w:after="120"/>
        <w:ind w:right="57"/>
        <w:jc w:val="both"/>
        <w:rPr>
          <w:b/>
          <w:color w:val="000000" w:themeColor="text1"/>
          <w:szCs w:val="24"/>
        </w:rPr>
      </w:pPr>
    </w:p>
    <w:p w14:paraId="07FC0261" w14:textId="06B422C7" w:rsidR="000B6609" w:rsidRPr="00753FF7" w:rsidRDefault="000B6609" w:rsidP="00446D1E">
      <w:pPr>
        <w:pStyle w:val="Heading2"/>
        <w:spacing w:after="120"/>
      </w:pPr>
      <w:r w:rsidRPr="00753FF7">
        <w:t>N</w:t>
      </w:r>
      <w:r w:rsidR="00B922B3">
        <w:t>ew Entrants Reserve (N</w:t>
      </w:r>
      <w:r w:rsidRPr="00753FF7">
        <w:t>ER</w:t>
      </w:r>
      <w:r w:rsidR="00B922B3">
        <w:t>)</w:t>
      </w:r>
      <w:r w:rsidRPr="00753FF7">
        <w:t xml:space="preserve"> 300</w:t>
      </w:r>
    </w:p>
    <w:p w14:paraId="69F3F823" w14:textId="0C05C1A7" w:rsidR="00205C86" w:rsidRDefault="000B6609" w:rsidP="00E04ACD">
      <w:pPr>
        <w:spacing w:after="120" w:line="276" w:lineRule="auto"/>
        <w:ind w:right="57"/>
        <w:jc w:val="both"/>
        <w:rPr>
          <w:rFonts w:ascii="Times New Roman" w:hAnsi="Times New Roman" w:cs="Times New Roman"/>
          <w:color w:val="000000" w:themeColor="text1"/>
          <w:sz w:val="24"/>
          <w:szCs w:val="24"/>
        </w:rPr>
      </w:pPr>
      <w:r w:rsidRPr="001848EE">
        <w:rPr>
          <w:rFonts w:ascii="Times New Roman" w:hAnsi="Times New Roman" w:cs="Times New Roman"/>
          <w:color w:val="000000" w:themeColor="text1"/>
          <w:sz w:val="24"/>
          <w:szCs w:val="24"/>
        </w:rPr>
        <w:t xml:space="preserve">NER 300 is one of the world’s largest funding programmes for innovative low-carbon energy demonstration projects. </w:t>
      </w:r>
      <w:r w:rsidR="005E2B6B">
        <w:rPr>
          <w:rFonts w:ascii="Times New Roman" w:hAnsi="Times New Roman" w:cs="Times New Roman"/>
          <w:color w:val="000000" w:themeColor="text1"/>
          <w:sz w:val="24"/>
          <w:szCs w:val="24"/>
        </w:rPr>
        <w:t>It</w:t>
      </w:r>
      <w:r w:rsidRPr="001848EE">
        <w:rPr>
          <w:rFonts w:ascii="Times New Roman" w:hAnsi="Times New Roman" w:cs="Times New Roman"/>
          <w:color w:val="000000" w:themeColor="text1"/>
          <w:sz w:val="24"/>
          <w:szCs w:val="24"/>
        </w:rPr>
        <w:t xml:space="preserve"> is funded from the monetisation of 300 million </w:t>
      </w:r>
      <w:r w:rsidR="00886C4C">
        <w:rPr>
          <w:rFonts w:ascii="Times New Roman" w:hAnsi="Times New Roman" w:cs="Times New Roman"/>
          <w:color w:val="000000" w:themeColor="text1"/>
          <w:sz w:val="24"/>
          <w:szCs w:val="24"/>
        </w:rPr>
        <w:t xml:space="preserve">EU ETS </w:t>
      </w:r>
      <w:r w:rsidRPr="001848EE">
        <w:rPr>
          <w:rFonts w:ascii="Times New Roman" w:hAnsi="Times New Roman" w:cs="Times New Roman"/>
          <w:color w:val="000000" w:themeColor="text1"/>
          <w:sz w:val="24"/>
          <w:szCs w:val="24"/>
        </w:rPr>
        <w:t xml:space="preserve">emission allowances. </w:t>
      </w:r>
    </w:p>
    <w:p w14:paraId="13AEFA8A" w14:textId="58E3F50E" w:rsidR="00712EF5" w:rsidRPr="005E2B6B" w:rsidRDefault="00712EF5" w:rsidP="00712EF5">
      <w:pPr>
        <w:spacing w:after="120" w:line="276" w:lineRule="auto"/>
        <w:ind w:right="57"/>
        <w:jc w:val="both"/>
        <w:rPr>
          <w:rFonts w:ascii="Times New Roman" w:hAnsi="Times New Roman" w:cs="Times New Roman"/>
          <w:color w:val="000000" w:themeColor="text1"/>
          <w:sz w:val="24"/>
          <w:szCs w:val="24"/>
        </w:rPr>
      </w:pPr>
      <w:r w:rsidRPr="00AC49E1">
        <w:rPr>
          <w:rFonts w:ascii="Times New Roman" w:hAnsi="Times New Roman" w:cs="Times New Roman"/>
          <w:color w:val="000000" w:themeColor="text1"/>
          <w:sz w:val="24"/>
          <w:szCs w:val="24"/>
        </w:rPr>
        <w:t>As a result of two calls for proposals</w:t>
      </w:r>
      <w:r>
        <w:rPr>
          <w:rFonts w:ascii="Times New Roman" w:hAnsi="Times New Roman" w:cs="Times New Roman"/>
          <w:color w:val="000000" w:themeColor="text1"/>
          <w:sz w:val="24"/>
          <w:szCs w:val="24"/>
        </w:rPr>
        <w:t xml:space="preserve">, </w:t>
      </w:r>
      <w:r w:rsidRPr="001848EE">
        <w:rPr>
          <w:rFonts w:ascii="Times New Roman" w:hAnsi="Times New Roman" w:cs="Times New Roman"/>
          <w:color w:val="000000" w:themeColor="text1"/>
          <w:sz w:val="24"/>
          <w:szCs w:val="24"/>
        </w:rPr>
        <w:t xml:space="preserve">38 </w:t>
      </w:r>
      <w:r>
        <w:rPr>
          <w:rFonts w:ascii="Times New Roman" w:hAnsi="Times New Roman" w:cs="Times New Roman"/>
          <w:color w:val="000000" w:themeColor="text1"/>
          <w:sz w:val="24"/>
          <w:szCs w:val="24"/>
        </w:rPr>
        <w:t>renewable energy</w:t>
      </w:r>
      <w:r w:rsidRPr="001848EE">
        <w:rPr>
          <w:rFonts w:ascii="Times New Roman" w:hAnsi="Times New Roman" w:cs="Times New Roman"/>
          <w:color w:val="000000" w:themeColor="text1"/>
          <w:sz w:val="24"/>
          <w:szCs w:val="24"/>
        </w:rPr>
        <w:t xml:space="preserve"> projects and </w:t>
      </w:r>
      <w:r w:rsidR="00B922B3">
        <w:rPr>
          <w:rFonts w:ascii="Times New Roman" w:hAnsi="Times New Roman" w:cs="Times New Roman"/>
          <w:color w:val="000000" w:themeColor="text1"/>
          <w:sz w:val="24"/>
          <w:szCs w:val="24"/>
        </w:rPr>
        <w:t>one</w:t>
      </w:r>
      <w:r w:rsidR="00B922B3" w:rsidRPr="001848E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carbon capture and storage </w:t>
      </w:r>
      <w:r w:rsidRPr="001848EE">
        <w:rPr>
          <w:rFonts w:ascii="Times New Roman" w:hAnsi="Times New Roman" w:cs="Times New Roman"/>
          <w:color w:val="000000" w:themeColor="text1"/>
          <w:sz w:val="24"/>
          <w:szCs w:val="24"/>
        </w:rPr>
        <w:t xml:space="preserve">project </w:t>
      </w:r>
      <w:r>
        <w:rPr>
          <w:rFonts w:ascii="Times New Roman" w:hAnsi="Times New Roman" w:cs="Times New Roman"/>
          <w:color w:val="000000" w:themeColor="text1"/>
          <w:sz w:val="24"/>
          <w:szCs w:val="24"/>
        </w:rPr>
        <w:t xml:space="preserve">have been </w:t>
      </w:r>
      <w:r w:rsidRPr="001848EE">
        <w:rPr>
          <w:rFonts w:ascii="Times New Roman" w:hAnsi="Times New Roman" w:cs="Times New Roman"/>
          <w:color w:val="000000" w:themeColor="text1"/>
          <w:sz w:val="24"/>
          <w:szCs w:val="24"/>
        </w:rPr>
        <w:t>award</w:t>
      </w:r>
      <w:r>
        <w:rPr>
          <w:rFonts w:ascii="Times New Roman" w:hAnsi="Times New Roman" w:cs="Times New Roman"/>
          <w:color w:val="000000" w:themeColor="text1"/>
          <w:sz w:val="24"/>
          <w:szCs w:val="24"/>
        </w:rPr>
        <w:t>ed</w:t>
      </w:r>
      <w:r w:rsidR="00B922B3">
        <w:rPr>
          <w:rFonts w:ascii="Times New Roman" w:hAnsi="Times New Roman" w:cs="Times New Roman"/>
          <w:color w:val="000000" w:themeColor="text1"/>
          <w:sz w:val="24"/>
          <w:szCs w:val="24"/>
        </w:rPr>
        <w:t xml:space="preserve"> funding</w:t>
      </w:r>
      <w:r w:rsidRPr="001848EE">
        <w:rPr>
          <w:rFonts w:ascii="Times New Roman" w:hAnsi="Times New Roman" w:cs="Times New Roman"/>
          <w:color w:val="000000" w:themeColor="text1"/>
          <w:sz w:val="24"/>
          <w:szCs w:val="24"/>
        </w:rPr>
        <w:t xml:space="preserve">, in 20 EU Member States and amounting to EUR 2.1 billion. </w:t>
      </w:r>
      <w:r w:rsidR="00B922B3">
        <w:rPr>
          <w:rFonts w:ascii="Times New Roman" w:hAnsi="Times New Roman" w:cs="Times New Roman"/>
          <w:noProof/>
          <w:color w:val="000000" w:themeColor="text1"/>
          <w:sz w:val="24"/>
          <w:szCs w:val="24"/>
          <w:lang w:eastAsia="en-GB"/>
        </w:rPr>
        <w:t>Seven</w:t>
      </w:r>
      <w:r w:rsidRPr="001848EE">
        <w:rPr>
          <w:rFonts w:ascii="Times New Roman" w:hAnsi="Times New Roman" w:cs="Times New Roman"/>
          <w:noProof/>
          <w:color w:val="000000" w:themeColor="text1"/>
          <w:sz w:val="24"/>
          <w:szCs w:val="24"/>
          <w:lang w:eastAsia="en-GB"/>
        </w:rPr>
        <w:t xml:space="preserve"> </w:t>
      </w:r>
      <w:r>
        <w:rPr>
          <w:rFonts w:ascii="Times New Roman" w:hAnsi="Times New Roman" w:cs="Times New Roman"/>
          <w:noProof/>
          <w:color w:val="000000" w:themeColor="text1"/>
          <w:sz w:val="24"/>
          <w:szCs w:val="24"/>
          <w:lang w:eastAsia="en-GB"/>
        </w:rPr>
        <w:t xml:space="preserve">projects are operational and </w:t>
      </w:r>
      <w:r w:rsidR="00B922B3">
        <w:rPr>
          <w:rFonts w:ascii="Times New Roman" w:hAnsi="Times New Roman" w:cs="Times New Roman"/>
          <w:noProof/>
          <w:color w:val="000000" w:themeColor="text1"/>
          <w:sz w:val="24"/>
          <w:szCs w:val="24"/>
          <w:lang w:eastAsia="en-GB"/>
        </w:rPr>
        <w:t>five</w:t>
      </w:r>
      <w:r w:rsidRPr="001848EE">
        <w:rPr>
          <w:rFonts w:ascii="Times New Roman" w:hAnsi="Times New Roman" w:cs="Times New Roman"/>
          <w:noProof/>
          <w:color w:val="000000" w:themeColor="text1"/>
          <w:sz w:val="24"/>
          <w:szCs w:val="24"/>
          <w:lang w:eastAsia="en-GB"/>
        </w:rPr>
        <w:t xml:space="preserve"> projects are expected to enter in operation by </w:t>
      </w:r>
      <w:r w:rsidR="005D7B8B">
        <w:rPr>
          <w:rFonts w:ascii="Times New Roman" w:hAnsi="Times New Roman" w:cs="Times New Roman"/>
          <w:noProof/>
          <w:color w:val="000000" w:themeColor="text1"/>
          <w:sz w:val="24"/>
          <w:szCs w:val="24"/>
          <w:lang w:eastAsia="en-GB"/>
        </w:rPr>
        <w:t xml:space="preserve">the </w:t>
      </w:r>
      <w:r w:rsidRPr="001848EE">
        <w:rPr>
          <w:rFonts w:ascii="Times New Roman" w:hAnsi="Times New Roman" w:cs="Times New Roman"/>
          <w:noProof/>
          <w:color w:val="000000" w:themeColor="text1"/>
          <w:sz w:val="24"/>
          <w:szCs w:val="24"/>
          <w:lang w:eastAsia="en-GB"/>
        </w:rPr>
        <w:t xml:space="preserve">end of </w:t>
      </w:r>
      <w:r w:rsidR="005D7B8B">
        <w:rPr>
          <w:rFonts w:ascii="Times New Roman" w:hAnsi="Times New Roman" w:cs="Times New Roman"/>
          <w:noProof/>
          <w:color w:val="000000" w:themeColor="text1"/>
          <w:sz w:val="24"/>
          <w:szCs w:val="24"/>
          <w:lang w:eastAsia="en-GB"/>
        </w:rPr>
        <w:t>2019</w:t>
      </w:r>
      <w:r w:rsidRPr="001848EE">
        <w:rPr>
          <w:rFonts w:ascii="Times New Roman" w:hAnsi="Times New Roman" w:cs="Times New Roman"/>
          <w:noProof/>
          <w:color w:val="000000" w:themeColor="text1"/>
          <w:sz w:val="24"/>
          <w:szCs w:val="24"/>
          <w:lang w:eastAsia="en-GB"/>
        </w:rPr>
        <w:t xml:space="preserve">. </w:t>
      </w:r>
      <w:r w:rsidR="00B922B3">
        <w:rPr>
          <w:rFonts w:ascii="Times New Roman" w:hAnsi="Times New Roman" w:cs="Times New Roman"/>
          <w:noProof/>
          <w:color w:val="000000" w:themeColor="text1"/>
          <w:sz w:val="24"/>
          <w:szCs w:val="24"/>
          <w:lang w:eastAsia="en-GB"/>
        </w:rPr>
        <w:t>Four</w:t>
      </w:r>
      <w:r w:rsidRPr="001848EE">
        <w:rPr>
          <w:rFonts w:ascii="Times New Roman" w:hAnsi="Times New Roman" w:cs="Times New Roman"/>
          <w:noProof/>
          <w:color w:val="000000" w:themeColor="text1"/>
          <w:sz w:val="24"/>
          <w:szCs w:val="24"/>
          <w:lang w:eastAsia="en-GB"/>
        </w:rPr>
        <w:t xml:space="preserve"> projects are advancing in their preparations to enter in operation by 30 June 2021 at the latest.</w:t>
      </w:r>
      <w:r w:rsidRPr="001848EE">
        <w:rPr>
          <w:rFonts w:ascii="Times New Roman" w:eastAsia="Calibri" w:hAnsi="Times New Roman" w:cs="Times New Roman"/>
          <w:color w:val="000000" w:themeColor="text1"/>
          <w:sz w:val="24"/>
          <w:szCs w:val="24"/>
        </w:rPr>
        <w:t xml:space="preserve"> </w:t>
      </w:r>
    </w:p>
    <w:p w14:paraId="3ACE4CA3" w14:textId="7B148B89" w:rsidR="00712EF5" w:rsidRDefault="00712EF5" w:rsidP="00712EF5">
      <w:pPr>
        <w:spacing w:after="120" w:line="276" w:lineRule="auto"/>
        <w:ind w:right="57"/>
        <w:jc w:val="both"/>
        <w:rPr>
          <w:rFonts w:ascii="Times New Roman" w:hAnsi="Times New Roman" w:cs="Times New Roman"/>
          <w:noProof/>
          <w:color w:val="000000" w:themeColor="text1"/>
          <w:sz w:val="24"/>
          <w:szCs w:val="24"/>
          <w:lang w:eastAsia="en-GB"/>
        </w:rPr>
      </w:pPr>
      <w:r w:rsidRPr="001848EE">
        <w:rPr>
          <w:rFonts w:ascii="Times New Roman" w:hAnsi="Times New Roman" w:cs="Times New Roman"/>
          <w:noProof/>
          <w:color w:val="000000" w:themeColor="text1"/>
          <w:sz w:val="24"/>
          <w:szCs w:val="24"/>
          <w:lang w:eastAsia="en-GB"/>
        </w:rPr>
        <w:t>Given the challenging economic and policy context since the NER 300 programme was designed, 19 projects</w:t>
      </w:r>
      <w:r>
        <w:rPr>
          <w:rFonts w:ascii="Times New Roman" w:hAnsi="Times New Roman" w:cs="Times New Roman"/>
          <w:noProof/>
          <w:color w:val="000000" w:themeColor="text1"/>
          <w:sz w:val="24"/>
          <w:szCs w:val="24"/>
          <w:lang w:eastAsia="en-GB"/>
        </w:rPr>
        <w:t xml:space="preserve"> that had been selected for funding,</w:t>
      </w:r>
      <w:r w:rsidRPr="001848EE">
        <w:rPr>
          <w:rFonts w:ascii="Times New Roman" w:hAnsi="Times New Roman" w:cs="Times New Roman"/>
          <w:noProof/>
          <w:color w:val="000000" w:themeColor="text1"/>
          <w:sz w:val="24"/>
          <w:szCs w:val="24"/>
          <w:lang w:eastAsia="en-GB"/>
        </w:rPr>
        <w:t xml:space="preserve"> have not been able to raise sufficient additional financial support and </w:t>
      </w:r>
      <w:r w:rsidR="00B922B3">
        <w:rPr>
          <w:rFonts w:ascii="Times New Roman" w:hAnsi="Times New Roman" w:cs="Times New Roman"/>
          <w:noProof/>
          <w:color w:val="000000" w:themeColor="text1"/>
          <w:sz w:val="24"/>
          <w:szCs w:val="24"/>
          <w:lang w:eastAsia="en-GB"/>
        </w:rPr>
        <w:t>were</w:t>
      </w:r>
      <w:r w:rsidRPr="001848EE">
        <w:rPr>
          <w:rFonts w:ascii="Times New Roman" w:hAnsi="Times New Roman" w:cs="Times New Roman"/>
          <w:noProof/>
          <w:color w:val="000000" w:themeColor="text1"/>
          <w:sz w:val="24"/>
          <w:szCs w:val="24"/>
          <w:lang w:eastAsia="en-GB"/>
        </w:rPr>
        <w:t xml:space="preserve"> withdrawn by July 2019.</w:t>
      </w:r>
      <w:r w:rsidRPr="00AC49E1">
        <w:t xml:space="preserve"> </w:t>
      </w:r>
      <w:r w:rsidRPr="00AC49E1">
        <w:rPr>
          <w:rFonts w:ascii="Times New Roman" w:hAnsi="Times New Roman" w:cs="Times New Roman"/>
          <w:noProof/>
          <w:color w:val="000000" w:themeColor="text1"/>
          <w:sz w:val="24"/>
          <w:szCs w:val="24"/>
          <w:lang w:eastAsia="en-GB"/>
        </w:rPr>
        <w:t xml:space="preserve">Four </w:t>
      </w:r>
      <w:r w:rsidR="00B922B3">
        <w:rPr>
          <w:rFonts w:ascii="Times New Roman" w:hAnsi="Times New Roman" w:cs="Times New Roman"/>
          <w:noProof/>
          <w:color w:val="000000" w:themeColor="text1"/>
          <w:sz w:val="24"/>
          <w:szCs w:val="24"/>
          <w:lang w:eastAsia="en-GB"/>
        </w:rPr>
        <w:t>further</w:t>
      </w:r>
      <w:r w:rsidR="00B922B3" w:rsidRPr="00AC49E1">
        <w:rPr>
          <w:rFonts w:ascii="Times New Roman" w:hAnsi="Times New Roman" w:cs="Times New Roman"/>
          <w:noProof/>
          <w:color w:val="000000" w:themeColor="text1"/>
          <w:sz w:val="24"/>
          <w:szCs w:val="24"/>
          <w:lang w:eastAsia="en-GB"/>
        </w:rPr>
        <w:t xml:space="preserve"> </w:t>
      </w:r>
      <w:r w:rsidRPr="00AC49E1">
        <w:rPr>
          <w:rFonts w:ascii="Times New Roman" w:hAnsi="Times New Roman" w:cs="Times New Roman"/>
          <w:noProof/>
          <w:color w:val="000000" w:themeColor="text1"/>
          <w:sz w:val="24"/>
          <w:szCs w:val="24"/>
          <w:lang w:eastAsia="en-GB"/>
        </w:rPr>
        <w:t>projects are under various stages of development</w:t>
      </w:r>
      <w:r w:rsidRPr="001848EE">
        <w:rPr>
          <w:rFonts w:ascii="Times New Roman" w:hAnsi="Times New Roman" w:cs="Times New Roman"/>
          <w:noProof/>
          <w:color w:val="000000" w:themeColor="text1"/>
          <w:sz w:val="24"/>
          <w:szCs w:val="24"/>
          <w:lang w:eastAsia="en-GB"/>
        </w:rPr>
        <w:t xml:space="preserve">.The withdrawals </w:t>
      </w:r>
      <w:r>
        <w:rPr>
          <w:rFonts w:ascii="Times New Roman" w:hAnsi="Times New Roman" w:cs="Times New Roman"/>
          <w:noProof/>
          <w:color w:val="000000" w:themeColor="text1"/>
          <w:sz w:val="24"/>
          <w:szCs w:val="24"/>
          <w:lang w:eastAsia="en-GB"/>
        </w:rPr>
        <w:t xml:space="preserve">from </w:t>
      </w:r>
      <w:r w:rsidR="005D7B8B">
        <w:rPr>
          <w:rFonts w:ascii="Times New Roman" w:hAnsi="Times New Roman" w:cs="Times New Roman"/>
          <w:noProof/>
          <w:color w:val="000000" w:themeColor="text1"/>
          <w:sz w:val="24"/>
          <w:szCs w:val="24"/>
          <w:lang w:eastAsia="en-GB"/>
        </w:rPr>
        <w:t>the two</w:t>
      </w:r>
      <w:r>
        <w:rPr>
          <w:rFonts w:ascii="Times New Roman" w:hAnsi="Times New Roman" w:cs="Times New Roman"/>
          <w:noProof/>
          <w:color w:val="000000" w:themeColor="text1"/>
          <w:sz w:val="24"/>
          <w:szCs w:val="24"/>
          <w:lang w:eastAsia="en-GB"/>
        </w:rPr>
        <w:t xml:space="preserve"> calls for proposals </w:t>
      </w:r>
      <w:r w:rsidRPr="001848EE">
        <w:rPr>
          <w:rFonts w:ascii="Times New Roman" w:hAnsi="Times New Roman" w:cs="Times New Roman"/>
          <w:noProof/>
          <w:color w:val="000000" w:themeColor="text1"/>
          <w:sz w:val="24"/>
          <w:szCs w:val="24"/>
          <w:lang w:eastAsia="en-GB"/>
        </w:rPr>
        <w:t xml:space="preserve">have liberated a total of </w:t>
      </w:r>
      <w:r>
        <w:rPr>
          <w:rFonts w:ascii="Times New Roman" w:hAnsi="Times New Roman" w:cs="Times New Roman"/>
          <w:noProof/>
          <w:color w:val="000000" w:themeColor="text1"/>
          <w:sz w:val="24"/>
          <w:szCs w:val="24"/>
          <w:lang w:eastAsia="en-GB"/>
        </w:rPr>
        <w:t xml:space="preserve">EUR </w:t>
      </w:r>
      <w:r w:rsidRPr="001848EE">
        <w:rPr>
          <w:rFonts w:ascii="Times New Roman" w:hAnsi="Times New Roman" w:cs="Times New Roman"/>
          <w:noProof/>
          <w:color w:val="000000" w:themeColor="text1"/>
          <w:sz w:val="24"/>
          <w:szCs w:val="24"/>
          <w:lang w:eastAsia="en-GB"/>
        </w:rPr>
        <w:t>1</w:t>
      </w:r>
      <w:r w:rsidR="005D7B8B">
        <w:rPr>
          <w:rFonts w:ascii="Times New Roman" w:hAnsi="Times New Roman" w:cs="Times New Roman"/>
          <w:noProof/>
          <w:color w:val="000000" w:themeColor="text1"/>
          <w:sz w:val="24"/>
          <w:szCs w:val="24"/>
          <w:lang w:eastAsia="en-GB"/>
        </w:rPr>
        <w:t xml:space="preserve"> </w:t>
      </w:r>
      <w:r w:rsidRPr="001848EE">
        <w:rPr>
          <w:rFonts w:ascii="Times New Roman" w:hAnsi="Times New Roman" w:cs="Times New Roman"/>
          <w:noProof/>
          <w:color w:val="000000" w:themeColor="text1"/>
          <w:sz w:val="24"/>
          <w:szCs w:val="24"/>
          <w:lang w:eastAsia="en-GB"/>
        </w:rPr>
        <w:t xml:space="preserve">358 million </w:t>
      </w:r>
      <w:r>
        <w:rPr>
          <w:rFonts w:ascii="Times New Roman" w:hAnsi="Times New Roman" w:cs="Times New Roman"/>
          <w:noProof/>
          <w:color w:val="000000" w:themeColor="text1"/>
          <w:sz w:val="24"/>
          <w:szCs w:val="24"/>
          <w:lang w:eastAsia="en-GB"/>
        </w:rPr>
        <w:t xml:space="preserve">to be </w:t>
      </w:r>
      <w:r w:rsidRPr="001848EE">
        <w:rPr>
          <w:rFonts w:ascii="Times New Roman" w:hAnsi="Times New Roman" w:cs="Times New Roman"/>
          <w:noProof/>
          <w:color w:val="000000" w:themeColor="text1"/>
          <w:sz w:val="24"/>
          <w:szCs w:val="24"/>
          <w:lang w:eastAsia="en-GB"/>
        </w:rPr>
        <w:t xml:space="preserve">re-invested into existing financial instruments </w:t>
      </w:r>
      <w:r>
        <w:rPr>
          <w:rFonts w:ascii="Times New Roman" w:hAnsi="Times New Roman" w:cs="Times New Roman"/>
          <w:noProof/>
          <w:color w:val="000000" w:themeColor="text1"/>
          <w:sz w:val="24"/>
          <w:szCs w:val="24"/>
          <w:lang w:eastAsia="en-GB"/>
        </w:rPr>
        <w:t>(</w:t>
      </w:r>
      <w:r w:rsidRPr="004A16B7">
        <w:rPr>
          <w:rFonts w:ascii="Times New Roman" w:hAnsi="Times New Roman" w:cs="Times New Roman"/>
          <w:noProof/>
          <w:color w:val="000000" w:themeColor="text1"/>
          <w:sz w:val="24"/>
          <w:szCs w:val="24"/>
          <w:lang w:eastAsia="en-GB"/>
        </w:rPr>
        <w:t xml:space="preserve">EUR 623 million </w:t>
      </w:r>
      <w:r>
        <w:rPr>
          <w:rFonts w:ascii="Times New Roman" w:hAnsi="Times New Roman" w:cs="Times New Roman"/>
          <w:noProof/>
          <w:color w:val="000000" w:themeColor="text1"/>
          <w:sz w:val="24"/>
          <w:szCs w:val="24"/>
          <w:lang w:eastAsia="en-GB"/>
        </w:rPr>
        <w:t xml:space="preserve">from withdrawn </w:t>
      </w:r>
      <w:r w:rsidR="00B922B3">
        <w:rPr>
          <w:rFonts w:ascii="Times New Roman" w:hAnsi="Times New Roman" w:cs="Times New Roman"/>
          <w:noProof/>
          <w:color w:val="000000" w:themeColor="text1"/>
          <w:sz w:val="24"/>
          <w:szCs w:val="24"/>
          <w:lang w:eastAsia="en-GB"/>
        </w:rPr>
        <w:t xml:space="preserve">from the first </w:t>
      </w:r>
      <w:r w:rsidRPr="004A16B7">
        <w:rPr>
          <w:rFonts w:ascii="Times New Roman" w:hAnsi="Times New Roman" w:cs="Times New Roman"/>
          <w:noProof/>
          <w:color w:val="000000" w:themeColor="text1"/>
          <w:sz w:val="24"/>
          <w:szCs w:val="24"/>
          <w:lang w:eastAsia="en-GB"/>
        </w:rPr>
        <w:t>call</w:t>
      </w:r>
      <w:r>
        <w:rPr>
          <w:rFonts w:ascii="Times New Roman" w:hAnsi="Times New Roman" w:cs="Times New Roman"/>
          <w:noProof/>
          <w:color w:val="000000" w:themeColor="text1"/>
          <w:sz w:val="24"/>
          <w:szCs w:val="24"/>
          <w:lang w:eastAsia="en-GB"/>
        </w:rPr>
        <w:t xml:space="preserve">) </w:t>
      </w:r>
      <w:r w:rsidRPr="001848EE">
        <w:rPr>
          <w:rFonts w:ascii="Times New Roman" w:hAnsi="Times New Roman" w:cs="Times New Roman"/>
          <w:noProof/>
          <w:color w:val="000000" w:themeColor="text1"/>
          <w:sz w:val="24"/>
          <w:szCs w:val="24"/>
          <w:lang w:eastAsia="en-GB"/>
        </w:rPr>
        <w:t xml:space="preserve">and </w:t>
      </w:r>
      <w:r>
        <w:rPr>
          <w:rFonts w:ascii="Times New Roman" w:hAnsi="Times New Roman" w:cs="Times New Roman"/>
          <w:noProof/>
          <w:color w:val="000000" w:themeColor="text1"/>
          <w:sz w:val="24"/>
          <w:szCs w:val="24"/>
          <w:lang w:eastAsia="en-GB"/>
        </w:rPr>
        <w:t xml:space="preserve">into </w:t>
      </w:r>
      <w:r w:rsidRPr="001848EE">
        <w:rPr>
          <w:rFonts w:ascii="Times New Roman" w:hAnsi="Times New Roman" w:cs="Times New Roman"/>
          <w:noProof/>
          <w:color w:val="000000" w:themeColor="text1"/>
          <w:sz w:val="24"/>
          <w:szCs w:val="24"/>
          <w:lang w:eastAsia="en-GB"/>
        </w:rPr>
        <w:t>the Innovation Fund</w:t>
      </w:r>
      <w:r>
        <w:rPr>
          <w:rFonts w:ascii="Times New Roman" w:hAnsi="Times New Roman" w:cs="Times New Roman"/>
          <w:noProof/>
          <w:color w:val="000000" w:themeColor="text1"/>
          <w:sz w:val="24"/>
          <w:szCs w:val="24"/>
          <w:lang w:eastAsia="en-GB"/>
        </w:rPr>
        <w:t xml:space="preserve"> (</w:t>
      </w:r>
      <w:r w:rsidRPr="004A16B7">
        <w:rPr>
          <w:rFonts w:ascii="Times New Roman" w:hAnsi="Times New Roman" w:cs="Times New Roman"/>
          <w:noProof/>
          <w:color w:val="000000" w:themeColor="text1"/>
          <w:sz w:val="24"/>
          <w:szCs w:val="24"/>
          <w:lang w:eastAsia="en-GB"/>
        </w:rPr>
        <w:t xml:space="preserve">EUR 735,5 million </w:t>
      </w:r>
      <w:r>
        <w:rPr>
          <w:rFonts w:ascii="Times New Roman" w:hAnsi="Times New Roman" w:cs="Times New Roman"/>
          <w:noProof/>
          <w:color w:val="000000" w:themeColor="text1"/>
          <w:sz w:val="24"/>
          <w:szCs w:val="24"/>
          <w:lang w:eastAsia="en-GB"/>
        </w:rPr>
        <w:t xml:space="preserve">from </w:t>
      </w:r>
      <w:r w:rsidR="00B922B3">
        <w:rPr>
          <w:rFonts w:ascii="Times New Roman" w:hAnsi="Times New Roman" w:cs="Times New Roman"/>
          <w:noProof/>
          <w:color w:val="000000" w:themeColor="text1"/>
          <w:sz w:val="24"/>
          <w:szCs w:val="24"/>
          <w:lang w:eastAsia="en-GB"/>
        </w:rPr>
        <w:t xml:space="preserve">the second </w:t>
      </w:r>
      <w:r w:rsidRPr="004A16B7">
        <w:rPr>
          <w:rFonts w:ascii="Times New Roman" w:hAnsi="Times New Roman" w:cs="Times New Roman"/>
          <w:noProof/>
          <w:color w:val="000000" w:themeColor="text1"/>
          <w:sz w:val="24"/>
          <w:szCs w:val="24"/>
          <w:lang w:eastAsia="en-GB"/>
        </w:rPr>
        <w:t>call</w:t>
      </w:r>
      <w:r>
        <w:rPr>
          <w:rFonts w:ascii="Times New Roman" w:hAnsi="Times New Roman" w:cs="Times New Roman"/>
          <w:noProof/>
          <w:color w:val="000000" w:themeColor="text1"/>
          <w:sz w:val="24"/>
          <w:szCs w:val="24"/>
          <w:lang w:eastAsia="en-GB"/>
        </w:rPr>
        <w:t>) (see Box)</w:t>
      </w:r>
      <w:r w:rsidRPr="001848EE">
        <w:rPr>
          <w:rFonts w:ascii="Times New Roman" w:hAnsi="Times New Roman" w:cs="Times New Roman"/>
          <w:noProof/>
          <w:color w:val="000000" w:themeColor="text1"/>
          <w:sz w:val="24"/>
          <w:szCs w:val="24"/>
          <w:lang w:eastAsia="en-GB"/>
        </w:rPr>
        <w:t xml:space="preserve">. </w:t>
      </w:r>
    </w:p>
    <w:p w14:paraId="175ECE27" w14:textId="77777777" w:rsidR="00712EF5" w:rsidRPr="001848EE" w:rsidRDefault="00712EF5" w:rsidP="00712EF5">
      <w:pPr>
        <w:spacing w:after="120" w:line="276" w:lineRule="auto"/>
        <w:ind w:right="57"/>
        <w:jc w:val="both"/>
        <w:rPr>
          <w:rFonts w:ascii="Times New Roman" w:hAnsi="Times New Roman" w:cs="Times New Roman"/>
          <w:noProof/>
          <w:color w:val="000000" w:themeColor="text1"/>
          <w:sz w:val="24"/>
          <w:szCs w:val="24"/>
          <w:lang w:eastAsia="en-GB"/>
        </w:rPr>
      </w:pPr>
      <w:r>
        <w:rPr>
          <w:rFonts w:ascii="Times New Roman" w:hAnsi="Times New Roman" w:cs="Times New Roman"/>
          <w:noProof/>
          <w:color w:val="000000" w:themeColor="text1"/>
          <w:sz w:val="24"/>
          <w:szCs w:val="24"/>
          <w:lang w:eastAsia="en-GB"/>
        </w:rPr>
        <mc:AlternateContent>
          <mc:Choice Requires="wps">
            <w:drawing>
              <wp:inline distT="0" distB="0" distL="0" distR="0" wp14:anchorId="29038612" wp14:editId="602780E0">
                <wp:extent cx="5759533" cy="6893626"/>
                <wp:effectExtent l="0" t="0" r="12700" b="21590"/>
                <wp:docPr id="25" name="Text Box 25"/>
                <wp:cNvGraphicFramePr/>
                <a:graphic xmlns:a="http://schemas.openxmlformats.org/drawingml/2006/main">
                  <a:graphicData uri="http://schemas.microsoft.com/office/word/2010/wordprocessingShape">
                    <wps:wsp>
                      <wps:cNvSpPr txBox="1"/>
                      <wps:spPr>
                        <a:xfrm>
                          <a:off x="0" y="0"/>
                          <a:ext cx="5759533" cy="6893626"/>
                        </a:xfrm>
                        <a:prstGeom prst="rect">
                          <a:avLst/>
                        </a:prstGeom>
                        <a:solidFill>
                          <a:schemeClr val="lt1"/>
                        </a:solidFill>
                        <a:ln w="6350">
                          <a:solidFill>
                            <a:prstClr val="black"/>
                          </a:solidFill>
                        </a:ln>
                      </wps:spPr>
                      <wps:txbx>
                        <w:txbxContent>
                          <w:p w14:paraId="301DF83E" w14:textId="77777777" w:rsidR="00712EF5" w:rsidRPr="003F37D2" w:rsidRDefault="00712EF5" w:rsidP="00712EF5">
                            <w:pPr>
                              <w:spacing w:after="120" w:line="276" w:lineRule="auto"/>
                              <w:ind w:right="57"/>
                              <w:rPr>
                                <w:rFonts w:ascii="Times New Roman" w:hAnsi="Times New Roman" w:cs="Times New Roman"/>
                                <w:b/>
                                <w:noProof/>
                                <w:color w:val="000000" w:themeColor="text1"/>
                                <w:sz w:val="24"/>
                                <w:szCs w:val="24"/>
                                <w:lang w:eastAsia="en-GB"/>
                              </w:rPr>
                            </w:pPr>
                            <w:r w:rsidRPr="003F37D2">
                              <w:rPr>
                                <w:rFonts w:ascii="Times New Roman" w:hAnsi="Times New Roman" w:cs="Times New Roman"/>
                                <w:b/>
                                <w:noProof/>
                                <w:color w:val="000000" w:themeColor="text1"/>
                                <w:sz w:val="24"/>
                                <w:szCs w:val="24"/>
                                <w:lang w:eastAsia="en-GB"/>
                              </w:rPr>
                              <w:t>InnovFin Energy Demonstration projects</w:t>
                            </w:r>
                          </w:p>
                          <w:p w14:paraId="08C94163" w14:textId="3AE190C4" w:rsidR="00712EF5" w:rsidRDefault="00712EF5" w:rsidP="00712EF5">
                            <w:pPr>
                              <w:spacing w:after="120" w:line="276" w:lineRule="auto"/>
                              <w:ind w:right="57"/>
                              <w:rPr>
                                <w:rFonts w:ascii="Times New Roman" w:hAnsi="Times New Roman" w:cs="Times New Roman"/>
                                <w:noProof/>
                                <w:color w:val="000000" w:themeColor="text1"/>
                                <w:sz w:val="24"/>
                                <w:szCs w:val="24"/>
                                <w:lang w:eastAsia="en-GB"/>
                              </w:rPr>
                            </w:pPr>
                            <w:r>
                              <w:rPr>
                                <w:rFonts w:ascii="Times New Roman" w:hAnsi="Times New Roman" w:cs="Times New Roman"/>
                                <w:noProof/>
                                <w:color w:val="000000" w:themeColor="text1"/>
                                <w:sz w:val="24"/>
                                <w:szCs w:val="24"/>
                                <w:lang w:eastAsia="en-GB"/>
                              </w:rPr>
                              <w:t>T</w:t>
                            </w:r>
                            <w:r w:rsidRPr="001848EE">
                              <w:rPr>
                                <w:rFonts w:ascii="Times New Roman" w:hAnsi="Times New Roman" w:cs="Times New Roman"/>
                                <w:noProof/>
                                <w:color w:val="000000" w:themeColor="text1"/>
                                <w:sz w:val="24"/>
                                <w:szCs w:val="24"/>
                                <w:lang w:eastAsia="en-GB"/>
                              </w:rPr>
                              <w:t xml:space="preserve">he released funds from the cancelled projects </w:t>
                            </w:r>
                            <w:r>
                              <w:rPr>
                                <w:rFonts w:ascii="Times New Roman" w:hAnsi="Times New Roman" w:cs="Times New Roman"/>
                                <w:noProof/>
                                <w:color w:val="000000" w:themeColor="text1"/>
                                <w:sz w:val="24"/>
                                <w:szCs w:val="24"/>
                                <w:lang w:eastAsia="en-GB"/>
                              </w:rPr>
                              <w:t xml:space="preserve">from the </w:t>
                            </w:r>
                            <w:r w:rsidR="002012CB">
                              <w:rPr>
                                <w:rFonts w:ascii="Times New Roman" w:hAnsi="Times New Roman" w:cs="Times New Roman"/>
                                <w:noProof/>
                                <w:color w:val="000000" w:themeColor="text1"/>
                                <w:sz w:val="24"/>
                                <w:szCs w:val="24"/>
                                <w:lang w:eastAsia="en-GB"/>
                              </w:rPr>
                              <w:t xml:space="preserve">first </w:t>
                            </w:r>
                            <w:r>
                              <w:rPr>
                                <w:rFonts w:ascii="Times New Roman" w:hAnsi="Times New Roman" w:cs="Times New Roman"/>
                                <w:noProof/>
                                <w:color w:val="000000" w:themeColor="text1"/>
                                <w:sz w:val="24"/>
                                <w:szCs w:val="24"/>
                                <w:lang w:eastAsia="en-GB"/>
                              </w:rPr>
                              <w:t xml:space="preserve">call for proposals </w:t>
                            </w:r>
                            <w:r w:rsidRPr="001848EE">
                              <w:rPr>
                                <w:rFonts w:ascii="Times New Roman" w:hAnsi="Times New Roman" w:cs="Times New Roman"/>
                                <w:noProof/>
                                <w:color w:val="000000" w:themeColor="text1"/>
                                <w:sz w:val="24"/>
                                <w:szCs w:val="24"/>
                                <w:lang w:eastAsia="en-GB"/>
                              </w:rPr>
                              <w:t>(EUR 623 million so far)</w:t>
                            </w:r>
                            <w:r>
                              <w:rPr>
                                <w:rFonts w:ascii="Times New Roman" w:hAnsi="Times New Roman" w:cs="Times New Roman"/>
                                <w:noProof/>
                                <w:color w:val="000000" w:themeColor="text1"/>
                                <w:sz w:val="24"/>
                                <w:szCs w:val="24"/>
                                <w:lang w:eastAsia="en-GB"/>
                              </w:rPr>
                              <w:t xml:space="preserve"> are re-invested</w:t>
                            </w:r>
                            <w:r w:rsidRPr="001848EE">
                              <w:rPr>
                                <w:rFonts w:ascii="Times New Roman" w:hAnsi="Times New Roman" w:cs="Times New Roman"/>
                                <w:noProof/>
                                <w:color w:val="000000" w:themeColor="text1"/>
                                <w:sz w:val="24"/>
                                <w:szCs w:val="24"/>
                                <w:lang w:eastAsia="en-GB"/>
                              </w:rPr>
                              <w:t xml:space="preserve"> in the InnovFin Energy Demonstration Projects and the Connecting Europe Facility Debt Instrument, both managed by the European Investment Bank. </w:t>
                            </w:r>
                          </w:p>
                          <w:p w14:paraId="2BDE24CB" w14:textId="7A7B799B" w:rsidR="00712EF5" w:rsidRPr="003F37D2" w:rsidRDefault="00712EF5" w:rsidP="00712EF5">
                            <w:pPr>
                              <w:spacing w:after="120" w:line="276" w:lineRule="auto"/>
                              <w:ind w:right="57"/>
                              <w:rPr>
                                <w:rFonts w:ascii="Times New Roman" w:hAnsi="Times New Roman" w:cs="Times New Roman"/>
                                <w:noProof/>
                                <w:color w:val="000000" w:themeColor="text1"/>
                                <w:sz w:val="24"/>
                                <w:szCs w:val="24"/>
                                <w:lang w:eastAsia="en-GB"/>
                              </w:rPr>
                            </w:pPr>
                            <w:r w:rsidRPr="003F37D2">
                              <w:rPr>
                                <w:rFonts w:ascii="Times New Roman" w:hAnsi="Times New Roman" w:cs="Times New Roman"/>
                                <w:noProof/>
                                <w:color w:val="000000" w:themeColor="text1"/>
                                <w:sz w:val="24"/>
                                <w:szCs w:val="24"/>
                                <w:lang w:eastAsia="en-GB"/>
                              </w:rPr>
                              <w:t xml:space="preserve">So far, </w:t>
                            </w:r>
                            <w:r w:rsidR="002012CB">
                              <w:rPr>
                                <w:rFonts w:ascii="Times New Roman" w:hAnsi="Times New Roman" w:cs="Times New Roman"/>
                                <w:noProof/>
                                <w:color w:val="000000" w:themeColor="text1"/>
                                <w:sz w:val="24"/>
                                <w:szCs w:val="24"/>
                                <w:lang w:eastAsia="en-GB"/>
                              </w:rPr>
                              <w:t>three</w:t>
                            </w:r>
                            <w:r w:rsidRPr="003F37D2">
                              <w:rPr>
                                <w:rFonts w:ascii="Times New Roman" w:hAnsi="Times New Roman" w:cs="Times New Roman"/>
                                <w:noProof/>
                                <w:color w:val="000000" w:themeColor="text1"/>
                                <w:sz w:val="24"/>
                                <w:szCs w:val="24"/>
                                <w:lang w:eastAsia="en-GB"/>
                              </w:rPr>
                              <w:t xml:space="preserve"> projects have been selected to benefit from NER 300 unspent funds under the InnovFin EDP</w:t>
                            </w:r>
                            <w:r>
                              <w:rPr>
                                <w:rFonts w:ascii="Times New Roman" w:hAnsi="Times New Roman" w:cs="Times New Roman"/>
                                <w:noProof/>
                                <w:color w:val="000000" w:themeColor="text1"/>
                                <w:sz w:val="24"/>
                                <w:szCs w:val="24"/>
                                <w:lang w:eastAsia="en-GB"/>
                              </w:rPr>
                              <w:t xml:space="preserve">, </w:t>
                            </w:r>
                            <w:r w:rsidRPr="00AC49E1">
                              <w:rPr>
                                <w:rFonts w:ascii="Times New Roman" w:hAnsi="Times New Roman" w:cs="Times New Roman"/>
                                <w:noProof/>
                                <w:color w:val="000000" w:themeColor="text1"/>
                                <w:sz w:val="24"/>
                                <w:szCs w:val="24"/>
                                <w:lang w:eastAsia="en-GB"/>
                              </w:rPr>
                              <w:t>amounting to some EUR 73 million</w:t>
                            </w:r>
                            <w:r w:rsidRPr="003F37D2">
                              <w:rPr>
                                <w:rFonts w:ascii="Times New Roman" w:hAnsi="Times New Roman" w:cs="Times New Roman"/>
                                <w:noProof/>
                                <w:color w:val="000000" w:themeColor="text1"/>
                                <w:sz w:val="24"/>
                                <w:szCs w:val="24"/>
                                <w:lang w:eastAsia="en-GB"/>
                              </w:rPr>
                              <w:t>:</w:t>
                            </w:r>
                          </w:p>
                          <w:p w14:paraId="04365192" w14:textId="6DF5174E" w:rsidR="00712EF5" w:rsidRPr="003F37D2" w:rsidRDefault="00712EF5" w:rsidP="00712EF5">
                            <w:pPr>
                              <w:numPr>
                                <w:ilvl w:val="0"/>
                                <w:numId w:val="2"/>
                              </w:numPr>
                              <w:spacing w:after="0" w:line="276" w:lineRule="auto"/>
                              <w:jc w:val="both"/>
                              <w:rPr>
                                <w:rFonts w:ascii="Times New Roman" w:eastAsia="Calibri" w:hAnsi="Times New Roman" w:cs="Times New Roman"/>
                                <w:color w:val="000000" w:themeColor="text1"/>
                                <w:sz w:val="24"/>
                                <w:szCs w:val="24"/>
                              </w:rPr>
                            </w:pPr>
                            <w:r w:rsidRPr="003F37D2">
                              <w:rPr>
                                <w:rFonts w:ascii="Times New Roman" w:eastAsia="Calibri" w:hAnsi="Times New Roman" w:cs="Times New Roman"/>
                                <w:color w:val="000000" w:themeColor="text1"/>
                                <w:sz w:val="24"/>
                                <w:szCs w:val="24"/>
                              </w:rPr>
                              <w:t xml:space="preserve">Wave Roller: NER300 contribution will amount to </w:t>
                            </w:r>
                            <w:r>
                              <w:rPr>
                                <w:rFonts w:ascii="Times New Roman" w:eastAsia="Calibri" w:hAnsi="Times New Roman" w:cs="Times New Roman"/>
                                <w:color w:val="000000" w:themeColor="text1"/>
                                <w:sz w:val="24"/>
                                <w:szCs w:val="24"/>
                              </w:rPr>
                              <w:t xml:space="preserve">EUR </w:t>
                            </w:r>
                            <w:r w:rsidRPr="003F37D2">
                              <w:rPr>
                                <w:rFonts w:ascii="Times New Roman" w:eastAsia="Calibri" w:hAnsi="Times New Roman" w:cs="Times New Roman"/>
                                <w:color w:val="000000" w:themeColor="text1"/>
                                <w:sz w:val="24"/>
                                <w:szCs w:val="24"/>
                              </w:rPr>
                              <w:t>10 million</w:t>
                            </w:r>
                            <w:r w:rsidR="002012CB">
                              <w:rPr>
                                <w:rFonts w:ascii="Times New Roman" w:eastAsia="Calibri" w:hAnsi="Times New Roman" w:cs="Times New Roman"/>
                                <w:color w:val="000000" w:themeColor="text1"/>
                                <w:sz w:val="24"/>
                                <w:szCs w:val="24"/>
                              </w:rPr>
                              <w:t>;</w:t>
                            </w:r>
                          </w:p>
                          <w:p w14:paraId="32E40F01" w14:textId="6E8C1008" w:rsidR="00712EF5" w:rsidRPr="003F37D2" w:rsidRDefault="00712EF5" w:rsidP="00712EF5">
                            <w:pPr>
                              <w:numPr>
                                <w:ilvl w:val="0"/>
                                <w:numId w:val="2"/>
                              </w:numPr>
                              <w:spacing w:after="0" w:line="276" w:lineRule="auto"/>
                              <w:jc w:val="both"/>
                              <w:rPr>
                                <w:rFonts w:ascii="Times New Roman" w:eastAsia="Calibri" w:hAnsi="Times New Roman" w:cs="Times New Roman"/>
                                <w:color w:val="000000" w:themeColor="text1"/>
                                <w:sz w:val="24"/>
                                <w:szCs w:val="24"/>
                              </w:rPr>
                            </w:pPr>
                            <w:r w:rsidRPr="003F37D2">
                              <w:rPr>
                                <w:rFonts w:ascii="Times New Roman" w:eastAsia="Calibri" w:hAnsi="Times New Roman" w:cs="Times New Roman"/>
                                <w:color w:val="000000" w:themeColor="text1"/>
                                <w:sz w:val="24"/>
                                <w:szCs w:val="24"/>
                              </w:rPr>
                              <w:t xml:space="preserve">Windfloat: the project is supported by an InnovFin EDP financing of </w:t>
                            </w:r>
                            <w:r>
                              <w:rPr>
                                <w:rFonts w:ascii="Times New Roman" w:eastAsia="Calibri" w:hAnsi="Times New Roman" w:cs="Times New Roman"/>
                                <w:color w:val="000000" w:themeColor="text1"/>
                                <w:sz w:val="24"/>
                                <w:szCs w:val="24"/>
                              </w:rPr>
                              <w:t xml:space="preserve">EUR </w:t>
                            </w:r>
                            <w:r w:rsidRPr="003F37D2">
                              <w:rPr>
                                <w:rFonts w:ascii="Times New Roman" w:eastAsia="Calibri" w:hAnsi="Times New Roman" w:cs="Times New Roman"/>
                                <w:color w:val="000000" w:themeColor="text1"/>
                                <w:sz w:val="24"/>
                                <w:szCs w:val="24"/>
                              </w:rPr>
                              <w:t xml:space="preserve">60 million from NER300 unspent funds. WindFloat also benefits from a grant under the original NER300 programme amounting to almost </w:t>
                            </w:r>
                            <w:r>
                              <w:rPr>
                                <w:rFonts w:ascii="Times New Roman" w:eastAsia="Calibri" w:hAnsi="Times New Roman" w:cs="Times New Roman"/>
                                <w:color w:val="000000" w:themeColor="text1"/>
                                <w:sz w:val="24"/>
                                <w:szCs w:val="24"/>
                              </w:rPr>
                              <w:t xml:space="preserve">EUR </w:t>
                            </w:r>
                            <w:r w:rsidRPr="003F37D2">
                              <w:rPr>
                                <w:rFonts w:ascii="Times New Roman" w:eastAsia="Calibri" w:hAnsi="Times New Roman" w:cs="Times New Roman"/>
                                <w:color w:val="000000" w:themeColor="text1"/>
                                <w:sz w:val="24"/>
                                <w:szCs w:val="24"/>
                              </w:rPr>
                              <w:t>30 million</w:t>
                            </w:r>
                            <w:r w:rsidR="002012CB">
                              <w:rPr>
                                <w:rFonts w:ascii="Times New Roman" w:eastAsia="Calibri" w:hAnsi="Times New Roman" w:cs="Times New Roman"/>
                                <w:color w:val="000000" w:themeColor="text1"/>
                                <w:sz w:val="24"/>
                                <w:szCs w:val="24"/>
                              </w:rPr>
                              <w:t>;</w:t>
                            </w:r>
                          </w:p>
                          <w:p w14:paraId="72205F58" w14:textId="4DACC8E3" w:rsidR="00712EF5" w:rsidRPr="003F37D2" w:rsidRDefault="00712EF5" w:rsidP="00712EF5">
                            <w:pPr>
                              <w:numPr>
                                <w:ilvl w:val="0"/>
                                <w:numId w:val="2"/>
                              </w:numPr>
                              <w:spacing w:after="0" w:line="276" w:lineRule="auto"/>
                              <w:jc w:val="both"/>
                              <w:rPr>
                                <w:rFonts w:ascii="Times New Roman" w:eastAsia="Calibri" w:hAnsi="Times New Roman" w:cs="Times New Roman"/>
                                <w:color w:val="000000" w:themeColor="text1"/>
                                <w:sz w:val="24"/>
                                <w:szCs w:val="24"/>
                              </w:rPr>
                            </w:pPr>
                            <w:r w:rsidRPr="003F37D2">
                              <w:rPr>
                                <w:rFonts w:ascii="Times New Roman" w:eastAsia="Calibri" w:hAnsi="Times New Roman" w:cs="Times New Roman"/>
                                <w:color w:val="000000" w:themeColor="text1"/>
                                <w:sz w:val="24"/>
                                <w:szCs w:val="24"/>
                              </w:rPr>
                              <w:t xml:space="preserve">Greenway EV Charging Network: the project was awarded EIB financing under InnovFin EDP amounting to </w:t>
                            </w:r>
                            <w:r>
                              <w:rPr>
                                <w:rFonts w:ascii="Times New Roman" w:eastAsia="Calibri" w:hAnsi="Times New Roman" w:cs="Times New Roman"/>
                                <w:color w:val="000000" w:themeColor="text1"/>
                                <w:sz w:val="24"/>
                                <w:szCs w:val="24"/>
                              </w:rPr>
                              <w:t xml:space="preserve">EUR </w:t>
                            </w:r>
                            <w:r w:rsidRPr="003F37D2">
                              <w:rPr>
                                <w:rFonts w:ascii="Times New Roman" w:eastAsia="Calibri" w:hAnsi="Times New Roman" w:cs="Times New Roman"/>
                                <w:color w:val="000000" w:themeColor="text1"/>
                                <w:sz w:val="24"/>
                                <w:szCs w:val="24"/>
                              </w:rPr>
                              <w:t xml:space="preserve">17 million of which almost </w:t>
                            </w:r>
                            <w:r>
                              <w:rPr>
                                <w:rFonts w:ascii="Times New Roman" w:eastAsia="Calibri" w:hAnsi="Times New Roman" w:cs="Times New Roman"/>
                                <w:color w:val="000000" w:themeColor="text1"/>
                                <w:sz w:val="24"/>
                                <w:szCs w:val="24"/>
                              </w:rPr>
                              <w:t xml:space="preserve">EUR </w:t>
                            </w:r>
                            <w:r w:rsidRPr="003F37D2">
                              <w:rPr>
                                <w:rFonts w:ascii="Times New Roman" w:eastAsia="Calibri" w:hAnsi="Times New Roman" w:cs="Times New Roman"/>
                                <w:color w:val="000000" w:themeColor="text1"/>
                                <w:sz w:val="24"/>
                                <w:szCs w:val="24"/>
                              </w:rPr>
                              <w:t xml:space="preserve">3 million </w:t>
                            </w:r>
                            <w:r w:rsidR="005D7B8B">
                              <w:rPr>
                                <w:rFonts w:ascii="Times New Roman" w:eastAsia="Calibri" w:hAnsi="Times New Roman" w:cs="Times New Roman"/>
                                <w:color w:val="000000" w:themeColor="text1"/>
                                <w:sz w:val="24"/>
                                <w:szCs w:val="24"/>
                              </w:rPr>
                              <w:t>come from</w:t>
                            </w:r>
                            <w:r w:rsidRPr="003F37D2">
                              <w:rPr>
                                <w:rFonts w:ascii="Times New Roman" w:eastAsia="Calibri" w:hAnsi="Times New Roman" w:cs="Times New Roman"/>
                                <w:color w:val="000000" w:themeColor="text1"/>
                                <w:sz w:val="24"/>
                                <w:szCs w:val="24"/>
                              </w:rPr>
                              <w:t xml:space="preserve"> the NER 300 unspent funds.</w:t>
                            </w:r>
                          </w:p>
                          <w:p w14:paraId="64AFF5C0" w14:textId="77777777" w:rsidR="00712EF5" w:rsidRPr="003F37D2" w:rsidRDefault="00712EF5" w:rsidP="00712EF5">
                            <w:pPr>
                              <w:spacing w:after="0" w:line="276" w:lineRule="auto"/>
                              <w:ind w:left="720"/>
                              <w:rPr>
                                <w:rFonts w:ascii="Times New Roman" w:eastAsia="Calibri" w:hAnsi="Times New Roman" w:cs="Times New Roman"/>
                                <w:color w:val="000000" w:themeColor="text1"/>
                                <w:sz w:val="24"/>
                                <w:szCs w:val="24"/>
                              </w:rPr>
                            </w:pPr>
                          </w:p>
                          <w:p w14:paraId="4D73C142" w14:textId="0E4FF720" w:rsidR="00712EF5" w:rsidRPr="001848EE" w:rsidRDefault="00712EF5" w:rsidP="00712EF5">
                            <w:pPr>
                              <w:spacing w:after="120" w:line="276" w:lineRule="auto"/>
                              <w:ind w:right="57"/>
                              <w:rPr>
                                <w:rFonts w:ascii="Times New Roman" w:hAnsi="Times New Roman" w:cs="Times New Roman"/>
                                <w:noProof/>
                                <w:color w:val="000000" w:themeColor="text1"/>
                                <w:sz w:val="24"/>
                                <w:szCs w:val="24"/>
                                <w:lang w:eastAsia="en-GB"/>
                              </w:rPr>
                            </w:pPr>
                            <w:r w:rsidRPr="001848EE">
                              <w:rPr>
                                <w:rFonts w:ascii="Times New Roman" w:hAnsi="Times New Roman" w:cs="Times New Roman"/>
                                <w:noProof/>
                                <w:color w:val="000000" w:themeColor="text1"/>
                                <w:sz w:val="24"/>
                                <w:szCs w:val="24"/>
                                <w:lang w:eastAsia="en-GB"/>
                              </w:rPr>
                              <w:t xml:space="preserve">In addition, </w:t>
                            </w:r>
                            <w:r w:rsidR="002012CB">
                              <w:rPr>
                                <w:rFonts w:ascii="Times New Roman" w:hAnsi="Times New Roman" w:cs="Times New Roman"/>
                                <w:noProof/>
                                <w:color w:val="000000" w:themeColor="text1"/>
                                <w:sz w:val="24"/>
                                <w:szCs w:val="24"/>
                                <w:lang w:eastAsia="en-GB"/>
                              </w:rPr>
                              <w:t>four</w:t>
                            </w:r>
                            <w:r w:rsidRPr="001848EE">
                              <w:rPr>
                                <w:rFonts w:ascii="Times New Roman" w:hAnsi="Times New Roman" w:cs="Times New Roman"/>
                                <w:noProof/>
                                <w:color w:val="000000" w:themeColor="text1"/>
                                <w:sz w:val="24"/>
                                <w:szCs w:val="24"/>
                                <w:lang w:eastAsia="en-GB"/>
                              </w:rPr>
                              <w:t xml:space="preserve"> projects have benefited from project development assistance financed by NER 300 unspent funds. </w:t>
                            </w:r>
                          </w:p>
                          <w:p w14:paraId="6CC9DA24" w14:textId="77777777" w:rsidR="00712EF5" w:rsidRDefault="00712EF5" w:rsidP="00712EF5">
                            <w:r>
                              <w:rPr>
                                <w:noProof/>
                                <w:lang w:eastAsia="en-GB"/>
                              </w:rPr>
                              <w:drawing>
                                <wp:inline distT="0" distB="0" distL="0" distR="0" wp14:anchorId="31A8D7BB" wp14:editId="3568E1E6">
                                  <wp:extent cx="4785995" cy="2737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14:paraId="16C276C4" w14:textId="26A02F6D" w:rsidR="00712EF5" w:rsidRPr="003F37D2" w:rsidRDefault="00712EF5" w:rsidP="00712EF5">
                            <w:pPr>
                              <w:rPr>
                                <w:b/>
                                <w:sz w:val="20"/>
                              </w:rPr>
                            </w:pPr>
                            <w:r w:rsidRPr="003F37D2">
                              <w:rPr>
                                <w:b/>
                                <w:sz w:val="20"/>
                              </w:rPr>
                              <w:t>T</w:t>
                            </w:r>
                            <w:r w:rsidR="00F03FA4">
                              <w:rPr>
                                <w:b/>
                                <w:sz w:val="20"/>
                              </w:rPr>
                              <w:t>he Windfloat project, Portugal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038612" id="Text Box 25" o:spid="_x0000_s1029" type="#_x0000_t202" style="width:453.5pt;height:5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" fillcolor="white [3201]" strokeweight=".5pt">
                <v:textbox>
                  <w:txbxContent>
                    <w:p w14:paraId="301DF83E" w14:textId="77777777" w:rsidR="00712EF5" w:rsidRPr="003F37D2" w:rsidRDefault="00712EF5" w:rsidP="00712EF5">
                      <w:pPr>
                        <w:spacing w:after="120" w:line="276" w:lineRule="auto"/>
                        <w:ind w:right="57"/>
                        <w:rPr>
                          <w:rFonts w:ascii="Times New Roman" w:hAnsi="Times New Roman" w:cs="Times New Roman"/>
                          <w:b/>
                          <w:noProof/>
                          <w:color w:val="000000" w:themeColor="text1"/>
                          <w:sz w:val="24"/>
                          <w:szCs w:val="24"/>
                          <w:lang w:eastAsia="en-GB"/>
                        </w:rPr>
                      </w:pPr>
                      <w:r w:rsidRPr="003F37D2">
                        <w:rPr>
                          <w:rFonts w:ascii="Times New Roman" w:hAnsi="Times New Roman" w:cs="Times New Roman"/>
                          <w:b/>
                          <w:noProof/>
                          <w:color w:val="000000" w:themeColor="text1"/>
                          <w:sz w:val="24"/>
                          <w:szCs w:val="24"/>
                          <w:lang w:eastAsia="en-GB"/>
                        </w:rPr>
                        <w:t>InnovFin Energy Demonstration projects</w:t>
                      </w:r>
                    </w:p>
                    <w:p w14:paraId="08C94163" w14:textId="3AE190C4" w:rsidR="00712EF5" w:rsidRDefault="00712EF5" w:rsidP="00712EF5">
                      <w:pPr>
                        <w:spacing w:after="120" w:line="276" w:lineRule="auto"/>
                        <w:ind w:right="57"/>
                        <w:rPr>
                          <w:rFonts w:ascii="Times New Roman" w:hAnsi="Times New Roman" w:cs="Times New Roman"/>
                          <w:noProof/>
                          <w:color w:val="000000" w:themeColor="text1"/>
                          <w:sz w:val="24"/>
                          <w:szCs w:val="24"/>
                          <w:lang w:eastAsia="en-GB"/>
                        </w:rPr>
                      </w:pPr>
                      <w:r>
                        <w:rPr>
                          <w:rFonts w:ascii="Times New Roman" w:hAnsi="Times New Roman" w:cs="Times New Roman"/>
                          <w:noProof/>
                          <w:color w:val="000000" w:themeColor="text1"/>
                          <w:sz w:val="24"/>
                          <w:szCs w:val="24"/>
                          <w:lang w:eastAsia="en-GB"/>
                        </w:rPr>
                        <w:t>T</w:t>
                      </w:r>
                      <w:r w:rsidRPr="001848EE">
                        <w:rPr>
                          <w:rFonts w:ascii="Times New Roman" w:hAnsi="Times New Roman" w:cs="Times New Roman"/>
                          <w:noProof/>
                          <w:color w:val="000000" w:themeColor="text1"/>
                          <w:sz w:val="24"/>
                          <w:szCs w:val="24"/>
                          <w:lang w:eastAsia="en-GB"/>
                        </w:rPr>
                        <w:t xml:space="preserve">he released funds from the cancelled projects </w:t>
                      </w:r>
                      <w:r>
                        <w:rPr>
                          <w:rFonts w:ascii="Times New Roman" w:hAnsi="Times New Roman" w:cs="Times New Roman"/>
                          <w:noProof/>
                          <w:color w:val="000000" w:themeColor="text1"/>
                          <w:sz w:val="24"/>
                          <w:szCs w:val="24"/>
                          <w:lang w:eastAsia="en-GB"/>
                        </w:rPr>
                        <w:t xml:space="preserve">from the </w:t>
                      </w:r>
                      <w:r w:rsidR="002012CB">
                        <w:rPr>
                          <w:rFonts w:ascii="Times New Roman" w:hAnsi="Times New Roman" w:cs="Times New Roman"/>
                          <w:noProof/>
                          <w:color w:val="000000" w:themeColor="text1"/>
                          <w:sz w:val="24"/>
                          <w:szCs w:val="24"/>
                          <w:lang w:eastAsia="en-GB"/>
                        </w:rPr>
                        <w:t xml:space="preserve">first </w:t>
                      </w:r>
                      <w:r>
                        <w:rPr>
                          <w:rFonts w:ascii="Times New Roman" w:hAnsi="Times New Roman" w:cs="Times New Roman"/>
                          <w:noProof/>
                          <w:color w:val="000000" w:themeColor="text1"/>
                          <w:sz w:val="24"/>
                          <w:szCs w:val="24"/>
                          <w:lang w:eastAsia="en-GB"/>
                        </w:rPr>
                        <w:t xml:space="preserve">call for proposals </w:t>
                      </w:r>
                      <w:r w:rsidRPr="001848EE">
                        <w:rPr>
                          <w:rFonts w:ascii="Times New Roman" w:hAnsi="Times New Roman" w:cs="Times New Roman"/>
                          <w:noProof/>
                          <w:color w:val="000000" w:themeColor="text1"/>
                          <w:sz w:val="24"/>
                          <w:szCs w:val="24"/>
                          <w:lang w:eastAsia="en-GB"/>
                        </w:rPr>
                        <w:t>(EUR 623 million so far)</w:t>
                      </w:r>
                      <w:r>
                        <w:rPr>
                          <w:rFonts w:ascii="Times New Roman" w:hAnsi="Times New Roman" w:cs="Times New Roman"/>
                          <w:noProof/>
                          <w:color w:val="000000" w:themeColor="text1"/>
                          <w:sz w:val="24"/>
                          <w:szCs w:val="24"/>
                          <w:lang w:eastAsia="en-GB"/>
                        </w:rPr>
                        <w:t xml:space="preserve"> are re-invested</w:t>
                      </w:r>
                      <w:r w:rsidRPr="001848EE">
                        <w:rPr>
                          <w:rFonts w:ascii="Times New Roman" w:hAnsi="Times New Roman" w:cs="Times New Roman"/>
                          <w:noProof/>
                          <w:color w:val="000000" w:themeColor="text1"/>
                          <w:sz w:val="24"/>
                          <w:szCs w:val="24"/>
                          <w:lang w:eastAsia="en-GB"/>
                        </w:rPr>
                        <w:t xml:space="preserve"> in the InnovFin Energy Demonstration Projects and the Connecting Europe Facility Debt Instrument, both managed by the European Investment Bank. </w:t>
                      </w:r>
                    </w:p>
                    <w:p w14:paraId="2BDE24CB" w14:textId="7A7B799B" w:rsidR="00712EF5" w:rsidRPr="003F37D2" w:rsidRDefault="00712EF5" w:rsidP="00712EF5">
                      <w:pPr>
                        <w:spacing w:after="120" w:line="276" w:lineRule="auto"/>
                        <w:ind w:right="57"/>
                        <w:rPr>
                          <w:rFonts w:ascii="Times New Roman" w:hAnsi="Times New Roman" w:cs="Times New Roman"/>
                          <w:noProof/>
                          <w:color w:val="000000" w:themeColor="text1"/>
                          <w:sz w:val="24"/>
                          <w:szCs w:val="24"/>
                          <w:lang w:eastAsia="en-GB"/>
                        </w:rPr>
                      </w:pPr>
                      <w:r w:rsidRPr="003F37D2">
                        <w:rPr>
                          <w:rFonts w:ascii="Times New Roman" w:hAnsi="Times New Roman" w:cs="Times New Roman"/>
                          <w:noProof/>
                          <w:color w:val="000000" w:themeColor="text1"/>
                          <w:sz w:val="24"/>
                          <w:szCs w:val="24"/>
                          <w:lang w:eastAsia="en-GB"/>
                        </w:rPr>
                        <w:t xml:space="preserve">So far, </w:t>
                      </w:r>
                      <w:r w:rsidR="002012CB">
                        <w:rPr>
                          <w:rFonts w:ascii="Times New Roman" w:hAnsi="Times New Roman" w:cs="Times New Roman"/>
                          <w:noProof/>
                          <w:color w:val="000000" w:themeColor="text1"/>
                          <w:sz w:val="24"/>
                          <w:szCs w:val="24"/>
                          <w:lang w:eastAsia="en-GB"/>
                        </w:rPr>
                        <w:t>three</w:t>
                      </w:r>
                      <w:r w:rsidRPr="003F37D2">
                        <w:rPr>
                          <w:rFonts w:ascii="Times New Roman" w:hAnsi="Times New Roman" w:cs="Times New Roman"/>
                          <w:noProof/>
                          <w:color w:val="000000" w:themeColor="text1"/>
                          <w:sz w:val="24"/>
                          <w:szCs w:val="24"/>
                          <w:lang w:eastAsia="en-GB"/>
                        </w:rPr>
                        <w:t xml:space="preserve"> projects have been selected to benefit from NER 300 unspent funds under the InnovFin EDP</w:t>
                      </w:r>
                      <w:r>
                        <w:rPr>
                          <w:rFonts w:ascii="Times New Roman" w:hAnsi="Times New Roman" w:cs="Times New Roman"/>
                          <w:noProof/>
                          <w:color w:val="000000" w:themeColor="text1"/>
                          <w:sz w:val="24"/>
                          <w:szCs w:val="24"/>
                          <w:lang w:eastAsia="en-GB"/>
                        </w:rPr>
                        <w:t xml:space="preserve">, </w:t>
                      </w:r>
                      <w:r w:rsidRPr="00AC49E1">
                        <w:rPr>
                          <w:rFonts w:ascii="Times New Roman" w:hAnsi="Times New Roman" w:cs="Times New Roman"/>
                          <w:noProof/>
                          <w:color w:val="000000" w:themeColor="text1"/>
                          <w:sz w:val="24"/>
                          <w:szCs w:val="24"/>
                          <w:lang w:eastAsia="en-GB"/>
                        </w:rPr>
                        <w:t>amounting to some EUR 73 million</w:t>
                      </w:r>
                      <w:r w:rsidRPr="003F37D2">
                        <w:rPr>
                          <w:rFonts w:ascii="Times New Roman" w:hAnsi="Times New Roman" w:cs="Times New Roman"/>
                          <w:noProof/>
                          <w:color w:val="000000" w:themeColor="text1"/>
                          <w:sz w:val="24"/>
                          <w:szCs w:val="24"/>
                          <w:lang w:eastAsia="en-GB"/>
                        </w:rPr>
                        <w:t>:</w:t>
                      </w:r>
                    </w:p>
                    <w:p w14:paraId="04365192" w14:textId="6DF5174E" w:rsidR="00712EF5" w:rsidRPr="003F37D2" w:rsidRDefault="00712EF5" w:rsidP="00712EF5">
                      <w:pPr>
                        <w:numPr>
                          <w:ilvl w:val="0"/>
                          <w:numId w:val="2"/>
                        </w:numPr>
                        <w:spacing w:after="0" w:line="276" w:lineRule="auto"/>
                        <w:jc w:val="both"/>
                        <w:rPr>
                          <w:rFonts w:ascii="Times New Roman" w:eastAsia="Calibri" w:hAnsi="Times New Roman" w:cs="Times New Roman"/>
                          <w:color w:val="000000" w:themeColor="text1"/>
                          <w:sz w:val="24"/>
                          <w:szCs w:val="24"/>
                        </w:rPr>
                      </w:pPr>
                      <w:r w:rsidRPr="003F37D2">
                        <w:rPr>
                          <w:rFonts w:ascii="Times New Roman" w:eastAsia="Calibri" w:hAnsi="Times New Roman" w:cs="Times New Roman"/>
                          <w:color w:val="000000" w:themeColor="text1"/>
                          <w:sz w:val="24"/>
                          <w:szCs w:val="24"/>
                        </w:rPr>
                        <w:t xml:space="preserve">Wave Roller: NER300 contribution will amount to </w:t>
                      </w:r>
                      <w:r>
                        <w:rPr>
                          <w:rFonts w:ascii="Times New Roman" w:eastAsia="Calibri" w:hAnsi="Times New Roman" w:cs="Times New Roman"/>
                          <w:color w:val="000000" w:themeColor="text1"/>
                          <w:sz w:val="24"/>
                          <w:szCs w:val="24"/>
                        </w:rPr>
                        <w:t xml:space="preserve">EUR </w:t>
                      </w:r>
                      <w:r w:rsidRPr="003F37D2">
                        <w:rPr>
                          <w:rFonts w:ascii="Times New Roman" w:eastAsia="Calibri" w:hAnsi="Times New Roman" w:cs="Times New Roman"/>
                          <w:color w:val="000000" w:themeColor="text1"/>
                          <w:sz w:val="24"/>
                          <w:szCs w:val="24"/>
                        </w:rPr>
                        <w:t>10 million</w:t>
                      </w:r>
                      <w:r w:rsidR="002012CB">
                        <w:rPr>
                          <w:rFonts w:ascii="Times New Roman" w:eastAsia="Calibri" w:hAnsi="Times New Roman" w:cs="Times New Roman"/>
                          <w:color w:val="000000" w:themeColor="text1"/>
                          <w:sz w:val="24"/>
                          <w:szCs w:val="24"/>
                        </w:rPr>
                        <w:t>;</w:t>
                      </w:r>
                    </w:p>
                    <w:p w14:paraId="32E40F01" w14:textId="6E8C1008" w:rsidR="00712EF5" w:rsidRPr="003F37D2" w:rsidRDefault="00712EF5" w:rsidP="00712EF5">
                      <w:pPr>
                        <w:numPr>
                          <w:ilvl w:val="0"/>
                          <w:numId w:val="2"/>
                        </w:numPr>
                        <w:spacing w:after="0" w:line="276" w:lineRule="auto"/>
                        <w:jc w:val="both"/>
                        <w:rPr>
                          <w:rFonts w:ascii="Times New Roman" w:eastAsia="Calibri" w:hAnsi="Times New Roman" w:cs="Times New Roman"/>
                          <w:color w:val="000000" w:themeColor="text1"/>
                          <w:sz w:val="24"/>
                          <w:szCs w:val="24"/>
                        </w:rPr>
                      </w:pPr>
                      <w:r w:rsidRPr="003F37D2">
                        <w:rPr>
                          <w:rFonts w:ascii="Times New Roman" w:eastAsia="Calibri" w:hAnsi="Times New Roman" w:cs="Times New Roman"/>
                          <w:color w:val="000000" w:themeColor="text1"/>
                          <w:sz w:val="24"/>
                          <w:szCs w:val="24"/>
                        </w:rPr>
                        <w:t xml:space="preserve">Windfloat: the project is supported by an InnovFin EDP financing of </w:t>
                      </w:r>
                      <w:r>
                        <w:rPr>
                          <w:rFonts w:ascii="Times New Roman" w:eastAsia="Calibri" w:hAnsi="Times New Roman" w:cs="Times New Roman"/>
                          <w:color w:val="000000" w:themeColor="text1"/>
                          <w:sz w:val="24"/>
                          <w:szCs w:val="24"/>
                        </w:rPr>
                        <w:t xml:space="preserve">EUR </w:t>
                      </w:r>
                      <w:r w:rsidRPr="003F37D2">
                        <w:rPr>
                          <w:rFonts w:ascii="Times New Roman" w:eastAsia="Calibri" w:hAnsi="Times New Roman" w:cs="Times New Roman"/>
                          <w:color w:val="000000" w:themeColor="text1"/>
                          <w:sz w:val="24"/>
                          <w:szCs w:val="24"/>
                        </w:rPr>
                        <w:t xml:space="preserve">60 million from NER300 unspent funds. WindFloat also benefits from a grant under the original NER300 programme amounting to almost </w:t>
                      </w:r>
                      <w:r>
                        <w:rPr>
                          <w:rFonts w:ascii="Times New Roman" w:eastAsia="Calibri" w:hAnsi="Times New Roman" w:cs="Times New Roman"/>
                          <w:color w:val="000000" w:themeColor="text1"/>
                          <w:sz w:val="24"/>
                          <w:szCs w:val="24"/>
                        </w:rPr>
                        <w:t xml:space="preserve">EUR </w:t>
                      </w:r>
                      <w:r w:rsidRPr="003F37D2">
                        <w:rPr>
                          <w:rFonts w:ascii="Times New Roman" w:eastAsia="Calibri" w:hAnsi="Times New Roman" w:cs="Times New Roman"/>
                          <w:color w:val="000000" w:themeColor="text1"/>
                          <w:sz w:val="24"/>
                          <w:szCs w:val="24"/>
                        </w:rPr>
                        <w:t>30 million</w:t>
                      </w:r>
                      <w:r w:rsidR="002012CB">
                        <w:rPr>
                          <w:rFonts w:ascii="Times New Roman" w:eastAsia="Calibri" w:hAnsi="Times New Roman" w:cs="Times New Roman"/>
                          <w:color w:val="000000" w:themeColor="text1"/>
                          <w:sz w:val="24"/>
                          <w:szCs w:val="24"/>
                        </w:rPr>
                        <w:t>;</w:t>
                      </w:r>
                    </w:p>
                    <w:p w14:paraId="72205F58" w14:textId="4DACC8E3" w:rsidR="00712EF5" w:rsidRPr="003F37D2" w:rsidRDefault="00712EF5" w:rsidP="00712EF5">
                      <w:pPr>
                        <w:numPr>
                          <w:ilvl w:val="0"/>
                          <w:numId w:val="2"/>
                        </w:numPr>
                        <w:spacing w:after="0" w:line="276" w:lineRule="auto"/>
                        <w:jc w:val="both"/>
                        <w:rPr>
                          <w:rFonts w:ascii="Times New Roman" w:eastAsia="Calibri" w:hAnsi="Times New Roman" w:cs="Times New Roman"/>
                          <w:color w:val="000000" w:themeColor="text1"/>
                          <w:sz w:val="24"/>
                          <w:szCs w:val="24"/>
                        </w:rPr>
                      </w:pPr>
                      <w:r w:rsidRPr="003F37D2">
                        <w:rPr>
                          <w:rFonts w:ascii="Times New Roman" w:eastAsia="Calibri" w:hAnsi="Times New Roman" w:cs="Times New Roman"/>
                          <w:color w:val="000000" w:themeColor="text1"/>
                          <w:sz w:val="24"/>
                          <w:szCs w:val="24"/>
                        </w:rPr>
                        <w:t xml:space="preserve">Greenway EV Charging Network: the project was awarded EIB financing under InnovFin EDP amounting to </w:t>
                      </w:r>
                      <w:r>
                        <w:rPr>
                          <w:rFonts w:ascii="Times New Roman" w:eastAsia="Calibri" w:hAnsi="Times New Roman" w:cs="Times New Roman"/>
                          <w:color w:val="000000" w:themeColor="text1"/>
                          <w:sz w:val="24"/>
                          <w:szCs w:val="24"/>
                        </w:rPr>
                        <w:t xml:space="preserve">EUR </w:t>
                      </w:r>
                      <w:r w:rsidRPr="003F37D2">
                        <w:rPr>
                          <w:rFonts w:ascii="Times New Roman" w:eastAsia="Calibri" w:hAnsi="Times New Roman" w:cs="Times New Roman"/>
                          <w:color w:val="000000" w:themeColor="text1"/>
                          <w:sz w:val="24"/>
                          <w:szCs w:val="24"/>
                        </w:rPr>
                        <w:t xml:space="preserve">17 million of which almost </w:t>
                      </w:r>
                      <w:r>
                        <w:rPr>
                          <w:rFonts w:ascii="Times New Roman" w:eastAsia="Calibri" w:hAnsi="Times New Roman" w:cs="Times New Roman"/>
                          <w:color w:val="000000" w:themeColor="text1"/>
                          <w:sz w:val="24"/>
                          <w:szCs w:val="24"/>
                        </w:rPr>
                        <w:t xml:space="preserve">EUR </w:t>
                      </w:r>
                      <w:r w:rsidRPr="003F37D2">
                        <w:rPr>
                          <w:rFonts w:ascii="Times New Roman" w:eastAsia="Calibri" w:hAnsi="Times New Roman" w:cs="Times New Roman"/>
                          <w:color w:val="000000" w:themeColor="text1"/>
                          <w:sz w:val="24"/>
                          <w:szCs w:val="24"/>
                        </w:rPr>
                        <w:t xml:space="preserve">3 million </w:t>
                      </w:r>
                      <w:r w:rsidR="005D7B8B">
                        <w:rPr>
                          <w:rFonts w:ascii="Times New Roman" w:eastAsia="Calibri" w:hAnsi="Times New Roman" w:cs="Times New Roman"/>
                          <w:color w:val="000000" w:themeColor="text1"/>
                          <w:sz w:val="24"/>
                          <w:szCs w:val="24"/>
                        </w:rPr>
                        <w:t>come from</w:t>
                      </w:r>
                      <w:r w:rsidRPr="003F37D2">
                        <w:rPr>
                          <w:rFonts w:ascii="Times New Roman" w:eastAsia="Calibri" w:hAnsi="Times New Roman" w:cs="Times New Roman"/>
                          <w:color w:val="000000" w:themeColor="text1"/>
                          <w:sz w:val="24"/>
                          <w:szCs w:val="24"/>
                        </w:rPr>
                        <w:t xml:space="preserve"> the NER 300 unspent funds.</w:t>
                      </w:r>
                    </w:p>
                    <w:p w14:paraId="64AFF5C0" w14:textId="77777777" w:rsidR="00712EF5" w:rsidRPr="003F37D2" w:rsidRDefault="00712EF5" w:rsidP="00712EF5">
                      <w:pPr>
                        <w:spacing w:after="0" w:line="276" w:lineRule="auto"/>
                        <w:ind w:left="720"/>
                        <w:rPr>
                          <w:rFonts w:ascii="Times New Roman" w:eastAsia="Calibri" w:hAnsi="Times New Roman" w:cs="Times New Roman"/>
                          <w:color w:val="000000" w:themeColor="text1"/>
                          <w:sz w:val="24"/>
                          <w:szCs w:val="24"/>
                        </w:rPr>
                      </w:pPr>
                    </w:p>
                    <w:p w14:paraId="4D73C142" w14:textId="0E4FF720" w:rsidR="00712EF5" w:rsidRPr="001848EE" w:rsidRDefault="00712EF5" w:rsidP="00712EF5">
                      <w:pPr>
                        <w:spacing w:after="120" w:line="276" w:lineRule="auto"/>
                        <w:ind w:right="57"/>
                        <w:rPr>
                          <w:rFonts w:ascii="Times New Roman" w:hAnsi="Times New Roman" w:cs="Times New Roman"/>
                          <w:noProof/>
                          <w:color w:val="000000" w:themeColor="text1"/>
                          <w:sz w:val="24"/>
                          <w:szCs w:val="24"/>
                          <w:lang w:eastAsia="en-GB"/>
                        </w:rPr>
                      </w:pPr>
                      <w:r w:rsidRPr="001848EE">
                        <w:rPr>
                          <w:rFonts w:ascii="Times New Roman" w:hAnsi="Times New Roman" w:cs="Times New Roman"/>
                          <w:noProof/>
                          <w:color w:val="000000" w:themeColor="text1"/>
                          <w:sz w:val="24"/>
                          <w:szCs w:val="24"/>
                          <w:lang w:eastAsia="en-GB"/>
                        </w:rPr>
                        <w:t xml:space="preserve">In addition, </w:t>
                      </w:r>
                      <w:r w:rsidR="002012CB">
                        <w:rPr>
                          <w:rFonts w:ascii="Times New Roman" w:hAnsi="Times New Roman" w:cs="Times New Roman"/>
                          <w:noProof/>
                          <w:color w:val="000000" w:themeColor="text1"/>
                          <w:sz w:val="24"/>
                          <w:szCs w:val="24"/>
                          <w:lang w:eastAsia="en-GB"/>
                        </w:rPr>
                        <w:t>four</w:t>
                      </w:r>
                      <w:r w:rsidRPr="001848EE">
                        <w:rPr>
                          <w:rFonts w:ascii="Times New Roman" w:hAnsi="Times New Roman" w:cs="Times New Roman"/>
                          <w:noProof/>
                          <w:color w:val="000000" w:themeColor="text1"/>
                          <w:sz w:val="24"/>
                          <w:szCs w:val="24"/>
                          <w:lang w:eastAsia="en-GB"/>
                        </w:rPr>
                        <w:t xml:space="preserve"> projects have benefited from project development assistance financed by NER 300 unspent funds. </w:t>
                      </w:r>
                    </w:p>
                    <w:p w14:paraId="6CC9DA24" w14:textId="77777777" w:rsidR="00712EF5" w:rsidRDefault="00712EF5" w:rsidP="00712EF5">
                      <w:r>
                        <w:rPr>
                          <w:noProof/>
                          <w:lang w:eastAsia="en-GB"/>
                        </w:rPr>
                        <w:drawing>
                          <wp:inline distT="0" distB="0" distL="0" distR="0" wp14:anchorId="31A8D7BB" wp14:editId="3568E1E6">
                            <wp:extent cx="4785995" cy="2737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14:paraId="16C276C4" w14:textId="26A02F6D" w:rsidR="00712EF5" w:rsidRPr="003F37D2" w:rsidRDefault="00712EF5" w:rsidP="00712EF5">
                      <w:pPr>
                        <w:rPr>
                          <w:b/>
                          <w:sz w:val="20"/>
                        </w:rPr>
                      </w:pPr>
                      <w:r w:rsidRPr="003F37D2">
                        <w:rPr>
                          <w:b/>
                          <w:sz w:val="20"/>
                        </w:rPr>
                        <w:t>T</w:t>
                      </w:r>
                      <w:r w:rsidR="00F03FA4">
                        <w:rPr>
                          <w:b/>
                          <w:sz w:val="20"/>
                        </w:rPr>
                        <w:t>he Windfloat project, Portugal</w:t>
                      </w:r>
                    </w:p>
                  </w:txbxContent>
                </v:textbox>
                <w10:anchorlock/>
              </v:shape>
            </w:pict>
          </mc:Fallback>
        </mc:AlternateContent>
      </w:r>
    </w:p>
    <w:p w14:paraId="2B1765D7" w14:textId="77777777" w:rsidR="00712EF5" w:rsidRPr="001848EE" w:rsidRDefault="00712EF5" w:rsidP="00712EF5">
      <w:pPr>
        <w:pStyle w:val="Heading2"/>
        <w:spacing w:after="120"/>
        <w:rPr>
          <w:noProof/>
          <w:lang w:eastAsia="en-GB"/>
        </w:rPr>
      </w:pPr>
      <w:r w:rsidRPr="001848EE">
        <w:rPr>
          <w:noProof/>
          <w:lang w:eastAsia="en-GB"/>
        </w:rPr>
        <w:t>Innovation Fund</w:t>
      </w:r>
    </w:p>
    <w:p w14:paraId="3BAAC15F" w14:textId="7A3A4659" w:rsidR="00712EF5" w:rsidRPr="001848EE" w:rsidRDefault="00712EF5" w:rsidP="00712EF5">
      <w:pPr>
        <w:spacing w:line="276"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lang w:eastAsia="en-GB"/>
        </w:rPr>
        <w:t xml:space="preserve">The Innovation Fund </w:t>
      </w:r>
      <w:r w:rsidR="00AE6208">
        <w:rPr>
          <w:rFonts w:ascii="Times New Roman" w:hAnsi="Times New Roman" w:cs="Times New Roman"/>
          <w:noProof/>
          <w:color w:val="000000" w:themeColor="text1"/>
          <w:sz w:val="24"/>
          <w:szCs w:val="24"/>
          <w:lang w:eastAsia="en-GB"/>
        </w:rPr>
        <w:t>was</w:t>
      </w:r>
      <w:r w:rsidRPr="009A43B6">
        <w:rPr>
          <w:rFonts w:ascii="Times New Roman" w:hAnsi="Times New Roman" w:cs="Times New Roman"/>
          <w:noProof/>
          <w:color w:val="000000" w:themeColor="text1"/>
          <w:sz w:val="24"/>
          <w:szCs w:val="24"/>
          <w:lang w:eastAsia="en-GB"/>
        </w:rPr>
        <w:t xml:space="preserve"> established by the revised ETS Directive</w:t>
      </w:r>
      <w:r>
        <w:rPr>
          <w:rStyle w:val="FootnoteReference"/>
          <w:rFonts w:ascii="Times New Roman" w:hAnsi="Times New Roman" w:cs="Times New Roman"/>
          <w:noProof/>
          <w:color w:val="000000" w:themeColor="text1"/>
          <w:sz w:val="24"/>
          <w:szCs w:val="24"/>
          <w:lang w:eastAsia="en-GB"/>
        </w:rPr>
        <w:footnoteReference w:id="36"/>
      </w:r>
      <w:r>
        <w:rPr>
          <w:rFonts w:ascii="Times New Roman" w:hAnsi="Times New Roman" w:cs="Times New Roman"/>
          <w:noProof/>
          <w:color w:val="000000" w:themeColor="text1"/>
          <w:sz w:val="24"/>
          <w:szCs w:val="24"/>
          <w:lang w:eastAsia="en-GB"/>
        </w:rPr>
        <w:t xml:space="preserve">. At a carbon price of 20 </w:t>
      </w:r>
      <w:r w:rsidRPr="00712EF5">
        <w:rPr>
          <w:rFonts w:ascii="Times New Roman" w:hAnsi="Times New Roman" w:cs="Times New Roman"/>
          <w:noProof/>
          <w:color w:val="000000" w:themeColor="text1"/>
          <w:sz w:val="24"/>
          <w:szCs w:val="24"/>
          <w:lang w:eastAsia="en-GB"/>
        </w:rPr>
        <w:t>EUR/tCO</w:t>
      </w:r>
      <w:r w:rsidRPr="005D7B8B">
        <w:rPr>
          <w:rFonts w:ascii="Times New Roman" w:hAnsi="Times New Roman" w:cs="Times New Roman"/>
          <w:noProof/>
          <w:color w:val="000000" w:themeColor="text1"/>
          <w:sz w:val="24"/>
          <w:szCs w:val="24"/>
          <w:vertAlign w:val="subscript"/>
          <w:lang w:eastAsia="en-GB"/>
        </w:rPr>
        <w:t>2</w:t>
      </w:r>
      <w:r w:rsidRPr="00712EF5">
        <w:rPr>
          <w:rFonts w:ascii="Times New Roman" w:hAnsi="Times New Roman" w:cs="Times New Roman"/>
          <w:noProof/>
          <w:color w:val="000000" w:themeColor="text1"/>
          <w:sz w:val="24"/>
          <w:szCs w:val="24"/>
          <w:lang w:eastAsia="en-GB"/>
        </w:rPr>
        <w:t xml:space="preserve">,  </w:t>
      </w:r>
      <w:r w:rsidR="005D7B8B">
        <w:rPr>
          <w:rFonts w:ascii="Times New Roman" w:hAnsi="Times New Roman" w:cs="Times New Roman"/>
          <w:noProof/>
          <w:color w:val="000000" w:themeColor="text1"/>
          <w:sz w:val="24"/>
          <w:szCs w:val="24"/>
          <w:lang w:eastAsia="en-GB"/>
        </w:rPr>
        <w:t>EUR</w:t>
      </w:r>
      <w:r>
        <w:rPr>
          <w:rFonts w:ascii="Times New Roman" w:hAnsi="Times New Roman" w:cs="Times New Roman"/>
          <w:noProof/>
          <w:color w:val="000000" w:themeColor="text1"/>
          <w:sz w:val="24"/>
          <w:szCs w:val="24"/>
          <w:lang w:eastAsia="en-GB"/>
        </w:rPr>
        <w:t xml:space="preserve">10 billion </w:t>
      </w:r>
      <w:r w:rsidR="008C7B9C">
        <w:rPr>
          <w:rFonts w:ascii="Times New Roman" w:hAnsi="Times New Roman" w:cs="Times New Roman"/>
          <w:noProof/>
          <w:color w:val="000000" w:themeColor="text1"/>
          <w:sz w:val="24"/>
          <w:szCs w:val="24"/>
          <w:lang w:eastAsia="en-GB"/>
        </w:rPr>
        <w:t xml:space="preserve">would </w:t>
      </w:r>
      <w:r>
        <w:rPr>
          <w:rFonts w:ascii="Times New Roman" w:hAnsi="Times New Roman" w:cs="Times New Roman"/>
          <w:noProof/>
          <w:color w:val="000000" w:themeColor="text1"/>
          <w:sz w:val="24"/>
          <w:szCs w:val="24"/>
          <w:lang w:eastAsia="en-GB"/>
        </w:rPr>
        <w:t>be mobilised</w:t>
      </w:r>
      <w:r w:rsidRPr="001848EE">
        <w:rPr>
          <w:rFonts w:ascii="Times New Roman" w:hAnsi="Times New Roman" w:cs="Times New Roman"/>
          <w:noProof/>
          <w:color w:val="000000" w:themeColor="text1"/>
          <w:sz w:val="24"/>
          <w:szCs w:val="24"/>
          <w:lang w:eastAsia="en-GB"/>
        </w:rPr>
        <w:t xml:space="preserve"> </w:t>
      </w:r>
      <w:r w:rsidR="005D7B8B">
        <w:rPr>
          <w:rFonts w:ascii="Times New Roman" w:hAnsi="Times New Roman" w:cs="Times New Roman"/>
          <w:noProof/>
          <w:color w:val="000000" w:themeColor="text1"/>
          <w:sz w:val="24"/>
          <w:szCs w:val="24"/>
          <w:lang w:eastAsia="en-GB"/>
        </w:rPr>
        <w:t xml:space="preserve">for </w:t>
      </w:r>
      <w:r w:rsidRPr="001848EE">
        <w:rPr>
          <w:rFonts w:ascii="Times New Roman" w:hAnsi="Times New Roman" w:cs="Times New Roman"/>
          <w:noProof/>
          <w:color w:val="000000" w:themeColor="text1"/>
          <w:sz w:val="24"/>
          <w:szCs w:val="24"/>
          <w:lang w:eastAsia="en-GB"/>
        </w:rPr>
        <w:t>support</w:t>
      </w:r>
      <w:r>
        <w:rPr>
          <w:rFonts w:ascii="Times New Roman" w:hAnsi="Times New Roman" w:cs="Times New Roman"/>
          <w:noProof/>
          <w:color w:val="000000" w:themeColor="text1"/>
          <w:sz w:val="24"/>
          <w:szCs w:val="24"/>
          <w:lang w:eastAsia="en-GB"/>
        </w:rPr>
        <w:t>ing</w:t>
      </w:r>
      <w:r w:rsidRPr="001848EE">
        <w:rPr>
          <w:rFonts w:ascii="Times New Roman" w:hAnsi="Times New Roman" w:cs="Times New Roman"/>
          <w:noProof/>
          <w:color w:val="000000" w:themeColor="text1"/>
          <w:sz w:val="24"/>
          <w:szCs w:val="24"/>
          <w:lang w:eastAsia="en-GB"/>
        </w:rPr>
        <w:t xml:space="preserve"> the demonstration of innovative technologies and breakthrough innovation in sectors covered by the EU ETS</w:t>
      </w:r>
      <w:r w:rsidRPr="00886C4C">
        <w:rPr>
          <w:rFonts w:ascii="Times New Roman" w:hAnsi="Times New Roman" w:cs="Times New Roman"/>
          <w:noProof/>
          <w:color w:val="000000" w:themeColor="text1"/>
          <w:sz w:val="24"/>
          <w:szCs w:val="24"/>
          <w:lang w:eastAsia="en-GB"/>
        </w:rPr>
        <w:t xml:space="preserve"> </w:t>
      </w:r>
      <w:r>
        <w:rPr>
          <w:rFonts w:ascii="Times New Roman" w:hAnsi="Times New Roman" w:cs="Times New Roman"/>
          <w:noProof/>
          <w:color w:val="000000" w:themeColor="text1"/>
          <w:sz w:val="24"/>
          <w:szCs w:val="24"/>
          <w:lang w:eastAsia="en-GB"/>
        </w:rPr>
        <w:t xml:space="preserve">on a competitive basis. </w:t>
      </w:r>
      <w:r w:rsidRPr="001848EE">
        <w:rPr>
          <w:rFonts w:ascii="Times New Roman" w:hAnsi="Times New Roman" w:cs="Times New Roman"/>
          <w:noProof/>
          <w:color w:val="000000" w:themeColor="text1"/>
          <w:sz w:val="24"/>
          <w:szCs w:val="24"/>
        </w:rPr>
        <w:t xml:space="preserve">The </w:t>
      </w:r>
      <w:r w:rsidR="005D7B8B">
        <w:rPr>
          <w:rFonts w:ascii="Times New Roman" w:hAnsi="Times New Roman" w:cs="Times New Roman"/>
          <w:noProof/>
          <w:color w:val="000000" w:themeColor="text1"/>
          <w:sz w:val="24"/>
          <w:szCs w:val="24"/>
        </w:rPr>
        <w:t>D</w:t>
      </w:r>
      <w:r w:rsidRPr="001848EE">
        <w:rPr>
          <w:rFonts w:ascii="Times New Roman" w:hAnsi="Times New Roman" w:cs="Times New Roman"/>
          <w:noProof/>
          <w:color w:val="000000" w:themeColor="text1"/>
          <w:sz w:val="24"/>
          <w:szCs w:val="24"/>
        </w:rPr>
        <w:t xml:space="preserve">elegated </w:t>
      </w:r>
      <w:r w:rsidR="005D7B8B">
        <w:rPr>
          <w:rFonts w:ascii="Times New Roman" w:hAnsi="Times New Roman" w:cs="Times New Roman"/>
          <w:noProof/>
          <w:color w:val="000000" w:themeColor="text1"/>
          <w:sz w:val="24"/>
          <w:szCs w:val="24"/>
        </w:rPr>
        <w:t>R</w:t>
      </w:r>
      <w:r w:rsidRPr="001848EE">
        <w:rPr>
          <w:rFonts w:ascii="Times New Roman" w:hAnsi="Times New Roman" w:cs="Times New Roman"/>
          <w:noProof/>
          <w:color w:val="000000" w:themeColor="text1"/>
          <w:sz w:val="24"/>
          <w:szCs w:val="24"/>
        </w:rPr>
        <w:t>egulation on the operation of the Innovation Fund entered into force</w:t>
      </w:r>
      <w:r>
        <w:rPr>
          <w:rFonts w:ascii="Times New Roman" w:hAnsi="Times New Roman" w:cs="Times New Roman"/>
          <w:noProof/>
          <w:color w:val="000000" w:themeColor="text1"/>
          <w:sz w:val="24"/>
          <w:szCs w:val="24"/>
        </w:rPr>
        <w:t xml:space="preserve"> </w:t>
      </w:r>
      <w:r w:rsidRPr="001848EE">
        <w:rPr>
          <w:rFonts w:ascii="Times New Roman" w:hAnsi="Times New Roman" w:cs="Times New Roman"/>
          <w:noProof/>
          <w:color w:val="000000" w:themeColor="text1"/>
          <w:sz w:val="24"/>
          <w:szCs w:val="24"/>
        </w:rPr>
        <w:t>in May 2019</w:t>
      </w:r>
      <w:r w:rsidRPr="001848EE">
        <w:rPr>
          <w:rStyle w:val="FootnoteReference"/>
          <w:rFonts w:ascii="Times New Roman" w:hAnsi="Times New Roman" w:cs="Times New Roman"/>
          <w:noProof/>
          <w:color w:val="000000" w:themeColor="text1"/>
          <w:sz w:val="24"/>
          <w:szCs w:val="24"/>
        </w:rPr>
        <w:footnoteReference w:id="37"/>
      </w:r>
      <w:r w:rsidR="00AE6208">
        <w:rPr>
          <w:rFonts w:ascii="Times New Roman" w:hAnsi="Times New Roman" w:cs="Times New Roman"/>
          <w:noProof/>
          <w:color w:val="000000" w:themeColor="text1"/>
          <w:sz w:val="24"/>
          <w:szCs w:val="24"/>
        </w:rPr>
        <w:t>.</w:t>
      </w:r>
      <w:r w:rsidRPr="001848EE">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T</w:t>
      </w:r>
      <w:r w:rsidRPr="001848EE">
        <w:rPr>
          <w:rFonts w:ascii="Times New Roman" w:hAnsi="Times New Roman" w:cs="Times New Roman"/>
          <w:noProof/>
          <w:color w:val="000000" w:themeColor="text1"/>
          <w:sz w:val="24"/>
          <w:szCs w:val="24"/>
        </w:rPr>
        <w:t>hroughout 2019</w:t>
      </w:r>
      <w:r>
        <w:rPr>
          <w:rFonts w:ascii="Times New Roman" w:hAnsi="Times New Roman" w:cs="Times New Roman"/>
          <w:noProof/>
          <w:color w:val="000000" w:themeColor="text1"/>
          <w:sz w:val="24"/>
          <w:szCs w:val="24"/>
        </w:rPr>
        <w:t>,</w:t>
      </w:r>
      <w:r w:rsidRPr="001848EE">
        <w:rPr>
          <w:rFonts w:ascii="Times New Roman" w:hAnsi="Times New Roman" w:cs="Times New Roman"/>
          <w:noProof/>
          <w:color w:val="000000" w:themeColor="text1"/>
          <w:sz w:val="24"/>
          <w:szCs w:val="24"/>
        </w:rPr>
        <w:t xml:space="preserve"> the Commission </w:t>
      </w:r>
      <w:r w:rsidR="00AE6208">
        <w:rPr>
          <w:rFonts w:ascii="Times New Roman" w:hAnsi="Times New Roman" w:cs="Times New Roman"/>
          <w:noProof/>
          <w:color w:val="000000" w:themeColor="text1"/>
          <w:sz w:val="24"/>
          <w:szCs w:val="24"/>
        </w:rPr>
        <w:t>has been</w:t>
      </w:r>
      <w:r w:rsidR="00AE6208" w:rsidRPr="001848EE">
        <w:rPr>
          <w:rFonts w:ascii="Times New Roman" w:hAnsi="Times New Roman" w:cs="Times New Roman"/>
          <w:noProof/>
          <w:color w:val="000000" w:themeColor="text1"/>
          <w:sz w:val="24"/>
          <w:szCs w:val="24"/>
        </w:rPr>
        <w:t xml:space="preserve"> </w:t>
      </w:r>
      <w:r w:rsidRPr="001848EE">
        <w:rPr>
          <w:rFonts w:ascii="Times New Roman" w:hAnsi="Times New Roman" w:cs="Times New Roman"/>
          <w:noProof/>
          <w:color w:val="000000" w:themeColor="text1"/>
          <w:sz w:val="24"/>
          <w:szCs w:val="24"/>
        </w:rPr>
        <w:t xml:space="preserve">actively engaged in outreach activities with industry and with Member States </w:t>
      </w:r>
      <w:r>
        <w:rPr>
          <w:rFonts w:ascii="Times New Roman" w:hAnsi="Times New Roman" w:cs="Times New Roman"/>
          <w:noProof/>
          <w:color w:val="000000" w:themeColor="text1"/>
          <w:sz w:val="24"/>
          <w:szCs w:val="24"/>
        </w:rPr>
        <w:t>t</w:t>
      </w:r>
      <w:r w:rsidRPr="001848EE">
        <w:rPr>
          <w:rFonts w:ascii="Times New Roman" w:hAnsi="Times New Roman" w:cs="Times New Roman"/>
          <w:noProof/>
          <w:color w:val="000000" w:themeColor="text1"/>
          <w:sz w:val="24"/>
          <w:szCs w:val="24"/>
        </w:rPr>
        <w:t>o raise awareness about the Innovation Fund</w:t>
      </w:r>
      <w:r>
        <w:rPr>
          <w:rFonts w:ascii="Times New Roman" w:hAnsi="Times New Roman" w:cs="Times New Roman"/>
          <w:noProof/>
          <w:color w:val="000000" w:themeColor="text1"/>
          <w:sz w:val="24"/>
          <w:szCs w:val="24"/>
        </w:rPr>
        <w:t xml:space="preserve"> and</w:t>
      </w:r>
      <w:r w:rsidRPr="001848EE">
        <w:rPr>
          <w:rFonts w:ascii="Times New Roman" w:hAnsi="Times New Roman" w:cs="Times New Roman"/>
          <w:noProof/>
          <w:color w:val="000000" w:themeColor="text1"/>
          <w:sz w:val="24"/>
          <w:szCs w:val="24"/>
        </w:rPr>
        <w:t xml:space="preserve"> to discuss key issues for each sector related to the selection and implementation of  projects. The first call for proposals is planned to be launched in mid-2020, followed by regular calls until 2030</w:t>
      </w:r>
      <w:r>
        <w:rPr>
          <w:rStyle w:val="FootnoteReference"/>
          <w:rFonts w:ascii="Times New Roman" w:hAnsi="Times New Roman" w:cs="Times New Roman"/>
          <w:noProof/>
          <w:color w:val="000000" w:themeColor="text1"/>
          <w:sz w:val="24"/>
          <w:szCs w:val="24"/>
        </w:rPr>
        <w:footnoteReference w:id="38"/>
      </w:r>
      <w:r>
        <w:rPr>
          <w:rFonts w:ascii="Times New Roman" w:hAnsi="Times New Roman" w:cs="Times New Roman"/>
          <w:noProof/>
          <w:color w:val="000000" w:themeColor="text1"/>
          <w:sz w:val="24"/>
          <w:szCs w:val="24"/>
        </w:rPr>
        <w:t>.</w:t>
      </w:r>
      <w:r w:rsidRPr="001848EE">
        <w:rPr>
          <w:rFonts w:ascii="Times New Roman" w:hAnsi="Times New Roman" w:cs="Times New Roman"/>
          <w:noProof/>
          <w:color w:val="000000" w:themeColor="text1"/>
          <w:sz w:val="24"/>
          <w:szCs w:val="24"/>
        </w:rPr>
        <w:t xml:space="preserve"> </w:t>
      </w:r>
    </w:p>
    <w:p w14:paraId="20C9324E" w14:textId="77777777" w:rsidR="00712EF5" w:rsidRPr="001848EE" w:rsidRDefault="00712EF5" w:rsidP="00712EF5">
      <w:pPr>
        <w:pStyle w:val="Heading2"/>
        <w:spacing w:after="120"/>
      </w:pPr>
      <w:r w:rsidRPr="001848EE">
        <w:t>Modernisation Fund</w:t>
      </w:r>
    </w:p>
    <w:p w14:paraId="619B972D" w14:textId="624018EC" w:rsidR="00712EF5" w:rsidRDefault="00712EF5" w:rsidP="00712EF5">
      <w:pPr>
        <w:spacing w:line="276" w:lineRule="auto"/>
        <w:jc w:val="both"/>
        <w:rPr>
          <w:rFonts w:ascii="Times New Roman" w:hAnsi="Times New Roman" w:cs="Times New Roman"/>
          <w:b/>
          <w:sz w:val="24"/>
          <w:szCs w:val="24"/>
        </w:rPr>
      </w:pPr>
      <w:r w:rsidRPr="001848EE">
        <w:rPr>
          <w:rFonts w:ascii="Times New Roman" w:hAnsi="Times New Roman" w:cs="Times New Roman"/>
          <w:color w:val="000000" w:themeColor="text1"/>
          <w:sz w:val="24"/>
          <w:szCs w:val="24"/>
        </w:rPr>
        <w:t xml:space="preserve">The Modernisation Fund will support low-carbon investments in the energy systems of </w:t>
      </w:r>
      <w:r w:rsidR="00AE6208">
        <w:rPr>
          <w:rFonts w:ascii="Times New Roman" w:hAnsi="Times New Roman" w:cs="Times New Roman"/>
          <w:color w:val="000000" w:themeColor="text1"/>
          <w:sz w:val="24"/>
          <w:szCs w:val="24"/>
        </w:rPr>
        <w:t>ten</w:t>
      </w:r>
      <w:r w:rsidR="00AE6208" w:rsidRPr="001848EE">
        <w:rPr>
          <w:rFonts w:ascii="Times New Roman" w:hAnsi="Times New Roman" w:cs="Times New Roman"/>
          <w:color w:val="000000" w:themeColor="text1"/>
          <w:sz w:val="24"/>
          <w:szCs w:val="24"/>
        </w:rPr>
        <w:t xml:space="preserve"> </w:t>
      </w:r>
      <w:r w:rsidRPr="001848EE">
        <w:rPr>
          <w:rFonts w:ascii="Times New Roman" w:hAnsi="Times New Roman" w:cs="Times New Roman"/>
          <w:color w:val="000000" w:themeColor="text1"/>
          <w:sz w:val="24"/>
          <w:szCs w:val="24"/>
        </w:rPr>
        <w:t>low-income EU Member States</w:t>
      </w:r>
      <w:r w:rsidRPr="001848EE">
        <w:rPr>
          <w:rStyle w:val="FootnoteReference"/>
          <w:rFonts w:ascii="Times New Roman" w:hAnsi="Times New Roman" w:cs="Times New Roman"/>
          <w:color w:val="000000" w:themeColor="text1"/>
          <w:sz w:val="24"/>
          <w:szCs w:val="24"/>
        </w:rPr>
        <w:footnoteReference w:id="39"/>
      </w:r>
      <w:r w:rsidRPr="001848EE">
        <w:rPr>
          <w:rFonts w:ascii="Times New Roman" w:hAnsi="Times New Roman" w:cs="Times New Roman"/>
          <w:color w:val="000000" w:themeColor="text1"/>
          <w:sz w:val="24"/>
          <w:szCs w:val="24"/>
        </w:rPr>
        <w:t xml:space="preserve"> in shares pre-defined by the ETS Directive. </w:t>
      </w:r>
      <w:r w:rsidR="008C7B9C">
        <w:rPr>
          <w:rFonts w:ascii="Times New Roman" w:hAnsi="Times New Roman" w:cs="Times New Roman"/>
          <w:color w:val="000000" w:themeColor="text1"/>
          <w:sz w:val="24"/>
          <w:szCs w:val="24"/>
        </w:rPr>
        <w:t xml:space="preserve">At </w:t>
      </w:r>
      <w:r w:rsidR="00C443B0">
        <w:rPr>
          <w:rFonts w:ascii="Times New Roman" w:hAnsi="Times New Roman" w:cs="Times New Roman"/>
          <w:color w:val="000000" w:themeColor="text1"/>
          <w:sz w:val="24"/>
          <w:szCs w:val="24"/>
        </w:rPr>
        <w:t xml:space="preserve">a carbon price of </w:t>
      </w:r>
      <w:r w:rsidR="00C443B0">
        <w:rPr>
          <w:rFonts w:ascii="Times New Roman" w:hAnsi="Times New Roman" w:cs="Times New Roman"/>
          <w:noProof/>
          <w:color w:val="000000" w:themeColor="text1"/>
          <w:sz w:val="24"/>
          <w:szCs w:val="24"/>
          <w:lang w:eastAsia="en-GB"/>
        </w:rPr>
        <w:t xml:space="preserve">20 </w:t>
      </w:r>
      <w:r w:rsidR="00C443B0" w:rsidRPr="00712EF5">
        <w:rPr>
          <w:rFonts w:ascii="Times New Roman" w:hAnsi="Times New Roman" w:cs="Times New Roman"/>
          <w:noProof/>
          <w:color w:val="000000" w:themeColor="text1"/>
          <w:sz w:val="24"/>
          <w:szCs w:val="24"/>
          <w:lang w:eastAsia="en-GB"/>
        </w:rPr>
        <w:t>EUR/tCO</w:t>
      </w:r>
      <w:r w:rsidR="00C443B0" w:rsidRPr="005D7B8B">
        <w:rPr>
          <w:rFonts w:ascii="Times New Roman" w:hAnsi="Times New Roman" w:cs="Times New Roman"/>
          <w:noProof/>
          <w:color w:val="000000" w:themeColor="text1"/>
          <w:sz w:val="24"/>
          <w:szCs w:val="24"/>
          <w:vertAlign w:val="subscript"/>
          <w:lang w:eastAsia="en-GB"/>
        </w:rPr>
        <w:t>2</w:t>
      </w:r>
      <w:r w:rsidR="00C443B0">
        <w:rPr>
          <w:rFonts w:ascii="Times New Roman" w:hAnsi="Times New Roman" w:cs="Times New Roman"/>
          <w:color w:val="000000" w:themeColor="text1"/>
          <w:sz w:val="24"/>
          <w:szCs w:val="24"/>
        </w:rPr>
        <w:t xml:space="preserve">, some EUR 14 </w:t>
      </w:r>
      <w:r w:rsidR="008C7B9C" w:rsidRPr="00712EF5">
        <w:rPr>
          <w:rFonts w:ascii="Times New Roman" w:hAnsi="Times New Roman" w:cs="Times New Roman"/>
          <w:color w:val="000000" w:themeColor="text1"/>
          <w:sz w:val="24"/>
          <w:szCs w:val="24"/>
        </w:rPr>
        <w:t>billion</w:t>
      </w:r>
      <w:r w:rsidR="008C7B9C">
        <w:rPr>
          <w:rFonts w:ascii="Times New Roman" w:hAnsi="Times New Roman" w:cs="Times New Roman"/>
          <w:color w:val="000000" w:themeColor="text1"/>
          <w:sz w:val="24"/>
          <w:szCs w:val="24"/>
        </w:rPr>
        <w:t xml:space="preserve"> </w:t>
      </w:r>
      <w:r w:rsidRPr="00712EF5">
        <w:rPr>
          <w:rFonts w:ascii="Times New Roman" w:hAnsi="Times New Roman" w:cs="Times New Roman"/>
          <w:color w:val="000000" w:themeColor="text1"/>
          <w:sz w:val="24"/>
          <w:szCs w:val="24"/>
        </w:rPr>
        <w:t xml:space="preserve">will be generated over the coming decade. The size of the fund more than doubled following the decision from </w:t>
      </w:r>
      <w:r w:rsidR="00AE6208">
        <w:rPr>
          <w:rFonts w:ascii="Times New Roman" w:hAnsi="Times New Roman" w:cs="Times New Roman"/>
          <w:color w:val="000000" w:themeColor="text1"/>
          <w:sz w:val="24"/>
          <w:szCs w:val="24"/>
        </w:rPr>
        <w:t>five</w:t>
      </w:r>
      <w:r w:rsidR="00AE6208" w:rsidRPr="00712EF5">
        <w:rPr>
          <w:rFonts w:ascii="Times New Roman" w:hAnsi="Times New Roman" w:cs="Times New Roman"/>
          <w:color w:val="000000" w:themeColor="text1"/>
          <w:sz w:val="24"/>
          <w:szCs w:val="24"/>
        </w:rPr>
        <w:t xml:space="preserve"> </w:t>
      </w:r>
      <w:r w:rsidRPr="00712EF5">
        <w:rPr>
          <w:rFonts w:ascii="Times New Roman" w:hAnsi="Times New Roman" w:cs="Times New Roman"/>
          <w:color w:val="000000" w:themeColor="text1"/>
          <w:sz w:val="24"/>
          <w:szCs w:val="24"/>
        </w:rPr>
        <w:t>Member States to transfer part of their solidarity and/or transitional free allowances</w:t>
      </w:r>
      <w:r w:rsidR="00AE6208">
        <w:rPr>
          <w:rFonts w:ascii="Times New Roman" w:hAnsi="Times New Roman" w:cs="Times New Roman"/>
          <w:color w:val="000000" w:themeColor="text1"/>
          <w:sz w:val="24"/>
          <w:szCs w:val="24"/>
        </w:rPr>
        <w:t>.</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The European Commission</w:t>
      </w:r>
      <w:r w:rsidRPr="001848EE">
        <w:rPr>
          <w:rFonts w:ascii="Times New Roman" w:hAnsi="Times New Roman" w:cs="Times New Roman"/>
          <w:color w:val="000000" w:themeColor="text1"/>
          <w:sz w:val="24"/>
          <w:szCs w:val="24"/>
        </w:rPr>
        <w:t xml:space="preserve">’s work on establishing the Modernisation Fund </w:t>
      </w:r>
      <w:r>
        <w:rPr>
          <w:rFonts w:ascii="Times New Roman" w:hAnsi="Times New Roman" w:cs="Times New Roman"/>
          <w:color w:val="000000" w:themeColor="text1"/>
          <w:sz w:val="24"/>
          <w:szCs w:val="24"/>
        </w:rPr>
        <w:t>started</w:t>
      </w:r>
      <w:r w:rsidRPr="001848EE">
        <w:rPr>
          <w:rFonts w:ascii="Times New Roman" w:hAnsi="Times New Roman" w:cs="Times New Roman"/>
          <w:color w:val="000000" w:themeColor="text1"/>
          <w:sz w:val="24"/>
          <w:szCs w:val="24"/>
        </w:rPr>
        <w:t xml:space="preserve"> with </w:t>
      </w:r>
      <w:r>
        <w:rPr>
          <w:rFonts w:ascii="Times New Roman" w:hAnsi="Times New Roman" w:cs="Times New Roman"/>
          <w:color w:val="000000" w:themeColor="text1"/>
          <w:sz w:val="24"/>
          <w:szCs w:val="24"/>
        </w:rPr>
        <w:t xml:space="preserve">a </w:t>
      </w:r>
      <w:r w:rsidRPr="001848EE">
        <w:rPr>
          <w:rFonts w:ascii="Times New Roman" w:hAnsi="Times New Roman" w:cs="Times New Roman"/>
          <w:color w:val="000000" w:themeColor="text1"/>
          <w:sz w:val="24"/>
          <w:szCs w:val="24"/>
        </w:rPr>
        <w:t>series of technical workshops in all beneficiary Member States from September 2018 to January 2019</w:t>
      </w:r>
      <w:r w:rsidR="005D7B8B">
        <w:rPr>
          <w:rFonts w:ascii="Times New Roman" w:hAnsi="Times New Roman" w:cs="Times New Roman"/>
          <w:color w:val="000000" w:themeColor="text1"/>
          <w:sz w:val="24"/>
          <w:szCs w:val="24"/>
        </w:rPr>
        <w:t>. F</w:t>
      </w:r>
      <w:r w:rsidRPr="001848EE">
        <w:rPr>
          <w:rFonts w:ascii="Times New Roman" w:hAnsi="Times New Roman" w:cs="Times New Roman"/>
          <w:color w:val="000000" w:themeColor="text1"/>
          <w:sz w:val="24"/>
          <w:szCs w:val="24"/>
        </w:rPr>
        <w:t xml:space="preserve">urther preparatory work is </w:t>
      </w:r>
      <w:r w:rsidR="00AE6208">
        <w:rPr>
          <w:rFonts w:ascii="Times New Roman" w:hAnsi="Times New Roman" w:cs="Times New Roman"/>
          <w:color w:val="000000" w:themeColor="text1"/>
          <w:sz w:val="24"/>
          <w:szCs w:val="24"/>
        </w:rPr>
        <w:t>taking place</w:t>
      </w:r>
      <w:r w:rsidR="00AE6208" w:rsidRPr="001848EE">
        <w:rPr>
          <w:rFonts w:ascii="Times New Roman" w:hAnsi="Times New Roman" w:cs="Times New Roman"/>
          <w:color w:val="000000" w:themeColor="text1"/>
          <w:sz w:val="24"/>
          <w:szCs w:val="24"/>
        </w:rPr>
        <w:t xml:space="preserve"> </w:t>
      </w:r>
      <w:r w:rsidRPr="001848EE">
        <w:rPr>
          <w:rFonts w:ascii="Times New Roman" w:hAnsi="Times New Roman" w:cs="Times New Roman"/>
          <w:color w:val="000000" w:themeColor="text1"/>
          <w:sz w:val="24"/>
          <w:szCs w:val="24"/>
        </w:rPr>
        <w:t xml:space="preserve">towards adoption of </w:t>
      </w:r>
      <w:r w:rsidR="00AE6208">
        <w:rPr>
          <w:rFonts w:ascii="Times New Roman" w:hAnsi="Times New Roman" w:cs="Times New Roman"/>
          <w:color w:val="000000" w:themeColor="text1"/>
          <w:sz w:val="24"/>
          <w:szCs w:val="24"/>
        </w:rPr>
        <w:t>an</w:t>
      </w:r>
      <w:r w:rsidR="00AE6208" w:rsidRPr="001848EE">
        <w:rPr>
          <w:rFonts w:ascii="Times New Roman" w:hAnsi="Times New Roman" w:cs="Times New Roman"/>
          <w:color w:val="000000" w:themeColor="text1"/>
          <w:sz w:val="24"/>
          <w:szCs w:val="24"/>
        </w:rPr>
        <w:t xml:space="preserve"> </w:t>
      </w:r>
      <w:r w:rsidR="00AE6208">
        <w:rPr>
          <w:rFonts w:ascii="Times New Roman" w:hAnsi="Times New Roman" w:cs="Times New Roman"/>
          <w:color w:val="000000" w:themeColor="text1"/>
          <w:sz w:val="24"/>
          <w:szCs w:val="24"/>
        </w:rPr>
        <w:t>I</w:t>
      </w:r>
      <w:r w:rsidRPr="001848EE">
        <w:rPr>
          <w:rFonts w:ascii="Times New Roman" w:hAnsi="Times New Roman" w:cs="Times New Roman"/>
          <w:color w:val="000000" w:themeColor="text1"/>
          <w:sz w:val="24"/>
          <w:szCs w:val="24"/>
        </w:rPr>
        <w:t xml:space="preserve">mplementing </w:t>
      </w:r>
      <w:r w:rsidR="00AE6208">
        <w:rPr>
          <w:rFonts w:ascii="Times New Roman" w:hAnsi="Times New Roman" w:cs="Times New Roman"/>
          <w:color w:val="000000" w:themeColor="text1"/>
          <w:sz w:val="24"/>
          <w:szCs w:val="24"/>
        </w:rPr>
        <w:t>A</w:t>
      </w:r>
      <w:r w:rsidRPr="001848EE">
        <w:rPr>
          <w:rFonts w:ascii="Times New Roman" w:hAnsi="Times New Roman" w:cs="Times New Roman"/>
          <w:color w:val="000000" w:themeColor="text1"/>
          <w:sz w:val="24"/>
          <w:szCs w:val="24"/>
        </w:rPr>
        <w:t>ct in</w:t>
      </w:r>
      <w:r w:rsidR="005D7B8B">
        <w:rPr>
          <w:rFonts w:ascii="Times New Roman" w:hAnsi="Times New Roman" w:cs="Times New Roman"/>
          <w:color w:val="000000" w:themeColor="text1"/>
          <w:sz w:val="24"/>
          <w:szCs w:val="24"/>
        </w:rPr>
        <w:t xml:space="preserve"> the</w:t>
      </w:r>
      <w:r w:rsidRPr="001848EE">
        <w:rPr>
          <w:rFonts w:ascii="Times New Roman" w:hAnsi="Times New Roman" w:cs="Times New Roman"/>
          <w:color w:val="000000" w:themeColor="text1"/>
          <w:sz w:val="24"/>
          <w:szCs w:val="24"/>
        </w:rPr>
        <w:t xml:space="preserve"> first half of 2020.</w:t>
      </w:r>
      <w:r>
        <w:rPr>
          <w:rFonts w:ascii="Times New Roman" w:hAnsi="Times New Roman" w:cs="Times New Roman"/>
          <w:b/>
          <w:sz w:val="24"/>
          <w:szCs w:val="24"/>
        </w:rPr>
        <w:t xml:space="preserve"> </w:t>
      </w:r>
    </w:p>
    <w:p w14:paraId="2CC83B0B" w14:textId="4B92F978" w:rsidR="000B795E" w:rsidRDefault="000B795E" w:rsidP="00446D1E">
      <w:pPr>
        <w:pStyle w:val="Heading2"/>
        <w:spacing w:after="120"/>
        <w:rPr>
          <w:noProof/>
        </w:rPr>
      </w:pPr>
      <w:bookmarkStart w:id="6" w:name="_Toc526502289"/>
      <w:bookmarkStart w:id="7" w:name="_Toc529975168"/>
      <w:r>
        <w:rPr>
          <w:noProof/>
        </w:rPr>
        <w:t>LIFE</w:t>
      </w:r>
      <w:bookmarkEnd w:id="6"/>
      <w:bookmarkEnd w:id="7"/>
      <w:r>
        <w:rPr>
          <w:noProof/>
        </w:rPr>
        <w:t xml:space="preserve"> </w:t>
      </w:r>
      <w:r w:rsidR="00CE78E6">
        <w:rPr>
          <w:noProof/>
        </w:rPr>
        <w:t>– Climate Action</w:t>
      </w:r>
    </w:p>
    <w:p w14:paraId="188DE3F9" w14:textId="13EA5CBF" w:rsidR="000B795E" w:rsidRDefault="000B795E" w:rsidP="00E04ACD">
      <w:pPr>
        <w:jc w:val="both"/>
        <w:rPr>
          <w:rFonts w:ascii="Times New Roman" w:hAnsi="Times New Roman" w:cs="Times New Roman"/>
          <w:noProof/>
          <w:sz w:val="24"/>
          <w:szCs w:val="24"/>
        </w:rPr>
      </w:pPr>
      <w:r w:rsidRPr="007A607F">
        <w:rPr>
          <w:rFonts w:ascii="Times New Roman" w:hAnsi="Times New Roman" w:cs="Times New Roman"/>
          <w:noProof/>
          <w:sz w:val="24"/>
          <w:szCs w:val="24"/>
        </w:rPr>
        <w:t>The LIFE programme is the EU’s funding instrument for the environment and climate action; it co-finances projects with European added value. The total budget for funding projects in 2014-20</w:t>
      </w:r>
      <w:r>
        <w:rPr>
          <w:rFonts w:ascii="Times New Roman" w:hAnsi="Times New Roman" w:cs="Times New Roman"/>
          <w:noProof/>
          <w:sz w:val="24"/>
          <w:szCs w:val="24"/>
        </w:rPr>
        <w:t>20</w:t>
      </w:r>
      <w:r w:rsidRPr="007A607F">
        <w:rPr>
          <w:rFonts w:ascii="Times New Roman" w:hAnsi="Times New Roman" w:cs="Times New Roman"/>
          <w:noProof/>
          <w:sz w:val="24"/>
          <w:szCs w:val="24"/>
        </w:rPr>
        <w:t xml:space="preserve"> amounts to EUR </w:t>
      </w:r>
      <w:r>
        <w:rPr>
          <w:rFonts w:ascii="Times New Roman" w:hAnsi="Times New Roman" w:cs="Times New Roman"/>
          <w:noProof/>
          <w:sz w:val="24"/>
          <w:szCs w:val="24"/>
        </w:rPr>
        <w:t>2.5</w:t>
      </w:r>
      <w:r w:rsidRPr="007A607F">
        <w:rPr>
          <w:rFonts w:ascii="Times New Roman" w:hAnsi="Times New Roman" w:cs="Times New Roman"/>
          <w:noProof/>
          <w:sz w:val="24"/>
          <w:szCs w:val="24"/>
        </w:rPr>
        <w:t xml:space="preserve"> billion under the sub-programme for environment and EUR 0.</w:t>
      </w:r>
      <w:r>
        <w:rPr>
          <w:rFonts w:ascii="Times New Roman" w:hAnsi="Times New Roman" w:cs="Times New Roman"/>
          <w:noProof/>
          <w:sz w:val="24"/>
          <w:szCs w:val="24"/>
        </w:rPr>
        <w:t>86</w:t>
      </w:r>
      <w:r w:rsidRPr="007A607F">
        <w:rPr>
          <w:rFonts w:ascii="Times New Roman" w:hAnsi="Times New Roman" w:cs="Times New Roman"/>
          <w:noProof/>
          <w:sz w:val="24"/>
          <w:szCs w:val="24"/>
        </w:rPr>
        <w:t xml:space="preserve"> billion under the sub-programme for climate action. </w:t>
      </w:r>
      <w:r w:rsidR="005D7B8B" w:rsidRPr="005D7B8B">
        <w:rPr>
          <w:rFonts w:ascii="Times New Roman" w:hAnsi="Times New Roman" w:cs="Times New Roman"/>
          <w:noProof/>
          <w:sz w:val="24"/>
          <w:szCs w:val="24"/>
        </w:rPr>
        <w:t>Most LIFE Environment projects also bring climate co-benefits.</w:t>
      </w:r>
    </w:p>
    <w:p w14:paraId="166F8C2B" w14:textId="77777777" w:rsidR="00B700A4" w:rsidRPr="007A607F" w:rsidRDefault="000B795E" w:rsidP="00E04ACD">
      <w:pPr>
        <w:jc w:val="both"/>
        <w:rPr>
          <w:rFonts w:ascii="Times New Roman" w:hAnsi="Times New Roman" w:cs="Times New Roman"/>
          <w:noProof/>
          <w:sz w:val="24"/>
          <w:szCs w:val="24"/>
        </w:rPr>
      </w:pPr>
      <w:r w:rsidRPr="007A607F">
        <w:rPr>
          <w:rFonts w:ascii="Times New Roman" w:hAnsi="Times New Roman" w:cs="Times New Roman"/>
          <w:noProof/>
          <w:sz w:val="24"/>
          <w:szCs w:val="24"/>
        </w:rPr>
        <w:t xml:space="preserve">LIFE Climate Action supports mitigation and adaptation projects, and climate governance and information. </w:t>
      </w:r>
      <w:r>
        <w:rPr>
          <w:rFonts w:ascii="Times New Roman" w:hAnsi="Times New Roman" w:cs="Times New Roman"/>
          <w:noProof/>
          <w:sz w:val="24"/>
          <w:szCs w:val="24"/>
        </w:rPr>
        <w:t>In LIFE call 2018, proposals involving b</w:t>
      </w:r>
      <w:r w:rsidRPr="007A607F">
        <w:rPr>
          <w:rFonts w:ascii="Times New Roman" w:hAnsi="Times New Roman" w:cs="Times New Roman"/>
          <w:noProof/>
          <w:sz w:val="24"/>
          <w:szCs w:val="24"/>
        </w:rPr>
        <w:t>eneficiaries from 2</w:t>
      </w:r>
      <w:r>
        <w:rPr>
          <w:rFonts w:ascii="Times New Roman" w:hAnsi="Times New Roman" w:cs="Times New Roman"/>
          <w:noProof/>
          <w:sz w:val="24"/>
          <w:szCs w:val="24"/>
        </w:rPr>
        <w:t>1</w:t>
      </w:r>
      <w:r w:rsidRPr="007A607F">
        <w:rPr>
          <w:rFonts w:ascii="Times New Roman" w:hAnsi="Times New Roman" w:cs="Times New Roman"/>
          <w:noProof/>
          <w:sz w:val="24"/>
          <w:szCs w:val="24"/>
        </w:rPr>
        <w:t xml:space="preserve"> Member States </w:t>
      </w:r>
      <w:r>
        <w:rPr>
          <w:rFonts w:ascii="Times New Roman" w:hAnsi="Times New Roman" w:cs="Times New Roman"/>
          <w:noProof/>
          <w:sz w:val="24"/>
          <w:szCs w:val="24"/>
        </w:rPr>
        <w:t>were recommended for</w:t>
      </w:r>
      <w:r w:rsidRPr="007A607F">
        <w:rPr>
          <w:rFonts w:ascii="Times New Roman" w:hAnsi="Times New Roman" w:cs="Times New Roman"/>
          <w:noProof/>
          <w:sz w:val="24"/>
          <w:szCs w:val="24"/>
        </w:rPr>
        <w:t xml:space="preserve"> funding, with Spain</w:t>
      </w:r>
      <w:r>
        <w:rPr>
          <w:rFonts w:ascii="Times New Roman" w:hAnsi="Times New Roman" w:cs="Times New Roman"/>
          <w:noProof/>
          <w:sz w:val="24"/>
          <w:szCs w:val="24"/>
        </w:rPr>
        <w:t>,</w:t>
      </w:r>
      <w:r w:rsidRPr="007A607F">
        <w:rPr>
          <w:rFonts w:ascii="Times New Roman" w:hAnsi="Times New Roman" w:cs="Times New Roman"/>
          <w:noProof/>
          <w:sz w:val="24"/>
          <w:szCs w:val="24"/>
        </w:rPr>
        <w:t xml:space="preserve"> Italy</w:t>
      </w:r>
      <w:r>
        <w:rPr>
          <w:rFonts w:ascii="Times New Roman" w:hAnsi="Times New Roman" w:cs="Times New Roman"/>
          <w:noProof/>
          <w:sz w:val="24"/>
          <w:szCs w:val="24"/>
        </w:rPr>
        <w:t xml:space="preserve"> and Germany,</w:t>
      </w:r>
      <w:r w:rsidRPr="007A607F">
        <w:rPr>
          <w:rFonts w:ascii="Times New Roman" w:hAnsi="Times New Roman" w:cs="Times New Roman"/>
          <w:noProof/>
          <w:sz w:val="24"/>
          <w:szCs w:val="24"/>
        </w:rPr>
        <w:t xml:space="preserve"> attracting the most.</w:t>
      </w:r>
    </w:p>
    <w:p w14:paraId="506116C0" w14:textId="6C5EE03E" w:rsidR="000B795E" w:rsidRPr="000B795E" w:rsidRDefault="000B795E" w:rsidP="00E04ACD">
      <w:pPr>
        <w:jc w:val="both"/>
        <w:rPr>
          <w:rFonts w:ascii="Times New Roman" w:eastAsia="Times New Roman" w:hAnsi="Times New Roman" w:cs="Times New Roman"/>
          <w:sz w:val="24"/>
          <w:szCs w:val="24"/>
        </w:rPr>
      </w:pPr>
      <w:r w:rsidRPr="000B795E">
        <w:rPr>
          <w:rFonts w:ascii="Times New Roman" w:eastAsia="Times New Roman" w:hAnsi="Times New Roman" w:cs="Times New Roman"/>
          <w:sz w:val="24"/>
          <w:szCs w:val="24"/>
        </w:rPr>
        <w:t xml:space="preserve">The </w:t>
      </w:r>
      <w:r w:rsidR="00443890">
        <w:rPr>
          <w:rFonts w:ascii="Times New Roman" w:eastAsia="Times New Roman" w:hAnsi="Times New Roman" w:cs="Times New Roman"/>
          <w:sz w:val="24"/>
          <w:szCs w:val="24"/>
        </w:rPr>
        <w:t xml:space="preserve">proposed </w:t>
      </w:r>
      <w:r w:rsidRPr="000B795E">
        <w:rPr>
          <w:rFonts w:ascii="Times New Roman" w:eastAsia="Times New Roman" w:hAnsi="Times New Roman" w:cs="Times New Roman"/>
          <w:sz w:val="24"/>
          <w:szCs w:val="24"/>
        </w:rPr>
        <w:t xml:space="preserve">multiannual financial framework </w:t>
      </w:r>
      <w:r w:rsidR="00443890">
        <w:rPr>
          <w:rFonts w:ascii="Times New Roman" w:eastAsia="Times New Roman" w:hAnsi="Times New Roman" w:cs="Times New Roman"/>
          <w:sz w:val="24"/>
          <w:szCs w:val="24"/>
        </w:rPr>
        <w:t xml:space="preserve">for 2021 – 2027 </w:t>
      </w:r>
      <w:r w:rsidRPr="000B795E">
        <w:rPr>
          <w:rFonts w:ascii="Times New Roman" w:eastAsia="Times New Roman" w:hAnsi="Times New Roman" w:cs="Times New Roman"/>
          <w:sz w:val="24"/>
          <w:szCs w:val="24"/>
        </w:rPr>
        <w:t xml:space="preserve"> includes </w:t>
      </w:r>
      <w:r w:rsidR="00443890">
        <w:rPr>
          <w:rFonts w:ascii="Times New Roman" w:eastAsia="Times New Roman" w:hAnsi="Times New Roman" w:cs="Times New Roman"/>
          <w:sz w:val="24"/>
          <w:szCs w:val="24"/>
        </w:rPr>
        <w:t xml:space="preserve">an </w:t>
      </w:r>
      <w:r w:rsidR="00443890" w:rsidRPr="000B795E">
        <w:rPr>
          <w:rFonts w:ascii="Times New Roman" w:eastAsia="Times New Roman" w:hAnsi="Times New Roman" w:cs="Times New Roman"/>
          <w:sz w:val="24"/>
          <w:szCs w:val="24"/>
        </w:rPr>
        <w:t xml:space="preserve">increased budget of EUR 5.45 billion </w:t>
      </w:r>
      <w:r w:rsidR="00443890">
        <w:rPr>
          <w:rFonts w:ascii="Times New Roman" w:eastAsia="Times New Roman" w:hAnsi="Times New Roman" w:cs="Times New Roman"/>
          <w:sz w:val="24"/>
          <w:szCs w:val="24"/>
        </w:rPr>
        <w:t xml:space="preserve">for </w:t>
      </w:r>
      <w:r w:rsidRPr="000B795E">
        <w:rPr>
          <w:rFonts w:ascii="Times New Roman" w:eastAsia="Times New Roman" w:hAnsi="Times New Roman" w:cs="Times New Roman"/>
          <w:sz w:val="24"/>
          <w:szCs w:val="24"/>
        </w:rPr>
        <w:t>the LIFE programme for Environment and Climate Action .</w:t>
      </w:r>
    </w:p>
    <w:p w14:paraId="5BF268E7" w14:textId="6EF5BDE3" w:rsidR="000B795E" w:rsidRDefault="000B795E" w:rsidP="00E04ACD">
      <w:pPr>
        <w:jc w:val="both"/>
        <w:rPr>
          <w:rFonts w:ascii="Times New Roman" w:eastAsia="Times New Roman" w:hAnsi="Times New Roman" w:cs="Times New Roman"/>
        </w:rPr>
      </w:pPr>
      <w:r w:rsidRPr="000B795E">
        <w:rPr>
          <w:rFonts w:ascii="Times New Roman" w:eastAsia="Times New Roman" w:hAnsi="Times New Roman" w:cs="Times New Roman"/>
          <w:sz w:val="24"/>
          <w:szCs w:val="24"/>
        </w:rPr>
        <w:t xml:space="preserve">In the field of climate action there will be two sub-programmes: </w:t>
      </w:r>
      <w:r w:rsidR="005D7B8B">
        <w:rPr>
          <w:rFonts w:ascii="Times New Roman" w:eastAsia="Times New Roman" w:hAnsi="Times New Roman" w:cs="Times New Roman"/>
          <w:sz w:val="24"/>
          <w:szCs w:val="24"/>
        </w:rPr>
        <w:t>‘</w:t>
      </w:r>
      <w:r w:rsidRPr="000B795E">
        <w:rPr>
          <w:rFonts w:ascii="Times New Roman" w:eastAsia="Times New Roman" w:hAnsi="Times New Roman" w:cs="Times New Roman"/>
          <w:sz w:val="24"/>
          <w:szCs w:val="24"/>
        </w:rPr>
        <w:t>Climate Change Mitigation and Adaptation</w:t>
      </w:r>
      <w:r w:rsidR="005D7B8B">
        <w:rPr>
          <w:rFonts w:ascii="Times New Roman" w:eastAsia="Times New Roman" w:hAnsi="Times New Roman" w:cs="Times New Roman"/>
          <w:sz w:val="24"/>
          <w:szCs w:val="24"/>
        </w:rPr>
        <w:t>’</w:t>
      </w:r>
      <w:r w:rsidRPr="000B795E">
        <w:rPr>
          <w:rFonts w:ascii="Times New Roman" w:eastAsia="Times New Roman" w:hAnsi="Times New Roman" w:cs="Times New Roman"/>
          <w:sz w:val="24"/>
          <w:szCs w:val="24"/>
        </w:rPr>
        <w:t xml:space="preserve"> and </w:t>
      </w:r>
      <w:r w:rsidR="005D7B8B">
        <w:rPr>
          <w:rFonts w:ascii="Times New Roman" w:eastAsia="Times New Roman" w:hAnsi="Times New Roman" w:cs="Times New Roman"/>
          <w:sz w:val="24"/>
          <w:szCs w:val="24"/>
        </w:rPr>
        <w:t>‘</w:t>
      </w:r>
      <w:r w:rsidRPr="000B795E">
        <w:rPr>
          <w:rFonts w:ascii="Times New Roman" w:eastAsia="Times New Roman" w:hAnsi="Times New Roman" w:cs="Times New Roman"/>
          <w:sz w:val="24"/>
          <w:szCs w:val="24"/>
        </w:rPr>
        <w:t>Clean Energy Trans</w:t>
      </w:r>
      <w:r w:rsidR="00E90CED">
        <w:rPr>
          <w:rFonts w:ascii="Times New Roman" w:eastAsia="Times New Roman" w:hAnsi="Times New Roman" w:cs="Times New Roman"/>
          <w:sz w:val="24"/>
          <w:szCs w:val="24"/>
        </w:rPr>
        <w:t>ition</w:t>
      </w:r>
      <w:r w:rsidR="005D7B8B">
        <w:rPr>
          <w:rFonts w:ascii="Times New Roman" w:eastAsia="Times New Roman" w:hAnsi="Times New Roman" w:cs="Times New Roman"/>
          <w:sz w:val="24"/>
          <w:szCs w:val="24"/>
        </w:rPr>
        <w:t>’</w:t>
      </w:r>
      <w:r w:rsidRPr="000B795E">
        <w:rPr>
          <w:rFonts w:ascii="Times New Roman" w:eastAsia="Times New Roman" w:hAnsi="Times New Roman" w:cs="Times New Roman"/>
          <w:sz w:val="24"/>
          <w:szCs w:val="24"/>
        </w:rPr>
        <w:t xml:space="preserve">. The size of </w:t>
      </w:r>
      <w:r w:rsidR="005D7B8B">
        <w:rPr>
          <w:rFonts w:ascii="Times New Roman" w:eastAsia="Times New Roman" w:hAnsi="Times New Roman" w:cs="Times New Roman"/>
          <w:sz w:val="24"/>
          <w:szCs w:val="24"/>
        </w:rPr>
        <w:t xml:space="preserve">the </w:t>
      </w:r>
      <w:r w:rsidRPr="000B795E">
        <w:rPr>
          <w:rFonts w:ascii="Times New Roman" w:eastAsia="Times New Roman" w:hAnsi="Times New Roman" w:cs="Times New Roman"/>
          <w:sz w:val="24"/>
          <w:szCs w:val="24"/>
        </w:rPr>
        <w:t xml:space="preserve">Climate Action budget </w:t>
      </w:r>
      <w:r w:rsidR="00BD014F">
        <w:rPr>
          <w:rFonts w:ascii="Times New Roman" w:eastAsia="Times New Roman" w:hAnsi="Times New Roman" w:cs="Times New Roman"/>
          <w:sz w:val="24"/>
          <w:szCs w:val="24"/>
        </w:rPr>
        <w:t xml:space="preserve">during </w:t>
      </w:r>
      <w:r w:rsidRPr="000B795E">
        <w:rPr>
          <w:rFonts w:ascii="Times New Roman" w:eastAsia="Times New Roman" w:hAnsi="Times New Roman" w:cs="Times New Roman"/>
          <w:sz w:val="24"/>
          <w:szCs w:val="24"/>
        </w:rPr>
        <w:t>2021-2027 is expected to</w:t>
      </w:r>
      <w:r w:rsidR="005D7B8B">
        <w:rPr>
          <w:rFonts w:ascii="Times New Roman" w:eastAsia="Times New Roman" w:hAnsi="Times New Roman" w:cs="Times New Roman"/>
          <w:sz w:val="24"/>
          <w:szCs w:val="24"/>
        </w:rPr>
        <w:t xml:space="preserve"> be</w:t>
      </w:r>
      <w:r w:rsidRPr="000B795E">
        <w:rPr>
          <w:rFonts w:ascii="Times New Roman" w:eastAsia="Times New Roman" w:hAnsi="Times New Roman" w:cs="Times New Roman"/>
          <w:sz w:val="24"/>
          <w:szCs w:val="24"/>
        </w:rPr>
        <w:t xml:space="preserve"> some EUR 1 billion. The activities of the sub-programme Clean Energy Transition are currently funded by Horizon 2020 and will be endowed with a similar budget.</w:t>
      </w:r>
      <w:r w:rsidRPr="000B795E">
        <w:rPr>
          <w:rFonts w:ascii="Times New Roman" w:eastAsia="Times New Roman" w:hAnsi="Times New Roman" w:cs="Times New Roman"/>
        </w:rPr>
        <w:t xml:space="preserve"> </w:t>
      </w:r>
    </w:p>
    <w:p w14:paraId="2427B830" w14:textId="21A614D0" w:rsidR="00355431" w:rsidRPr="000B795E" w:rsidRDefault="00355431" w:rsidP="00E04ACD">
      <w:pPr>
        <w:jc w:val="both"/>
        <w:rPr>
          <w:rFonts w:ascii="Times New Roman" w:eastAsia="Times New Roman" w:hAnsi="Times New Roman" w:cs="Times New Roman"/>
        </w:rPr>
      </w:pPr>
      <w:r>
        <w:rPr>
          <w:noProof/>
          <w:lang w:eastAsia="en-GB"/>
        </w:rPr>
        <w:drawing>
          <wp:inline distT="0" distB="0" distL="0" distR="0" wp14:anchorId="7B7926C8" wp14:editId="0F48387A">
            <wp:extent cx="5731510" cy="2717800"/>
            <wp:effectExtent l="0" t="0" r="2540" b="63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767DD1C" w14:textId="45A95B89" w:rsidR="000B795E" w:rsidRDefault="003F37D2" w:rsidP="00E04ACD">
      <w:pPr>
        <w:pStyle w:val="Caption"/>
        <w:jc w:val="both"/>
      </w:pPr>
      <w:r>
        <w:t xml:space="preserve">Figure </w:t>
      </w:r>
      <w:fldSimple w:instr=" SEQ Figure \* ARABIC ">
        <w:r w:rsidR="006E3709">
          <w:rPr>
            <w:noProof/>
          </w:rPr>
          <w:t>14</w:t>
        </w:r>
      </w:fldSimple>
      <w:r>
        <w:t xml:space="preserve">: </w:t>
      </w:r>
      <w:r w:rsidRPr="00983E27">
        <w:t>Proposed budget allocation for LIFE</w:t>
      </w:r>
      <w:r>
        <w:t xml:space="preserve"> 2021-2027</w:t>
      </w:r>
    </w:p>
    <w:p w14:paraId="469A6053" w14:textId="3435B1A4" w:rsidR="00F47D23" w:rsidRDefault="00F47D23" w:rsidP="00446D1E">
      <w:pPr>
        <w:spacing w:after="0"/>
        <w:rPr>
          <w:rFonts w:asciiTheme="majorHAnsi" w:eastAsiaTheme="majorEastAsia" w:hAnsiTheme="majorHAnsi" w:cstheme="majorBidi"/>
          <w:color w:val="2E74B5" w:themeColor="accent1" w:themeShade="BF"/>
          <w:sz w:val="32"/>
          <w:szCs w:val="32"/>
        </w:rPr>
      </w:pPr>
    </w:p>
    <w:p w14:paraId="2B6E323C" w14:textId="7C47A006" w:rsidR="008E5BD7" w:rsidRDefault="00E04ACD" w:rsidP="00446D1E">
      <w:pPr>
        <w:pStyle w:val="Heading1"/>
        <w:spacing w:before="0" w:after="240"/>
        <w:ind w:left="714" w:hanging="357"/>
        <w:jc w:val="both"/>
      </w:pPr>
      <w:r>
        <w:t xml:space="preserve">ADAPTING TO CLIMATE CHANGE </w:t>
      </w:r>
    </w:p>
    <w:p w14:paraId="44FDECCC" w14:textId="04A386FE" w:rsidR="00F47D23" w:rsidRDefault="00F47D23" w:rsidP="00F47D23">
      <w:pPr>
        <w:spacing w:after="120"/>
        <w:jc w:val="both"/>
        <w:rPr>
          <w:rFonts w:ascii="Times New Roman" w:hAnsi="Times New Roman" w:cs="Times New Roman"/>
          <w:noProof/>
          <w:sz w:val="24"/>
          <w:szCs w:val="24"/>
        </w:rPr>
      </w:pPr>
      <w:r>
        <w:rPr>
          <w:rFonts w:ascii="Times New Roman" w:hAnsi="Times New Roman" w:cs="Times New Roman"/>
          <w:noProof/>
          <w:sz w:val="24"/>
          <w:szCs w:val="24"/>
        </w:rPr>
        <w:t xml:space="preserve">Over the last year, further progress has been achieved </w:t>
      </w:r>
      <w:r w:rsidR="00BD014F">
        <w:rPr>
          <w:rFonts w:ascii="Times New Roman" w:hAnsi="Times New Roman" w:cs="Times New Roman"/>
          <w:noProof/>
          <w:sz w:val="24"/>
          <w:szCs w:val="24"/>
        </w:rPr>
        <w:t xml:space="preserve">under </w:t>
      </w:r>
      <w:r>
        <w:rPr>
          <w:rFonts w:ascii="Times New Roman" w:hAnsi="Times New Roman" w:cs="Times New Roman"/>
          <w:noProof/>
          <w:sz w:val="24"/>
          <w:szCs w:val="24"/>
        </w:rPr>
        <w:t xml:space="preserve">the EU Adaptation Strategy, which was adopted in 2013 to prepare Member States for current and future climate impacts: </w:t>
      </w:r>
    </w:p>
    <w:p w14:paraId="5C72161D" w14:textId="57042285" w:rsidR="00F47D23" w:rsidRDefault="00F47D23" w:rsidP="00F47D23">
      <w:pPr>
        <w:pStyle w:val="ListParagraph"/>
        <w:numPr>
          <w:ilvl w:val="0"/>
          <w:numId w:val="3"/>
        </w:numPr>
        <w:spacing w:after="120" w:line="276" w:lineRule="auto"/>
        <w:ind w:left="850" w:hanging="425"/>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26 Member States have </w:t>
      </w:r>
      <w:r w:rsidR="00BD014F">
        <w:rPr>
          <w:rFonts w:ascii="Times New Roman" w:hAnsi="Times New Roman" w:cs="Times New Roman"/>
          <w:noProof/>
          <w:sz w:val="24"/>
          <w:szCs w:val="24"/>
        </w:rPr>
        <w:t xml:space="preserve">now </w:t>
      </w:r>
      <w:r>
        <w:rPr>
          <w:rFonts w:ascii="Times New Roman" w:hAnsi="Times New Roman" w:cs="Times New Roman"/>
          <w:noProof/>
          <w:sz w:val="24"/>
          <w:szCs w:val="24"/>
        </w:rPr>
        <w:t xml:space="preserve">a national adaptation strategy </w:t>
      </w:r>
      <w:r w:rsidR="00BD014F">
        <w:rPr>
          <w:rFonts w:ascii="Times New Roman" w:hAnsi="Times New Roman" w:cs="Times New Roman"/>
          <w:noProof/>
          <w:sz w:val="24"/>
          <w:szCs w:val="24"/>
        </w:rPr>
        <w:t xml:space="preserve">in place, while </w:t>
      </w:r>
      <w:r>
        <w:rPr>
          <w:rFonts w:ascii="Times New Roman" w:hAnsi="Times New Roman" w:cs="Times New Roman"/>
          <w:noProof/>
          <w:sz w:val="24"/>
          <w:szCs w:val="24"/>
        </w:rPr>
        <w:t xml:space="preserve">the </w:t>
      </w:r>
      <w:r w:rsidR="00BD014F">
        <w:rPr>
          <w:rFonts w:ascii="Times New Roman" w:hAnsi="Times New Roman" w:cs="Times New Roman"/>
          <w:noProof/>
          <w:sz w:val="24"/>
          <w:szCs w:val="24"/>
        </w:rPr>
        <w:t xml:space="preserve">other Member States </w:t>
      </w:r>
      <w:r>
        <w:rPr>
          <w:rFonts w:ascii="Times New Roman" w:hAnsi="Times New Roman" w:cs="Times New Roman"/>
          <w:noProof/>
          <w:sz w:val="24"/>
          <w:szCs w:val="24"/>
        </w:rPr>
        <w:t>are close to finalis</w:t>
      </w:r>
      <w:r w:rsidR="00BD014F">
        <w:rPr>
          <w:rFonts w:ascii="Times New Roman" w:hAnsi="Times New Roman" w:cs="Times New Roman"/>
          <w:noProof/>
          <w:sz w:val="24"/>
          <w:szCs w:val="24"/>
        </w:rPr>
        <w:t>ing their strategies</w:t>
      </w:r>
      <w:r>
        <w:rPr>
          <w:rFonts w:ascii="Times New Roman" w:hAnsi="Times New Roman" w:cs="Times New Roman"/>
          <w:noProof/>
          <w:sz w:val="24"/>
          <w:szCs w:val="24"/>
          <w:vertAlign w:val="superscript"/>
        </w:rPr>
        <w:footnoteReference w:id="40"/>
      </w:r>
      <w:r w:rsidR="00BD014F">
        <w:rPr>
          <w:rFonts w:ascii="Times New Roman" w:hAnsi="Times New Roman" w:cs="Times New Roman"/>
          <w:noProof/>
          <w:sz w:val="24"/>
          <w:szCs w:val="24"/>
        </w:rPr>
        <w:t>;</w:t>
      </w:r>
      <w:r>
        <w:rPr>
          <w:rFonts w:ascii="Times New Roman" w:hAnsi="Times New Roman" w:cs="Times New Roman"/>
          <w:noProof/>
          <w:sz w:val="24"/>
          <w:szCs w:val="24"/>
        </w:rPr>
        <w:t xml:space="preserve"> </w:t>
      </w:r>
    </w:p>
    <w:p w14:paraId="1FC745BB" w14:textId="1BD8EE74" w:rsidR="00F47D23" w:rsidRDefault="00F47D23" w:rsidP="00F47D23">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more than </w:t>
      </w:r>
      <w:r w:rsidRPr="7663D033">
        <w:rPr>
          <w:rFonts w:ascii="Times New Roman" w:hAnsi="Times New Roman" w:cs="Times New Roman"/>
          <w:noProof/>
          <w:sz w:val="24"/>
          <w:szCs w:val="24"/>
        </w:rPr>
        <w:t>1 </w:t>
      </w:r>
      <w:r w:rsidRPr="00217444">
        <w:rPr>
          <w:rFonts w:ascii="Times New Roman" w:hAnsi="Times New Roman" w:cs="Times New Roman"/>
          <w:noProof/>
          <w:sz w:val="24"/>
          <w:szCs w:val="24"/>
        </w:rPr>
        <w:t>9</w:t>
      </w:r>
      <w:r w:rsidRPr="7663D033">
        <w:rPr>
          <w:rFonts w:ascii="Times New Roman" w:hAnsi="Times New Roman" w:cs="Times New Roman"/>
          <w:noProof/>
          <w:sz w:val="24"/>
          <w:szCs w:val="24"/>
        </w:rPr>
        <w:t xml:space="preserve">00 cities </w:t>
      </w:r>
      <w:r w:rsidRPr="00217444">
        <w:rPr>
          <w:rFonts w:ascii="Times New Roman" w:hAnsi="Times New Roman" w:cs="Times New Roman"/>
          <w:noProof/>
          <w:sz w:val="24"/>
          <w:szCs w:val="24"/>
        </w:rPr>
        <w:t xml:space="preserve">and towns </w:t>
      </w:r>
      <w:r w:rsidRPr="7663D033">
        <w:rPr>
          <w:rFonts w:ascii="Times New Roman" w:hAnsi="Times New Roman" w:cs="Times New Roman"/>
          <w:noProof/>
          <w:sz w:val="24"/>
          <w:szCs w:val="24"/>
        </w:rPr>
        <w:t xml:space="preserve">in Europe </w:t>
      </w:r>
      <w:r w:rsidR="00BD014F">
        <w:rPr>
          <w:rFonts w:ascii="Times New Roman" w:hAnsi="Times New Roman" w:cs="Times New Roman"/>
          <w:noProof/>
          <w:sz w:val="24"/>
          <w:szCs w:val="24"/>
        </w:rPr>
        <w:t xml:space="preserve">have </w:t>
      </w:r>
      <w:r w:rsidRPr="7663D033">
        <w:rPr>
          <w:rFonts w:ascii="Times New Roman" w:hAnsi="Times New Roman" w:cs="Times New Roman"/>
          <w:noProof/>
          <w:sz w:val="24"/>
          <w:szCs w:val="24"/>
        </w:rPr>
        <w:t xml:space="preserve">committed </w:t>
      </w:r>
      <w:r>
        <w:rPr>
          <w:rFonts w:ascii="Times New Roman" w:hAnsi="Times New Roman" w:cs="Times New Roman"/>
          <w:noProof/>
          <w:sz w:val="24"/>
          <w:szCs w:val="24"/>
        </w:rPr>
        <w:t>through the Covenant of Mayors</w:t>
      </w:r>
      <w:r w:rsidRPr="7663D033">
        <w:rPr>
          <w:rFonts w:ascii="Times New Roman" w:hAnsi="Times New Roman" w:cs="Times New Roman"/>
          <w:noProof/>
          <w:sz w:val="24"/>
          <w:szCs w:val="24"/>
        </w:rPr>
        <w:t xml:space="preserve"> to enhancing their</w:t>
      </w:r>
      <w:r>
        <w:rPr>
          <w:rFonts w:ascii="Times New Roman" w:hAnsi="Times New Roman" w:cs="Times New Roman"/>
          <w:noProof/>
          <w:sz w:val="24"/>
          <w:szCs w:val="24"/>
        </w:rPr>
        <w:t xml:space="preserve"> climate</w:t>
      </w:r>
      <w:r w:rsidRPr="7663D033">
        <w:rPr>
          <w:rFonts w:ascii="Times New Roman" w:hAnsi="Times New Roman" w:cs="Times New Roman"/>
          <w:noProof/>
          <w:sz w:val="24"/>
          <w:szCs w:val="24"/>
        </w:rPr>
        <w:t xml:space="preserve"> resilience</w:t>
      </w:r>
      <w:r>
        <w:rPr>
          <w:rFonts w:ascii="Times New Roman" w:hAnsi="Times New Roman" w:cs="Times New Roman"/>
          <w:noProof/>
          <w:sz w:val="24"/>
          <w:szCs w:val="24"/>
        </w:rPr>
        <w:t xml:space="preserve"> (increase of </w:t>
      </w:r>
      <w:r w:rsidR="005D7B8B">
        <w:rPr>
          <w:rFonts w:ascii="Times New Roman" w:hAnsi="Times New Roman" w:cs="Times New Roman"/>
          <w:noProof/>
          <w:sz w:val="24"/>
          <w:szCs w:val="24"/>
        </w:rPr>
        <w:t xml:space="preserve">some </w:t>
      </w:r>
      <w:r>
        <w:rPr>
          <w:rFonts w:ascii="Times New Roman" w:hAnsi="Times New Roman" w:cs="Times New Roman"/>
          <w:noProof/>
          <w:sz w:val="24"/>
          <w:szCs w:val="24"/>
        </w:rPr>
        <w:t>900 since 2018)</w:t>
      </w:r>
      <w:r w:rsidRPr="7663D033">
        <w:rPr>
          <w:rFonts w:ascii="Times New Roman" w:hAnsi="Times New Roman" w:cs="Times New Roman"/>
          <w:noProof/>
          <w:sz w:val="24"/>
          <w:szCs w:val="24"/>
        </w:rPr>
        <w:t>;</w:t>
      </w:r>
    </w:p>
    <w:p w14:paraId="3ACADFB1" w14:textId="25E1E069" w:rsidR="00F47D23" w:rsidRPr="005458D9" w:rsidRDefault="00F47D23" w:rsidP="00F47D23">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cs="Times New Roman"/>
          <w:noProof/>
          <w:sz w:val="24"/>
          <w:szCs w:val="24"/>
        </w:rPr>
        <w:t xml:space="preserve">several draft </w:t>
      </w:r>
      <w:r w:rsidR="00BD014F">
        <w:rPr>
          <w:rFonts w:ascii="Times New Roman" w:hAnsi="Times New Roman" w:cs="Times New Roman"/>
          <w:noProof/>
          <w:sz w:val="24"/>
          <w:szCs w:val="24"/>
        </w:rPr>
        <w:t>n</w:t>
      </w:r>
      <w:r>
        <w:rPr>
          <w:rFonts w:ascii="Times New Roman" w:hAnsi="Times New Roman" w:cs="Times New Roman"/>
          <w:noProof/>
          <w:sz w:val="24"/>
          <w:szCs w:val="24"/>
        </w:rPr>
        <w:t xml:space="preserve">ational </w:t>
      </w:r>
      <w:r w:rsidR="00BD014F">
        <w:rPr>
          <w:rFonts w:ascii="Times New Roman" w:hAnsi="Times New Roman" w:cs="Times New Roman"/>
          <w:noProof/>
          <w:sz w:val="24"/>
          <w:szCs w:val="24"/>
        </w:rPr>
        <w:t>e</w:t>
      </w:r>
      <w:r>
        <w:rPr>
          <w:rFonts w:ascii="Times New Roman" w:hAnsi="Times New Roman" w:cs="Times New Roman"/>
          <w:noProof/>
          <w:sz w:val="24"/>
          <w:szCs w:val="24"/>
        </w:rPr>
        <w:t xml:space="preserve">nergy and </w:t>
      </w:r>
      <w:r w:rsidR="00BD014F">
        <w:rPr>
          <w:rFonts w:ascii="Times New Roman" w:hAnsi="Times New Roman" w:cs="Times New Roman"/>
          <w:noProof/>
          <w:sz w:val="24"/>
          <w:szCs w:val="24"/>
        </w:rPr>
        <w:t>c</w:t>
      </w:r>
      <w:r>
        <w:rPr>
          <w:rFonts w:ascii="Times New Roman" w:hAnsi="Times New Roman" w:cs="Times New Roman"/>
          <w:noProof/>
          <w:sz w:val="24"/>
          <w:szCs w:val="24"/>
        </w:rPr>
        <w:t xml:space="preserve">limate </w:t>
      </w:r>
      <w:r w:rsidR="00BD014F">
        <w:rPr>
          <w:rFonts w:ascii="Times New Roman" w:hAnsi="Times New Roman" w:cs="Times New Roman"/>
          <w:noProof/>
          <w:sz w:val="24"/>
          <w:szCs w:val="24"/>
        </w:rPr>
        <w:t>p</w:t>
      </w:r>
      <w:r>
        <w:rPr>
          <w:rFonts w:ascii="Times New Roman" w:hAnsi="Times New Roman" w:cs="Times New Roman"/>
          <w:noProof/>
          <w:sz w:val="24"/>
          <w:szCs w:val="24"/>
        </w:rPr>
        <w:t>lans</w:t>
      </w:r>
      <w:r w:rsidRPr="000829BF">
        <w:rPr>
          <w:rFonts w:ascii="Times New Roman" w:hAnsi="Times New Roman" w:cs="Times New Roman"/>
          <w:noProof/>
          <w:sz w:val="24"/>
          <w:szCs w:val="24"/>
        </w:rPr>
        <w:t xml:space="preserve"> </w:t>
      </w:r>
      <w:r w:rsidR="00BD014F">
        <w:rPr>
          <w:rFonts w:ascii="Times New Roman" w:hAnsi="Times New Roman" w:cs="Times New Roman"/>
          <w:noProof/>
          <w:sz w:val="24"/>
          <w:szCs w:val="24"/>
        </w:rPr>
        <w:t xml:space="preserve">contain </w:t>
      </w:r>
      <w:r>
        <w:rPr>
          <w:rFonts w:ascii="Times New Roman" w:hAnsi="Times New Roman" w:cs="Times New Roman"/>
          <w:noProof/>
          <w:sz w:val="24"/>
          <w:szCs w:val="24"/>
        </w:rPr>
        <w:t xml:space="preserve">adaptation goals; </w:t>
      </w:r>
    </w:p>
    <w:p w14:paraId="13F44B17" w14:textId="40499BD8" w:rsidR="00F47D23" w:rsidRPr="0030411A" w:rsidRDefault="0030411A" w:rsidP="00363932">
      <w:pPr>
        <w:pStyle w:val="ListParagraph"/>
        <w:numPr>
          <w:ilvl w:val="0"/>
          <w:numId w:val="3"/>
        </w:numPr>
        <w:spacing w:after="200" w:line="276" w:lineRule="auto"/>
        <w:ind w:left="850" w:hanging="425"/>
        <w:contextualSpacing w:val="0"/>
        <w:jc w:val="both"/>
        <w:rPr>
          <w:noProof/>
          <w:sz w:val="24"/>
          <w:szCs w:val="24"/>
        </w:rPr>
      </w:pPr>
      <w:r w:rsidRPr="0030411A">
        <w:rPr>
          <w:rFonts w:ascii="Times New Roman" w:hAnsi="Times New Roman" w:cs="Times New Roman"/>
          <w:noProof/>
          <w:sz w:val="24"/>
          <w:szCs w:val="24"/>
        </w:rPr>
        <w:t>the CLIMATE-Adapt platform has been upgraded;</w:t>
      </w:r>
    </w:p>
    <w:p w14:paraId="1DF17744" w14:textId="083017BF" w:rsidR="00F47D23" w:rsidRPr="005458D9" w:rsidRDefault="00F47D23" w:rsidP="00F47D23">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cs="Times New Roman"/>
          <w:noProof/>
          <w:sz w:val="24"/>
          <w:szCs w:val="24"/>
        </w:rPr>
        <w:t xml:space="preserve">the </w:t>
      </w:r>
      <w:r w:rsidR="005D7B8B">
        <w:rPr>
          <w:rFonts w:ascii="Times New Roman" w:hAnsi="Times New Roman" w:cs="Times New Roman"/>
          <w:noProof/>
          <w:sz w:val="24"/>
          <w:szCs w:val="24"/>
        </w:rPr>
        <w:t xml:space="preserve">European </w:t>
      </w:r>
      <w:r>
        <w:rPr>
          <w:rFonts w:ascii="Times New Roman" w:hAnsi="Times New Roman" w:cs="Times New Roman"/>
          <w:noProof/>
          <w:sz w:val="24"/>
          <w:szCs w:val="24"/>
        </w:rPr>
        <w:t xml:space="preserve">Commission </w:t>
      </w:r>
      <w:r w:rsidR="00BD014F">
        <w:rPr>
          <w:rFonts w:ascii="Times New Roman" w:hAnsi="Times New Roman" w:cs="Times New Roman"/>
          <w:noProof/>
          <w:sz w:val="24"/>
          <w:szCs w:val="24"/>
        </w:rPr>
        <w:t xml:space="preserve">has </w:t>
      </w:r>
      <w:r>
        <w:rPr>
          <w:rFonts w:ascii="Times New Roman" w:hAnsi="Times New Roman" w:cs="Times New Roman"/>
          <w:noProof/>
          <w:sz w:val="24"/>
          <w:szCs w:val="24"/>
        </w:rPr>
        <w:t>released an update of its PESETA study</w:t>
      </w:r>
      <w:r>
        <w:rPr>
          <w:rStyle w:val="FootnoteReference"/>
          <w:rFonts w:ascii="Times New Roman" w:hAnsi="Times New Roman" w:cs="Times New Roman"/>
          <w:noProof/>
          <w:sz w:val="24"/>
          <w:szCs w:val="24"/>
        </w:rPr>
        <w:footnoteReference w:id="41"/>
      </w:r>
      <w:r>
        <w:rPr>
          <w:rFonts w:ascii="Times New Roman" w:hAnsi="Times New Roman" w:cs="Times New Roman"/>
          <w:noProof/>
          <w:sz w:val="24"/>
          <w:szCs w:val="24"/>
        </w:rPr>
        <w:t xml:space="preserve"> on a range of climate impacts, including an economic assessment;</w:t>
      </w:r>
    </w:p>
    <w:p w14:paraId="5379313C" w14:textId="69DF87FB" w:rsidR="004C23CE" w:rsidRDefault="00F47D23" w:rsidP="00F47D23">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sidRPr="005458D9">
        <w:rPr>
          <w:rFonts w:ascii="Times New Roman" w:hAnsi="Times New Roman" w:cs="Times New Roman"/>
          <w:noProof/>
          <w:sz w:val="24"/>
          <w:szCs w:val="24"/>
        </w:rPr>
        <w:t xml:space="preserve">LIFE </w:t>
      </w:r>
      <w:r>
        <w:rPr>
          <w:rFonts w:ascii="Times New Roman" w:hAnsi="Times New Roman" w:cs="Times New Roman"/>
          <w:noProof/>
          <w:sz w:val="24"/>
          <w:szCs w:val="24"/>
        </w:rPr>
        <w:t xml:space="preserve">programme </w:t>
      </w:r>
      <w:r w:rsidRPr="005458D9">
        <w:rPr>
          <w:rFonts w:ascii="Times New Roman" w:hAnsi="Times New Roman" w:cs="Times New Roman"/>
          <w:noProof/>
          <w:sz w:val="24"/>
          <w:szCs w:val="24"/>
        </w:rPr>
        <w:t>fund</w:t>
      </w:r>
      <w:r>
        <w:rPr>
          <w:rFonts w:ascii="Times New Roman" w:hAnsi="Times New Roman" w:cs="Times New Roman"/>
          <w:noProof/>
          <w:sz w:val="24"/>
          <w:szCs w:val="24"/>
        </w:rPr>
        <w:t>s</w:t>
      </w:r>
      <w:r w:rsidRPr="005458D9">
        <w:rPr>
          <w:rFonts w:ascii="Times New Roman" w:hAnsi="Times New Roman" w:cs="Times New Roman"/>
          <w:noProof/>
          <w:sz w:val="24"/>
          <w:szCs w:val="24"/>
        </w:rPr>
        <w:t xml:space="preserve"> adaptation projects in crucial areas </w:t>
      </w:r>
      <w:r>
        <w:rPr>
          <w:rFonts w:ascii="Times New Roman" w:hAnsi="Times New Roman" w:cs="Times New Roman"/>
          <w:noProof/>
          <w:sz w:val="24"/>
          <w:szCs w:val="24"/>
        </w:rPr>
        <w:t>e.g.</w:t>
      </w:r>
      <w:r w:rsidRPr="005458D9">
        <w:rPr>
          <w:rFonts w:ascii="Times New Roman" w:hAnsi="Times New Roman" w:cs="Times New Roman"/>
          <w:noProof/>
          <w:sz w:val="24"/>
          <w:szCs w:val="24"/>
        </w:rPr>
        <w:t xml:space="preserve"> water resources. </w:t>
      </w:r>
    </w:p>
    <w:p w14:paraId="3F7084F2" w14:textId="77777777" w:rsidR="004C23CE" w:rsidRDefault="004C23CE">
      <w:pPr>
        <w:rPr>
          <w:rFonts w:ascii="Times New Roman" w:hAnsi="Times New Roman" w:cs="Times New Roman"/>
          <w:noProof/>
          <w:sz w:val="24"/>
          <w:szCs w:val="24"/>
        </w:rPr>
      </w:pPr>
      <w:r>
        <w:rPr>
          <w:rFonts w:ascii="Times New Roman" w:hAnsi="Times New Roman" w:cs="Times New Roman"/>
          <w:noProof/>
          <w:sz w:val="24"/>
          <w:szCs w:val="24"/>
        </w:rPr>
        <w:br w:type="page"/>
      </w:r>
    </w:p>
    <w:p w14:paraId="5D96072E" w14:textId="7015385B" w:rsidR="00F47D23" w:rsidRDefault="00F47D23" w:rsidP="00F47D23">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noProof/>
          <w:sz w:val="24"/>
          <w:szCs w:val="24"/>
        </w:rPr>
      </w:pPr>
      <w:r w:rsidRPr="00F47D23">
        <w:rPr>
          <w:rFonts w:ascii="Times New Roman" w:hAnsi="Times New Roman" w:cs="Times New Roman"/>
          <w:noProof/>
          <w:sz w:val="24"/>
          <w:szCs w:val="24"/>
        </w:rPr>
        <w:t>The AgroClimaWater</w:t>
      </w:r>
      <w:r w:rsidRPr="00F47D23">
        <w:rPr>
          <w:rStyle w:val="FootnoteReference"/>
          <w:rFonts w:ascii="Times New Roman" w:hAnsi="Times New Roman" w:cs="Times New Roman"/>
          <w:noProof/>
          <w:sz w:val="24"/>
          <w:szCs w:val="24"/>
        </w:rPr>
        <w:footnoteReference w:id="42"/>
      </w:r>
      <w:r w:rsidRPr="00F47D23">
        <w:rPr>
          <w:rFonts w:ascii="Times New Roman" w:hAnsi="Times New Roman" w:cs="Times New Roman"/>
          <w:noProof/>
          <w:sz w:val="24"/>
          <w:szCs w:val="24"/>
        </w:rPr>
        <w:t xml:space="preserve"> project promotes water efficiency and supports </w:t>
      </w:r>
      <w:r w:rsidR="00BD014F">
        <w:rPr>
          <w:rFonts w:ascii="Times New Roman" w:hAnsi="Times New Roman" w:cs="Times New Roman"/>
          <w:noProof/>
          <w:sz w:val="24"/>
          <w:szCs w:val="24"/>
        </w:rPr>
        <w:t>a</w:t>
      </w:r>
      <w:r w:rsidR="00BD014F" w:rsidRPr="00F47D23">
        <w:rPr>
          <w:rFonts w:ascii="Times New Roman" w:hAnsi="Times New Roman" w:cs="Times New Roman"/>
          <w:noProof/>
          <w:sz w:val="24"/>
          <w:szCs w:val="24"/>
        </w:rPr>
        <w:t xml:space="preserve"> </w:t>
      </w:r>
      <w:r w:rsidRPr="00F47D23">
        <w:rPr>
          <w:rFonts w:ascii="Times New Roman" w:hAnsi="Times New Roman" w:cs="Times New Roman"/>
          <w:noProof/>
          <w:sz w:val="24"/>
          <w:szCs w:val="24"/>
        </w:rPr>
        <w:t xml:space="preserve">shift to more climate-resilient agriculture in Mediterranean countries. </w:t>
      </w:r>
      <w:r w:rsidR="00BD014F">
        <w:rPr>
          <w:rFonts w:ascii="Times New Roman" w:hAnsi="Times New Roman" w:cs="Times New Roman"/>
          <w:noProof/>
          <w:sz w:val="24"/>
          <w:szCs w:val="24"/>
        </w:rPr>
        <w:t xml:space="preserve">LIFE programme provides </w:t>
      </w:r>
      <w:r w:rsidRPr="00F47D23">
        <w:rPr>
          <w:rFonts w:ascii="Times New Roman" w:hAnsi="Times New Roman" w:cs="Times New Roman"/>
          <w:noProof/>
          <w:sz w:val="24"/>
          <w:szCs w:val="24"/>
        </w:rPr>
        <w:t>EUR 1.4 million</w:t>
      </w:r>
      <w:r w:rsidR="00BD014F">
        <w:rPr>
          <w:rFonts w:ascii="Times New Roman" w:hAnsi="Times New Roman" w:cs="Times New Roman"/>
          <w:noProof/>
          <w:sz w:val="24"/>
          <w:szCs w:val="24"/>
        </w:rPr>
        <w:t>of support to it.</w:t>
      </w:r>
      <w:r w:rsidRPr="00F47D23">
        <w:rPr>
          <w:rFonts w:ascii="Times New Roman" w:hAnsi="Times New Roman" w:cs="Times New Roman"/>
          <w:noProof/>
          <w:sz w:val="24"/>
          <w:szCs w:val="24"/>
        </w:rPr>
        <w:t xml:space="preserve">. </w:t>
      </w:r>
    </w:p>
    <w:p w14:paraId="6B62BA37" w14:textId="5BC1767A" w:rsidR="00F47D23" w:rsidRPr="00F47D23" w:rsidRDefault="00F47D23" w:rsidP="00F47D23">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noProof/>
          <w:sz w:val="24"/>
          <w:szCs w:val="24"/>
        </w:rPr>
      </w:pPr>
      <w:r w:rsidRPr="00F47D23">
        <w:rPr>
          <w:rFonts w:ascii="Times New Roman" w:hAnsi="Times New Roman" w:cs="Times New Roman"/>
          <w:noProof/>
          <w:sz w:val="24"/>
          <w:szCs w:val="24"/>
        </w:rPr>
        <w:t>The pilot actions</w:t>
      </w:r>
      <w:r w:rsidR="00BD014F">
        <w:rPr>
          <w:rFonts w:ascii="Times New Roman" w:hAnsi="Times New Roman" w:cs="Times New Roman"/>
          <w:noProof/>
          <w:sz w:val="24"/>
          <w:szCs w:val="24"/>
        </w:rPr>
        <w:t xml:space="preserve"> of the project</w:t>
      </w:r>
      <w:r w:rsidRPr="00F47D23">
        <w:rPr>
          <w:rFonts w:ascii="Times New Roman" w:hAnsi="Times New Roman" w:cs="Times New Roman"/>
          <w:noProof/>
          <w:sz w:val="24"/>
          <w:szCs w:val="24"/>
        </w:rPr>
        <w:t xml:space="preserve"> focus on olive, citrus and peach orchards. The farmers taking part are adapting their methods to achieve the highest possible yields, despite low or erratic water availability. After only two years of implementation, LIFE AgroClimaWater has achieved impressive results, such as a 15% reduction in water use and 50% less nutrient use in Italy, and a 26% increased yield of the Greek pilot plots despite the extreme climate conditions in 2018.</w:t>
      </w:r>
    </w:p>
    <w:p w14:paraId="458EADA4" w14:textId="7861A328" w:rsidR="00F47D23" w:rsidRPr="00217444" w:rsidRDefault="00F47D23" w:rsidP="00F47D23">
      <w:pPr>
        <w:jc w:val="both"/>
        <w:rPr>
          <w:rFonts w:ascii="Times New Roman" w:hAnsi="Times New Roman" w:cs="Times New Roman"/>
          <w:sz w:val="24"/>
          <w:szCs w:val="24"/>
        </w:rPr>
      </w:pPr>
      <w:r>
        <w:rPr>
          <w:rFonts w:ascii="Times New Roman" w:hAnsi="Times New Roman" w:cs="Times New Roman"/>
          <w:noProof/>
          <w:sz w:val="24"/>
          <w:szCs w:val="24"/>
        </w:rPr>
        <w:t xml:space="preserve">The </w:t>
      </w:r>
      <w:r w:rsidR="00BD014F">
        <w:rPr>
          <w:rFonts w:ascii="Times New Roman" w:hAnsi="Times New Roman" w:cs="Times New Roman"/>
          <w:noProof/>
          <w:sz w:val="24"/>
          <w:szCs w:val="24"/>
        </w:rPr>
        <w:t>EU Adaptation S</w:t>
      </w:r>
      <w:r>
        <w:rPr>
          <w:rFonts w:ascii="Times New Roman" w:hAnsi="Times New Roman" w:cs="Times New Roman"/>
          <w:noProof/>
          <w:sz w:val="24"/>
          <w:szCs w:val="24"/>
        </w:rPr>
        <w:t xml:space="preserve">trategy was evaluated in 2018 with positive </w:t>
      </w:r>
      <w:r w:rsidR="00BD014F">
        <w:rPr>
          <w:rFonts w:ascii="Times New Roman" w:hAnsi="Times New Roman" w:cs="Times New Roman"/>
          <w:noProof/>
          <w:sz w:val="24"/>
          <w:szCs w:val="24"/>
        </w:rPr>
        <w:t>conclusions</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 S</w:t>
      </w:r>
      <w:r w:rsidRPr="00217444">
        <w:rPr>
          <w:rFonts w:ascii="Times New Roman" w:hAnsi="Times New Roman" w:cs="Times New Roman"/>
          <w:sz w:val="24"/>
          <w:szCs w:val="24"/>
        </w:rPr>
        <w:t xml:space="preserve">ome of the </w:t>
      </w:r>
      <w:r w:rsidRPr="00217444">
        <w:rPr>
          <w:rFonts w:ascii="Times New Roman" w:hAnsi="Times New Roman" w:cs="Times New Roman"/>
          <w:b/>
          <w:sz w:val="24"/>
          <w:szCs w:val="24"/>
        </w:rPr>
        <w:t>lessons learned</w:t>
      </w:r>
      <w:r w:rsidRPr="00217444">
        <w:rPr>
          <w:rFonts w:ascii="Times New Roman" w:hAnsi="Times New Roman" w:cs="Times New Roman"/>
          <w:sz w:val="24"/>
          <w:szCs w:val="24"/>
        </w:rPr>
        <w:t xml:space="preserve"> could help defin</w:t>
      </w:r>
      <w:r w:rsidR="00BD014F">
        <w:rPr>
          <w:rFonts w:ascii="Times New Roman" w:hAnsi="Times New Roman" w:cs="Times New Roman"/>
          <w:sz w:val="24"/>
          <w:szCs w:val="24"/>
        </w:rPr>
        <w:t>ing</w:t>
      </w:r>
      <w:r w:rsidRPr="00217444">
        <w:rPr>
          <w:rFonts w:ascii="Times New Roman" w:hAnsi="Times New Roman" w:cs="Times New Roman"/>
          <w:sz w:val="24"/>
          <w:szCs w:val="24"/>
        </w:rPr>
        <w:t xml:space="preserve"> </w:t>
      </w:r>
      <w:r w:rsidR="00BD014F">
        <w:rPr>
          <w:rFonts w:ascii="Times New Roman" w:hAnsi="Times New Roman" w:cs="Times New Roman"/>
          <w:sz w:val="24"/>
          <w:szCs w:val="24"/>
        </w:rPr>
        <w:t xml:space="preserve"> future </w:t>
      </w:r>
      <w:r w:rsidRPr="00217444">
        <w:rPr>
          <w:rFonts w:ascii="Times New Roman" w:hAnsi="Times New Roman" w:cs="Times New Roman"/>
          <w:sz w:val="24"/>
          <w:szCs w:val="24"/>
        </w:rPr>
        <w:t xml:space="preserve">adaptation </w:t>
      </w:r>
      <w:r w:rsidR="00BD014F">
        <w:rPr>
          <w:rFonts w:ascii="Times New Roman" w:hAnsi="Times New Roman" w:cs="Times New Roman"/>
          <w:sz w:val="24"/>
          <w:szCs w:val="24"/>
        </w:rPr>
        <w:t xml:space="preserve">action </w:t>
      </w:r>
      <w:r w:rsidRPr="00217444">
        <w:rPr>
          <w:rFonts w:ascii="Times New Roman" w:hAnsi="Times New Roman" w:cs="Times New Roman"/>
          <w:sz w:val="24"/>
          <w:szCs w:val="24"/>
        </w:rPr>
        <w:t>in Europe</w:t>
      </w:r>
      <w:r w:rsidR="00BD014F">
        <w:rPr>
          <w:rFonts w:ascii="Times New Roman" w:hAnsi="Times New Roman" w:cs="Times New Roman"/>
          <w:sz w:val="24"/>
          <w:szCs w:val="24"/>
        </w:rPr>
        <w:t>, f</w:t>
      </w:r>
      <w:r w:rsidRPr="00217444">
        <w:rPr>
          <w:rFonts w:ascii="Times New Roman" w:hAnsi="Times New Roman" w:cs="Times New Roman"/>
          <w:sz w:val="24"/>
          <w:szCs w:val="24"/>
        </w:rPr>
        <w:t>or example:</w:t>
      </w:r>
    </w:p>
    <w:p w14:paraId="0DA84885" w14:textId="3675782C" w:rsidR="00F47D23" w:rsidRPr="00217444" w:rsidRDefault="00F47D23" w:rsidP="00F47D23">
      <w:pPr>
        <w:pStyle w:val="ListParagraph"/>
        <w:numPr>
          <w:ilvl w:val="0"/>
          <w:numId w:val="4"/>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I</w:t>
      </w:r>
      <w:r w:rsidRPr="00C52AC6">
        <w:rPr>
          <w:rFonts w:ascii="Times New Roman" w:hAnsi="Times New Roman" w:cs="Times New Roman"/>
          <w:sz w:val="24"/>
          <w:szCs w:val="24"/>
        </w:rPr>
        <w:t>nternational developments</w:t>
      </w:r>
      <w:r w:rsidRPr="000829BF">
        <w:rPr>
          <w:rFonts w:ascii="Times New Roman" w:hAnsi="Times New Roman" w:cs="Times New Roman"/>
          <w:sz w:val="24"/>
          <w:szCs w:val="24"/>
        </w:rPr>
        <w:t xml:space="preserve"> </w:t>
      </w:r>
      <w:r w:rsidR="000459E3">
        <w:rPr>
          <w:rFonts w:ascii="Times New Roman" w:hAnsi="Times New Roman" w:cs="Times New Roman"/>
          <w:sz w:val="24"/>
          <w:szCs w:val="24"/>
        </w:rPr>
        <w:t xml:space="preserve">have brought about a </w:t>
      </w:r>
      <w:r w:rsidRPr="00217444">
        <w:rPr>
          <w:rFonts w:ascii="Times New Roman" w:hAnsi="Times New Roman" w:cs="Times New Roman"/>
          <w:sz w:val="24"/>
          <w:szCs w:val="24"/>
        </w:rPr>
        <w:t>need</w:t>
      </w:r>
      <w:r w:rsidR="000459E3">
        <w:rPr>
          <w:rFonts w:ascii="Times New Roman" w:hAnsi="Times New Roman" w:cs="Times New Roman"/>
          <w:sz w:val="24"/>
          <w:szCs w:val="24"/>
        </w:rPr>
        <w:t xml:space="preserve"> for the </w:t>
      </w:r>
      <w:r w:rsidRPr="00217444">
        <w:rPr>
          <w:rFonts w:ascii="Times New Roman" w:hAnsi="Times New Roman" w:cs="Times New Roman"/>
          <w:sz w:val="24"/>
          <w:szCs w:val="24"/>
        </w:rPr>
        <w:t xml:space="preserve">EU </w:t>
      </w:r>
      <w:r w:rsidR="000459E3">
        <w:rPr>
          <w:rFonts w:ascii="Times New Roman" w:hAnsi="Times New Roman" w:cs="Times New Roman"/>
          <w:sz w:val="24"/>
          <w:szCs w:val="24"/>
        </w:rPr>
        <w:t xml:space="preserve">to align its </w:t>
      </w:r>
      <w:r w:rsidRPr="00217444">
        <w:rPr>
          <w:rFonts w:ascii="Times New Roman" w:hAnsi="Times New Roman" w:cs="Times New Roman"/>
          <w:sz w:val="24"/>
          <w:szCs w:val="24"/>
        </w:rPr>
        <w:t xml:space="preserve">adaptation </w:t>
      </w:r>
      <w:r w:rsidR="000459E3">
        <w:rPr>
          <w:rFonts w:ascii="Times New Roman" w:hAnsi="Times New Roman" w:cs="Times New Roman"/>
          <w:sz w:val="24"/>
          <w:szCs w:val="24"/>
        </w:rPr>
        <w:t xml:space="preserve">action with </w:t>
      </w:r>
      <w:r w:rsidRPr="00217444">
        <w:rPr>
          <w:rFonts w:ascii="Times New Roman" w:hAnsi="Times New Roman" w:cs="Times New Roman"/>
          <w:sz w:val="24"/>
          <w:szCs w:val="24"/>
        </w:rPr>
        <w:t xml:space="preserve">the Paris Agreement, the Sendai Framework for Disaster Risk Reduction and the </w:t>
      </w:r>
      <w:r w:rsidR="000459E3">
        <w:rPr>
          <w:rFonts w:ascii="Times New Roman" w:hAnsi="Times New Roman" w:cs="Times New Roman"/>
          <w:sz w:val="24"/>
          <w:szCs w:val="24"/>
        </w:rPr>
        <w:t>s</w:t>
      </w:r>
      <w:r w:rsidRPr="00217444">
        <w:rPr>
          <w:rFonts w:ascii="Times New Roman" w:hAnsi="Times New Roman" w:cs="Times New Roman"/>
          <w:sz w:val="24"/>
          <w:szCs w:val="24"/>
        </w:rPr>
        <w:t xml:space="preserve">ustainable </w:t>
      </w:r>
      <w:r w:rsidR="000459E3">
        <w:rPr>
          <w:rFonts w:ascii="Times New Roman" w:hAnsi="Times New Roman" w:cs="Times New Roman"/>
          <w:sz w:val="24"/>
          <w:szCs w:val="24"/>
        </w:rPr>
        <w:t>d</w:t>
      </w:r>
      <w:r w:rsidRPr="00217444">
        <w:rPr>
          <w:rFonts w:ascii="Times New Roman" w:hAnsi="Times New Roman" w:cs="Times New Roman"/>
          <w:sz w:val="24"/>
          <w:szCs w:val="24"/>
        </w:rPr>
        <w:t xml:space="preserve">evelopment </w:t>
      </w:r>
      <w:r w:rsidR="000459E3">
        <w:rPr>
          <w:rFonts w:ascii="Times New Roman" w:hAnsi="Times New Roman" w:cs="Times New Roman"/>
          <w:sz w:val="24"/>
          <w:szCs w:val="24"/>
        </w:rPr>
        <w:t>g</w:t>
      </w:r>
      <w:r w:rsidRPr="00217444">
        <w:rPr>
          <w:rFonts w:ascii="Times New Roman" w:hAnsi="Times New Roman" w:cs="Times New Roman"/>
          <w:sz w:val="24"/>
          <w:szCs w:val="24"/>
        </w:rPr>
        <w:t>oals</w:t>
      </w:r>
      <w:r w:rsidR="000459E3">
        <w:rPr>
          <w:rFonts w:ascii="Times New Roman" w:hAnsi="Times New Roman" w:cs="Times New Roman"/>
          <w:sz w:val="24"/>
          <w:szCs w:val="24"/>
        </w:rPr>
        <w:t>;</w:t>
      </w:r>
    </w:p>
    <w:p w14:paraId="0BF2C4ED" w14:textId="57F833C5" w:rsidR="00F47D23" w:rsidRPr="00217444" w:rsidRDefault="00F47D23" w:rsidP="00F47D23">
      <w:pPr>
        <w:pStyle w:val="ListParagraph"/>
        <w:numPr>
          <w:ilvl w:val="0"/>
          <w:numId w:val="4"/>
        </w:numPr>
        <w:spacing w:after="200" w:line="276" w:lineRule="auto"/>
        <w:jc w:val="both"/>
        <w:rPr>
          <w:rFonts w:ascii="Times New Roman" w:hAnsi="Times New Roman" w:cs="Times New Roman"/>
          <w:sz w:val="24"/>
          <w:szCs w:val="24"/>
        </w:rPr>
      </w:pPr>
      <w:r w:rsidRPr="000829BF">
        <w:rPr>
          <w:rFonts w:ascii="Times New Roman" w:hAnsi="Times New Roman" w:cs="Times New Roman"/>
          <w:sz w:val="24"/>
          <w:szCs w:val="24"/>
        </w:rPr>
        <w:t xml:space="preserve">The </w:t>
      </w:r>
      <w:r w:rsidRPr="00C52AC6">
        <w:rPr>
          <w:rFonts w:ascii="Times New Roman" w:hAnsi="Times New Roman" w:cs="Times New Roman"/>
          <w:sz w:val="24"/>
          <w:szCs w:val="24"/>
        </w:rPr>
        <w:t>need to adapt to accelerating changes is even bigger</w:t>
      </w:r>
      <w:r w:rsidRPr="000829BF">
        <w:rPr>
          <w:rFonts w:ascii="Times New Roman" w:hAnsi="Times New Roman" w:cs="Times New Roman"/>
          <w:sz w:val="24"/>
          <w:szCs w:val="24"/>
        </w:rPr>
        <w:t xml:space="preserve"> than </w:t>
      </w:r>
      <w:r w:rsidR="001F1B54">
        <w:rPr>
          <w:rFonts w:ascii="Times New Roman" w:hAnsi="Times New Roman" w:cs="Times New Roman"/>
          <w:sz w:val="24"/>
          <w:szCs w:val="24"/>
        </w:rPr>
        <w:t>when the Strategy was adopted</w:t>
      </w:r>
      <w:r w:rsidRPr="00217444">
        <w:rPr>
          <w:rFonts w:ascii="Times New Roman" w:hAnsi="Times New Roman" w:cs="Times New Roman"/>
          <w:sz w:val="24"/>
          <w:szCs w:val="24"/>
        </w:rPr>
        <w:t xml:space="preserve">: </w:t>
      </w:r>
      <w:r w:rsidRPr="00217444">
        <w:rPr>
          <w:rFonts w:ascii="Times New Roman" w:hAnsi="Times New Roman" w:cs="Times New Roman"/>
          <w:sz w:val="24"/>
          <w:szCs w:val="24"/>
          <w:lang w:val="en-IE" w:eastAsia="fr-BE"/>
        </w:rPr>
        <w:t xml:space="preserve">we need to </w:t>
      </w:r>
      <w:r>
        <w:rPr>
          <w:rFonts w:ascii="Times New Roman" w:hAnsi="Times New Roman" w:cs="Times New Roman"/>
          <w:sz w:val="24"/>
          <w:szCs w:val="24"/>
          <w:lang w:val="en-IE" w:eastAsia="fr-BE"/>
        </w:rPr>
        <w:t xml:space="preserve">better </w:t>
      </w:r>
      <w:r w:rsidRPr="00217444">
        <w:rPr>
          <w:rFonts w:ascii="Times New Roman" w:hAnsi="Times New Roman" w:cs="Times New Roman"/>
          <w:sz w:val="24"/>
          <w:szCs w:val="24"/>
          <w:lang w:val="en-IE" w:eastAsia="fr-BE"/>
        </w:rPr>
        <w:t>strengthen infrastructure against extreme weather and climate change impacts</w:t>
      </w:r>
      <w:r w:rsidR="001F1B54">
        <w:rPr>
          <w:rFonts w:ascii="Times New Roman" w:hAnsi="Times New Roman" w:cs="Times New Roman"/>
          <w:sz w:val="24"/>
          <w:szCs w:val="24"/>
          <w:lang w:val="en-IE" w:eastAsia="fr-BE"/>
        </w:rPr>
        <w:t>;</w:t>
      </w:r>
      <w:r w:rsidRPr="00217444">
        <w:rPr>
          <w:rFonts w:ascii="Times New Roman" w:hAnsi="Times New Roman" w:cs="Times New Roman"/>
          <w:sz w:val="24"/>
          <w:szCs w:val="24"/>
          <w:lang w:val="en-IE" w:eastAsia="fr-BE"/>
        </w:rPr>
        <w:t xml:space="preserve"> </w:t>
      </w:r>
    </w:p>
    <w:p w14:paraId="7B796AD2" w14:textId="24270728" w:rsidR="00F47D23" w:rsidRPr="0030411A" w:rsidRDefault="0030411A" w:rsidP="00CE016E">
      <w:pPr>
        <w:pStyle w:val="ListParagraph"/>
        <w:numPr>
          <w:ilvl w:val="0"/>
          <w:numId w:val="4"/>
        </w:numPr>
        <w:spacing w:after="200" w:line="276" w:lineRule="auto"/>
        <w:jc w:val="both"/>
        <w:rPr>
          <w:rFonts w:ascii="Times New Roman" w:hAnsi="Times New Roman" w:cs="Times New Roman"/>
          <w:sz w:val="24"/>
          <w:szCs w:val="24"/>
        </w:rPr>
      </w:pPr>
      <w:r w:rsidRPr="0030411A">
        <w:rPr>
          <w:rFonts w:ascii="Times New Roman" w:hAnsi="Times New Roman" w:cs="Times New Roman"/>
          <w:b/>
          <w:sz w:val="24"/>
          <w:szCs w:val="24"/>
        </w:rPr>
        <w:t>Ecosystem-based approaches</w:t>
      </w:r>
      <w:r w:rsidRPr="0030411A">
        <w:rPr>
          <w:rFonts w:ascii="Times New Roman" w:hAnsi="Times New Roman" w:cs="Times New Roman"/>
          <w:sz w:val="24"/>
          <w:szCs w:val="24"/>
        </w:rPr>
        <w:t xml:space="preserve"> </w:t>
      </w:r>
      <w:r w:rsidR="001F1B54">
        <w:rPr>
          <w:rFonts w:ascii="Times New Roman" w:hAnsi="Times New Roman" w:cs="Times New Roman"/>
          <w:sz w:val="24"/>
          <w:szCs w:val="24"/>
        </w:rPr>
        <w:t>need to</w:t>
      </w:r>
      <w:r w:rsidR="001F1B54" w:rsidRPr="0030411A">
        <w:rPr>
          <w:rFonts w:ascii="Times New Roman" w:hAnsi="Times New Roman" w:cs="Times New Roman"/>
          <w:sz w:val="24"/>
          <w:szCs w:val="24"/>
        </w:rPr>
        <w:t xml:space="preserve"> </w:t>
      </w:r>
      <w:r w:rsidRPr="0030411A">
        <w:rPr>
          <w:rFonts w:ascii="Times New Roman" w:hAnsi="Times New Roman" w:cs="Times New Roman"/>
          <w:sz w:val="24"/>
          <w:szCs w:val="24"/>
        </w:rPr>
        <w:t>be better embedded in the assessment and choice of adaptation options</w:t>
      </w:r>
      <w:r w:rsidR="001F1B54">
        <w:rPr>
          <w:rFonts w:ascii="Times New Roman" w:hAnsi="Times New Roman" w:cs="Times New Roman"/>
          <w:sz w:val="24"/>
          <w:szCs w:val="24"/>
        </w:rPr>
        <w:t>;</w:t>
      </w:r>
    </w:p>
    <w:p w14:paraId="7C03F95D" w14:textId="0E492CE6" w:rsidR="00F47D23" w:rsidRPr="005458D9" w:rsidRDefault="00F47D23" w:rsidP="00F47D23">
      <w:pPr>
        <w:pStyle w:val="ListParagraph"/>
        <w:numPr>
          <w:ilvl w:val="0"/>
          <w:numId w:val="4"/>
        </w:numPr>
        <w:spacing w:after="200" w:line="276" w:lineRule="auto"/>
        <w:jc w:val="both"/>
        <w:rPr>
          <w:rFonts w:ascii="Times New Roman" w:hAnsi="Times New Roman" w:cs="Times New Roman"/>
          <w:sz w:val="24"/>
          <w:szCs w:val="24"/>
        </w:rPr>
      </w:pPr>
      <w:r w:rsidRPr="005458D9">
        <w:rPr>
          <w:rFonts w:ascii="Times New Roman" w:hAnsi="Times New Roman" w:cs="Times New Roman"/>
          <w:b/>
          <w:sz w:val="24"/>
          <w:szCs w:val="24"/>
        </w:rPr>
        <w:t>Public health</w:t>
      </w:r>
      <w:r w:rsidRPr="005458D9">
        <w:rPr>
          <w:rFonts w:ascii="Times New Roman" w:hAnsi="Times New Roman" w:cs="Times New Roman"/>
          <w:sz w:val="24"/>
          <w:szCs w:val="24"/>
        </w:rPr>
        <w:t xml:space="preserve"> </w:t>
      </w:r>
      <w:r w:rsidR="001F1B54">
        <w:rPr>
          <w:rFonts w:ascii="Times New Roman" w:hAnsi="Times New Roman" w:cs="Times New Roman"/>
          <w:sz w:val="24"/>
          <w:szCs w:val="24"/>
        </w:rPr>
        <w:t xml:space="preserve">issues </w:t>
      </w:r>
      <w:r w:rsidRPr="005458D9">
        <w:rPr>
          <w:rFonts w:ascii="Times New Roman" w:hAnsi="Times New Roman" w:cs="Times New Roman"/>
          <w:sz w:val="24"/>
          <w:szCs w:val="24"/>
        </w:rPr>
        <w:t xml:space="preserve">should </w:t>
      </w:r>
      <w:r>
        <w:rPr>
          <w:rFonts w:ascii="Times New Roman" w:hAnsi="Times New Roman" w:cs="Times New Roman"/>
          <w:sz w:val="24"/>
          <w:szCs w:val="24"/>
        </w:rPr>
        <w:t xml:space="preserve">receive more attention </w:t>
      </w:r>
      <w:r w:rsidRPr="005458D9">
        <w:rPr>
          <w:rFonts w:ascii="Times New Roman" w:hAnsi="Times New Roman" w:cs="Times New Roman"/>
          <w:sz w:val="24"/>
          <w:szCs w:val="24"/>
        </w:rPr>
        <w:t>in adap</w:t>
      </w:r>
      <w:r>
        <w:rPr>
          <w:rFonts w:ascii="Times New Roman" w:hAnsi="Times New Roman" w:cs="Times New Roman"/>
          <w:sz w:val="24"/>
          <w:szCs w:val="24"/>
        </w:rPr>
        <w:t>t</w:t>
      </w:r>
      <w:r w:rsidRPr="005458D9">
        <w:rPr>
          <w:rFonts w:ascii="Times New Roman" w:hAnsi="Times New Roman" w:cs="Times New Roman"/>
          <w:sz w:val="24"/>
          <w:szCs w:val="24"/>
        </w:rPr>
        <w:t xml:space="preserve">ation </w:t>
      </w:r>
      <w:r>
        <w:rPr>
          <w:rFonts w:ascii="Times New Roman" w:hAnsi="Times New Roman" w:cs="Times New Roman"/>
          <w:sz w:val="24"/>
          <w:szCs w:val="24"/>
        </w:rPr>
        <w:t>policy and planning</w:t>
      </w:r>
      <w:r w:rsidRPr="005458D9">
        <w:rPr>
          <w:rFonts w:ascii="Times New Roman" w:hAnsi="Times New Roman" w:cs="Times New Roman"/>
          <w:sz w:val="24"/>
          <w:szCs w:val="24"/>
        </w:rPr>
        <w:t xml:space="preserve">. </w:t>
      </w:r>
    </w:p>
    <w:p w14:paraId="35446B66" w14:textId="1FF77622" w:rsidR="00F47D23" w:rsidRDefault="00583B27" w:rsidP="00B7010C">
      <w:pPr>
        <w:jc w:val="both"/>
        <w:rPr>
          <w:rFonts w:ascii="Times New Roman" w:hAnsi="Times New Roman" w:cs="Times New Roman"/>
          <w:sz w:val="24"/>
          <w:szCs w:val="24"/>
        </w:rPr>
      </w:pPr>
      <w:r>
        <w:rPr>
          <w:rFonts w:ascii="Times New Roman" w:hAnsi="Times New Roman" w:cs="Times New Roman"/>
          <w:sz w:val="24"/>
          <w:szCs w:val="24"/>
        </w:rPr>
        <w:t>Under the</w:t>
      </w:r>
      <w:r w:rsidR="00F47D23" w:rsidRPr="005458D9">
        <w:rPr>
          <w:rFonts w:ascii="Times New Roman" w:hAnsi="Times New Roman" w:cs="Times New Roman"/>
          <w:sz w:val="24"/>
          <w:szCs w:val="24"/>
        </w:rPr>
        <w:t xml:space="preserve"> </w:t>
      </w:r>
      <w:r w:rsidR="00F47D23" w:rsidRPr="005458D9">
        <w:rPr>
          <w:rFonts w:ascii="Times New Roman" w:hAnsi="Times New Roman" w:cs="Times New Roman"/>
          <w:b/>
          <w:sz w:val="24"/>
          <w:szCs w:val="24"/>
        </w:rPr>
        <w:t>Horizon Europe</w:t>
      </w:r>
      <w:r>
        <w:rPr>
          <w:rFonts w:ascii="Times New Roman" w:hAnsi="Times New Roman" w:cs="Times New Roman"/>
          <w:b/>
          <w:sz w:val="24"/>
          <w:szCs w:val="24"/>
        </w:rPr>
        <w:t xml:space="preserve">, </w:t>
      </w:r>
      <w:r w:rsidRPr="00583B27">
        <w:rPr>
          <w:rFonts w:ascii="Times New Roman" w:hAnsi="Times New Roman" w:cs="Times New Roman"/>
          <w:sz w:val="24"/>
          <w:szCs w:val="24"/>
        </w:rPr>
        <w:t>a</w:t>
      </w:r>
      <w:r w:rsidR="00F47D23" w:rsidRPr="005458D9">
        <w:rPr>
          <w:rFonts w:ascii="Times New Roman" w:hAnsi="Times New Roman" w:cs="Times New Roman"/>
          <w:b/>
          <w:sz w:val="24"/>
          <w:szCs w:val="24"/>
        </w:rPr>
        <w:t xml:space="preserve"> </w:t>
      </w:r>
      <w:r w:rsidR="00F47D23">
        <w:rPr>
          <w:rFonts w:ascii="Times New Roman" w:hAnsi="Times New Roman" w:cs="Times New Roman"/>
          <w:b/>
          <w:sz w:val="24"/>
          <w:szCs w:val="24"/>
        </w:rPr>
        <w:t>M</w:t>
      </w:r>
      <w:r w:rsidR="00F47D23" w:rsidRPr="005458D9">
        <w:rPr>
          <w:rFonts w:ascii="Times New Roman" w:hAnsi="Times New Roman" w:cs="Times New Roman"/>
          <w:b/>
          <w:sz w:val="24"/>
          <w:szCs w:val="24"/>
        </w:rPr>
        <w:t>ission on adaptation and societal transformation</w:t>
      </w:r>
      <w:r w:rsidR="00F47D23" w:rsidRPr="005458D9">
        <w:rPr>
          <w:rFonts w:ascii="Times New Roman" w:hAnsi="Times New Roman" w:cs="Times New Roman"/>
          <w:sz w:val="24"/>
          <w:szCs w:val="24"/>
        </w:rPr>
        <w:t xml:space="preserve"> </w:t>
      </w:r>
      <w:r>
        <w:rPr>
          <w:rFonts w:ascii="Times New Roman" w:hAnsi="Times New Roman" w:cs="Times New Roman"/>
          <w:sz w:val="24"/>
          <w:szCs w:val="24"/>
        </w:rPr>
        <w:t xml:space="preserve">has been </w:t>
      </w:r>
      <w:r w:rsidR="00F47D23">
        <w:rPr>
          <w:rFonts w:ascii="Times New Roman" w:hAnsi="Times New Roman" w:cs="Times New Roman"/>
          <w:sz w:val="24"/>
          <w:szCs w:val="24"/>
        </w:rPr>
        <w:t>launched</w:t>
      </w:r>
      <w:r>
        <w:rPr>
          <w:rFonts w:ascii="Times New Roman" w:hAnsi="Times New Roman" w:cs="Times New Roman"/>
          <w:sz w:val="24"/>
          <w:szCs w:val="24"/>
        </w:rPr>
        <w:t xml:space="preserve">. The </w:t>
      </w:r>
      <w:r w:rsidR="00D41214">
        <w:rPr>
          <w:rFonts w:ascii="Times New Roman" w:hAnsi="Times New Roman" w:cs="Times New Roman"/>
          <w:sz w:val="24"/>
          <w:szCs w:val="24"/>
        </w:rPr>
        <w:t>m</w:t>
      </w:r>
      <w:r w:rsidR="00F47D23">
        <w:rPr>
          <w:rFonts w:ascii="Times New Roman" w:hAnsi="Times New Roman" w:cs="Times New Roman"/>
          <w:sz w:val="24"/>
          <w:szCs w:val="24"/>
        </w:rPr>
        <w:t xml:space="preserve">ission </w:t>
      </w:r>
      <w:r w:rsidR="00D41214">
        <w:rPr>
          <w:rFonts w:ascii="Times New Roman" w:hAnsi="Times New Roman" w:cs="Times New Roman"/>
          <w:sz w:val="24"/>
          <w:szCs w:val="24"/>
        </w:rPr>
        <w:t>b</w:t>
      </w:r>
      <w:r>
        <w:rPr>
          <w:rFonts w:ascii="Times New Roman" w:hAnsi="Times New Roman" w:cs="Times New Roman"/>
          <w:sz w:val="24"/>
          <w:szCs w:val="24"/>
        </w:rPr>
        <w:t xml:space="preserve">oard is </w:t>
      </w:r>
      <w:r w:rsidR="00F47D23">
        <w:rPr>
          <w:rFonts w:ascii="Times New Roman" w:hAnsi="Times New Roman" w:cs="Times New Roman"/>
          <w:sz w:val="24"/>
          <w:szCs w:val="24"/>
        </w:rPr>
        <w:t xml:space="preserve">chaired by </w:t>
      </w:r>
      <w:r w:rsidR="001F1B54">
        <w:rPr>
          <w:rFonts w:ascii="Times New Roman" w:hAnsi="Times New Roman" w:cs="Times New Roman"/>
          <w:sz w:val="24"/>
          <w:szCs w:val="24"/>
        </w:rPr>
        <w:t xml:space="preserve">Ms </w:t>
      </w:r>
      <w:r w:rsidR="00F47D23">
        <w:rPr>
          <w:rFonts w:ascii="Times New Roman" w:hAnsi="Times New Roman" w:cs="Times New Roman"/>
          <w:sz w:val="24"/>
          <w:szCs w:val="24"/>
        </w:rPr>
        <w:t>Connie Hedegaard</w:t>
      </w:r>
      <w:r w:rsidR="001F1B54">
        <w:rPr>
          <w:rFonts w:ascii="Times New Roman" w:hAnsi="Times New Roman" w:cs="Times New Roman"/>
          <w:sz w:val="24"/>
          <w:szCs w:val="24"/>
        </w:rPr>
        <w:t xml:space="preserve">. </w:t>
      </w:r>
      <w:r w:rsidR="00F47D23">
        <w:rPr>
          <w:rFonts w:ascii="Times New Roman" w:hAnsi="Times New Roman" w:cs="Times New Roman"/>
          <w:sz w:val="24"/>
          <w:szCs w:val="24"/>
        </w:rPr>
        <w:t xml:space="preserve">Horizon Europe’s missions will </w:t>
      </w:r>
      <w:r w:rsidR="00F47D23" w:rsidRPr="005458D9">
        <w:rPr>
          <w:rFonts w:ascii="Times New Roman" w:hAnsi="Times New Roman" w:cs="Times New Roman"/>
          <w:sz w:val="24"/>
          <w:szCs w:val="24"/>
        </w:rPr>
        <w:t xml:space="preserve">secure and </w:t>
      </w:r>
      <w:r>
        <w:rPr>
          <w:rFonts w:ascii="Times New Roman" w:hAnsi="Times New Roman" w:cs="Times New Roman"/>
          <w:sz w:val="24"/>
          <w:szCs w:val="24"/>
        </w:rPr>
        <w:t>guide</w:t>
      </w:r>
      <w:r w:rsidR="00F47D23" w:rsidRPr="005458D9">
        <w:rPr>
          <w:rFonts w:ascii="Times New Roman" w:hAnsi="Times New Roman" w:cs="Times New Roman"/>
          <w:sz w:val="24"/>
          <w:szCs w:val="24"/>
        </w:rPr>
        <w:t xml:space="preserve"> research </w:t>
      </w:r>
      <w:r w:rsidR="00F47D23">
        <w:rPr>
          <w:rFonts w:ascii="Times New Roman" w:hAnsi="Times New Roman" w:cs="Times New Roman"/>
          <w:sz w:val="24"/>
          <w:szCs w:val="24"/>
        </w:rPr>
        <w:t>and</w:t>
      </w:r>
      <w:r w:rsidR="00F47D23" w:rsidRPr="005458D9">
        <w:rPr>
          <w:rFonts w:ascii="Times New Roman" w:hAnsi="Times New Roman" w:cs="Times New Roman"/>
          <w:sz w:val="24"/>
          <w:szCs w:val="24"/>
        </w:rPr>
        <w:t xml:space="preserve"> innovation,</w:t>
      </w:r>
      <w:r w:rsidR="00F47D23">
        <w:rPr>
          <w:rFonts w:ascii="Times New Roman" w:hAnsi="Times New Roman" w:cs="Times New Roman"/>
          <w:sz w:val="24"/>
          <w:szCs w:val="24"/>
        </w:rPr>
        <w:t xml:space="preserve"> and</w:t>
      </w:r>
      <w:r w:rsidR="00F47D23" w:rsidRPr="005458D9">
        <w:rPr>
          <w:rFonts w:ascii="Times New Roman" w:hAnsi="Times New Roman" w:cs="Times New Roman"/>
          <w:sz w:val="24"/>
          <w:szCs w:val="24"/>
        </w:rPr>
        <w:t xml:space="preserve"> </w:t>
      </w:r>
      <w:r>
        <w:rPr>
          <w:rFonts w:ascii="Times New Roman" w:hAnsi="Times New Roman" w:cs="Times New Roman"/>
          <w:sz w:val="24"/>
          <w:szCs w:val="24"/>
        </w:rPr>
        <w:t>will engage</w:t>
      </w:r>
      <w:r w:rsidR="00F47D23" w:rsidRPr="005458D9">
        <w:rPr>
          <w:rFonts w:ascii="Times New Roman" w:hAnsi="Times New Roman" w:cs="Times New Roman"/>
          <w:sz w:val="24"/>
          <w:szCs w:val="24"/>
        </w:rPr>
        <w:t xml:space="preserve"> industry and public support through ambitious and communicable milestones.</w:t>
      </w:r>
    </w:p>
    <w:p w14:paraId="31E676D3" w14:textId="77777777" w:rsidR="004C23CE" w:rsidRDefault="004C23CE" w:rsidP="00B7010C">
      <w:pPr>
        <w:jc w:val="both"/>
        <w:rPr>
          <w:rFonts w:ascii="Times New Roman" w:hAnsi="Times New Roman" w:cs="Times New Roman"/>
          <w:noProof/>
          <w:sz w:val="24"/>
          <w:szCs w:val="24"/>
        </w:rPr>
      </w:pPr>
    </w:p>
    <w:p w14:paraId="123CE24D" w14:textId="1CEECE02" w:rsidR="006E27AE" w:rsidRDefault="00E04ACD" w:rsidP="00B7010C">
      <w:pPr>
        <w:pStyle w:val="Heading1"/>
        <w:spacing w:before="360" w:after="240"/>
        <w:ind w:left="714" w:hanging="357"/>
        <w:jc w:val="both"/>
      </w:pPr>
      <w:r>
        <w:t>INTERNATIONAL CLIMATE COOPERATION</w:t>
      </w:r>
    </w:p>
    <w:p w14:paraId="44C257F9" w14:textId="77777777" w:rsidR="002C5B81" w:rsidRDefault="002C5B81" w:rsidP="00446D1E">
      <w:pPr>
        <w:pStyle w:val="Heading2"/>
        <w:spacing w:after="120"/>
        <w:rPr>
          <w:noProof/>
        </w:rPr>
      </w:pPr>
      <w:r>
        <w:rPr>
          <w:noProof/>
        </w:rPr>
        <w:t>Aviation</w:t>
      </w:r>
    </w:p>
    <w:p w14:paraId="6EB5C78B" w14:textId="366DB202" w:rsidR="006E27AE" w:rsidRPr="00D11A13" w:rsidRDefault="000124D4" w:rsidP="00E04ACD">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2018, t</w:t>
      </w:r>
      <w:r w:rsidR="006E27AE" w:rsidRPr="00D11A13">
        <w:rPr>
          <w:rFonts w:ascii="Times New Roman" w:hAnsi="Times New Roman" w:cs="Times New Roman"/>
          <w:noProof/>
          <w:sz w:val="24"/>
          <w:szCs w:val="24"/>
        </w:rPr>
        <w:t>he International Civil Aviation Organisation (ICAO) Council adopted standards and recommended practices (SARPs) as part of its carbon offsetting and reduction scheme for international aviation (CORSIA). The objective of CORSIA is to stabilise</w:t>
      </w:r>
      <w:r w:rsidR="006E27AE">
        <w:rPr>
          <w:rFonts w:ascii="Times New Roman" w:hAnsi="Times New Roman" w:cs="Times New Roman"/>
          <w:noProof/>
          <w:sz w:val="24"/>
          <w:szCs w:val="24"/>
        </w:rPr>
        <w:t xml:space="preserve"> the impact</w:t>
      </w:r>
      <w:r w:rsidR="006E27AE" w:rsidRPr="00D11A13">
        <w:rPr>
          <w:rFonts w:ascii="Times New Roman" w:hAnsi="Times New Roman" w:cs="Times New Roman"/>
          <w:noProof/>
          <w:sz w:val="24"/>
          <w:szCs w:val="24"/>
        </w:rPr>
        <w:t xml:space="preserve"> </w:t>
      </w:r>
      <w:r w:rsidR="005D7B8B">
        <w:rPr>
          <w:rFonts w:ascii="Times New Roman" w:hAnsi="Times New Roman" w:cs="Times New Roman"/>
          <w:noProof/>
          <w:sz w:val="24"/>
          <w:szCs w:val="24"/>
        </w:rPr>
        <w:t xml:space="preserve">of </w:t>
      </w:r>
      <w:r w:rsidR="006E27AE" w:rsidRPr="00D11A13">
        <w:rPr>
          <w:rFonts w:ascii="Times New Roman" w:hAnsi="Times New Roman" w:cs="Times New Roman"/>
          <w:noProof/>
          <w:sz w:val="24"/>
          <w:szCs w:val="24"/>
        </w:rPr>
        <w:t>international aviation emissions at 2020 levels</w:t>
      </w:r>
      <w:r w:rsidR="006E27AE">
        <w:rPr>
          <w:rFonts w:ascii="Times New Roman" w:hAnsi="Times New Roman" w:cs="Times New Roman"/>
          <w:noProof/>
          <w:sz w:val="24"/>
          <w:szCs w:val="24"/>
        </w:rPr>
        <w:t xml:space="preserve"> through offsetting</w:t>
      </w:r>
      <w:r w:rsidR="006E27AE" w:rsidRPr="00D11A13">
        <w:rPr>
          <w:rFonts w:ascii="Times New Roman" w:hAnsi="Times New Roman" w:cs="Times New Roman"/>
          <w:noProof/>
          <w:sz w:val="24"/>
          <w:szCs w:val="24"/>
        </w:rPr>
        <w:t xml:space="preserve">. </w:t>
      </w:r>
    </w:p>
    <w:p w14:paraId="3F62FB00" w14:textId="1FA0BFB3" w:rsidR="00791B41" w:rsidRPr="00D11A13" w:rsidRDefault="00791B41" w:rsidP="00791B41">
      <w:pPr>
        <w:jc w:val="both"/>
        <w:rPr>
          <w:rFonts w:ascii="Times New Roman" w:hAnsi="Times New Roman" w:cs="Times New Roman"/>
          <w:noProof/>
          <w:sz w:val="24"/>
          <w:szCs w:val="24"/>
        </w:rPr>
      </w:pPr>
      <w:r w:rsidRPr="00791B41">
        <w:rPr>
          <w:rFonts w:ascii="Times New Roman" w:hAnsi="Times New Roman" w:cs="Times New Roman"/>
          <w:noProof/>
          <w:sz w:val="24"/>
          <w:szCs w:val="24"/>
        </w:rPr>
        <w:t xml:space="preserve">At ICAO level, the implementation is ongoing but still incomplete. The first monitoring obligations started in 2019 and </w:t>
      </w:r>
      <w:r w:rsidR="00B06F6A">
        <w:rPr>
          <w:rFonts w:ascii="Times New Roman" w:hAnsi="Times New Roman" w:cs="Times New Roman"/>
          <w:noProof/>
          <w:sz w:val="24"/>
          <w:szCs w:val="24"/>
        </w:rPr>
        <w:t>a</w:t>
      </w:r>
      <w:r w:rsidR="00B06F6A" w:rsidRPr="00791B41">
        <w:rPr>
          <w:rFonts w:ascii="Times New Roman" w:hAnsi="Times New Roman" w:cs="Times New Roman"/>
          <w:noProof/>
          <w:sz w:val="24"/>
          <w:szCs w:val="24"/>
        </w:rPr>
        <w:t xml:space="preserve"> </w:t>
      </w:r>
      <w:r w:rsidRPr="00791B41">
        <w:rPr>
          <w:rFonts w:ascii="Times New Roman" w:hAnsi="Times New Roman" w:cs="Times New Roman"/>
          <w:noProof/>
          <w:sz w:val="24"/>
          <w:szCs w:val="24"/>
        </w:rPr>
        <w:t>pilot phase will begin from 2021 onwards. While 81 countries, covering 76.6% of global emissions have already volounteered to join as from 2021, there are still uncertainties related to the final coverage and robustness of the scheme, due to the non-participation of countries with important aviation activity, and decisions still having to be taken on the emission units eligible for offsetting.</w:t>
      </w:r>
    </w:p>
    <w:p w14:paraId="72AF8D46" w14:textId="61814833" w:rsidR="00791B41" w:rsidRDefault="00791B41" w:rsidP="00791B41">
      <w:pPr>
        <w:jc w:val="both"/>
        <w:rPr>
          <w:rFonts w:ascii="Times New Roman" w:hAnsi="Times New Roman" w:cs="Times New Roman"/>
          <w:noProof/>
          <w:sz w:val="24"/>
          <w:szCs w:val="24"/>
        </w:rPr>
      </w:pPr>
      <w:r>
        <w:rPr>
          <w:rFonts w:ascii="Times New Roman" w:hAnsi="Times New Roman" w:cs="Times New Roman"/>
          <w:noProof/>
          <w:sz w:val="24"/>
          <w:szCs w:val="24"/>
        </w:rPr>
        <w:t>The EU Member States notified</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ICAO of the existing differences between the features of the EU ETS for aviation and the legally-b</w:t>
      </w:r>
      <w:r w:rsidR="006E3709">
        <w:rPr>
          <w:rFonts w:ascii="Times New Roman" w:hAnsi="Times New Roman" w:cs="Times New Roman"/>
          <w:noProof/>
          <w:sz w:val="24"/>
          <w:szCs w:val="24"/>
        </w:rPr>
        <w:t>inding features of CORSIA contai</w:t>
      </w:r>
      <w:r>
        <w:rPr>
          <w:rFonts w:ascii="Times New Roman" w:hAnsi="Times New Roman" w:cs="Times New Roman"/>
          <w:noProof/>
          <w:sz w:val="24"/>
          <w:szCs w:val="24"/>
        </w:rPr>
        <w:t xml:space="preserve">ned in the SARPs to protect the EU’s policy space. </w:t>
      </w:r>
    </w:p>
    <w:p w14:paraId="0A48E2DB" w14:textId="77777777" w:rsidR="00FC7587" w:rsidRPr="00791B41" w:rsidRDefault="00FC7587" w:rsidP="00FC7587">
      <w:pPr>
        <w:pStyle w:val="Heading2"/>
        <w:spacing w:after="120"/>
        <w:rPr>
          <w:rFonts w:eastAsia="Times New Roman"/>
          <w:u w:color="000000"/>
          <w:bdr w:val="nil"/>
          <w:lang w:val="en-US" w:eastAsia="en-GB"/>
        </w:rPr>
      </w:pPr>
      <w:r w:rsidRPr="00791B41">
        <w:rPr>
          <w:rFonts w:eastAsia="Times New Roman"/>
          <w:u w:color="000000"/>
          <w:bdr w:val="nil"/>
          <w:lang w:val="en-US" w:eastAsia="en-GB"/>
        </w:rPr>
        <w:t xml:space="preserve">Maritime </w:t>
      </w:r>
    </w:p>
    <w:p w14:paraId="29339A77" w14:textId="74E6FE68" w:rsidR="00FC7587" w:rsidRPr="00791B41" w:rsidRDefault="00FC7587" w:rsidP="00FC7587">
      <w:pPr>
        <w:jc w:val="both"/>
        <w:rPr>
          <w:rFonts w:ascii="Times New Roman" w:hAnsi="Times New Roman" w:cs="Times New Roman"/>
          <w:noProof/>
          <w:sz w:val="24"/>
          <w:szCs w:val="24"/>
        </w:rPr>
      </w:pPr>
      <w:r w:rsidRPr="00791B41">
        <w:rPr>
          <w:rFonts w:ascii="Times New Roman" w:hAnsi="Times New Roman" w:cs="Times New Roman"/>
          <w:noProof/>
          <w:sz w:val="24"/>
          <w:szCs w:val="24"/>
        </w:rPr>
        <w:t>In 2018, the International Maritime Organization (IMO) adopted its strategy on the reduction of GHG emissions from ships, including an international commitment to reduce emissions by at least 50</w:t>
      </w:r>
      <w:r w:rsidR="00684416">
        <w:rPr>
          <w:rFonts w:ascii="Times New Roman" w:hAnsi="Times New Roman" w:cs="Times New Roman"/>
          <w:noProof/>
          <w:sz w:val="24"/>
          <w:szCs w:val="24"/>
        </w:rPr>
        <w:t>%</w:t>
      </w:r>
      <w:r w:rsidRPr="00791B41">
        <w:rPr>
          <w:rFonts w:ascii="Times New Roman" w:hAnsi="Times New Roman" w:cs="Times New Roman"/>
          <w:noProof/>
          <w:sz w:val="24"/>
          <w:szCs w:val="24"/>
        </w:rPr>
        <w:t xml:space="preserve"> by 2050 compared to 2008 levels (including intermediate carbon intensity targets). As members of the International Maritime Organization, EU Member States need to act on this commitment. </w:t>
      </w:r>
    </w:p>
    <w:p w14:paraId="3BB995D5" w14:textId="28FCF9DB" w:rsidR="00FC7587" w:rsidRPr="00791B41" w:rsidRDefault="00FC7587" w:rsidP="00FC7587">
      <w:pPr>
        <w:jc w:val="both"/>
        <w:rPr>
          <w:rFonts w:ascii="Times New Roman" w:hAnsi="Times New Roman" w:cs="Times New Roman"/>
          <w:noProof/>
          <w:sz w:val="24"/>
          <w:szCs w:val="24"/>
        </w:rPr>
      </w:pPr>
      <w:r w:rsidRPr="00791B41">
        <w:rPr>
          <w:rFonts w:ascii="Times New Roman" w:hAnsi="Times New Roman" w:cs="Times New Roman"/>
          <w:noProof/>
          <w:sz w:val="24"/>
          <w:szCs w:val="24"/>
        </w:rPr>
        <w:t xml:space="preserve">The IMO Strategy includes a list of candidate short, mid and long-term measures to achieve the objectives of the strategy, giving priority to those measures that can deliver further emission reductions already before 2023, also building on existing IMO mesures, such as the Energy Efficiency Design Index and the Ship Energy Efficiency Management Plan. The European Commission is closely involved in the ongoing negotiations of </w:t>
      </w:r>
      <w:r w:rsidRPr="00791B41">
        <w:rPr>
          <w:rFonts w:ascii="Times New Roman" w:hAnsi="Times New Roman" w:cs="Times New Roman"/>
          <w:sz w:val="24"/>
          <w:szCs w:val="24"/>
        </w:rPr>
        <w:t>concrete measures at IMO, including proposals made by EU Member States.</w:t>
      </w:r>
      <w:r w:rsidRPr="00791B41">
        <w:t xml:space="preserve"> </w:t>
      </w:r>
    </w:p>
    <w:p w14:paraId="2FAA4269" w14:textId="0C0A1889" w:rsidR="00FC7587" w:rsidRPr="00791B41" w:rsidRDefault="00FC7587" w:rsidP="00FC7587">
      <w:pPr>
        <w:jc w:val="both"/>
        <w:rPr>
          <w:rFonts w:ascii="Times New Roman" w:hAnsi="Times New Roman" w:cs="Times New Roman"/>
          <w:noProof/>
          <w:sz w:val="24"/>
          <w:szCs w:val="24"/>
        </w:rPr>
      </w:pPr>
      <w:r w:rsidRPr="00791B41">
        <w:rPr>
          <w:rFonts w:ascii="Times New Roman" w:hAnsi="Times New Roman" w:cs="Times New Roman"/>
          <w:noProof/>
          <w:sz w:val="24"/>
          <w:szCs w:val="24"/>
        </w:rPr>
        <w:t>In 2018, the ships calling at European Economic Area ports started to monitor and report their emissions, with first emission data published on 30 June 2019</w:t>
      </w:r>
      <w:r w:rsidRPr="00791B41">
        <w:rPr>
          <w:rStyle w:val="FootnoteReference"/>
          <w:rFonts w:ascii="Times New Roman" w:hAnsi="Times New Roman" w:cs="Times New Roman"/>
          <w:noProof/>
          <w:sz w:val="24"/>
          <w:szCs w:val="24"/>
        </w:rPr>
        <w:footnoteReference w:id="45"/>
      </w:r>
      <w:r w:rsidRPr="00791B41">
        <w:rPr>
          <w:rFonts w:ascii="Times New Roman" w:hAnsi="Times New Roman" w:cs="Times New Roman"/>
          <w:noProof/>
          <w:sz w:val="24"/>
          <w:szCs w:val="24"/>
        </w:rPr>
        <w:t xml:space="preserve">. This system aims to provide robust information to support policy-making decisions and the necessary transparency to stimulate up-take of energy efficient technologies and behaviour. By the end of 2019 the </w:t>
      </w:r>
      <w:r w:rsidR="005D7B8B">
        <w:rPr>
          <w:rFonts w:ascii="Times New Roman" w:hAnsi="Times New Roman" w:cs="Times New Roman"/>
          <w:noProof/>
          <w:sz w:val="24"/>
          <w:szCs w:val="24"/>
        </w:rPr>
        <w:t xml:space="preserve">European </w:t>
      </w:r>
      <w:r w:rsidRPr="00791B41">
        <w:rPr>
          <w:rFonts w:ascii="Times New Roman" w:hAnsi="Times New Roman" w:cs="Times New Roman"/>
          <w:noProof/>
          <w:sz w:val="24"/>
          <w:szCs w:val="24"/>
        </w:rPr>
        <w:t>Commission will finalise a report on the first year functioning of the system.</w:t>
      </w:r>
    </w:p>
    <w:p w14:paraId="31C2728A" w14:textId="7A5BE84D" w:rsidR="00FC7587" w:rsidRPr="00791B41" w:rsidRDefault="00FC7587" w:rsidP="00FC7587">
      <w:pPr>
        <w:jc w:val="both"/>
        <w:rPr>
          <w:rFonts w:ascii="Times New Roman" w:hAnsi="Times New Roman" w:cs="Times New Roman"/>
          <w:noProof/>
          <w:sz w:val="24"/>
          <w:szCs w:val="24"/>
        </w:rPr>
      </w:pPr>
      <w:r w:rsidRPr="00791B41">
        <w:rPr>
          <w:rFonts w:ascii="Times New Roman" w:hAnsi="Times New Roman" w:cs="Times New Roman"/>
          <w:noProof/>
          <w:sz w:val="24"/>
          <w:szCs w:val="24"/>
        </w:rPr>
        <w:t xml:space="preserve">Under the International Maritime Organisation (IMO), monitoring activities on fuel oil consumption of ships started on 1 January 2019 with first reports due in 2020. As a result, ships calling into EU ports have to report under both the EU maritime </w:t>
      </w:r>
      <w:r w:rsidR="00B06F6A">
        <w:rPr>
          <w:rFonts w:ascii="Times New Roman" w:hAnsi="Times New Roman" w:cs="Times New Roman"/>
          <w:noProof/>
          <w:sz w:val="24"/>
          <w:szCs w:val="24"/>
        </w:rPr>
        <w:t>Monitoring, Reporting and Verification (</w:t>
      </w:r>
      <w:r w:rsidRPr="00791B41">
        <w:rPr>
          <w:rFonts w:ascii="Times New Roman" w:hAnsi="Times New Roman" w:cs="Times New Roman"/>
          <w:noProof/>
          <w:sz w:val="24"/>
          <w:szCs w:val="24"/>
        </w:rPr>
        <w:t>MRV</w:t>
      </w:r>
      <w:r w:rsidR="00B06F6A">
        <w:rPr>
          <w:rFonts w:ascii="Times New Roman" w:hAnsi="Times New Roman" w:cs="Times New Roman"/>
          <w:noProof/>
          <w:sz w:val="24"/>
          <w:szCs w:val="24"/>
        </w:rPr>
        <w:t>)</w:t>
      </w:r>
      <w:r w:rsidRPr="00791B41">
        <w:rPr>
          <w:rFonts w:ascii="Times New Roman" w:hAnsi="Times New Roman" w:cs="Times New Roman"/>
          <w:noProof/>
          <w:sz w:val="24"/>
          <w:szCs w:val="24"/>
        </w:rPr>
        <w:t xml:space="preserve"> Regulation  and the IMO data collection system.</w:t>
      </w:r>
    </w:p>
    <w:p w14:paraId="3D0AC10C" w14:textId="77777777" w:rsidR="000B795E" w:rsidRPr="000B795E" w:rsidRDefault="000B795E" w:rsidP="00446D1E">
      <w:pPr>
        <w:pStyle w:val="Heading2"/>
        <w:spacing w:after="120"/>
      </w:pPr>
      <w:bookmarkStart w:id="8" w:name="_Toc526502300"/>
      <w:bookmarkStart w:id="9" w:name="_Toc529975179"/>
      <w:r w:rsidRPr="000B795E">
        <w:t>Supporting developing countries</w:t>
      </w:r>
      <w:bookmarkEnd w:id="8"/>
      <w:bookmarkEnd w:id="9"/>
      <w:r w:rsidRPr="000B795E">
        <w:t xml:space="preserve"> </w:t>
      </w:r>
    </w:p>
    <w:p w14:paraId="609CC931" w14:textId="292CB438" w:rsidR="000B795E" w:rsidRPr="000B795E" w:rsidRDefault="000B795E" w:rsidP="00E04ACD">
      <w:pPr>
        <w:jc w:val="both"/>
      </w:pPr>
      <w:r w:rsidRPr="000B795E">
        <w:rPr>
          <w:rFonts w:ascii="Times New Roman" w:eastAsia="Times New Roman" w:hAnsi="Times New Roman" w:cs="Times New Roman"/>
          <w:noProof/>
          <w:sz w:val="24"/>
          <w:szCs w:val="24"/>
        </w:rPr>
        <w:t xml:space="preserve">The EU and its Member States remain the world’s biggest providers of official development assistance to developing countries, delivering EUR 74.4 billion in 2018. The EU, its Member States and the </w:t>
      </w:r>
      <w:r w:rsidR="0011373B">
        <w:rPr>
          <w:rFonts w:ascii="Times New Roman" w:eastAsia="Times New Roman" w:hAnsi="Times New Roman" w:cs="Times New Roman"/>
          <w:noProof/>
          <w:sz w:val="24"/>
          <w:szCs w:val="24"/>
        </w:rPr>
        <w:t>European Investment Bank</w:t>
      </w:r>
      <w:r w:rsidR="0011373B" w:rsidRPr="000B795E">
        <w:rPr>
          <w:rFonts w:ascii="Times New Roman" w:eastAsia="Times New Roman" w:hAnsi="Times New Roman" w:cs="Times New Roman"/>
          <w:noProof/>
          <w:sz w:val="24"/>
          <w:szCs w:val="24"/>
        </w:rPr>
        <w:t xml:space="preserve"> </w:t>
      </w:r>
      <w:r w:rsidRPr="000B795E">
        <w:rPr>
          <w:rFonts w:ascii="Times New Roman" w:eastAsia="Times New Roman" w:hAnsi="Times New Roman" w:cs="Times New Roman"/>
          <w:noProof/>
          <w:sz w:val="24"/>
          <w:szCs w:val="24"/>
        </w:rPr>
        <w:t xml:space="preserve">are also the largest providers of public climate finance, with a contribution of EUR </w:t>
      </w:r>
      <w:r w:rsidRPr="00F03FA4">
        <w:rPr>
          <w:rFonts w:ascii="Times New Roman" w:eastAsia="Times New Roman" w:hAnsi="Times New Roman" w:cs="Times New Roman"/>
          <w:noProof/>
          <w:sz w:val="24"/>
          <w:szCs w:val="24"/>
        </w:rPr>
        <w:t>20.4 billion in 2017 (latest available figure)</w:t>
      </w:r>
      <w:r w:rsidR="00C05D8D" w:rsidRPr="00F03FA4">
        <w:rPr>
          <w:rStyle w:val="FootnoteReference"/>
          <w:rFonts w:ascii="Times New Roman" w:eastAsia="Times New Roman" w:hAnsi="Times New Roman" w:cs="Times New Roman"/>
          <w:noProof/>
          <w:sz w:val="24"/>
          <w:szCs w:val="24"/>
        </w:rPr>
        <w:footnoteReference w:id="46"/>
      </w:r>
      <w:r w:rsidRPr="00F03FA4">
        <w:rPr>
          <w:rFonts w:ascii="Times New Roman" w:eastAsia="Times New Roman" w:hAnsi="Times New Roman" w:cs="Times New Roman"/>
          <w:noProof/>
          <w:sz w:val="24"/>
          <w:szCs w:val="24"/>
        </w:rPr>
        <w:t>.</w:t>
      </w:r>
      <w:r w:rsidRPr="000B795E">
        <w:rPr>
          <w:rFonts w:ascii="Times New Roman" w:eastAsia="Times New Roman" w:hAnsi="Times New Roman" w:cs="Times New Roman"/>
          <w:noProof/>
          <w:sz w:val="24"/>
          <w:szCs w:val="24"/>
        </w:rPr>
        <w:t xml:space="preserve"> </w:t>
      </w:r>
    </w:p>
    <w:p w14:paraId="79DF42DA" w14:textId="1D74A84E" w:rsidR="000B795E" w:rsidRDefault="000B795E" w:rsidP="00E04ACD">
      <w:pPr>
        <w:jc w:val="both"/>
        <w:rPr>
          <w:rFonts w:ascii="Times New Roman" w:eastAsia="Times New Roman" w:hAnsi="Times New Roman" w:cs="Times New Roman"/>
          <w:noProof/>
          <w:sz w:val="24"/>
          <w:szCs w:val="24"/>
        </w:rPr>
      </w:pPr>
      <w:r w:rsidRPr="000B795E">
        <w:rPr>
          <w:rFonts w:ascii="Times New Roman" w:eastAsia="Times New Roman" w:hAnsi="Times New Roman" w:cs="Times New Roman"/>
          <w:noProof/>
          <w:sz w:val="24"/>
          <w:szCs w:val="24"/>
        </w:rPr>
        <w:t xml:space="preserve">For the Green Climate Fund (GCF), EU Member States have committed a total of USD 4.7 billion during </w:t>
      </w:r>
      <w:r w:rsidR="005D7B8B">
        <w:rPr>
          <w:rFonts w:ascii="Times New Roman" w:eastAsia="Times New Roman" w:hAnsi="Times New Roman" w:cs="Times New Roman"/>
          <w:noProof/>
          <w:sz w:val="24"/>
          <w:szCs w:val="24"/>
        </w:rPr>
        <w:t xml:space="preserve">the </w:t>
      </w:r>
      <w:r w:rsidRPr="000B795E">
        <w:rPr>
          <w:rFonts w:ascii="Times New Roman" w:eastAsia="Times New Roman" w:hAnsi="Times New Roman" w:cs="Times New Roman"/>
          <w:noProof/>
          <w:sz w:val="24"/>
          <w:szCs w:val="24"/>
        </w:rPr>
        <w:t xml:space="preserve">Fund’s initial resource mobilisation, accounting for almost half of the USD 10.3 billion of total pledges. The role of Europe will likely further grow in the future. Germany and Norway are the first countries that have announced a doubling of contributions in the ongoing GCF replenishment round.   </w:t>
      </w:r>
    </w:p>
    <w:p w14:paraId="05148E2C" w14:textId="0CA2816D" w:rsidR="000B795E" w:rsidRPr="000B795E" w:rsidRDefault="000B795E" w:rsidP="00E04ACD">
      <w:pPr>
        <w:jc w:val="both"/>
      </w:pPr>
      <w:r w:rsidRPr="000B795E">
        <w:rPr>
          <w:rFonts w:ascii="Times New Roman" w:eastAsia="Times New Roman" w:hAnsi="Times New Roman" w:cs="Times New Roman"/>
          <w:noProof/>
          <w:sz w:val="24"/>
          <w:szCs w:val="24"/>
        </w:rPr>
        <w:t xml:space="preserve">The Global Climate Change Alliance Plus (GCCA+) is an EU climate flagship initiative. In the period 2007-2020, it provides grants of EUR 750 million for climate action and capacity development in developing countries, mostly Least Developed Countries and Small Islands Developing States. In the current updating of Nationally Determined Contributions to the Paris Agreement, the GCCA+ supports partners in climate policy making and the planning of ambitious climate mitigation and adaptation. </w:t>
      </w:r>
    </w:p>
    <w:p w14:paraId="009EF3E6" w14:textId="514BFCED" w:rsidR="000B795E" w:rsidRPr="000B795E" w:rsidRDefault="000B795E" w:rsidP="00E04ACD">
      <w:pPr>
        <w:jc w:val="both"/>
      </w:pPr>
      <w:r w:rsidRPr="000B795E">
        <w:rPr>
          <w:rFonts w:ascii="Times New Roman" w:eastAsia="Times New Roman" w:hAnsi="Times New Roman" w:cs="Times New Roman"/>
          <w:noProof/>
          <w:sz w:val="24"/>
          <w:szCs w:val="24"/>
        </w:rPr>
        <w:t>The EU External Investment Plan encourages investment in developing countries in Africa and the EU Neighbourhood region. So far, eight guarantees will help to set up and expand renewable energy and connectivity projects to millions of people in partner countries. For example, the European Guarantee for Renewable Energy, led by four European financial institutions, would leverage up to EUR 3.4 billion for projects in Sub-Saharan Africa</w:t>
      </w:r>
      <w:r w:rsidR="005D7B8B">
        <w:rPr>
          <w:rFonts w:ascii="Times New Roman" w:eastAsia="Times New Roman" w:hAnsi="Times New Roman" w:cs="Times New Roman"/>
          <w:noProof/>
          <w:sz w:val="24"/>
          <w:szCs w:val="24"/>
        </w:rPr>
        <w:t>. The projects would</w:t>
      </w:r>
      <w:r w:rsidRPr="000B795E">
        <w:rPr>
          <w:rFonts w:ascii="Times New Roman" w:eastAsia="Times New Roman" w:hAnsi="Times New Roman" w:cs="Times New Roman"/>
          <w:noProof/>
          <w:sz w:val="24"/>
          <w:szCs w:val="24"/>
        </w:rPr>
        <w:t xml:space="preserve"> cut carbon emissions, reduce power shortages, create up to 12 000 jobs and add around 2 GW of generating capacity from renewable sources.  </w:t>
      </w:r>
    </w:p>
    <w:p w14:paraId="6CFF5DB9" w14:textId="2138DA51" w:rsidR="000B795E" w:rsidRDefault="000B795E" w:rsidP="00E04ACD">
      <w:pPr>
        <w:jc w:val="both"/>
        <w:rPr>
          <w:rFonts w:ascii="Times New Roman" w:eastAsia="Times New Roman" w:hAnsi="Times New Roman" w:cs="Times New Roman"/>
          <w:noProof/>
          <w:sz w:val="24"/>
          <w:szCs w:val="24"/>
        </w:rPr>
      </w:pPr>
      <w:r w:rsidRPr="000B795E">
        <w:rPr>
          <w:rFonts w:ascii="Times New Roman" w:eastAsia="Times New Roman" w:hAnsi="Times New Roman" w:cs="Times New Roman"/>
          <w:noProof/>
          <w:sz w:val="24"/>
          <w:szCs w:val="24"/>
        </w:rPr>
        <w:t>Negotiations on a new partnership between the EU and the ACP (African, Caribbean and Pacific) region after 2020 have started on 28 September 2018. The planned post-Cotonou Agreement</w:t>
      </w:r>
      <w:r w:rsidR="005F03FC">
        <w:rPr>
          <w:rStyle w:val="FootnoteReference"/>
        </w:rPr>
        <w:footnoteReference w:id="47"/>
      </w:r>
      <w:r w:rsidR="005F03FC" w:rsidRPr="000B795E">
        <w:rPr>
          <w:rFonts w:ascii="Calibri" w:eastAsia="Calibri" w:hAnsi="Calibri" w:cs="Calibri"/>
          <w:noProof/>
        </w:rPr>
        <w:t xml:space="preserve"> </w:t>
      </w:r>
      <w:r w:rsidRPr="000B795E">
        <w:rPr>
          <w:rFonts w:ascii="Times New Roman" w:eastAsia="Times New Roman" w:hAnsi="Times New Roman" w:cs="Times New Roman"/>
          <w:noProof/>
          <w:sz w:val="24"/>
          <w:szCs w:val="24"/>
        </w:rPr>
        <w:t xml:space="preserve">shall include a strong joint commitment to climate action. Additionally, a new Africa – Europe Alliance for Sustainable Investment and Jobs </w:t>
      </w:r>
      <w:r w:rsidR="005F03FC">
        <w:rPr>
          <w:rFonts w:ascii="Times New Roman" w:eastAsia="Times New Roman" w:hAnsi="Times New Roman" w:cs="Times New Roman"/>
          <w:noProof/>
          <w:sz w:val="24"/>
          <w:szCs w:val="24"/>
        </w:rPr>
        <w:t>was</w:t>
      </w:r>
      <w:r w:rsidRPr="000B795E">
        <w:rPr>
          <w:rFonts w:ascii="Times New Roman" w:eastAsia="Times New Roman" w:hAnsi="Times New Roman" w:cs="Times New Roman"/>
          <w:noProof/>
          <w:sz w:val="24"/>
          <w:szCs w:val="24"/>
        </w:rPr>
        <w:t xml:space="preserve"> launched in 2018, which among other issues aims to boost environmental and labour protection. </w:t>
      </w:r>
    </w:p>
    <w:p w14:paraId="19E75EC8" w14:textId="77777777" w:rsidR="00FC7587" w:rsidRPr="00202DAF" w:rsidRDefault="00FC7587" w:rsidP="00FC7587">
      <w:pPr>
        <w:jc w:val="both"/>
        <w:rPr>
          <w:rFonts w:ascii="Times New Roman" w:hAnsi="Times New Roman" w:cs="Times New Roman"/>
          <w:b/>
          <w:i/>
          <w:sz w:val="24"/>
          <w:lang w:val="en-US"/>
        </w:rPr>
      </w:pPr>
      <w:r w:rsidRPr="00202DAF">
        <w:rPr>
          <w:rFonts w:ascii="Times New Roman" w:hAnsi="Times New Roman" w:cs="Times New Roman"/>
          <w:b/>
          <w:i/>
          <w:sz w:val="24"/>
          <w:lang w:val="en-US"/>
        </w:rPr>
        <w:t xml:space="preserve">ETS-linking with Switzerland </w:t>
      </w:r>
    </w:p>
    <w:p w14:paraId="5C2BD281" w14:textId="1256A94C" w:rsidR="00FC7587" w:rsidRPr="00202DAF" w:rsidRDefault="00FC7587" w:rsidP="00FC7587">
      <w:pPr>
        <w:jc w:val="both"/>
        <w:rPr>
          <w:rFonts w:ascii="Times New Roman" w:hAnsi="Times New Roman" w:cs="Times New Roman"/>
          <w:sz w:val="24"/>
        </w:rPr>
      </w:pPr>
      <w:r w:rsidRPr="00202DAF">
        <w:rPr>
          <w:rFonts w:ascii="Times New Roman" w:hAnsi="Times New Roman" w:cs="Times New Roman"/>
          <w:sz w:val="24"/>
        </w:rPr>
        <w:t xml:space="preserve">After signing an agreement </w:t>
      </w:r>
      <w:r w:rsidR="005D7B8B" w:rsidRPr="00202DAF">
        <w:rPr>
          <w:rFonts w:ascii="Times New Roman" w:hAnsi="Times New Roman" w:cs="Times New Roman"/>
          <w:sz w:val="24"/>
        </w:rPr>
        <w:t>in November 2017</w:t>
      </w:r>
      <w:r w:rsidR="005D7B8B">
        <w:rPr>
          <w:rFonts w:ascii="Times New Roman" w:hAnsi="Times New Roman" w:cs="Times New Roman"/>
          <w:sz w:val="24"/>
        </w:rPr>
        <w:t xml:space="preserve"> </w:t>
      </w:r>
      <w:r w:rsidRPr="00202DAF">
        <w:rPr>
          <w:rFonts w:ascii="Times New Roman" w:hAnsi="Times New Roman" w:cs="Times New Roman"/>
          <w:sz w:val="24"/>
        </w:rPr>
        <w:t xml:space="preserve">to link their emissions trading systems, parliaments of both the EU and Switzerland have now approved the agreement. In a next step, Switzerland and the EU have to ratify the linking agreement </w:t>
      </w:r>
      <w:r w:rsidR="005D7B8B">
        <w:rPr>
          <w:rFonts w:ascii="Times New Roman" w:hAnsi="Times New Roman" w:cs="Times New Roman"/>
          <w:sz w:val="24"/>
        </w:rPr>
        <w:t>for</w:t>
      </w:r>
      <w:r w:rsidRPr="00202DAF">
        <w:rPr>
          <w:rFonts w:ascii="Times New Roman" w:hAnsi="Times New Roman" w:cs="Times New Roman"/>
          <w:sz w:val="24"/>
        </w:rPr>
        <w:t xml:space="preserve"> the link </w:t>
      </w:r>
      <w:r w:rsidR="005D7B8B">
        <w:rPr>
          <w:rFonts w:ascii="Times New Roman" w:hAnsi="Times New Roman" w:cs="Times New Roman"/>
          <w:sz w:val="24"/>
        </w:rPr>
        <w:t>to</w:t>
      </w:r>
      <w:r w:rsidRPr="00202DAF">
        <w:rPr>
          <w:rFonts w:ascii="Times New Roman" w:hAnsi="Times New Roman" w:cs="Times New Roman"/>
          <w:sz w:val="24"/>
        </w:rPr>
        <w:t xml:space="preserve"> become operational as of 1 January 2020.</w:t>
      </w:r>
    </w:p>
    <w:p w14:paraId="1D1C1B7C" w14:textId="77777777" w:rsidR="00FC7587" w:rsidRPr="000B795E" w:rsidRDefault="00FC7587" w:rsidP="00E04ACD">
      <w:pPr>
        <w:jc w:val="both"/>
      </w:pPr>
    </w:p>
    <w:p w14:paraId="1BBB71A1" w14:textId="77777777" w:rsidR="005A35A3" w:rsidRPr="00694984" w:rsidRDefault="005A35A3" w:rsidP="00E04ACD">
      <w:pPr>
        <w:jc w:val="both"/>
      </w:pPr>
    </w:p>
    <w:sectPr w:rsidR="005A35A3" w:rsidRPr="00694984" w:rsidSect="00ED1184">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9E4D0" w14:textId="77777777" w:rsidR="00DE60AF" w:rsidRDefault="00DE60AF" w:rsidP="001D33E9">
      <w:pPr>
        <w:spacing w:after="0" w:line="240" w:lineRule="auto"/>
      </w:pPr>
      <w:r>
        <w:separator/>
      </w:r>
    </w:p>
  </w:endnote>
  <w:endnote w:type="continuationSeparator" w:id="0">
    <w:p w14:paraId="0B536C31" w14:textId="77777777" w:rsidR="00DE60AF" w:rsidRDefault="00DE60AF" w:rsidP="001D3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EC Square Sans Pro Medium">
    <w:panose1 w:val="020B0500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849BC" w14:textId="77777777" w:rsidR="00D84334" w:rsidRPr="00D84334" w:rsidRDefault="00D84334" w:rsidP="00D843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FFF712" w14:textId="3B5B3541" w:rsidR="00D84334" w:rsidRPr="00D84334" w:rsidRDefault="00D84334" w:rsidP="00D84334">
    <w:pPr>
      <w:pStyle w:val="FooterCoverPage"/>
      <w:rPr>
        <w:rFonts w:ascii="Arial" w:hAnsi="Arial" w:cs="Arial"/>
        <w:b/>
        <w:sz w:val="48"/>
      </w:rPr>
    </w:pPr>
    <w:r w:rsidRPr="00D84334">
      <w:rPr>
        <w:rFonts w:ascii="Arial" w:hAnsi="Arial" w:cs="Arial"/>
        <w:b/>
        <w:sz w:val="48"/>
      </w:rPr>
      <w:t>EN</w:t>
    </w:r>
    <w:r w:rsidRPr="00D84334">
      <w:rPr>
        <w:rFonts w:ascii="Arial" w:hAnsi="Arial" w:cs="Arial"/>
        <w:b/>
        <w:sz w:val="48"/>
      </w:rPr>
      <w:tab/>
    </w:r>
    <w:r w:rsidRPr="00D84334">
      <w:rPr>
        <w:rFonts w:ascii="Arial" w:hAnsi="Arial" w:cs="Arial"/>
        <w:b/>
        <w:sz w:val="48"/>
      </w:rPr>
      <w:tab/>
    </w:r>
    <w:r w:rsidRPr="00D84334">
      <w:tab/>
    </w:r>
    <w:r w:rsidRPr="00D84334">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A9AE4" w14:textId="77777777" w:rsidR="00D84334" w:rsidRPr="00D84334" w:rsidRDefault="00D84334" w:rsidP="00D84334">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F8116" w14:textId="77777777" w:rsidR="00ED1184" w:rsidRDefault="00ED118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900640"/>
      <w:docPartObj>
        <w:docPartGallery w:val="Page Numbers (Bottom of Page)"/>
        <w:docPartUnique/>
      </w:docPartObj>
    </w:sdtPr>
    <w:sdtEndPr>
      <w:rPr>
        <w:noProof/>
      </w:rPr>
    </w:sdtEndPr>
    <w:sdtContent>
      <w:p w14:paraId="733D6CE6" w14:textId="390E5D66" w:rsidR="00ED1184" w:rsidRDefault="00ED1184">
        <w:pPr>
          <w:pStyle w:val="Footer"/>
          <w:jc w:val="center"/>
        </w:pPr>
        <w:r>
          <w:fldChar w:fldCharType="begin"/>
        </w:r>
        <w:r>
          <w:instrText xml:space="preserve"> PAGE   \* MERGEFORMAT </w:instrText>
        </w:r>
        <w:r>
          <w:fldChar w:fldCharType="separate"/>
        </w:r>
        <w:r w:rsidR="00D84334">
          <w:rPr>
            <w:noProof/>
          </w:rPr>
          <w:t>1</w:t>
        </w:r>
        <w:r>
          <w:rPr>
            <w:noProof/>
          </w:rPr>
          <w:fldChar w:fldCharType="end"/>
        </w:r>
      </w:p>
    </w:sdtContent>
  </w:sdt>
  <w:p w14:paraId="1687AD64" w14:textId="77777777" w:rsidR="00ED1184" w:rsidRDefault="00ED118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CD714" w14:textId="77777777" w:rsidR="00ED1184" w:rsidRDefault="00ED11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9B4C5" w14:textId="77777777" w:rsidR="00DE60AF" w:rsidRDefault="00DE60AF" w:rsidP="001D33E9">
      <w:pPr>
        <w:spacing w:after="0" w:line="240" w:lineRule="auto"/>
      </w:pPr>
      <w:r>
        <w:separator/>
      </w:r>
    </w:p>
  </w:footnote>
  <w:footnote w:type="continuationSeparator" w:id="0">
    <w:p w14:paraId="48AD80AB" w14:textId="77777777" w:rsidR="00DE60AF" w:rsidRDefault="00DE60AF" w:rsidP="001D33E9">
      <w:pPr>
        <w:spacing w:after="0" w:line="240" w:lineRule="auto"/>
      </w:pPr>
      <w:r>
        <w:continuationSeparator/>
      </w:r>
    </w:p>
  </w:footnote>
  <w:footnote w:id="1">
    <w:p w14:paraId="1AE5DD6A" w14:textId="1697710F" w:rsidR="0011373B" w:rsidRDefault="0011373B">
      <w:pPr>
        <w:pStyle w:val="FootnoteText"/>
      </w:pPr>
      <w:r>
        <w:rPr>
          <w:rStyle w:val="FootnoteReference"/>
        </w:rPr>
        <w:footnoteRef/>
      </w:r>
      <w:r>
        <w:t xml:space="preserve"> COM(2018) 773 final: A clean planet for all. A European strategic long-term vision for a prosperous, modern, competitive and climate neutral economy.</w:t>
      </w:r>
    </w:p>
  </w:footnote>
  <w:footnote w:id="2">
    <w:p w14:paraId="7FCFCEAD" w14:textId="5322BD0E" w:rsidR="0011373B" w:rsidRDefault="0011373B">
      <w:pPr>
        <w:pStyle w:val="FootnoteText"/>
      </w:pPr>
      <w:r>
        <w:rPr>
          <w:rStyle w:val="FootnoteReference"/>
        </w:rPr>
        <w:footnoteRef/>
      </w:r>
      <w:r>
        <w:t xml:space="preserve"> </w:t>
      </w:r>
      <w:r w:rsidRPr="0011373B">
        <w:t xml:space="preserve">Source: </w:t>
      </w:r>
      <w:r>
        <w:t xml:space="preserve">COM(2018) 773 final. </w:t>
      </w:r>
    </w:p>
  </w:footnote>
  <w:footnote w:id="3">
    <w:p w14:paraId="1701A3BD" w14:textId="02632080" w:rsidR="00CE78E6" w:rsidRDefault="00CE78E6" w:rsidP="00CE78E6">
      <w:pPr>
        <w:pStyle w:val="FootnoteText"/>
      </w:pPr>
      <w:r>
        <w:rPr>
          <w:rStyle w:val="FootnoteReference"/>
        </w:rPr>
        <w:footnoteRef/>
      </w:r>
      <w:r>
        <w:t xml:space="preserve"> </w:t>
      </w:r>
      <w:r w:rsidRPr="0045741B">
        <w:t xml:space="preserve">In addition to the EU target </w:t>
      </w:r>
      <w:r>
        <w:t>under the UNFCCC</w:t>
      </w:r>
      <w:r w:rsidRPr="0045741B">
        <w:t>, the EU, together with Iceland, also committed to a binding emission reduction for the second commitment period of the Kyoto Protocol (2013-2020). The target is to reduce emissions by 20</w:t>
      </w:r>
      <w:r w:rsidR="00684416">
        <w:t>%</w:t>
      </w:r>
      <w:r w:rsidRPr="0045741B">
        <w:t xml:space="preserve"> compared to base year emissions (mostly 1990)</w:t>
      </w:r>
      <w:r w:rsidR="00E809A6">
        <w:t>.T</w:t>
      </w:r>
      <w:r>
        <w:t xml:space="preserve">he scope is slightly different </w:t>
      </w:r>
      <w:r w:rsidR="00E809A6">
        <w:t>from</w:t>
      </w:r>
      <w:r>
        <w:t xml:space="preserve"> the </w:t>
      </w:r>
      <w:r w:rsidR="00E809A6">
        <w:t xml:space="preserve">scope of the </w:t>
      </w:r>
      <w:r>
        <w:t>UNFCCC target</w:t>
      </w:r>
      <w:r w:rsidRPr="0045741B">
        <w:t>. In 201</w:t>
      </w:r>
      <w:r w:rsidR="00033FA4">
        <w:t>7</w:t>
      </w:r>
      <w:r w:rsidRPr="0045741B">
        <w:t>,</w:t>
      </w:r>
      <w:r>
        <w:t xml:space="preserve"> the EU and Iceland had </w:t>
      </w:r>
      <w:r w:rsidRPr="0045741B">
        <w:t xml:space="preserve">reduced emissions by </w:t>
      </w:r>
      <w:r w:rsidR="00033FA4">
        <w:t>26</w:t>
      </w:r>
      <w:r w:rsidR="00684416">
        <w:t>%</w:t>
      </w:r>
      <w:r>
        <w:t xml:space="preserve"> compared to the base year</w:t>
      </w:r>
      <w:r w:rsidRPr="0045741B">
        <w:t xml:space="preserve">.  </w:t>
      </w:r>
    </w:p>
  </w:footnote>
  <w:footnote w:id="4">
    <w:p w14:paraId="1E5A2991" w14:textId="6CB24873" w:rsidR="0030411A" w:rsidRDefault="0030411A">
      <w:pPr>
        <w:pStyle w:val="FootnoteText"/>
      </w:pPr>
      <w:r>
        <w:rPr>
          <w:rStyle w:val="FootnoteReference"/>
        </w:rPr>
        <w:footnoteRef/>
      </w:r>
      <w:r>
        <w:t xml:space="preserve"> Sum of Member States’ projections. Existing measures means measures the Member States have already implemented. Additional measures means measures the Member States plan to implement.  </w:t>
      </w:r>
    </w:p>
  </w:footnote>
  <w:footnote w:id="5">
    <w:p w14:paraId="0B234FB7" w14:textId="2FE272D7" w:rsidR="00CE78E6" w:rsidRDefault="00CE78E6" w:rsidP="00CE78E6">
      <w:pPr>
        <w:pStyle w:val="FootnoteText"/>
      </w:pPr>
      <w:r>
        <w:rPr>
          <w:rStyle w:val="FootnoteReference"/>
        </w:rPr>
        <w:footnoteRef/>
      </w:r>
      <w:r>
        <w:t xml:space="preserve"> The figure includes all 31 countries participating in the EU ETS. </w:t>
      </w:r>
    </w:p>
  </w:footnote>
  <w:footnote w:id="6">
    <w:p w14:paraId="124F87FD" w14:textId="036C228A" w:rsidR="0045741B" w:rsidRDefault="0045741B">
      <w:pPr>
        <w:pStyle w:val="FootnoteText"/>
      </w:pPr>
      <w:r>
        <w:rPr>
          <w:rStyle w:val="FootnoteReference"/>
        </w:rPr>
        <w:footnoteRef/>
      </w:r>
      <w:r>
        <w:t xml:space="preserve"> This is required according to Regulation (EU) 2018/1999 on the Governance of the Energy Union and Climate Action. </w:t>
      </w:r>
    </w:p>
  </w:footnote>
  <w:footnote w:id="7">
    <w:p w14:paraId="6AEB8CE6" w14:textId="77777777" w:rsidR="003A2C80" w:rsidRDefault="003A2C80">
      <w:pPr>
        <w:pStyle w:val="FootnoteText"/>
      </w:pPr>
      <w:r>
        <w:rPr>
          <w:rStyle w:val="FootnoteReference"/>
        </w:rPr>
        <w:footnoteRef/>
      </w:r>
      <w:r>
        <w:t xml:space="preserve"> </w:t>
      </w:r>
      <w:hyperlink r:id="rId1" w:history="1">
        <w:r w:rsidRPr="00B20E7F">
          <w:rPr>
            <w:rStyle w:val="Hyperlink"/>
          </w:rPr>
          <w:t>https://ec.europa.eu/energy/en/topics/energy-strategy-and-energy-union/governance-energy-union/national-energy-climate-plans</w:t>
        </w:r>
      </w:hyperlink>
      <w:r>
        <w:t xml:space="preserve"> </w:t>
      </w:r>
    </w:p>
  </w:footnote>
  <w:footnote w:id="8">
    <w:p w14:paraId="745FA8CE" w14:textId="1D5C7F9F" w:rsidR="00CE78E6" w:rsidRDefault="00CE78E6" w:rsidP="00CE78E6">
      <w:pPr>
        <w:pStyle w:val="FootnoteText"/>
      </w:pPr>
      <w:r>
        <w:rPr>
          <w:rStyle w:val="FootnoteReference"/>
        </w:rPr>
        <w:footnoteRef/>
      </w:r>
      <w:r>
        <w:t xml:space="preserve"> The figure shows verified ETS emissions with the sectoral and geographical of the ETS in the relevant year and can therefore not be read as a time series before 2013. Aviation is included in the cap for 2012-201</w:t>
      </w:r>
      <w:r w:rsidR="00FA1455">
        <w:t>8</w:t>
      </w:r>
      <w:r>
        <w:t>.</w:t>
      </w:r>
    </w:p>
  </w:footnote>
  <w:footnote w:id="9">
    <w:p w14:paraId="09A10AFF" w14:textId="5460E5AE" w:rsidR="008C7B9C" w:rsidRDefault="008C7B9C">
      <w:pPr>
        <w:pStyle w:val="FootnoteText"/>
      </w:pPr>
      <w:r>
        <w:rPr>
          <w:rStyle w:val="FootnoteReference"/>
        </w:rPr>
        <w:footnoteRef/>
      </w:r>
      <w:r>
        <w:t xml:space="preserve"> </w:t>
      </w:r>
      <w:r w:rsidRPr="008C7B9C">
        <w:t>The surplus corresponds to the "total number of allowances in circulation" as defined in the decision establishing the Market Stability Reserve.</w:t>
      </w:r>
    </w:p>
  </w:footnote>
  <w:footnote w:id="10">
    <w:p w14:paraId="2A0321C7" w14:textId="77777777" w:rsidR="00E809A6" w:rsidRPr="00E809A6" w:rsidRDefault="00CE78E6" w:rsidP="00E809A6">
      <w:pPr>
        <w:pStyle w:val="FootnoteText"/>
        <w:rPr>
          <w:lang w:val="pt-BR"/>
        </w:rPr>
      </w:pPr>
      <w:r>
        <w:rPr>
          <w:rStyle w:val="FootnoteReference"/>
        </w:rPr>
        <w:footnoteRef/>
      </w:r>
      <w:r w:rsidRPr="00AB038B">
        <w:rPr>
          <w:lang w:val="pt-BR"/>
        </w:rPr>
        <w:t xml:space="preserve"> C(2019) 3288 final</w:t>
      </w:r>
      <w:r w:rsidR="00E809A6">
        <w:rPr>
          <w:lang w:val="pt-BR"/>
        </w:rPr>
        <w:t xml:space="preserve">: </w:t>
      </w:r>
      <w:r w:rsidR="00E809A6" w:rsidRPr="00E809A6">
        <w:rPr>
          <w:lang w:val="pt-BR"/>
        </w:rPr>
        <w:t xml:space="preserve">Publication of the total number of allowances in circulation in 2018 for the purposes of </w:t>
      </w:r>
    </w:p>
    <w:p w14:paraId="54047353" w14:textId="0A530DB3" w:rsidR="00CE78E6" w:rsidRPr="00AB038B" w:rsidRDefault="00E809A6" w:rsidP="00E809A6">
      <w:pPr>
        <w:pStyle w:val="FootnoteText"/>
        <w:rPr>
          <w:lang w:val="pt-BR"/>
        </w:rPr>
      </w:pPr>
      <w:r w:rsidRPr="00E809A6">
        <w:rPr>
          <w:lang w:val="pt-BR"/>
        </w:rPr>
        <w:t>the Market Stability Reserve under the EU Emissions Trading System</w:t>
      </w:r>
      <w:r w:rsidR="00CE78E6" w:rsidRPr="00AB038B">
        <w:rPr>
          <w:lang w:val="pt-BR"/>
        </w:rPr>
        <w:t xml:space="preserve"> </w:t>
      </w:r>
    </w:p>
  </w:footnote>
  <w:footnote w:id="11">
    <w:p w14:paraId="6989455E" w14:textId="4FBF8628" w:rsidR="00244111" w:rsidRPr="00E809A6" w:rsidRDefault="00244111" w:rsidP="00244111">
      <w:pPr>
        <w:pStyle w:val="FootnoteText"/>
        <w:rPr>
          <w:rFonts w:cstheme="minorHAnsi"/>
        </w:rPr>
      </w:pPr>
      <w:r>
        <w:rPr>
          <w:rStyle w:val="FootnoteReference"/>
          <w:rFonts w:ascii="Times New Roman" w:hAnsi="Times New Roman" w:cs="Times New Roman"/>
        </w:rPr>
        <w:footnoteRef/>
      </w:r>
      <w:r>
        <w:rPr>
          <w:rFonts w:ascii="Times New Roman" w:hAnsi="Times New Roman" w:cs="Times New Roman"/>
        </w:rPr>
        <w:t xml:space="preserve">  </w:t>
      </w:r>
      <w:r w:rsidRPr="00E809A6">
        <w:rPr>
          <w:rFonts w:cstheme="minorHAnsi"/>
        </w:rPr>
        <w:t>Decision No 406/2009/EC on the effort of the Member States to reduce their greenhouse gas emissions to meet the Community's greenhouse gas emission r</w:t>
      </w:r>
      <w:r w:rsidR="0045741B" w:rsidRPr="00E809A6">
        <w:rPr>
          <w:rFonts w:cstheme="minorHAnsi"/>
        </w:rPr>
        <w:t>eduction commitments up to 2020.</w:t>
      </w:r>
    </w:p>
  </w:footnote>
  <w:footnote w:id="12">
    <w:p w14:paraId="5237240E" w14:textId="5AB28FEA" w:rsidR="00244111" w:rsidRPr="00E809A6" w:rsidRDefault="00244111" w:rsidP="00244111">
      <w:pPr>
        <w:pStyle w:val="FootnoteText"/>
        <w:spacing w:after="120"/>
        <w:ind w:left="426" w:hanging="426"/>
        <w:jc w:val="both"/>
        <w:rPr>
          <w:rFonts w:cstheme="minorHAnsi"/>
        </w:rPr>
      </w:pPr>
      <w:r w:rsidRPr="00E809A6">
        <w:rPr>
          <w:rStyle w:val="FootnoteReference"/>
          <w:rFonts w:cstheme="minorHAnsi"/>
        </w:rPr>
        <w:footnoteRef/>
      </w:r>
      <w:r w:rsidRPr="00E809A6">
        <w:rPr>
          <w:rFonts w:cstheme="minorHAnsi"/>
        </w:rPr>
        <w:t xml:space="preserve"> Regulation (EU) 2018/842 on binding annual greenhouse gas emission r</w:t>
      </w:r>
      <w:r w:rsidR="0045741B" w:rsidRPr="00E809A6">
        <w:rPr>
          <w:rFonts w:cstheme="minorHAnsi"/>
        </w:rPr>
        <w:t xml:space="preserve">eductions by Member States from </w:t>
      </w:r>
      <w:r w:rsidRPr="00E809A6">
        <w:rPr>
          <w:rFonts w:cstheme="minorHAnsi"/>
        </w:rPr>
        <w:t>2021 to 2030 contributing to climate action to meet commitments under the Paris Agreement</w:t>
      </w:r>
      <w:r w:rsidR="0045741B" w:rsidRPr="00E809A6">
        <w:rPr>
          <w:rFonts w:cstheme="minorHAnsi"/>
        </w:rPr>
        <w:t>.</w:t>
      </w:r>
    </w:p>
  </w:footnote>
  <w:footnote w:id="13">
    <w:p w14:paraId="01C7D695" w14:textId="2E694F9F" w:rsidR="00A72AEB" w:rsidRDefault="00A72AEB">
      <w:pPr>
        <w:pStyle w:val="FootnoteText"/>
      </w:pPr>
      <w:r>
        <w:rPr>
          <w:rStyle w:val="FootnoteReference"/>
        </w:rPr>
        <w:footnoteRef/>
      </w:r>
      <w:r>
        <w:t xml:space="preserve"> The Member States’ projections ‘with additional measures’ submitted in March 2019 indicate a 27</w:t>
      </w:r>
      <w:r w:rsidR="00684416">
        <w:t>%</w:t>
      </w:r>
      <w:r>
        <w:t xml:space="preserve"> reduction, while the assessment of the scenarios with additional measures in the draft NECPs indicate a 28</w:t>
      </w:r>
      <w:r w:rsidR="00684416">
        <w:t>%</w:t>
      </w:r>
      <w:r>
        <w:t xml:space="preserve"> reduction. </w:t>
      </w:r>
    </w:p>
  </w:footnote>
  <w:footnote w:id="14">
    <w:p w14:paraId="5907B2AE" w14:textId="77777777" w:rsidR="00A72AEB" w:rsidRDefault="00A72AEB" w:rsidP="00A72AEB">
      <w:pPr>
        <w:pStyle w:val="FootnoteText"/>
      </w:pPr>
      <w:r>
        <w:rPr>
          <w:rStyle w:val="FootnoteReference"/>
        </w:rPr>
        <w:footnoteRef/>
      </w:r>
      <w:r>
        <w:t xml:space="preserve"> The non-ETS targets include the national targets set under the Effort Sharing Regulation and the ‘no-debit’ commitment under the LULUCF Regulation (see chapter 4).  </w:t>
      </w:r>
    </w:p>
  </w:footnote>
  <w:footnote w:id="15">
    <w:p w14:paraId="17793D9E" w14:textId="623A0F5D" w:rsidR="00CE78E6" w:rsidRDefault="00CE78E6" w:rsidP="00CE78E6">
      <w:pPr>
        <w:pStyle w:val="FootnoteText"/>
      </w:pPr>
      <w:r>
        <w:rPr>
          <w:rStyle w:val="FootnoteReference"/>
        </w:rPr>
        <w:footnoteRef/>
      </w:r>
      <w:r>
        <w:t xml:space="preserve"> </w:t>
      </w:r>
      <w:r w:rsidRPr="000B795E">
        <w:rPr>
          <w:noProof/>
        </w:rPr>
        <w:t>An aggregated parameter that integrates imports, exports, production and destruction of ODS, except those for feedstock use)</w:t>
      </w:r>
      <w:r w:rsidR="00826D5B">
        <w:rPr>
          <w:noProof/>
        </w:rPr>
        <w:t>.</w:t>
      </w:r>
    </w:p>
  </w:footnote>
  <w:footnote w:id="16">
    <w:p w14:paraId="213D9C89" w14:textId="0E5BC5E8" w:rsidR="00CE78E6" w:rsidRPr="00DB30AB" w:rsidRDefault="00CE78E6" w:rsidP="00CE78E6">
      <w:pPr>
        <w:pStyle w:val="FootnoteText"/>
        <w:jc w:val="both"/>
      </w:pPr>
      <w:r>
        <w:rPr>
          <w:rStyle w:val="FootnoteReference"/>
        </w:rPr>
        <w:footnoteRef/>
      </w:r>
      <w:r>
        <w:t xml:space="preserve"> Regulation (EC) </w:t>
      </w:r>
      <w:r w:rsidRPr="00DB30AB">
        <w:t>No 1005/2009 on substances that deplete the ozone layer</w:t>
      </w:r>
    </w:p>
  </w:footnote>
  <w:footnote w:id="17">
    <w:p w14:paraId="53AAE7D8" w14:textId="1F69763B" w:rsidR="00CE78E6" w:rsidRDefault="00CE78E6" w:rsidP="00CE78E6">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390E7B">
        <w:rPr>
          <w:rFonts w:cstheme="minorHAnsi"/>
        </w:rPr>
        <w:t xml:space="preserve">Regulation (EU) No 517/2014 on fluorinated greenhouse gases </w:t>
      </w:r>
    </w:p>
  </w:footnote>
  <w:footnote w:id="18">
    <w:p w14:paraId="5E8D2C86" w14:textId="2BE96A42" w:rsidR="00CE78E6" w:rsidRDefault="00CE78E6" w:rsidP="00CE78E6">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w:t>
      </w:r>
      <w:r w:rsidRPr="00852DD1">
        <w:rPr>
          <w:rFonts w:ascii="Times New Roman" w:hAnsi="Times New Roman" w:cs="Times New Roman"/>
          <w:i/>
          <w:iCs/>
        </w:rPr>
        <w:t>Fluorinated greenhouse gases 2018 – data reported by companies on the production, import, export and destruction of fluorinated greenhouse gases in the European Union, 2007-2016</w:t>
      </w:r>
      <w:r>
        <w:rPr>
          <w:rFonts w:ascii="Times New Roman" w:hAnsi="Times New Roman" w:cs="Times New Roman"/>
        </w:rPr>
        <w:t>, European Environment Agency.</w:t>
      </w:r>
    </w:p>
  </w:footnote>
  <w:footnote w:id="19">
    <w:p w14:paraId="6D078F5F" w14:textId="10521BCC" w:rsidR="004D7B88" w:rsidRDefault="004D7B88">
      <w:pPr>
        <w:pStyle w:val="FootnoteText"/>
      </w:pPr>
      <w:r>
        <w:rPr>
          <w:rStyle w:val="FootnoteReference"/>
        </w:rPr>
        <w:footnoteRef/>
      </w:r>
      <w:r>
        <w:t xml:space="preserve"> </w:t>
      </w:r>
      <w:r w:rsidRPr="00C60921">
        <w:rPr>
          <w:rFonts w:ascii="Times New Roman" w:hAnsi="Times New Roman" w:cs="Times New Roman"/>
        </w:rPr>
        <w:t>Forest Management credits are capped and presented as yearly averages when the total Forest Management credits of the considered period exceed the simulated cap over the same period.</w:t>
      </w:r>
    </w:p>
  </w:footnote>
  <w:footnote w:id="20">
    <w:p w14:paraId="036F6B7D" w14:textId="7AD0A086" w:rsidR="00F03FA4" w:rsidRDefault="00F03FA4">
      <w:pPr>
        <w:pStyle w:val="FootnoteText"/>
      </w:pPr>
      <w:r>
        <w:rPr>
          <w:rStyle w:val="FootnoteReference"/>
        </w:rPr>
        <w:footnoteRef/>
      </w:r>
      <w:r>
        <w:t xml:space="preserve"> </w:t>
      </w:r>
      <w:r w:rsidRPr="00C7402D">
        <w:rPr>
          <w:rFonts w:ascii="Times New Roman" w:hAnsi="Times New Roman" w:cs="Times New Roman"/>
        </w:rPr>
        <w:t xml:space="preserve">Accounting represents a means to evaluate policies and to raise ambition for more action in terms of reducing emissions and increasing removals. Note that debits and credits from accounting are preliminary and simulated, because definitive accounts will only be available after the end of the commitment period (December 2020). Different accounting rules apply depending on the activity: gross-net with baseline 0 for Afforestation/Reforestation and Deforestation, net-net against a baseline </w:t>
      </w:r>
      <w:r>
        <w:rPr>
          <w:rFonts w:ascii="Times New Roman" w:hAnsi="Times New Roman" w:cs="Times New Roman"/>
        </w:rPr>
        <w:t>(</w:t>
      </w:r>
      <w:r w:rsidRPr="00C7402D">
        <w:rPr>
          <w:rFonts w:ascii="Times New Roman" w:hAnsi="Times New Roman" w:cs="Times New Roman"/>
        </w:rPr>
        <w:t>mostly emissions and removals for year 1990</w:t>
      </w:r>
      <w:r>
        <w:rPr>
          <w:rFonts w:ascii="Times New Roman" w:hAnsi="Times New Roman" w:cs="Times New Roman"/>
        </w:rPr>
        <w:t>)</w:t>
      </w:r>
      <w:r w:rsidRPr="00C7402D">
        <w:rPr>
          <w:rFonts w:ascii="Times New Roman" w:hAnsi="Times New Roman" w:cs="Times New Roman"/>
        </w:rPr>
        <w:t xml:space="preserve"> for Grazing Land Management, Cropland Management and Revegetation, and the difference against the Forest Management Reference Level for Forest Management.</w:t>
      </w:r>
    </w:p>
  </w:footnote>
  <w:footnote w:id="21">
    <w:p w14:paraId="490BD91D" w14:textId="44CF2CEC" w:rsidR="00F47D23" w:rsidRPr="00125D18" w:rsidRDefault="00F47D23" w:rsidP="00F47D23">
      <w:pPr>
        <w:pStyle w:val="FootnoteText"/>
      </w:pPr>
      <w:r>
        <w:rPr>
          <w:rStyle w:val="FootnoteReference"/>
        </w:rPr>
        <w:footnoteRef/>
      </w:r>
      <w:r>
        <w:t xml:space="preserve"> </w:t>
      </w:r>
      <w:r w:rsidRPr="00F47D23">
        <w:rPr>
          <w:rFonts w:ascii="Times New Roman" w:eastAsia="Times New Roman" w:hAnsi="Times New Roman" w:cs="Times New Roman"/>
          <w:noProof/>
          <w:color w:val="000000"/>
        </w:rPr>
        <w:t>Seven Member States chose cropland management, six chose grazing land management, one chose revegetation and one chose wetland drainage and rewetting, but has yet to provide quantifications</w:t>
      </w:r>
      <w:r>
        <w:rPr>
          <w:rStyle w:val="CommentReference"/>
        </w:rPr>
        <w:t xml:space="preserve">. </w:t>
      </w:r>
    </w:p>
  </w:footnote>
  <w:footnote w:id="22">
    <w:p w14:paraId="4EB018B3" w14:textId="09CF177C" w:rsidR="0045741B" w:rsidRDefault="0045741B" w:rsidP="0045741B">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sidR="00C60921">
        <w:rPr>
          <w:rFonts w:ascii="Times New Roman" w:hAnsi="Times New Roman" w:cs="Times New Roman"/>
        </w:rPr>
        <w:t xml:space="preserve">  </w:t>
      </w:r>
      <w:r>
        <w:rPr>
          <w:rFonts w:ascii="Times New Roman" w:hAnsi="Times New Roman" w:cs="Times New Roman"/>
        </w:rPr>
        <w:t>Regulation (EU) 2018/841 on the inclusion of greenhouse gas emissions and removals from land use, land use change and forestry in the 20</w:t>
      </w:r>
      <w:r w:rsidR="00C60921">
        <w:rPr>
          <w:rFonts w:ascii="Times New Roman" w:hAnsi="Times New Roman" w:cs="Times New Roman"/>
        </w:rPr>
        <w:t>30 climate and energy framework.</w:t>
      </w:r>
    </w:p>
  </w:footnote>
  <w:footnote w:id="23">
    <w:p w14:paraId="54B071C1" w14:textId="77777777" w:rsidR="0045741B" w:rsidRDefault="0045741B" w:rsidP="0045741B">
      <w:pPr>
        <w:pStyle w:val="FootnoteText"/>
      </w:pPr>
      <w:r>
        <w:rPr>
          <w:rStyle w:val="FootnoteReference"/>
        </w:rPr>
        <w:footnoteRef/>
      </w:r>
      <w:r>
        <w:t xml:space="preserve"> </w:t>
      </w:r>
      <w:r w:rsidRPr="005445DF">
        <w:t>http://ec.europa.eu/transparency/regexpert/index.cfm?do=groupDetail.groupDetail&amp;groupID=3638&amp;news =1</w:t>
      </w:r>
    </w:p>
  </w:footnote>
  <w:footnote w:id="24">
    <w:p w14:paraId="1008D414" w14:textId="77777777" w:rsidR="0045741B" w:rsidRDefault="0045741B" w:rsidP="0045741B">
      <w:pPr>
        <w:pStyle w:val="FootnoteText"/>
      </w:pPr>
      <w:r>
        <w:rPr>
          <w:rStyle w:val="FootnoteReference"/>
        </w:rPr>
        <w:footnoteRef/>
      </w:r>
      <w:r>
        <w:t xml:space="preserve"> </w:t>
      </w:r>
      <w:r w:rsidRPr="005445DF">
        <w:t>SWD(2019) 213 final</w:t>
      </w:r>
    </w:p>
  </w:footnote>
  <w:footnote w:id="25">
    <w:p w14:paraId="488E1FF4" w14:textId="77777777" w:rsidR="00F47D23" w:rsidRDefault="00F47D23" w:rsidP="00F47D23">
      <w:pPr>
        <w:pStyle w:val="FootnoteText"/>
      </w:pPr>
      <w:r>
        <w:rPr>
          <w:rStyle w:val="FootnoteReference"/>
        </w:rPr>
        <w:footnoteRef/>
      </w:r>
      <w:r>
        <w:t xml:space="preserve"> </w:t>
      </w:r>
      <w:r w:rsidRPr="00401947">
        <w:t>COM(2018) 773 final</w:t>
      </w:r>
    </w:p>
  </w:footnote>
  <w:footnote w:id="26">
    <w:p w14:paraId="495A332D" w14:textId="5620BE27" w:rsidR="001D33E9" w:rsidRDefault="001D33E9" w:rsidP="001D33E9">
      <w:pPr>
        <w:pStyle w:val="FootnoteText"/>
      </w:pPr>
      <w:r>
        <w:rPr>
          <w:rStyle w:val="FootnoteReference"/>
        </w:rPr>
        <w:footnoteRef/>
      </w:r>
      <w:r>
        <w:t xml:space="preserve"> </w:t>
      </w:r>
      <w:hyperlink w:history="1"/>
      <w:r w:rsidRPr="007B79AE">
        <w:t xml:space="preserve"> </w:t>
      </w:r>
      <w:hyperlink r:id="rId2" w:anchor="tab-0-1" w:history="1"/>
      <w:r>
        <w:t xml:space="preserve"> </w:t>
      </w:r>
      <w:r w:rsidR="005D7B8B">
        <w:t>Regulation (EU) 2019/631 setting CO2 emission performance standards for new passenger cars and for new light commercial vehicles</w:t>
      </w:r>
    </w:p>
  </w:footnote>
  <w:footnote w:id="27">
    <w:p w14:paraId="77195DD6" w14:textId="010207CE" w:rsidR="005D7B8B" w:rsidRDefault="005D7B8B">
      <w:pPr>
        <w:pStyle w:val="FootnoteText"/>
      </w:pPr>
      <w:r>
        <w:rPr>
          <w:rStyle w:val="FootnoteReference"/>
        </w:rPr>
        <w:footnoteRef/>
      </w:r>
      <w:r>
        <w:t xml:space="preserve"> </w:t>
      </w:r>
      <w:r w:rsidRPr="005D7B8B">
        <w:t>Regulation (EU) 2019/1242</w:t>
      </w:r>
      <w:r>
        <w:t xml:space="preserve"> setting CO2 emission performance standards for new heavy-duty vehicles</w:t>
      </w:r>
    </w:p>
  </w:footnote>
  <w:footnote w:id="28">
    <w:p w14:paraId="137CC066" w14:textId="04DD4BD4" w:rsidR="005D7B8B" w:rsidRDefault="005D7B8B">
      <w:pPr>
        <w:pStyle w:val="FootnoteText"/>
      </w:pPr>
      <w:r>
        <w:rPr>
          <w:rStyle w:val="FootnoteReference"/>
        </w:rPr>
        <w:footnoteRef/>
      </w:r>
      <w:r>
        <w:t xml:space="preserve"> Directive (EU) 2019/1161 on the promotion of clean and energy-efficient road transport vehicles</w:t>
      </w:r>
    </w:p>
  </w:footnote>
  <w:footnote w:id="29">
    <w:p w14:paraId="04E3C4F3" w14:textId="64DA53C7" w:rsidR="005D7B8B" w:rsidRDefault="005D7B8B">
      <w:pPr>
        <w:pStyle w:val="FootnoteText"/>
      </w:pPr>
      <w:r>
        <w:rPr>
          <w:rStyle w:val="FootnoteReference"/>
        </w:rPr>
        <w:footnoteRef/>
      </w:r>
      <w:r>
        <w:t xml:space="preserve"> </w:t>
      </w:r>
      <w:r w:rsidRPr="005D7B8B">
        <w:t>https://ec.europa.eu/transport/modes/road/news/2017-05-31-europe-on-the-move_en</w:t>
      </w:r>
    </w:p>
  </w:footnote>
  <w:footnote w:id="30">
    <w:p w14:paraId="42926ED2" w14:textId="4C4B0ED1" w:rsidR="005D7B8B" w:rsidRDefault="005D7B8B">
      <w:pPr>
        <w:pStyle w:val="FootnoteText"/>
      </w:pPr>
      <w:r>
        <w:rPr>
          <w:rStyle w:val="FootnoteReference"/>
        </w:rPr>
        <w:footnoteRef/>
      </w:r>
      <w:r>
        <w:t xml:space="preserve"> </w:t>
      </w:r>
      <w:r w:rsidRPr="005D7B8B">
        <w:t>https://europa.eu/rapid/press-release_IP-17-4242_en.htm</w:t>
      </w:r>
    </w:p>
  </w:footnote>
  <w:footnote w:id="31">
    <w:p w14:paraId="225D8B04" w14:textId="77777777" w:rsidR="000B795E" w:rsidRPr="00F22A27" w:rsidRDefault="000B795E" w:rsidP="000B795E">
      <w:pPr>
        <w:pStyle w:val="FootnoteText"/>
        <w:rPr>
          <w:lang w:val="pt-PT"/>
        </w:rPr>
      </w:pPr>
      <w:r>
        <w:rPr>
          <w:rStyle w:val="FootnoteReference"/>
        </w:rPr>
        <w:footnoteRef/>
      </w:r>
      <w:r w:rsidRPr="00F22A27">
        <w:rPr>
          <w:lang w:val="pt-PT"/>
        </w:rPr>
        <w:t xml:space="preserve"> COM/2018/097 final</w:t>
      </w:r>
    </w:p>
  </w:footnote>
  <w:footnote w:id="32">
    <w:p w14:paraId="79AAE88C" w14:textId="77777777" w:rsidR="000B795E" w:rsidRPr="00F22A27" w:rsidRDefault="000B795E" w:rsidP="000B795E">
      <w:pPr>
        <w:pStyle w:val="FootnoteText"/>
        <w:rPr>
          <w:lang w:val="pt-PT"/>
        </w:rPr>
      </w:pPr>
      <w:r>
        <w:rPr>
          <w:rStyle w:val="FootnoteReference"/>
        </w:rPr>
        <w:footnoteRef/>
      </w:r>
      <w:r w:rsidRPr="00F22A27">
        <w:rPr>
          <w:lang w:val="pt-PT"/>
        </w:rPr>
        <w:t xml:space="preserve"> </w:t>
      </w:r>
      <w:hyperlink r:id="rId3" w:history="1">
        <w:r w:rsidRPr="00F22A27">
          <w:rPr>
            <w:rStyle w:val="Hyperlink"/>
            <w:lang w:val="pt-PT"/>
          </w:rPr>
          <w:t>https://ec.europa.eu/info/publications/180524-proposal-sustainable-finance_en</w:t>
        </w:r>
      </w:hyperlink>
      <w:r w:rsidRPr="00F22A27">
        <w:rPr>
          <w:lang w:val="pt-PT"/>
        </w:rPr>
        <w:t xml:space="preserve"> </w:t>
      </w:r>
    </w:p>
  </w:footnote>
  <w:footnote w:id="33">
    <w:p w14:paraId="2CA849BB" w14:textId="77777777" w:rsidR="000B795E" w:rsidRPr="00F22A27" w:rsidRDefault="000B795E" w:rsidP="000B795E">
      <w:pPr>
        <w:pStyle w:val="FootnoteText"/>
        <w:rPr>
          <w:lang w:val="pt-PT"/>
        </w:rPr>
      </w:pPr>
      <w:r>
        <w:rPr>
          <w:rStyle w:val="FootnoteReference"/>
        </w:rPr>
        <w:footnoteRef/>
      </w:r>
      <w:r w:rsidRPr="00F22A27">
        <w:rPr>
          <w:lang w:val="pt-PT"/>
        </w:rPr>
        <w:t xml:space="preserve"> </w:t>
      </w:r>
      <w:hyperlink r:id="rId4" w:anchor="climate" w:history="1">
        <w:r w:rsidRPr="00F22A27">
          <w:rPr>
            <w:rStyle w:val="Hyperlink"/>
            <w:lang w:val="pt-PT"/>
          </w:rPr>
          <w:t>https://ec.europa.eu/info/publications/non-financial-reporting-guidelines_en#climate</w:t>
        </w:r>
      </w:hyperlink>
      <w:r w:rsidRPr="00F22A27">
        <w:rPr>
          <w:lang w:val="pt-PT"/>
        </w:rPr>
        <w:t xml:space="preserve"> </w:t>
      </w:r>
    </w:p>
  </w:footnote>
  <w:footnote w:id="34">
    <w:p w14:paraId="4F2162F9" w14:textId="77777777" w:rsidR="001848EE" w:rsidRPr="00290BB5" w:rsidRDefault="001848EE" w:rsidP="001848EE">
      <w:pPr>
        <w:pStyle w:val="FootnoteText"/>
        <w:spacing w:after="120"/>
        <w:ind w:left="426" w:hanging="426"/>
        <w:jc w:val="both"/>
        <w:rPr>
          <w:rFonts w:ascii="Times New Roman" w:hAnsi="Times New Roman" w:cs="Times New Roman"/>
          <w:lang w:val="pt-PT"/>
        </w:rPr>
      </w:pPr>
      <w:r>
        <w:rPr>
          <w:rStyle w:val="FootnoteReference"/>
          <w:rFonts w:ascii="Times New Roman" w:hAnsi="Times New Roman" w:cs="Times New Roman"/>
        </w:rPr>
        <w:footnoteRef/>
      </w:r>
      <w:r w:rsidRPr="00290BB5">
        <w:rPr>
          <w:rFonts w:ascii="Times New Roman" w:hAnsi="Times New Roman" w:cs="Times New Roman"/>
          <w:lang w:val="pt-PT"/>
        </w:rPr>
        <w:t xml:space="preserve"> </w:t>
      </w:r>
      <w:r w:rsidRPr="00290BB5">
        <w:rPr>
          <w:rFonts w:ascii="Times New Roman" w:hAnsi="Times New Roman" w:cs="Times New Roman"/>
          <w:lang w:val="pt-PT"/>
        </w:rPr>
        <w:tab/>
      </w:r>
      <w:r w:rsidRPr="00B8276C">
        <w:rPr>
          <w:rFonts w:ascii="Times New Roman" w:hAnsi="Times New Roman" w:cs="Times New Roman"/>
          <w:lang w:val="pt-PT"/>
        </w:rPr>
        <w:t>https://ec.europa.eu/info/sites/info/files/about_the_european_commission/eu_budget/draft-budget-2020-wd-13-web-1.4_soe.pdf</w:t>
      </w:r>
    </w:p>
  </w:footnote>
  <w:footnote w:id="35">
    <w:p w14:paraId="4EDED4B4" w14:textId="77777777" w:rsidR="001848EE" w:rsidRPr="00B8276C" w:rsidRDefault="001848EE" w:rsidP="001848EE">
      <w:pPr>
        <w:pStyle w:val="FootnoteText"/>
        <w:spacing w:after="120"/>
        <w:ind w:left="426" w:hanging="426"/>
        <w:jc w:val="both"/>
        <w:rPr>
          <w:rFonts w:ascii="Times New Roman" w:hAnsi="Times New Roman" w:cs="Times New Roman"/>
          <w:b/>
          <w:lang w:val="pt-PT"/>
        </w:rPr>
      </w:pPr>
      <w:r>
        <w:rPr>
          <w:rStyle w:val="FootnoteReference"/>
          <w:rFonts w:ascii="Times New Roman" w:hAnsi="Times New Roman" w:cs="Times New Roman"/>
        </w:rPr>
        <w:footnoteRef/>
      </w:r>
      <w:r w:rsidRPr="00B8276C">
        <w:rPr>
          <w:rFonts w:ascii="Times New Roman" w:hAnsi="Times New Roman" w:cs="Times New Roman"/>
          <w:lang w:val="pt-PT"/>
        </w:rPr>
        <w:t xml:space="preserve"> </w:t>
      </w:r>
      <w:r w:rsidRPr="00B8276C">
        <w:rPr>
          <w:rFonts w:ascii="Times New Roman" w:hAnsi="Times New Roman" w:cs="Times New Roman"/>
          <w:lang w:val="pt-PT"/>
        </w:rPr>
        <w:tab/>
      </w:r>
      <w:hyperlink r:id="rId5" w:history="1">
        <w:r w:rsidRPr="00B8276C">
          <w:rPr>
            <w:rStyle w:val="Hyperlink"/>
            <w:rFonts w:ascii="Times New Roman" w:hAnsi="Times New Roman" w:cs="Times New Roman"/>
            <w:lang w:val="pt-PT"/>
          </w:rPr>
          <w:t>https://ec.europa.eu/commission/publications/factsheets-long-term-budget-proposals_en</w:t>
        </w:r>
      </w:hyperlink>
      <w:r w:rsidRPr="00B8276C">
        <w:rPr>
          <w:rFonts w:ascii="Times New Roman" w:hAnsi="Times New Roman" w:cs="Times New Roman"/>
          <w:b/>
          <w:lang w:val="pt-PT"/>
        </w:rPr>
        <w:t xml:space="preserve"> </w:t>
      </w:r>
    </w:p>
  </w:footnote>
  <w:footnote w:id="36">
    <w:p w14:paraId="149F5AFF" w14:textId="631D1DE8" w:rsidR="00712EF5" w:rsidRPr="00712EF5" w:rsidRDefault="00712EF5" w:rsidP="00712EF5">
      <w:pPr>
        <w:pStyle w:val="FootnoteText"/>
        <w:rPr>
          <w:lang w:val="en-IE"/>
        </w:rPr>
      </w:pPr>
      <w:r>
        <w:rPr>
          <w:rStyle w:val="FootnoteReference"/>
        </w:rPr>
        <w:footnoteRef/>
      </w:r>
      <w:r>
        <w:t xml:space="preserve"> </w:t>
      </w:r>
      <w:r w:rsidRPr="009D3722">
        <w:t>Directive (EU) 2018/410 of 14 March 2018 of the European Parliament and of the Council, amending Directive 2003/87/EC establishing a system for greenhouse gas emission allowance trading within the Union</w:t>
      </w:r>
      <w:r>
        <w:t>, Article 10a(8)</w:t>
      </w:r>
      <w:r w:rsidRPr="009D3722">
        <w:t>.</w:t>
      </w:r>
    </w:p>
  </w:footnote>
  <w:footnote w:id="37">
    <w:p w14:paraId="40729705" w14:textId="78F79B95" w:rsidR="00712EF5" w:rsidRPr="00D35DE0" w:rsidRDefault="00712EF5" w:rsidP="00712EF5">
      <w:pPr>
        <w:pStyle w:val="FootnoteText"/>
        <w:rPr>
          <w:lang w:val="en-IE"/>
        </w:rPr>
      </w:pPr>
      <w:r>
        <w:rPr>
          <w:rStyle w:val="FootnoteReference"/>
        </w:rPr>
        <w:footnoteRef/>
      </w:r>
      <w:r>
        <w:t xml:space="preserve">    28/05/2019 - C(2019) 1492 - </w:t>
      </w:r>
      <w:hyperlink r:id="rId6" w:history="1">
        <w:r>
          <w:rPr>
            <w:rStyle w:val="Hyperlink"/>
          </w:rPr>
          <w:t xml:space="preserve">Commission Delegated Regulation (EU) 2019/856 supplementing Directive 2003/87/EC with regard to the operation of the Innovation Fund </w:t>
        </w:r>
      </w:hyperlink>
      <w:r>
        <w:t xml:space="preserve"> </w:t>
      </w:r>
      <w:r w:rsidRPr="0081096C">
        <w:t xml:space="preserve"> </w:t>
      </w:r>
    </w:p>
  </w:footnote>
  <w:footnote w:id="38">
    <w:p w14:paraId="07185F01" w14:textId="77777777" w:rsidR="00712EF5" w:rsidRDefault="00712EF5" w:rsidP="00712EF5">
      <w:pPr>
        <w:pStyle w:val="FootnoteText"/>
      </w:pPr>
      <w:r>
        <w:rPr>
          <w:rStyle w:val="FootnoteReference"/>
        </w:rPr>
        <w:footnoteRef/>
      </w:r>
      <w:r>
        <w:t xml:space="preserve"> </w:t>
      </w:r>
      <w:r w:rsidRPr="005E2B6B">
        <w:t>https://ec.europa.eu/cl</w:t>
      </w:r>
      <w:r>
        <w:t>ima/policies/innovation-fund_en</w:t>
      </w:r>
    </w:p>
  </w:footnote>
  <w:footnote w:id="39">
    <w:p w14:paraId="4D016814" w14:textId="77777777" w:rsidR="00712EF5" w:rsidRPr="00BB4D41" w:rsidRDefault="00712EF5" w:rsidP="00712EF5">
      <w:pPr>
        <w:pStyle w:val="FootnoteText"/>
      </w:pPr>
      <w:r>
        <w:rPr>
          <w:rStyle w:val="FootnoteReference"/>
        </w:rPr>
        <w:footnoteRef/>
      </w:r>
      <w:r>
        <w:t xml:space="preserve"> </w:t>
      </w:r>
      <w:r>
        <w:tab/>
        <w:t>BG, CZ, EE, HR, LV, LT, HU, PL, RO and SK.</w:t>
      </w:r>
    </w:p>
  </w:footnote>
  <w:footnote w:id="40">
    <w:p w14:paraId="62F64CEB" w14:textId="77777777" w:rsidR="00F47D23" w:rsidRDefault="00F47D23" w:rsidP="00F47D23">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cs="Times New Roman"/>
        </w:rPr>
        <w:t xml:space="preserve"> </w:t>
      </w:r>
      <w:r>
        <w:rPr>
          <w:rFonts w:ascii="Times New Roman" w:hAnsi="Times New Roman" w:cs="Times New Roman"/>
        </w:rPr>
        <w:tab/>
        <w:t xml:space="preserve">Croatia and Bulgaria are still working on their national strategies. </w:t>
      </w:r>
    </w:p>
  </w:footnote>
  <w:footnote w:id="41">
    <w:p w14:paraId="1DF1C843" w14:textId="77777777" w:rsidR="00F47D23" w:rsidRPr="005458D9" w:rsidRDefault="00F47D23" w:rsidP="00F47D23">
      <w:pPr>
        <w:pStyle w:val="FootnoteText"/>
        <w:rPr>
          <w:lang w:val="es-ES"/>
        </w:rPr>
      </w:pPr>
      <w:r>
        <w:rPr>
          <w:rStyle w:val="FootnoteReference"/>
        </w:rPr>
        <w:footnoteRef/>
      </w:r>
      <w:r>
        <w:t xml:space="preserve"> </w:t>
      </w:r>
      <w:hyperlink r:id="rId7" w:history="1">
        <w:r w:rsidRPr="005A5C1D">
          <w:rPr>
            <w:rStyle w:val="Hyperlink"/>
          </w:rPr>
          <w:t>https://ec.europa.eu/jrc/en/peseta-iii</w:t>
        </w:r>
      </w:hyperlink>
      <w:r>
        <w:t xml:space="preserve"> </w:t>
      </w:r>
    </w:p>
  </w:footnote>
  <w:footnote w:id="42">
    <w:p w14:paraId="5F9C739A" w14:textId="77777777" w:rsidR="00F47D23" w:rsidRPr="005458D9" w:rsidRDefault="00F47D23" w:rsidP="00F47D23">
      <w:pPr>
        <w:pStyle w:val="FootnoteText"/>
        <w:rPr>
          <w:lang w:val="es-ES"/>
        </w:rPr>
      </w:pPr>
      <w:r>
        <w:rPr>
          <w:rStyle w:val="FootnoteReference"/>
        </w:rPr>
        <w:footnoteRef/>
      </w:r>
      <w:r w:rsidRPr="005458D9">
        <w:rPr>
          <w:lang w:val="es-ES"/>
        </w:rPr>
        <w:t xml:space="preserve"> </w:t>
      </w:r>
      <w:hyperlink r:id="rId8" w:history="1">
        <w:r w:rsidRPr="005458D9">
          <w:rPr>
            <w:rStyle w:val="Hyperlink"/>
            <w:lang w:val="es-ES"/>
          </w:rPr>
          <w:t>http://www.lifeagroclimawater.eu/</w:t>
        </w:r>
      </w:hyperlink>
      <w:r w:rsidRPr="005458D9">
        <w:rPr>
          <w:lang w:val="es-ES"/>
        </w:rPr>
        <w:t xml:space="preserve"> </w:t>
      </w:r>
    </w:p>
  </w:footnote>
  <w:footnote w:id="43">
    <w:p w14:paraId="100BBCCE" w14:textId="77777777" w:rsidR="00F47D23" w:rsidRPr="00C52AC6" w:rsidRDefault="00F47D23" w:rsidP="00F47D23">
      <w:pPr>
        <w:pStyle w:val="FootnoteText"/>
        <w:rPr>
          <w:lang w:val="es-ES"/>
        </w:rPr>
      </w:pPr>
      <w:r>
        <w:rPr>
          <w:rStyle w:val="FootnoteReference"/>
        </w:rPr>
        <w:footnoteRef/>
      </w:r>
      <w:r w:rsidRPr="00C52AC6">
        <w:rPr>
          <w:lang w:val="es-ES"/>
        </w:rPr>
        <w:t xml:space="preserve"> </w:t>
      </w:r>
      <w:hyperlink r:id="rId9" w:history="1">
        <w:r w:rsidRPr="00C52AC6">
          <w:rPr>
            <w:rStyle w:val="Hyperlink"/>
            <w:lang w:val="es-ES"/>
          </w:rPr>
          <w:t>https://ec.europa.eu/clima/policies/adaptation/what_en</w:t>
        </w:r>
      </w:hyperlink>
    </w:p>
  </w:footnote>
  <w:footnote w:id="44">
    <w:p w14:paraId="441D2AE3" w14:textId="77777777" w:rsidR="00791B41" w:rsidRPr="000124D4" w:rsidRDefault="00791B41" w:rsidP="00791B41">
      <w:pPr>
        <w:pStyle w:val="FootnoteText"/>
        <w:ind w:left="284" w:hanging="284"/>
        <w:jc w:val="both"/>
        <w:rPr>
          <w:lang w:val="es-ES"/>
        </w:rPr>
      </w:pPr>
      <w:r>
        <w:rPr>
          <w:rStyle w:val="FootnoteReference"/>
        </w:rPr>
        <w:footnoteRef/>
      </w:r>
      <w:r w:rsidRPr="000124D4">
        <w:rPr>
          <w:lang w:val="es-ES"/>
        </w:rPr>
        <w:t xml:space="preserve"> </w:t>
      </w:r>
      <w:r w:rsidRPr="000124D4">
        <w:rPr>
          <w:lang w:val="es-ES"/>
        </w:rPr>
        <w:tab/>
      </w:r>
      <w:hyperlink r:id="rId10" w:history="1">
        <w:r w:rsidRPr="000124D4">
          <w:rPr>
            <w:rStyle w:val="Hyperlink"/>
            <w:rFonts w:ascii="Times New Roman" w:hAnsi="Times New Roman" w:cs="Times New Roman"/>
            <w:lang w:val="es-ES"/>
          </w:rPr>
          <w:t>https://eur-lex.europa.eu/legal-content/EN/TXT/?uri=CELEX:32018D2027</w:t>
        </w:r>
      </w:hyperlink>
      <w:r w:rsidRPr="000124D4">
        <w:rPr>
          <w:rFonts w:ascii="Times New Roman" w:hAnsi="Times New Roman" w:cs="Times New Roman"/>
          <w:lang w:val="es-ES"/>
        </w:rPr>
        <w:t xml:space="preserve"> </w:t>
      </w:r>
    </w:p>
  </w:footnote>
  <w:footnote w:id="45">
    <w:p w14:paraId="7D299540" w14:textId="77777777" w:rsidR="00FC7587" w:rsidRDefault="00FC7587" w:rsidP="00FC7587">
      <w:pPr>
        <w:pStyle w:val="FootnoteText"/>
      </w:pPr>
      <w:r>
        <w:rPr>
          <w:rStyle w:val="FootnoteReference"/>
        </w:rPr>
        <w:footnoteRef/>
      </w:r>
      <w:r>
        <w:t xml:space="preserve"> </w:t>
      </w:r>
      <w:r w:rsidRPr="005E62B7">
        <w:t>Regulation (EU) 2015/757 on the monitoring, reporting and verification (MRV) of CO2 emissions</w:t>
      </w:r>
    </w:p>
  </w:footnote>
  <w:footnote w:id="46">
    <w:p w14:paraId="112B73DD" w14:textId="7753CD21" w:rsidR="00C05D8D" w:rsidRDefault="00C05D8D">
      <w:pPr>
        <w:pStyle w:val="FootnoteText"/>
      </w:pPr>
      <w:r>
        <w:rPr>
          <w:rStyle w:val="FootnoteReference"/>
        </w:rPr>
        <w:footnoteRef/>
      </w:r>
      <w:r>
        <w:t xml:space="preserve"> </w:t>
      </w:r>
      <w:r w:rsidRPr="00C05D8D">
        <w:t>2018 EU climate finance figures will be published in</w:t>
      </w:r>
      <w:r>
        <w:t xml:space="preserve"> autumn 2019</w:t>
      </w:r>
      <w:r w:rsidRPr="00C05D8D">
        <w:t xml:space="preserve"> Council conclusions on climate finance.</w:t>
      </w:r>
    </w:p>
  </w:footnote>
  <w:footnote w:id="47">
    <w:p w14:paraId="5730E69D" w14:textId="77777777" w:rsidR="005F03FC" w:rsidRDefault="005F03FC" w:rsidP="005F03FC">
      <w:pPr>
        <w:pStyle w:val="FootnoteText"/>
      </w:pPr>
      <w:r>
        <w:rPr>
          <w:rStyle w:val="FootnoteReference"/>
        </w:rPr>
        <w:footnoteRef/>
      </w:r>
      <w:r>
        <w:t xml:space="preserve"> </w:t>
      </w:r>
      <w:r w:rsidRPr="005F03FC">
        <w:t>The Cotonou Agreement is the overarching framework for EU relations with ACP countries. It will expire in February 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CD0D" w14:textId="77777777" w:rsidR="00D84334" w:rsidRPr="00D84334" w:rsidRDefault="00D84334" w:rsidP="00D843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2827B" w14:textId="77777777" w:rsidR="00D84334" w:rsidRPr="00D84334" w:rsidRDefault="00D84334" w:rsidP="00D84334">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C3167" w14:textId="77777777" w:rsidR="00D84334" w:rsidRPr="00D84334" w:rsidRDefault="00D84334" w:rsidP="00D84334">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C35D2" w14:textId="77777777" w:rsidR="00ED1184" w:rsidRDefault="00ED118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12090" w14:textId="77777777" w:rsidR="00ED1184" w:rsidRDefault="00ED118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375C7" w14:textId="77777777" w:rsidR="00ED1184" w:rsidRDefault="00ED11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507C6"/>
    <w:multiLevelType w:val="hybridMultilevel"/>
    <w:tmpl w:val="E9C8391E"/>
    <w:lvl w:ilvl="0" w:tplc="E6A4CE56">
      <w:start w:val="1"/>
      <w:numFmt w:val="decimal"/>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8D0C91"/>
    <w:multiLevelType w:val="hybridMultilevel"/>
    <w:tmpl w:val="99DC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1059D8"/>
    <w:multiLevelType w:val="hybridMultilevel"/>
    <w:tmpl w:val="D0B07C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3991137"/>
    <w:multiLevelType w:val="hybridMultilevel"/>
    <w:tmpl w:val="4D26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DCF3F4A"/>
    <w:multiLevelType w:val="hybridMultilevel"/>
    <w:tmpl w:val="61A6A4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 w:numId="6">
    <w:abstractNumId w:val="5"/>
  </w:num>
  <w:num w:numId="7">
    <w:abstractNumId w:val="6"/>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A4B0D5EC-B638-4CFC-A3D3-5AB9E96D6AE3"/>
    <w:docVar w:name="LW_COVERPAGE_TYPE" w:val="1"/>
    <w:docVar w:name="LW_CROSSREFERENCE" w:val="{SWD(2019) 396 final}"/>
    <w:docVar w:name="LW_DocType" w:val="NORMAL"/>
    <w:docVar w:name="LW_EMISSION" w:val="31.10.2019"/>
    <w:docVar w:name="LW_EMISSION_ISODATE" w:val="2019-10-31"/>
    <w:docVar w:name="LW_EMISSION_LOCATION" w:val="BRX"/>
    <w:docVar w:name="LW_EMISSION_PREFIX" w:val="Brussels, "/>
    <w:docVar w:name="LW_EMISSION_SUFFIX" w:val=" "/>
    <w:docVar w:name="LW_ID_DOCTYPE_NONLW" w:val="CP-006"/>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9) 55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Preparing the ground for raising long-term ambition_x000d__x000b_EU Climate Action Progress Report 2019"/>
    <w:docVar w:name="LW_TYPE.DOC.CP" w:val="REPORT FROM THE COMMISSION TO THE EUROPEAN PARLIAMENT AND THE COUNCIL"/>
  </w:docVars>
  <w:rsids>
    <w:rsidRoot w:val="00694984"/>
    <w:rsid w:val="000120A6"/>
    <w:rsid w:val="000124D4"/>
    <w:rsid w:val="00015708"/>
    <w:rsid w:val="00024BE8"/>
    <w:rsid w:val="00033FA4"/>
    <w:rsid w:val="00040337"/>
    <w:rsid w:val="00042694"/>
    <w:rsid w:val="000459E3"/>
    <w:rsid w:val="00083BD6"/>
    <w:rsid w:val="000A05F2"/>
    <w:rsid w:val="000A09FB"/>
    <w:rsid w:val="000A0D2B"/>
    <w:rsid w:val="000B0FFB"/>
    <w:rsid w:val="000B2576"/>
    <w:rsid w:val="000B6609"/>
    <w:rsid w:val="000B74F1"/>
    <w:rsid w:val="000B795E"/>
    <w:rsid w:val="000C292C"/>
    <w:rsid w:val="000E7C42"/>
    <w:rsid w:val="001101D0"/>
    <w:rsid w:val="0011373B"/>
    <w:rsid w:val="00116762"/>
    <w:rsid w:val="00120C05"/>
    <w:rsid w:val="00131394"/>
    <w:rsid w:val="00136EC4"/>
    <w:rsid w:val="001655D9"/>
    <w:rsid w:val="001848EE"/>
    <w:rsid w:val="001904C5"/>
    <w:rsid w:val="001A4A0B"/>
    <w:rsid w:val="001B0B15"/>
    <w:rsid w:val="001B53D5"/>
    <w:rsid w:val="001C1F85"/>
    <w:rsid w:val="001D33E9"/>
    <w:rsid w:val="001E440B"/>
    <w:rsid w:val="001F1B54"/>
    <w:rsid w:val="002012CB"/>
    <w:rsid w:val="002018C2"/>
    <w:rsid w:val="00202DAF"/>
    <w:rsid w:val="00205C86"/>
    <w:rsid w:val="00210000"/>
    <w:rsid w:val="00211875"/>
    <w:rsid w:val="00213810"/>
    <w:rsid w:val="00215D8F"/>
    <w:rsid w:val="00231A9B"/>
    <w:rsid w:val="00234B45"/>
    <w:rsid w:val="00244111"/>
    <w:rsid w:val="002717F7"/>
    <w:rsid w:val="002A50B2"/>
    <w:rsid w:val="002C5B81"/>
    <w:rsid w:val="002F5681"/>
    <w:rsid w:val="003035DC"/>
    <w:rsid w:val="0030411A"/>
    <w:rsid w:val="003248B2"/>
    <w:rsid w:val="00334835"/>
    <w:rsid w:val="00342FE4"/>
    <w:rsid w:val="003505C5"/>
    <w:rsid w:val="00355431"/>
    <w:rsid w:val="00356F91"/>
    <w:rsid w:val="00360050"/>
    <w:rsid w:val="00367115"/>
    <w:rsid w:val="00390E7B"/>
    <w:rsid w:val="003A2C80"/>
    <w:rsid w:val="003A60AD"/>
    <w:rsid w:val="003B29A3"/>
    <w:rsid w:val="003F37D2"/>
    <w:rsid w:val="003F5764"/>
    <w:rsid w:val="004268CB"/>
    <w:rsid w:val="004319ED"/>
    <w:rsid w:val="00443890"/>
    <w:rsid w:val="00446D1E"/>
    <w:rsid w:val="00455964"/>
    <w:rsid w:val="0045741B"/>
    <w:rsid w:val="00457EBA"/>
    <w:rsid w:val="00474CA1"/>
    <w:rsid w:val="00484DE3"/>
    <w:rsid w:val="00485CD0"/>
    <w:rsid w:val="004C23CE"/>
    <w:rsid w:val="004D7B88"/>
    <w:rsid w:val="004F5428"/>
    <w:rsid w:val="005036F6"/>
    <w:rsid w:val="005079D9"/>
    <w:rsid w:val="00516843"/>
    <w:rsid w:val="00525516"/>
    <w:rsid w:val="00526212"/>
    <w:rsid w:val="00531307"/>
    <w:rsid w:val="0054068E"/>
    <w:rsid w:val="005834F5"/>
    <w:rsid w:val="00583B27"/>
    <w:rsid w:val="005A35A3"/>
    <w:rsid w:val="005A76D1"/>
    <w:rsid w:val="005C76F1"/>
    <w:rsid w:val="005D1F97"/>
    <w:rsid w:val="005D2003"/>
    <w:rsid w:val="005D7B8B"/>
    <w:rsid w:val="005E2372"/>
    <w:rsid w:val="005E2B6B"/>
    <w:rsid w:val="005E4F01"/>
    <w:rsid w:val="005E62B7"/>
    <w:rsid w:val="005F03FC"/>
    <w:rsid w:val="00604E96"/>
    <w:rsid w:val="00610A1A"/>
    <w:rsid w:val="00641D8D"/>
    <w:rsid w:val="00643CDF"/>
    <w:rsid w:val="006464FA"/>
    <w:rsid w:val="00651E7A"/>
    <w:rsid w:val="00656196"/>
    <w:rsid w:val="0066275E"/>
    <w:rsid w:val="00672FF9"/>
    <w:rsid w:val="00674E39"/>
    <w:rsid w:val="00675E1B"/>
    <w:rsid w:val="00684416"/>
    <w:rsid w:val="00690B0D"/>
    <w:rsid w:val="00694984"/>
    <w:rsid w:val="006E0EC3"/>
    <w:rsid w:val="006E1D94"/>
    <w:rsid w:val="006E27AE"/>
    <w:rsid w:val="006E303C"/>
    <w:rsid w:val="006E3709"/>
    <w:rsid w:val="006F07FA"/>
    <w:rsid w:val="007116A9"/>
    <w:rsid w:val="00712EF5"/>
    <w:rsid w:val="007263F0"/>
    <w:rsid w:val="00741D3C"/>
    <w:rsid w:val="00744572"/>
    <w:rsid w:val="0076107C"/>
    <w:rsid w:val="0076159D"/>
    <w:rsid w:val="00767704"/>
    <w:rsid w:val="00771322"/>
    <w:rsid w:val="0077185B"/>
    <w:rsid w:val="00790598"/>
    <w:rsid w:val="00791B41"/>
    <w:rsid w:val="007A0D5C"/>
    <w:rsid w:val="007A7A7A"/>
    <w:rsid w:val="007B4143"/>
    <w:rsid w:val="007B6D5B"/>
    <w:rsid w:val="007D3C8F"/>
    <w:rsid w:val="007F63E9"/>
    <w:rsid w:val="00820C46"/>
    <w:rsid w:val="00826D5B"/>
    <w:rsid w:val="00840EB8"/>
    <w:rsid w:val="00886C4C"/>
    <w:rsid w:val="00893F96"/>
    <w:rsid w:val="00897B66"/>
    <w:rsid w:val="008B04CC"/>
    <w:rsid w:val="008C36CE"/>
    <w:rsid w:val="008C7B9C"/>
    <w:rsid w:val="008D223B"/>
    <w:rsid w:val="008E0CD0"/>
    <w:rsid w:val="008E5BD7"/>
    <w:rsid w:val="008E5BDE"/>
    <w:rsid w:val="008F08F7"/>
    <w:rsid w:val="008F6D89"/>
    <w:rsid w:val="008F7973"/>
    <w:rsid w:val="009162EF"/>
    <w:rsid w:val="0091710F"/>
    <w:rsid w:val="0093324D"/>
    <w:rsid w:val="00934AB6"/>
    <w:rsid w:val="00955F27"/>
    <w:rsid w:val="00962211"/>
    <w:rsid w:val="00977494"/>
    <w:rsid w:val="009A600C"/>
    <w:rsid w:val="009B555F"/>
    <w:rsid w:val="009D30C9"/>
    <w:rsid w:val="009E18FF"/>
    <w:rsid w:val="009E522C"/>
    <w:rsid w:val="009E7F64"/>
    <w:rsid w:val="009F7708"/>
    <w:rsid w:val="00A03576"/>
    <w:rsid w:val="00A03C6A"/>
    <w:rsid w:val="00A17F57"/>
    <w:rsid w:val="00A72AEB"/>
    <w:rsid w:val="00A860C4"/>
    <w:rsid w:val="00A9528E"/>
    <w:rsid w:val="00A969D1"/>
    <w:rsid w:val="00AB2453"/>
    <w:rsid w:val="00AB5071"/>
    <w:rsid w:val="00AE1D47"/>
    <w:rsid w:val="00AE2711"/>
    <w:rsid w:val="00AE6208"/>
    <w:rsid w:val="00B06F6A"/>
    <w:rsid w:val="00B350C4"/>
    <w:rsid w:val="00B3718B"/>
    <w:rsid w:val="00B4044E"/>
    <w:rsid w:val="00B410C1"/>
    <w:rsid w:val="00B41E98"/>
    <w:rsid w:val="00B42E9A"/>
    <w:rsid w:val="00B51CB3"/>
    <w:rsid w:val="00B526B5"/>
    <w:rsid w:val="00B62C43"/>
    <w:rsid w:val="00B700A4"/>
    <w:rsid w:val="00B7010C"/>
    <w:rsid w:val="00B7393E"/>
    <w:rsid w:val="00B7531F"/>
    <w:rsid w:val="00B772B1"/>
    <w:rsid w:val="00B815A4"/>
    <w:rsid w:val="00B82062"/>
    <w:rsid w:val="00B86D49"/>
    <w:rsid w:val="00B912C1"/>
    <w:rsid w:val="00B922B3"/>
    <w:rsid w:val="00B9480F"/>
    <w:rsid w:val="00BA712A"/>
    <w:rsid w:val="00BB34BD"/>
    <w:rsid w:val="00BC3EC9"/>
    <w:rsid w:val="00BD014F"/>
    <w:rsid w:val="00BF5162"/>
    <w:rsid w:val="00C02801"/>
    <w:rsid w:val="00C05D8D"/>
    <w:rsid w:val="00C21CEC"/>
    <w:rsid w:val="00C269C8"/>
    <w:rsid w:val="00C32018"/>
    <w:rsid w:val="00C4138F"/>
    <w:rsid w:val="00C43AD6"/>
    <w:rsid w:val="00C44178"/>
    <w:rsid w:val="00C443B0"/>
    <w:rsid w:val="00C53D79"/>
    <w:rsid w:val="00C54747"/>
    <w:rsid w:val="00C60921"/>
    <w:rsid w:val="00C9211C"/>
    <w:rsid w:val="00C93BDF"/>
    <w:rsid w:val="00CA7B35"/>
    <w:rsid w:val="00CE0BDE"/>
    <w:rsid w:val="00CE3ED6"/>
    <w:rsid w:val="00CE5A68"/>
    <w:rsid w:val="00CE78E6"/>
    <w:rsid w:val="00CE7DFD"/>
    <w:rsid w:val="00D00063"/>
    <w:rsid w:val="00D04B9E"/>
    <w:rsid w:val="00D0614D"/>
    <w:rsid w:val="00D06635"/>
    <w:rsid w:val="00D25DC5"/>
    <w:rsid w:val="00D3588F"/>
    <w:rsid w:val="00D41214"/>
    <w:rsid w:val="00D73D53"/>
    <w:rsid w:val="00D84334"/>
    <w:rsid w:val="00D912D4"/>
    <w:rsid w:val="00D9289F"/>
    <w:rsid w:val="00DA03BE"/>
    <w:rsid w:val="00DA4895"/>
    <w:rsid w:val="00DD227D"/>
    <w:rsid w:val="00DD4A3D"/>
    <w:rsid w:val="00DE60AF"/>
    <w:rsid w:val="00DF11B4"/>
    <w:rsid w:val="00E0093B"/>
    <w:rsid w:val="00E04ACD"/>
    <w:rsid w:val="00E109A2"/>
    <w:rsid w:val="00E268FF"/>
    <w:rsid w:val="00E36457"/>
    <w:rsid w:val="00E41489"/>
    <w:rsid w:val="00E60625"/>
    <w:rsid w:val="00E628BB"/>
    <w:rsid w:val="00E76F6B"/>
    <w:rsid w:val="00E809A6"/>
    <w:rsid w:val="00E87A7E"/>
    <w:rsid w:val="00E90CED"/>
    <w:rsid w:val="00ED1184"/>
    <w:rsid w:val="00ED2123"/>
    <w:rsid w:val="00ED69A9"/>
    <w:rsid w:val="00ED722B"/>
    <w:rsid w:val="00EE03A4"/>
    <w:rsid w:val="00EF5CA9"/>
    <w:rsid w:val="00F03FA4"/>
    <w:rsid w:val="00F24C2B"/>
    <w:rsid w:val="00F4211B"/>
    <w:rsid w:val="00F443A7"/>
    <w:rsid w:val="00F47D23"/>
    <w:rsid w:val="00F61A28"/>
    <w:rsid w:val="00F64B49"/>
    <w:rsid w:val="00F70B2F"/>
    <w:rsid w:val="00F77BA9"/>
    <w:rsid w:val="00F90C48"/>
    <w:rsid w:val="00FA1455"/>
    <w:rsid w:val="00FA4CE7"/>
    <w:rsid w:val="00FA6DFB"/>
    <w:rsid w:val="00FA76CD"/>
    <w:rsid w:val="00FB4E06"/>
    <w:rsid w:val="00FC7587"/>
    <w:rsid w:val="00FD2C35"/>
    <w:rsid w:val="00FE180C"/>
    <w:rsid w:val="00FF4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8B52002"/>
  <w15:chartTrackingRefBased/>
  <w15:docId w15:val="{8CCD4537-EA70-49A1-AA75-FE9D4699B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04ACD"/>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rsid w:val="00E04ACD"/>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rsid w:val="001313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4ACD"/>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sid w:val="00E04ACD"/>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rsid w:val="008E5BD7"/>
    <w:pPr>
      <w:ind w:left="720"/>
      <w:contextualSpacing/>
    </w:pPr>
  </w:style>
  <w:style w:type="character" w:styleId="Hyperlink">
    <w:name w:val="Hyperlink"/>
    <w:basedOn w:val="DefaultParagraphFont"/>
    <w:uiPriority w:val="99"/>
    <w:unhideWhenUsed/>
    <w:rsid w:val="001D33E9"/>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rsid w:val="001D33E9"/>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sid w:val="001D33E9"/>
    <w:rPr>
      <w:sz w:val="20"/>
      <w:szCs w:val="20"/>
    </w:rPr>
  </w:style>
  <w:style w:type="character" w:styleId="CommentReference">
    <w:name w:val="annotation reference"/>
    <w:basedOn w:val="DefaultParagraphFont"/>
    <w:uiPriority w:val="99"/>
    <w:semiHidden/>
    <w:unhideWhenUsed/>
    <w:rsid w:val="001D33E9"/>
    <w:rPr>
      <w:sz w:val="16"/>
      <w:szCs w:val="16"/>
    </w:rPr>
  </w:style>
  <w:style w:type="paragraph" w:styleId="CommentText">
    <w:name w:val="annotation text"/>
    <w:basedOn w:val="Normal"/>
    <w:link w:val="CommentTextChar"/>
    <w:uiPriority w:val="99"/>
    <w:unhideWhenUsed/>
    <w:rsid w:val="001D33E9"/>
    <w:pPr>
      <w:spacing w:after="200" w:line="240" w:lineRule="auto"/>
    </w:pPr>
    <w:rPr>
      <w:sz w:val="20"/>
      <w:szCs w:val="20"/>
    </w:rPr>
  </w:style>
  <w:style w:type="character" w:customStyle="1" w:styleId="CommentTextChar">
    <w:name w:val="Comment Text Char"/>
    <w:basedOn w:val="DefaultParagraphFont"/>
    <w:link w:val="CommentText"/>
    <w:uiPriority w:val="99"/>
    <w:rsid w:val="001D33E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sid w:val="001D33E9"/>
    <w:rPr>
      <w:vertAlign w:val="superscript"/>
    </w:rPr>
  </w:style>
  <w:style w:type="paragraph" w:styleId="BalloonText">
    <w:name w:val="Balloon Text"/>
    <w:basedOn w:val="Normal"/>
    <w:link w:val="BalloonTextChar"/>
    <w:uiPriority w:val="99"/>
    <w:semiHidden/>
    <w:unhideWhenUsed/>
    <w:rsid w:val="001D33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33E9"/>
    <w:rPr>
      <w:rFonts w:ascii="Segoe UI" w:hAnsi="Segoe UI" w:cs="Segoe UI"/>
      <w:sz w:val="18"/>
      <w:szCs w:val="18"/>
    </w:rPr>
  </w:style>
  <w:style w:type="paragraph" w:styleId="Caption">
    <w:name w:val="caption"/>
    <w:aliases w:val="Table Header"/>
    <w:basedOn w:val="Normal"/>
    <w:next w:val="Normal"/>
    <w:link w:val="CaptionChar"/>
    <w:uiPriority w:val="35"/>
    <w:unhideWhenUsed/>
    <w:qFormat/>
    <w:rsid w:val="001D33E9"/>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rsid w:val="000B660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rsid w:val="000B6609"/>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0B660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rsid w:val="00B86D49"/>
    <w:pPr>
      <w:spacing w:after="160"/>
    </w:pPr>
    <w:rPr>
      <w:b/>
      <w:bCs/>
    </w:rPr>
  </w:style>
  <w:style w:type="character" w:customStyle="1" w:styleId="CommentSubjectChar">
    <w:name w:val="Comment Subject Char"/>
    <w:basedOn w:val="CommentTextChar"/>
    <w:link w:val="CommentSubject"/>
    <w:uiPriority w:val="99"/>
    <w:semiHidden/>
    <w:rsid w:val="00B86D49"/>
    <w:rPr>
      <w:b/>
      <w:bCs/>
      <w:sz w:val="20"/>
      <w:szCs w:val="20"/>
    </w:rPr>
  </w:style>
  <w:style w:type="character" w:customStyle="1" w:styleId="CaptionChar">
    <w:name w:val="Caption Char"/>
    <w:aliases w:val="Table Header Char"/>
    <w:link w:val="Caption"/>
    <w:uiPriority w:val="35"/>
    <w:locked/>
    <w:rsid w:val="00672FF9"/>
    <w:rPr>
      <w:rFonts w:ascii="Calibri" w:eastAsia="Calibri" w:hAnsi="Calibri" w:cs="Times New Roman"/>
      <w:b/>
      <w:bCs/>
      <w:sz w:val="20"/>
      <w:szCs w:val="20"/>
    </w:rPr>
  </w:style>
  <w:style w:type="paragraph" w:styleId="NormalWeb">
    <w:name w:val="Normal (Web)"/>
    <w:basedOn w:val="Normal"/>
    <w:uiPriority w:val="99"/>
    <w:unhideWhenUsed/>
    <w:rsid w:val="000A05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A05F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131394"/>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6E0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0EC3"/>
  </w:style>
  <w:style w:type="paragraph" w:styleId="Footer">
    <w:name w:val="footer"/>
    <w:basedOn w:val="Normal"/>
    <w:link w:val="FooterChar"/>
    <w:uiPriority w:val="99"/>
    <w:unhideWhenUsed/>
    <w:rsid w:val="006E0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0EC3"/>
  </w:style>
  <w:style w:type="paragraph" w:styleId="Title">
    <w:name w:val="Title"/>
    <w:basedOn w:val="Normal"/>
    <w:next w:val="Normal"/>
    <w:link w:val="TitleChar"/>
    <w:uiPriority w:val="10"/>
    <w:qFormat/>
    <w:rsid w:val="00B739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39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393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7393E"/>
    <w:rPr>
      <w:rFonts w:eastAsiaTheme="minorEastAsia"/>
      <w:color w:val="5A5A5A" w:themeColor="text1" w:themeTint="A5"/>
      <w:spacing w:val="15"/>
    </w:rPr>
  </w:style>
  <w:style w:type="character" w:styleId="SubtleEmphasis">
    <w:name w:val="Subtle Emphasis"/>
    <w:basedOn w:val="DefaultParagraphFont"/>
    <w:uiPriority w:val="19"/>
    <w:qFormat/>
    <w:rsid w:val="00B7393E"/>
    <w:rPr>
      <w:i/>
      <w:iCs/>
      <w:color w:val="404040" w:themeColor="text1" w:themeTint="BF"/>
    </w:rPr>
  </w:style>
  <w:style w:type="character" w:styleId="Emphasis">
    <w:name w:val="Emphasis"/>
    <w:basedOn w:val="DefaultParagraphFont"/>
    <w:uiPriority w:val="20"/>
    <w:qFormat/>
    <w:rsid w:val="00B7393E"/>
    <w:rPr>
      <w:i/>
      <w:iCs/>
    </w:rPr>
  </w:style>
  <w:style w:type="character" w:customStyle="1" w:styleId="Marker">
    <w:name w:val="Marker"/>
    <w:basedOn w:val="DefaultParagraphFont"/>
    <w:rsid w:val="00ED1184"/>
    <w:rPr>
      <w:color w:val="0000FF"/>
      <w:shd w:val="clear" w:color="auto" w:fill="auto"/>
    </w:rPr>
  </w:style>
  <w:style w:type="paragraph" w:customStyle="1" w:styleId="Pagedecouverture">
    <w:name w:val="Page de couverture"/>
    <w:basedOn w:val="Normal"/>
    <w:next w:val="Normal"/>
    <w:rsid w:val="00ED1184"/>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rsid w:val="00ED1184"/>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sid w:val="00ED1184"/>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rsid w:val="00ED1184"/>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sid w:val="00ED1184"/>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rsid w:val="00ED1184"/>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sid w:val="00ED1184"/>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rsid w:val="00ED1184"/>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sid w:val="00ED1184"/>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rsid w:val="00ED1184"/>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sid w:val="00ED1184"/>
    <w:rPr>
      <w:rFonts w:ascii="Times New Roman" w:eastAsiaTheme="majorEastAsia" w:hAnsi="Times New Roman" w:cs="Times New Roman"/>
      <w:spacing w:val="-10"/>
      <w:kern w:val="28"/>
      <w:sz w:val="2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304245">
      <w:bodyDiv w:val="1"/>
      <w:marLeft w:val="0"/>
      <w:marRight w:val="0"/>
      <w:marTop w:val="0"/>
      <w:marBottom w:val="0"/>
      <w:divBdr>
        <w:top w:val="none" w:sz="0" w:space="0" w:color="auto"/>
        <w:left w:val="none" w:sz="0" w:space="0" w:color="auto"/>
        <w:bottom w:val="none" w:sz="0" w:space="0" w:color="auto"/>
        <w:right w:val="none" w:sz="0" w:space="0" w:color="auto"/>
      </w:divBdr>
    </w:div>
    <w:div w:id="545069299">
      <w:bodyDiv w:val="1"/>
      <w:marLeft w:val="0"/>
      <w:marRight w:val="0"/>
      <w:marTop w:val="0"/>
      <w:marBottom w:val="0"/>
      <w:divBdr>
        <w:top w:val="none" w:sz="0" w:space="0" w:color="auto"/>
        <w:left w:val="none" w:sz="0" w:space="0" w:color="auto"/>
        <w:bottom w:val="none" w:sz="0" w:space="0" w:color="auto"/>
        <w:right w:val="none" w:sz="0" w:space="0" w:color="auto"/>
      </w:divBdr>
      <w:divsChild>
        <w:div w:id="1349285560">
          <w:marLeft w:val="547"/>
          <w:marRight w:val="0"/>
          <w:marTop w:val="96"/>
          <w:marBottom w:val="0"/>
          <w:divBdr>
            <w:top w:val="none" w:sz="0" w:space="0" w:color="auto"/>
            <w:left w:val="none" w:sz="0" w:space="0" w:color="auto"/>
            <w:bottom w:val="none" w:sz="0" w:space="0" w:color="auto"/>
            <w:right w:val="none" w:sz="0" w:space="0" w:color="auto"/>
          </w:divBdr>
        </w:div>
        <w:div w:id="492332153">
          <w:marLeft w:val="547"/>
          <w:marRight w:val="0"/>
          <w:marTop w:val="96"/>
          <w:marBottom w:val="0"/>
          <w:divBdr>
            <w:top w:val="none" w:sz="0" w:space="0" w:color="auto"/>
            <w:left w:val="none" w:sz="0" w:space="0" w:color="auto"/>
            <w:bottom w:val="none" w:sz="0" w:space="0" w:color="auto"/>
            <w:right w:val="none" w:sz="0" w:space="0" w:color="auto"/>
          </w:divBdr>
        </w:div>
      </w:divsChild>
    </w:div>
    <w:div w:id="622467042">
      <w:bodyDiv w:val="1"/>
      <w:marLeft w:val="0"/>
      <w:marRight w:val="0"/>
      <w:marTop w:val="0"/>
      <w:marBottom w:val="0"/>
      <w:divBdr>
        <w:top w:val="none" w:sz="0" w:space="0" w:color="auto"/>
        <w:left w:val="none" w:sz="0" w:space="0" w:color="auto"/>
        <w:bottom w:val="none" w:sz="0" w:space="0" w:color="auto"/>
        <w:right w:val="none" w:sz="0" w:space="0" w:color="auto"/>
      </w:divBdr>
      <w:divsChild>
        <w:div w:id="696614701">
          <w:marLeft w:val="0"/>
          <w:marRight w:val="0"/>
          <w:marTop w:val="0"/>
          <w:marBottom w:val="0"/>
          <w:divBdr>
            <w:top w:val="none" w:sz="0" w:space="0" w:color="auto"/>
            <w:left w:val="none" w:sz="0" w:space="0" w:color="auto"/>
            <w:bottom w:val="none" w:sz="0" w:space="0" w:color="auto"/>
            <w:right w:val="none" w:sz="0" w:space="0" w:color="auto"/>
          </w:divBdr>
        </w:div>
        <w:div w:id="486896805">
          <w:marLeft w:val="0"/>
          <w:marRight w:val="0"/>
          <w:marTop w:val="0"/>
          <w:marBottom w:val="0"/>
          <w:divBdr>
            <w:top w:val="none" w:sz="0" w:space="0" w:color="auto"/>
            <w:left w:val="none" w:sz="0" w:space="0" w:color="auto"/>
            <w:bottom w:val="none" w:sz="0" w:space="0" w:color="auto"/>
            <w:right w:val="none" w:sz="0" w:space="0" w:color="auto"/>
          </w:divBdr>
        </w:div>
        <w:div w:id="1995182714">
          <w:marLeft w:val="0"/>
          <w:marRight w:val="0"/>
          <w:marTop w:val="0"/>
          <w:marBottom w:val="0"/>
          <w:divBdr>
            <w:top w:val="none" w:sz="0" w:space="0" w:color="auto"/>
            <w:left w:val="none" w:sz="0" w:space="0" w:color="auto"/>
            <w:bottom w:val="none" w:sz="0" w:space="0" w:color="auto"/>
            <w:right w:val="none" w:sz="0" w:space="0" w:color="auto"/>
          </w:divBdr>
        </w:div>
        <w:div w:id="1403989712">
          <w:marLeft w:val="0"/>
          <w:marRight w:val="0"/>
          <w:marTop w:val="0"/>
          <w:marBottom w:val="0"/>
          <w:divBdr>
            <w:top w:val="none" w:sz="0" w:space="0" w:color="auto"/>
            <w:left w:val="none" w:sz="0" w:space="0" w:color="auto"/>
            <w:bottom w:val="none" w:sz="0" w:space="0" w:color="auto"/>
            <w:right w:val="none" w:sz="0" w:space="0" w:color="auto"/>
          </w:divBdr>
        </w:div>
        <w:div w:id="1739941987">
          <w:marLeft w:val="0"/>
          <w:marRight w:val="0"/>
          <w:marTop w:val="0"/>
          <w:marBottom w:val="0"/>
          <w:divBdr>
            <w:top w:val="none" w:sz="0" w:space="0" w:color="auto"/>
            <w:left w:val="none" w:sz="0" w:space="0" w:color="auto"/>
            <w:bottom w:val="none" w:sz="0" w:space="0" w:color="auto"/>
            <w:right w:val="none" w:sz="0" w:space="0" w:color="auto"/>
          </w:divBdr>
        </w:div>
        <w:div w:id="888491088">
          <w:marLeft w:val="0"/>
          <w:marRight w:val="0"/>
          <w:marTop w:val="0"/>
          <w:marBottom w:val="0"/>
          <w:divBdr>
            <w:top w:val="none" w:sz="0" w:space="0" w:color="auto"/>
            <w:left w:val="none" w:sz="0" w:space="0" w:color="auto"/>
            <w:bottom w:val="none" w:sz="0" w:space="0" w:color="auto"/>
            <w:right w:val="none" w:sz="0" w:space="0" w:color="auto"/>
          </w:divBdr>
        </w:div>
        <w:div w:id="1144933143">
          <w:marLeft w:val="0"/>
          <w:marRight w:val="0"/>
          <w:marTop w:val="0"/>
          <w:marBottom w:val="0"/>
          <w:divBdr>
            <w:top w:val="none" w:sz="0" w:space="0" w:color="auto"/>
            <w:left w:val="none" w:sz="0" w:space="0" w:color="auto"/>
            <w:bottom w:val="none" w:sz="0" w:space="0" w:color="auto"/>
            <w:right w:val="none" w:sz="0" w:space="0" w:color="auto"/>
          </w:divBdr>
        </w:div>
        <w:div w:id="1282147288">
          <w:marLeft w:val="0"/>
          <w:marRight w:val="0"/>
          <w:marTop w:val="0"/>
          <w:marBottom w:val="0"/>
          <w:divBdr>
            <w:top w:val="none" w:sz="0" w:space="0" w:color="auto"/>
            <w:left w:val="none" w:sz="0" w:space="0" w:color="auto"/>
            <w:bottom w:val="none" w:sz="0" w:space="0" w:color="auto"/>
            <w:right w:val="none" w:sz="0" w:space="0" w:color="auto"/>
          </w:divBdr>
        </w:div>
        <w:div w:id="2024939788">
          <w:marLeft w:val="0"/>
          <w:marRight w:val="0"/>
          <w:marTop w:val="0"/>
          <w:marBottom w:val="0"/>
          <w:divBdr>
            <w:top w:val="none" w:sz="0" w:space="0" w:color="auto"/>
            <w:left w:val="none" w:sz="0" w:space="0" w:color="auto"/>
            <w:bottom w:val="none" w:sz="0" w:space="0" w:color="auto"/>
            <w:right w:val="none" w:sz="0" w:space="0" w:color="auto"/>
          </w:divBdr>
        </w:div>
        <w:div w:id="1214152373">
          <w:marLeft w:val="0"/>
          <w:marRight w:val="0"/>
          <w:marTop w:val="0"/>
          <w:marBottom w:val="0"/>
          <w:divBdr>
            <w:top w:val="none" w:sz="0" w:space="0" w:color="auto"/>
            <w:left w:val="none" w:sz="0" w:space="0" w:color="auto"/>
            <w:bottom w:val="none" w:sz="0" w:space="0" w:color="auto"/>
            <w:right w:val="none" w:sz="0" w:space="0" w:color="auto"/>
          </w:divBdr>
        </w:div>
        <w:div w:id="236012128">
          <w:marLeft w:val="0"/>
          <w:marRight w:val="0"/>
          <w:marTop w:val="0"/>
          <w:marBottom w:val="0"/>
          <w:divBdr>
            <w:top w:val="none" w:sz="0" w:space="0" w:color="auto"/>
            <w:left w:val="none" w:sz="0" w:space="0" w:color="auto"/>
            <w:bottom w:val="none" w:sz="0" w:space="0" w:color="auto"/>
            <w:right w:val="none" w:sz="0" w:space="0" w:color="auto"/>
          </w:divBdr>
        </w:div>
        <w:div w:id="1933051928">
          <w:marLeft w:val="0"/>
          <w:marRight w:val="0"/>
          <w:marTop w:val="0"/>
          <w:marBottom w:val="0"/>
          <w:divBdr>
            <w:top w:val="none" w:sz="0" w:space="0" w:color="auto"/>
            <w:left w:val="none" w:sz="0" w:space="0" w:color="auto"/>
            <w:bottom w:val="none" w:sz="0" w:space="0" w:color="auto"/>
            <w:right w:val="none" w:sz="0" w:space="0" w:color="auto"/>
          </w:divBdr>
        </w:div>
        <w:div w:id="373431674">
          <w:marLeft w:val="0"/>
          <w:marRight w:val="0"/>
          <w:marTop w:val="0"/>
          <w:marBottom w:val="0"/>
          <w:divBdr>
            <w:top w:val="none" w:sz="0" w:space="0" w:color="auto"/>
            <w:left w:val="none" w:sz="0" w:space="0" w:color="auto"/>
            <w:bottom w:val="none" w:sz="0" w:space="0" w:color="auto"/>
            <w:right w:val="none" w:sz="0" w:space="0" w:color="auto"/>
          </w:divBdr>
        </w:div>
        <w:div w:id="1517188893">
          <w:marLeft w:val="0"/>
          <w:marRight w:val="0"/>
          <w:marTop w:val="0"/>
          <w:marBottom w:val="0"/>
          <w:divBdr>
            <w:top w:val="none" w:sz="0" w:space="0" w:color="auto"/>
            <w:left w:val="none" w:sz="0" w:space="0" w:color="auto"/>
            <w:bottom w:val="none" w:sz="0" w:space="0" w:color="auto"/>
            <w:right w:val="none" w:sz="0" w:space="0" w:color="auto"/>
          </w:divBdr>
        </w:div>
        <w:div w:id="1286816044">
          <w:marLeft w:val="0"/>
          <w:marRight w:val="0"/>
          <w:marTop w:val="0"/>
          <w:marBottom w:val="0"/>
          <w:divBdr>
            <w:top w:val="none" w:sz="0" w:space="0" w:color="auto"/>
            <w:left w:val="none" w:sz="0" w:space="0" w:color="auto"/>
            <w:bottom w:val="none" w:sz="0" w:space="0" w:color="auto"/>
            <w:right w:val="none" w:sz="0" w:space="0" w:color="auto"/>
          </w:divBdr>
        </w:div>
        <w:div w:id="1301885672">
          <w:marLeft w:val="0"/>
          <w:marRight w:val="0"/>
          <w:marTop w:val="0"/>
          <w:marBottom w:val="0"/>
          <w:divBdr>
            <w:top w:val="none" w:sz="0" w:space="0" w:color="auto"/>
            <w:left w:val="none" w:sz="0" w:space="0" w:color="auto"/>
            <w:bottom w:val="none" w:sz="0" w:space="0" w:color="auto"/>
            <w:right w:val="none" w:sz="0" w:space="0" w:color="auto"/>
          </w:divBdr>
        </w:div>
        <w:div w:id="183637867">
          <w:marLeft w:val="0"/>
          <w:marRight w:val="0"/>
          <w:marTop w:val="0"/>
          <w:marBottom w:val="0"/>
          <w:divBdr>
            <w:top w:val="none" w:sz="0" w:space="0" w:color="auto"/>
            <w:left w:val="none" w:sz="0" w:space="0" w:color="auto"/>
            <w:bottom w:val="none" w:sz="0" w:space="0" w:color="auto"/>
            <w:right w:val="none" w:sz="0" w:space="0" w:color="auto"/>
          </w:divBdr>
        </w:div>
        <w:div w:id="73018433">
          <w:marLeft w:val="0"/>
          <w:marRight w:val="0"/>
          <w:marTop w:val="0"/>
          <w:marBottom w:val="0"/>
          <w:divBdr>
            <w:top w:val="none" w:sz="0" w:space="0" w:color="auto"/>
            <w:left w:val="none" w:sz="0" w:space="0" w:color="auto"/>
            <w:bottom w:val="none" w:sz="0" w:space="0" w:color="auto"/>
            <w:right w:val="none" w:sz="0" w:space="0" w:color="auto"/>
          </w:divBdr>
        </w:div>
        <w:div w:id="1511674995">
          <w:marLeft w:val="0"/>
          <w:marRight w:val="0"/>
          <w:marTop w:val="0"/>
          <w:marBottom w:val="0"/>
          <w:divBdr>
            <w:top w:val="none" w:sz="0" w:space="0" w:color="auto"/>
            <w:left w:val="none" w:sz="0" w:space="0" w:color="auto"/>
            <w:bottom w:val="none" w:sz="0" w:space="0" w:color="auto"/>
            <w:right w:val="none" w:sz="0" w:space="0" w:color="auto"/>
          </w:divBdr>
        </w:div>
        <w:div w:id="1764958855">
          <w:marLeft w:val="0"/>
          <w:marRight w:val="0"/>
          <w:marTop w:val="0"/>
          <w:marBottom w:val="0"/>
          <w:divBdr>
            <w:top w:val="none" w:sz="0" w:space="0" w:color="auto"/>
            <w:left w:val="none" w:sz="0" w:space="0" w:color="auto"/>
            <w:bottom w:val="none" w:sz="0" w:space="0" w:color="auto"/>
            <w:right w:val="none" w:sz="0" w:space="0" w:color="auto"/>
          </w:divBdr>
        </w:div>
        <w:div w:id="494106740">
          <w:marLeft w:val="0"/>
          <w:marRight w:val="0"/>
          <w:marTop w:val="0"/>
          <w:marBottom w:val="0"/>
          <w:divBdr>
            <w:top w:val="none" w:sz="0" w:space="0" w:color="auto"/>
            <w:left w:val="none" w:sz="0" w:space="0" w:color="auto"/>
            <w:bottom w:val="none" w:sz="0" w:space="0" w:color="auto"/>
            <w:right w:val="none" w:sz="0" w:space="0" w:color="auto"/>
          </w:divBdr>
        </w:div>
        <w:div w:id="391344982">
          <w:marLeft w:val="0"/>
          <w:marRight w:val="0"/>
          <w:marTop w:val="0"/>
          <w:marBottom w:val="0"/>
          <w:divBdr>
            <w:top w:val="none" w:sz="0" w:space="0" w:color="auto"/>
            <w:left w:val="none" w:sz="0" w:space="0" w:color="auto"/>
            <w:bottom w:val="none" w:sz="0" w:space="0" w:color="auto"/>
            <w:right w:val="none" w:sz="0" w:space="0" w:color="auto"/>
          </w:divBdr>
        </w:div>
        <w:div w:id="1647783209">
          <w:marLeft w:val="0"/>
          <w:marRight w:val="0"/>
          <w:marTop w:val="0"/>
          <w:marBottom w:val="0"/>
          <w:divBdr>
            <w:top w:val="none" w:sz="0" w:space="0" w:color="auto"/>
            <w:left w:val="none" w:sz="0" w:space="0" w:color="auto"/>
            <w:bottom w:val="none" w:sz="0" w:space="0" w:color="auto"/>
            <w:right w:val="none" w:sz="0" w:space="0" w:color="auto"/>
          </w:divBdr>
        </w:div>
        <w:div w:id="2710138">
          <w:marLeft w:val="0"/>
          <w:marRight w:val="0"/>
          <w:marTop w:val="0"/>
          <w:marBottom w:val="0"/>
          <w:divBdr>
            <w:top w:val="none" w:sz="0" w:space="0" w:color="auto"/>
            <w:left w:val="none" w:sz="0" w:space="0" w:color="auto"/>
            <w:bottom w:val="none" w:sz="0" w:space="0" w:color="auto"/>
            <w:right w:val="none" w:sz="0" w:space="0" w:color="auto"/>
          </w:divBdr>
        </w:div>
        <w:div w:id="348532387">
          <w:marLeft w:val="0"/>
          <w:marRight w:val="0"/>
          <w:marTop w:val="0"/>
          <w:marBottom w:val="0"/>
          <w:divBdr>
            <w:top w:val="none" w:sz="0" w:space="0" w:color="auto"/>
            <w:left w:val="none" w:sz="0" w:space="0" w:color="auto"/>
            <w:bottom w:val="none" w:sz="0" w:space="0" w:color="auto"/>
            <w:right w:val="none" w:sz="0" w:space="0" w:color="auto"/>
          </w:divBdr>
        </w:div>
        <w:div w:id="1055660432">
          <w:marLeft w:val="0"/>
          <w:marRight w:val="0"/>
          <w:marTop w:val="0"/>
          <w:marBottom w:val="0"/>
          <w:divBdr>
            <w:top w:val="none" w:sz="0" w:space="0" w:color="auto"/>
            <w:left w:val="none" w:sz="0" w:space="0" w:color="auto"/>
            <w:bottom w:val="none" w:sz="0" w:space="0" w:color="auto"/>
            <w:right w:val="none" w:sz="0" w:space="0" w:color="auto"/>
          </w:divBdr>
        </w:div>
        <w:div w:id="1189300486">
          <w:marLeft w:val="0"/>
          <w:marRight w:val="0"/>
          <w:marTop w:val="0"/>
          <w:marBottom w:val="0"/>
          <w:divBdr>
            <w:top w:val="none" w:sz="0" w:space="0" w:color="auto"/>
            <w:left w:val="none" w:sz="0" w:space="0" w:color="auto"/>
            <w:bottom w:val="none" w:sz="0" w:space="0" w:color="auto"/>
            <w:right w:val="none" w:sz="0" w:space="0" w:color="auto"/>
          </w:divBdr>
        </w:div>
        <w:div w:id="308903436">
          <w:marLeft w:val="0"/>
          <w:marRight w:val="0"/>
          <w:marTop w:val="0"/>
          <w:marBottom w:val="0"/>
          <w:divBdr>
            <w:top w:val="none" w:sz="0" w:space="0" w:color="auto"/>
            <w:left w:val="none" w:sz="0" w:space="0" w:color="auto"/>
            <w:bottom w:val="none" w:sz="0" w:space="0" w:color="auto"/>
            <w:right w:val="none" w:sz="0" w:space="0" w:color="auto"/>
          </w:divBdr>
        </w:div>
        <w:div w:id="1267887392">
          <w:marLeft w:val="0"/>
          <w:marRight w:val="0"/>
          <w:marTop w:val="0"/>
          <w:marBottom w:val="0"/>
          <w:divBdr>
            <w:top w:val="none" w:sz="0" w:space="0" w:color="auto"/>
            <w:left w:val="none" w:sz="0" w:space="0" w:color="auto"/>
            <w:bottom w:val="none" w:sz="0" w:space="0" w:color="auto"/>
            <w:right w:val="none" w:sz="0" w:space="0" w:color="auto"/>
          </w:divBdr>
        </w:div>
        <w:div w:id="526679388">
          <w:marLeft w:val="0"/>
          <w:marRight w:val="0"/>
          <w:marTop w:val="0"/>
          <w:marBottom w:val="0"/>
          <w:divBdr>
            <w:top w:val="none" w:sz="0" w:space="0" w:color="auto"/>
            <w:left w:val="none" w:sz="0" w:space="0" w:color="auto"/>
            <w:bottom w:val="none" w:sz="0" w:space="0" w:color="auto"/>
            <w:right w:val="none" w:sz="0" w:space="0" w:color="auto"/>
          </w:divBdr>
        </w:div>
        <w:div w:id="1498380369">
          <w:marLeft w:val="0"/>
          <w:marRight w:val="0"/>
          <w:marTop w:val="0"/>
          <w:marBottom w:val="0"/>
          <w:divBdr>
            <w:top w:val="none" w:sz="0" w:space="0" w:color="auto"/>
            <w:left w:val="none" w:sz="0" w:space="0" w:color="auto"/>
            <w:bottom w:val="none" w:sz="0" w:space="0" w:color="auto"/>
            <w:right w:val="none" w:sz="0" w:space="0" w:color="auto"/>
          </w:divBdr>
        </w:div>
        <w:div w:id="1928685875">
          <w:marLeft w:val="0"/>
          <w:marRight w:val="0"/>
          <w:marTop w:val="0"/>
          <w:marBottom w:val="0"/>
          <w:divBdr>
            <w:top w:val="none" w:sz="0" w:space="0" w:color="auto"/>
            <w:left w:val="none" w:sz="0" w:space="0" w:color="auto"/>
            <w:bottom w:val="none" w:sz="0" w:space="0" w:color="auto"/>
            <w:right w:val="none" w:sz="0" w:space="0" w:color="auto"/>
          </w:divBdr>
        </w:div>
        <w:div w:id="1671634691">
          <w:marLeft w:val="0"/>
          <w:marRight w:val="0"/>
          <w:marTop w:val="0"/>
          <w:marBottom w:val="0"/>
          <w:divBdr>
            <w:top w:val="none" w:sz="0" w:space="0" w:color="auto"/>
            <w:left w:val="none" w:sz="0" w:space="0" w:color="auto"/>
            <w:bottom w:val="none" w:sz="0" w:space="0" w:color="auto"/>
            <w:right w:val="none" w:sz="0" w:space="0" w:color="auto"/>
          </w:divBdr>
        </w:div>
        <w:div w:id="1457480542">
          <w:marLeft w:val="0"/>
          <w:marRight w:val="0"/>
          <w:marTop w:val="0"/>
          <w:marBottom w:val="0"/>
          <w:divBdr>
            <w:top w:val="none" w:sz="0" w:space="0" w:color="auto"/>
            <w:left w:val="none" w:sz="0" w:space="0" w:color="auto"/>
            <w:bottom w:val="none" w:sz="0" w:space="0" w:color="auto"/>
            <w:right w:val="none" w:sz="0" w:space="0" w:color="auto"/>
          </w:divBdr>
        </w:div>
      </w:divsChild>
    </w:div>
    <w:div w:id="906458396">
      <w:bodyDiv w:val="1"/>
      <w:marLeft w:val="0"/>
      <w:marRight w:val="0"/>
      <w:marTop w:val="0"/>
      <w:marBottom w:val="0"/>
      <w:divBdr>
        <w:top w:val="none" w:sz="0" w:space="0" w:color="auto"/>
        <w:left w:val="none" w:sz="0" w:space="0" w:color="auto"/>
        <w:bottom w:val="none" w:sz="0" w:space="0" w:color="auto"/>
        <w:right w:val="none" w:sz="0" w:space="0" w:color="auto"/>
      </w:divBdr>
    </w:div>
    <w:div w:id="998342643">
      <w:bodyDiv w:val="1"/>
      <w:marLeft w:val="0"/>
      <w:marRight w:val="0"/>
      <w:marTop w:val="0"/>
      <w:marBottom w:val="0"/>
      <w:divBdr>
        <w:top w:val="none" w:sz="0" w:space="0" w:color="auto"/>
        <w:left w:val="none" w:sz="0" w:space="0" w:color="auto"/>
        <w:bottom w:val="none" w:sz="0" w:space="0" w:color="auto"/>
        <w:right w:val="none" w:sz="0" w:space="0" w:color="auto"/>
      </w:divBdr>
    </w:div>
    <w:div w:id="1077090863">
      <w:bodyDiv w:val="1"/>
      <w:marLeft w:val="0"/>
      <w:marRight w:val="0"/>
      <w:marTop w:val="0"/>
      <w:marBottom w:val="0"/>
      <w:divBdr>
        <w:top w:val="none" w:sz="0" w:space="0" w:color="auto"/>
        <w:left w:val="none" w:sz="0" w:space="0" w:color="auto"/>
        <w:bottom w:val="none" w:sz="0" w:space="0" w:color="auto"/>
        <w:right w:val="none" w:sz="0" w:space="0" w:color="auto"/>
      </w:divBdr>
    </w:div>
    <w:div w:id="1108889406">
      <w:bodyDiv w:val="1"/>
      <w:marLeft w:val="0"/>
      <w:marRight w:val="0"/>
      <w:marTop w:val="0"/>
      <w:marBottom w:val="0"/>
      <w:divBdr>
        <w:top w:val="none" w:sz="0" w:space="0" w:color="auto"/>
        <w:left w:val="none" w:sz="0" w:space="0" w:color="auto"/>
        <w:bottom w:val="none" w:sz="0" w:space="0" w:color="auto"/>
        <w:right w:val="none" w:sz="0" w:space="0" w:color="auto"/>
      </w:divBdr>
    </w:div>
    <w:div w:id="1378823283">
      <w:bodyDiv w:val="1"/>
      <w:marLeft w:val="0"/>
      <w:marRight w:val="0"/>
      <w:marTop w:val="0"/>
      <w:marBottom w:val="0"/>
      <w:divBdr>
        <w:top w:val="none" w:sz="0" w:space="0" w:color="auto"/>
        <w:left w:val="none" w:sz="0" w:space="0" w:color="auto"/>
        <w:bottom w:val="none" w:sz="0" w:space="0" w:color="auto"/>
        <w:right w:val="none" w:sz="0" w:space="0" w:color="auto"/>
      </w:divBdr>
    </w:div>
    <w:div w:id="1533037978">
      <w:bodyDiv w:val="1"/>
      <w:marLeft w:val="0"/>
      <w:marRight w:val="0"/>
      <w:marTop w:val="0"/>
      <w:marBottom w:val="0"/>
      <w:divBdr>
        <w:top w:val="none" w:sz="0" w:space="0" w:color="auto"/>
        <w:left w:val="none" w:sz="0" w:space="0" w:color="auto"/>
        <w:bottom w:val="none" w:sz="0" w:space="0" w:color="auto"/>
        <w:right w:val="none" w:sz="0" w:space="0" w:color="auto"/>
      </w:divBdr>
      <w:divsChild>
        <w:div w:id="538473133">
          <w:marLeft w:val="0"/>
          <w:marRight w:val="0"/>
          <w:marTop w:val="0"/>
          <w:marBottom w:val="0"/>
          <w:divBdr>
            <w:top w:val="none" w:sz="0" w:space="0" w:color="auto"/>
            <w:left w:val="none" w:sz="0" w:space="0" w:color="auto"/>
            <w:bottom w:val="none" w:sz="0" w:space="0" w:color="auto"/>
            <w:right w:val="none" w:sz="0" w:space="0" w:color="auto"/>
          </w:divBdr>
        </w:div>
        <w:div w:id="2049987779">
          <w:marLeft w:val="0"/>
          <w:marRight w:val="0"/>
          <w:marTop w:val="0"/>
          <w:marBottom w:val="0"/>
          <w:divBdr>
            <w:top w:val="none" w:sz="0" w:space="0" w:color="auto"/>
            <w:left w:val="none" w:sz="0" w:space="0" w:color="auto"/>
            <w:bottom w:val="none" w:sz="0" w:space="0" w:color="auto"/>
            <w:right w:val="none" w:sz="0" w:space="0" w:color="auto"/>
          </w:divBdr>
        </w:div>
        <w:div w:id="1785929176">
          <w:marLeft w:val="0"/>
          <w:marRight w:val="0"/>
          <w:marTop w:val="0"/>
          <w:marBottom w:val="0"/>
          <w:divBdr>
            <w:top w:val="none" w:sz="0" w:space="0" w:color="auto"/>
            <w:left w:val="none" w:sz="0" w:space="0" w:color="auto"/>
            <w:bottom w:val="none" w:sz="0" w:space="0" w:color="auto"/>
            <w:right w:val="none" w:sz="0" w:space="0" w:color="auto"/>
          </w:divBdr>
        </w:div>
        <w:div w:id="2063628219">
          <w:marLeft w:val="0"/>
          <w:marRight w:val="0"/>
          <w:marTop w:val="0"/>
          <w:marBottom w:val="0"/>
          <w:divBdr>
            <w:top w:val="none" w:sz="0" w:space="0" w:color="auto"/>
            <w:left w:val="none" w:sz="0" w:space="0" w:color="auto"/>
            <w:bottom w:val="none" w:sz="0" w:space="0" w:color="auto"/>
            <w:right w:val="none" w:sz="0" w:space="0" w:color="auto"/>
          </w:divBdr>
        </w:div>
        <w:div w:id="1767574833">
          <w:marLeft w:val="0"/>
          <w:marRight w:val="0"/>
          <w:marTop w:val="0"/>
          <w:marBottom w:val="0"/>
          <w:divBdr>
            <w:top w:val="none" w:sz="0" w:space="0" w:color="auto"/>
            <w:left w:val="none" w:sz="0" w:space="0" w:color="auto"/>
            <w:bottom w:val="none" w:sz="0" w:space="0" w:color="auto"/>
            <w:right w:val="none" w:sz="0" w:space="0" w:color="auto"/>
          </w:divBdr>
        </w:div>
        <w:div w:id="502667280">
          <w:marLeft w:val="0"/>
          <w:marRight w:val="0"/>
          <w:marTop w:val="0"/>
          <w:marBottom w:val="0"/>
          <w:divBdr>
            <w:top w:val="none" w:sz="0" w:space="0" w:color="auto"/>
            <w:left w:val="none" w:sz="0" w:space="0" w:color="auto"/>
            <w:bottom w:val="none" w:sz="0" w:space="0" w:color="auto"/>
            <w:right w:val="none" w:sz="0" w:space="0" w:color="auto"/>
          </w:divBdr>
        </w:div>
        <w:div w:id="541132559">
          <w:marLeft w:val="0"/>
          <w:marRight w:val="0"/>
          <w:marTop w:val="0"/>
          <w:marBottom w:val="0"/>
          <w:divBdr>
            <w:top w:val="none" w:sz="0" w:space="0" w:color="auto"/>
            <w:left w:val="none" w:sz="0" w:space="0" w:color="auto"/>
            <w:bottom w:val="none" w:sz="0" w:space="0" w:color="auto"/>
            <w:right w:val="none" w:sz="0" w:space="0" w:color="auto"/>
          </w:divBdr>
        </w:div>
        <w:div w:id="1452358087">
          <w:marLeft w:val="0"/>
          <w:marRight w:val="0"/>
          <w:marTop w:val="0"/>
          <w:marBottom w:val="0"/>
          <w:divBdr>
            <w:top w:val="none" w:sz="0" w:space="0" w:color="auto"/>
            <w:left w:val="none" w:sz="0" w:space="0" w:color="auto"/>
            <w:bottom w:val="none" w:sz="0" w:space="0" w:color="auto"/>
            <w:right w:val="none" w:sz="0" w:space="0" w:color="auto"/>
          </w:divBdr>
        </w:div>
        <w:div w:id="580062472">
          <w:marLeft w:val="0"/>
          <w:marRight w:val="0"/>
          <w:marTop w:val="0"/>
          <w:marBottom w:val="0"/>
          <w:divBdr>
            <w:top w:val="none" w:sz="0" w:space="0" w:color="auto"/>
            <w:left w:val="none" w:sz="0" w:space="0" w:color="auto"/>
            <w:bottom w:val="none" w:sz="0" w:space="0" w:color="auto"/>
            <w:right w:val="none" w:sz="0" w:space="0" w:color="auto"/>
          </w:divBdr>
        </w:div>
        <w:div w:id="1883395525">
          <w:marLeft w:val="0"/>
          <w:marRight w:val="0"/>
          <w:marTop w:val="0"/>
          <w:marBottom w:val="0"/>
          <w:divBdr>
            <w:top w:val="none" w:sz="0" w:space="0" w:color="auto"/>
            <w:left w:val="none" w:sz="0" w:space="0" w:color="auto"/>
            <w:bottom w:val="none" w:sz="0" w:space="0" w:color="auto"/>
            <w:right w:val="none" w:sz="0" w:space="0" w:color="auto"/>
          </w:divBdr>
        </w:div>
        <w:div w:id="2015960976">
          <w:marLeft w:val="0"/>
          <w:marRight w:val="0"/>
          <w:marTop w:val="0"/>
          <w:marBottom w:val="0"/>
          <w:divBdr>
            <w:top w:val="none" w:sz="0" w:space="0" w:color="auto"/>
            <w:left w:val="none" w:sz="0" w:space="0" w:color="auto"/>
            <w:bottom w:val="none" w:sz="0" w:space="0" w:color="auto"/>
            <w:right w:val="none" w:sz="0" w:space="0" w:color="auto"/>
          </w:divBdr>
        </w:div>
        <w:div w:id="1774126318">
          <w:marLeft w:val="0"/>
          <w:marRight w:val="0"/>
          <w:marTop w:val="0"/>
          <w:marBottom w:val="0"/>
          <w:divBdr>
            <w:top w:val="none" w:sz="0" w:space="0" w:color="auto"/>
            <w:left w:val="none" w:sz="0" w:space="0" w:color="auto"/>
            <w:bottom w:val="none" w:sz="0" w:space="0" w:color="auto"/>
            <w:right w:val="none" w:sz="0" w:space="0" w:color="auto"/>
          </w:divBdr>
        </w:div>
        <w:div w:id="946692831">
          <w:marLeft w:val="0"/>
          <w:marRight w:val="0"/>
          <w:marTop w:val="0"/>
          <w:marBottom w:val="0"/>
          <w:divBdr>
            <w:top w:val="none" w:sz="0" w:space="0" w:color="auto"/>
            <w:left w:val="none" w:sz="0" w:space="0" w:color="auto"/>
            <w:bottom w:val="none" w:sz="0" w:space="0" w:color="auto"/>
            <w:right w:val="none" w:sz="0" w:space="0" w:color="auto"/>
          </w:divBdr>
        </w:div>
        <w:div w:id="865947522">
          <w:marLeft w:val="0"/>
          <w:marRight w:val="0"/>
          <w:marTop w:val="0"/>
          <w:marBottom w:val="0"/>
          <w:divBdr>
            <w:top w:val="none" w:sz="0" w:space="0" w:color="auto"/>
            <w:left w:val="none" w:sz="0" w:space="0" w:color="auto"/>
            <w:bottom w:val="none" w:sz="0" w:space="0" w:color="auto"/>
            <w:right w:val="none" w:sz="0" w:space="0" w:color="auto"/>
          </w:divBdr>
        </w:div>
        <w:div w:id="1408067449">
          <w:marLeft w:val="0"/>
          <w:marRight w:val="0"/>
          <w:marTop w:val="0"/>
          <w:marBottom w:val="0"/>
          <w:divBdr>
            <w:top w:val="none" w:sz="0" w:space="0" w:color="auto"/>
            <w:left w:val="none" w:sz="0" w:space="0" w:color="auto"/>
            <w:bottom w:val="none" w:sz="0" w:space="0" w:color="auto"/>
            <w:right w:val="none" w:sz="0" w:space="0" w:color="auto"/>
          </w:divBdr>
        </w:div>
        <w:div w:id="1186213427">
          <w:marLeft w:val="0"/>
          <w:marRight w:val="0"/>
          <w:marTop w:val="0"/>
          <w:marBottom w:val="0"/>
          <w:divBdr>
            <w:top w:val="none" w:sz="0" w:space="0" w:color="auto"/>
            <w:left w:val="none" w:sz="0" w:space="0" w:color="auto"/>
            <w:bottom w:val="none" w:sz="0" w:space="0" w:color="auto"/>
            <w:right w:val="none" w:sz="0" w:space="0" w:color="auto"/>
          </w:divBdr>
        </w:div>
        <w:div w:id="786691">
          <w:marLeft w:val="0"/>
          <w:marRight w:val="0"/>
          <w:marTop w:val="0"/>
          <w:marBottom w:val="0"/>
          <w:divBdr>
            <w:top w:val="none" w:sz="0" w:space="0" w:color="auto"/>
            <w:left w:val="none" w:sz="0" w:space="0" w:color="auto"/>
            <w:bottom w:val="none" w:sz="0" w:space="0" w:color="auto"/>
            <w:right w:val="none" w:sz="0" w:space="0" w:color="auto"/>
          </w:divBdr>
        </w:div>
        <w:div w:id="1182011447">
          <w:marLeft w:val="0"/>
          <w:marRight w:val="0"/>
          <w:marTop w:val="0"/>
          <w:marBottom w:val="0"/>
          <w:divBdr>
            <w:top w:val="none" w:sz="0" w:space="0" w:color="auto"/>
            <w:left w:val="none" w:sz="0" w:space="0" w:color="auto"/>
            <w:bottom w:val="none" w:sz="0" w:space="0" w:color="auto"/>
            <w:right w:val="none" w:sz="0" w:space="0" w:color="auto"/>
          </w:divBdr>
        </w:div>
        <w:div w:id="397828324">
          <w:marLeft w:val="0"/>
          <w:marRight w:val="0"/>
          <w:marTop w:val="0"/>
          <w:marBottom w:val="0"/>
          <w:divBdr>
            <w:top w:val="none" w:sz="0" w:space="0" w:color="auto"/>
            <w:left w:val="none" w:sz="0" w:space="0" w:color="auto"/>
            <w:bottom w:val="none" w:sz="0" w:space="0" w:color="auto"/>
            <w:right w:val="none" w:sz="0" w:space="0" w:color="auto"/>
          </w:divBdr>
        </w:div>
        <w:div w:id="811753076">
          <w:marLeft w:val="0"/>
          <w:marRight w:val="0"/>
          <w:marTop w:val="0"/>
          <w:marBottom w:val="0"/>
          <w:divBdr>
            <w:top w:val="none" w:sz="0" w:space="0" w:color="auto"/>
            <w:left w:val="none" w:sz="0" w:space="0" w:color="auto"/>
            <w:bottom w:val="none" w:sz="0" w:space="0" w:color="auto"/>
            <w:right w:val="none" w:sz="0" w:space="0" w:color="auto"/>
          </w:divBdr>
        </w:div>
        <w:div w:id="462161134">
          <w:marLeft w:val="0"/>
          <w:marRight w:val="0"/>
          <w:marTop w:val="0"/>
          <w:marBottom w:val="0"/>
          <w:divBdr>
            <w:top w:val="none" w:sz="0" w:space="0" w:color="auto"/>
            <w:left w:val="none" w:sz="0" w:space="0" w:color="auto"/>
            <w:bottom w:val="none" w:sz="0" w:space="0" w:color="auto"/>
            <w:right w:val="none" w:sz="0" w:space="0" w:color="auto"/>
          </w:divBdr>
        </w:div>
        <w:div w:id="768694867">
          <w:marLeft w:val="0"/>
          <w:marRight w:val="0"/>
          <w:marTop w:val="0"/>
          <w:marBottom w:val="0"/>
          <w:divBdr>
            <w:top w:val="none" w:sz="0" w:space="0" w:color="auto"/>
            <w:left w:val="none" w:sz="0" w:space="0" w:color="auto"/>
            <w:bottom w:val="none" w:sz="0" w:space="0" w:color="auto"/>
            <w:right w:val="none" w:sz="0" w:space="0" w:color="auto"/>
          </w:divBdr>
        </w:div>
        <w:div w:id="915675569">
          <w:marLeft w:val="0"/>
          <w:marRight w:val="0"/>
          <w:marTop w:val="0"/>
          <w:marBottom w:val="0"/>
          <w:divBdr>
            <w:top w:val="none" w:sz="0" w:space="0" w:color="auto"/>
            <w:left w:val="none" w:sz="0" w:space="0" w:color="auto"/>
            <w:bottom w:val="none" w:sz="0" w:space="0" w:color="auto"/>
            <w:right w:val="none" w:sz="0" w:space="0" w:color="auto"/>
          </w:divBdr>
        </w:div>
        <w:div w:id="823014765">
          <w:marLeft w:val="0"/>
          <w:marRight w:val="0"/>
          <w:marTop w:val="0"/>
          <w:marBottom w:val="0"/>
          <w:divBdr>
            <w:top w:val="none" w:sz="0" w:space="0" w:color="auto"/>
            <w:left w:val="none" w:sz="0" w:space="0" w:color="auto"/>
            <w:bottom w:val="none" w:sz="0" w:space="0" w:color="auto"/>
            <w:right w:val="none" w:sz="0" w:space="0" w:color="auto"/>
          </w:divBdr>
        </w:div>
        <w:div w:id="646321000">
          <w:marLeft w:val="0"/>
          <w:marRight w:val="0"/>
          <w:marTop w:val="0"/>
          <w:marBottom w:val="0"/>
          <w:divBdr>
            <w:top w:val="none" w:sz="0" w:space="0" w:color="auto"/>
            <w:left w:val="none" w:sz="0" w:space="0" w:color="auto"/>
            <w:bottom w:val="none" w:sz="0" w:space="0" w:color="auto"/>
            <w:right w:val="none" w:sz="0" w:space="0" w:color="auto"/>
          </w:divBdr>
        </w:div>
        <w:div w:id="414204514">
          <w:marLeft w:val="0"/>
          <w:marRight w:val="0"/>
          <w:marTop w:val="0"/>
          <w:marBottom w:val="0"/>
          <w:divBdr>
            <w:top w:val="none" w:sz="0" w:space="0" w:color="auto"/>
            <w:left w:val="none" w:sz="0" w:space="0" w:color="auto"/>
            <w:bottom w:val="none" w:sz="0" w:space="0" w:color="auto"/>
            <w:right w:val="none" w:sz="0" w:space="0" w:color="auto"/>
          </w:divBdr>
        </w:div>
        <w:div w:id="1426725992">
          <w:marLeft w:val="0"/>
          <w:marRight w:val="0"/>
          <w:marTop w:val="0"/>
          <w:marBottom w:val="0"/>
          <w:divBdr>
            <w:top w:val="none" w:sz="0" w:space="0" w:color="auto"/>
            <w:left w:val="none" w:sz="0" w:space="0" w:color="auto"/>
            <w:bottom w:val="none" w:sz="0" w:space="0" w:color="auto"/>
            <w:right w:val="none" w:sz="0" w:space="0" w:color="auto"/>
          </w:divBdr>
        </w:div>
        <w:div w:id="1454668970">
          <w:marLeft w:val="0"/>
          <w:marRight w:val="0"/>
          <w:marTop w:val="0"/>
          <w:marBottom w:val="0"/>
          <w:divBdr>
            <w:top w:val="none" w:sz="0" w:space="0" w:color="auto"/>
            <w:left w:val="none" w:sz="0" w:space="0" w:color="auto"/>
            <w:bottom w:val="none" w:sz="0" w:space="0" w:color="auto"/>
            <w:right w:val="none" w:sz="0" w:space="0" w:color="auto"/>
          </w:divBdr>
        </w:div>
        <w:div w:id="1065176956">
          <w:marLeft w:val="0"/>
          <w:marRight w:val="0"/>
          <w:marTop w:val="0"/>
          <w:marBottom w:val="0"/>
          <w:divBdr>
            <w:top w:val="none" w:sz="0" w:space="0" w:color="auto"/>
            <w:left w:val="none" w:sz="0" w:space="0" w:color="auto"/>
            <w:bottom w:val="none" w:sz="0" w:space="0" w:color="auto"/>
            <w:right w:val="none" w:sz="0" w:space="0" w:color="auto"/>
          </w:divBdr>
        </w:div>
        <w:div w:id="1923248729">
          <w:marLeft w:val="0"/>
          <w:marRight w:val="0"/>
          <w:marTop w:val="0"/>
          <w:marBottom w:val="0"/>
          <w:divBdr>
            <w:top w:val="none" w:sz="0" w:space="0" w:color="auto"/>
            <w:left w:val="none" w:sz="0" w:space="0" w:color="auto"/>
            <w:bottom w:val="none" w:sz="0" w:space="0" w:color="auto"/>
            <w:right w:val="none" w:sz="0" w:space="0" w:color="auto"/>
          </w:divBdr>
        </w:div>
        <w:div w:id="1838616650">
          <w:marLeft w:val="0"/>
          <w:marRight w:val="0"/>
          <w:marTop w:val="0"/>
          <w:marBottom w:val="0"/>
          <w:divBdr>
            <w:top w:val="none" w:sz="0" w:space="0" w:color="auto"/>
            <w:left w:val="none" w:sz="0" w:space="0" w:color="auto"/>
            <w:bottom w:val="none" w:sz="0" w:space="0" w:color="auto"/>
            <w:right w:val="none" w:sz="0" w:space="0" w:color="auto"/>
          </w:divBdr>
        </w:div>
        <w:div w:id="1907841054">
          <w:marLeft w:val="0"/>
          <w:marRight w:val="0"/>
          <w:marTop w:val="0"/>
          <w:marBottom w:val="0"/>
          <w:divBdr>
            <w:top w:val="none" w:sz="0" w:space="0" w:color="auto"/>
            <w:left w:val="none" w:sz="0" w:space="0" w:color="auto"/>
            <w:bottom w:val="none" w:sz="0" w:space="0" w:color="auto"/>
            <w:right w:val="none" w:sz="0" w:space="0" w:color="auto"/>
          </w:divBdr>
        </w:div>
        <w:div w:id="561526013">
          <w:marLeft w:val="0"/>
          <w:marRight w:val="0"/>
          <w:marTop w:val="0"/>
          <w:marBottom w:val="0"/>
          <w:divBdr>
            <w:top w:val="none" w:sz="0" w:space="0" w:color="auto"/>
            <w:left w:val="none" w:sz="0" w:space="0" w:color="auto"/>
            <w:bottom w:val="none" w:sz="0" w:space="0" w:color="auto"/>
            <w:right w:val="none" w:sz="0" w:space="0" w:color="auto"/>
          </w:divBdr>
        </w:div>
        <w:div w:id="1589272084">
          <w:marLeft w:val="0"/>
          <w:marRight w:val="0"/>
          <w:marTop w:val="0"/>
          <w:marBottom w:val="0"/>
          <w:divBdr>
            <w:top w:val="none" w:sz="0" w:space="0" w:color="auto"/>
            <w:left w:val="none" w:sz="0" w:space="0" w:color="auto"/>
            <w:bottom w:val="none" w:sz="0" w:space="0" w:color="auto"/>
            <w:right w:val="none" w:sz="0" w:space="0" w:color="auto"/>
          </w:divBdr>
        </w:div>
      </w:divsChild>
    </w:div>
    <w:div w:id="1702433628">
      <w:bodyDiv w:val="1"/>
      <w:marLeft w:val="0"/>
      <w:marRight w:val="0"/>
      <w:marTop w:val="0"/>
      <w:marBottom w:val="0"/>
      <w:divBdr>
        <w:top w:val="none" w:sz="0" w:space="0" w:color="auto"/>
        <w:left w:val="none" w:sz="0" w:space="0" w:color="auto"/>
        <w:bottom w:val="none" w:sz="0" w:space="0" w:color="auto"/>
        <w:right w:val="none" w:sz="0" w:space="0" w:color="auto"/>
      </w:divBdr>
      <w:divsChild>
        <w:div w:id="292953205">
          <w:marLeft w:val="0"/>
          <w:marRight w:val="0"/>
          <w:marTop w:val="0"/>
          <w:marBottom w:val="0"/>
          <w:divBdr>
            <w:top w:val="none" w:sz="0" w:space="0" w:color="auto"/>
            <w:left w:val="none" w:sz="0" w:space="0" w:color="auto"/>
            <w:bottom w:val="none" w:sz="0" w:space="0" w:color="auto"/>
            <w:right w:val="none" w:sz="0" w:space="0" w:color="auto"/>
          </w:divBdr>
        </w:div>
        <w:div w:id="840394572">
          <w:marLeft w:val="0"/>
          <w:marRight w:val="0"/>
          <w:marTop w:val="0"/>
          <w:marBottom w:val="0"/>
          <w:divBdr>
            <w:top w:val="none" w:sz="0" w:space="0" w:color="auto"/>
            <w:left w:val="none" w:sz="0" w:space="0" w:color="auto"/>
            <w:bottom w:val="none" w:sz="0" w:space="0" w:color="auto"/>
            <w:right w:val="none" w:sz="0" w:space="0" w:color="auto"/>
          </w:divBdr>
        </w:div>
      </w:divsChild>
    </w:div>
    <w:div w:id="1881699317">
      <w:bodyDiv w:val="1"/>
      <w:marLeft w:val="0"/>
      <w:marRight w:val="0"/>
      <w:marTop w:val="0"/>
      <w:marBottom w:val="0"/>
      <w:divBdr>
        <w:top w:val="none" w:sz="0" w:space="0" w:color="auto"/>
        <w:left w:val="none" w:sz="0" w:space="0" w:color="auto"/>
        <w:bottom w:val="none" w:sz="0" w:space="0" w:color="auto"/>
        <w:right w:val="none" w:sz="0" w:space="0" w:color="auto"/>
      </w:divBdr>
    </w:div>
    <w:div w:id="203164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chart" Target="charts/chart7.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5.jpeg"/><Relationship Id="rId28" Type="http://schemas.openxmlformats.org/officeDocument/2006/relationships/chart" Target="charts/chart10.xm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chart" Target="charts/chart3.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1.xml"/><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www.lifeagroclimawater.eu/" TargetMode="External"/><Relationship Id="rId3" Type="http://schemas.openxmlformats.org/officeDocument/2006/relationships/hyperlink" Target="https://ec.europa.eu/info/publications/180524-proposal-sustainable-finance_en" TargetMode="External"/><Relationship Id="rId7" Type="http://schemas.openxmlformats.org/officeDocument/2006/relationships/hyperlink" Target="https://ec.europa.eu/jrc/en/peseta-iii" TargetMode="External"/><Relationship Id="rId2" Type="http://schemas.openxmlformats.org/officeDocument/2006/relationships/hyperlink" Target="https://ec.europa.eu/clima/policies/transport/vehicles/regulation_en" TargetMode="External"/><Relationship Id="rId1" Type="http://schemas.openxmlformats.org/officeDocument/2006/relationships/hyperlink" Target="https://ec.europa.eu/energy/en/topics/energy-strategy-and-energy-union/governance-energy-union/national-energy-climate-plans" TargetMode="External"/><Relationship Id="rId6" Type="http://schemas.openxmlformats.org/officeDocument/2006/relationships/hyperlink" Target="https://eur-lex.europa.eu/legal-content/EN/TXT/?uri=CELEX:32019R0856" TargetMode="External"/><Relationship Id="rId5" Type="http://schemas.openxmlformats.org/officeDocument/2006/relationships/hyperlink" Target="https://ec.europa.eu/commission/publications/factsheets-long-term-budget-proposals_en" TargetMode="External"/><Relationship Id="rId10" Type="http://schemas.openxmlformats.org/officeDocument/2006/relationships/hyperlink" Target="https://eur-lex.europa.eu/legal-content/EN/TXT/?uri=CELEX:32018D2027" TargetMode="External"/><Relationship Id="rId4" Type="http://schemas.openxmlformats.org/officeDocument/2006/relationships/hyperlink" Target="https://ec.europa.eu/info/publications/non-financial-reporting-guidelines_en" TargetMode="External"/><Relationship Id="rId9" Type="http://schemas.openxmlformats.org/officeDocument/2006/relationships/hyperlink" Target="https://ec.europa.eu/clima/policies/adaptation/what_en"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t1.cec.eu.int\CLIMA\C\2\22.06%20Monitoring%20Mechanism%20Regulation\4.%20Implementation\PROGRESS%20REPORT\Progress%20report%202019\Data%20files\total%20GHGs%20working%20file.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net1.cec.eu.int\clima\Public\CLIMA-C2\MMR%20Art%2017%20use%20of%20ETS%20auctioning%20revenues\Copy%20of%20Copy%20of%202018%20working%20file_NG%20check.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file:///\\net1.cec.eu.int\CLIMA\C\2\22.06%20Monitoring%20Mechanism%20Regulation\4.%20Implementation\PROGRESS%20REPORT\Progress%20report%202019\Data%20files\progress%20report_all%20figures.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et1.cec.eu.int\CLIMA\C\2\22.06%20Monitoring%20Mechanism%20Regulation\4.%20Implementation\PROGRESS%20REPORT\Progress%20report%202019\Data%20files\ETS%20working%20file.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net1.cec.eu.int\CLIMA\C\2\22.06%20Monitoring%20Mechanism%20Regulation\4.%20Implementation\PROGRESS%20REPORT\Progress%20report%202019\Data%20files\progress%20report_all%20figures.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net1.cec.eu.int\CLIMA\C\2\22.06%20Monitoring%20Mechanism%20Regulation\4.%20Implementation\PROGRESS%20REPORT\Progress%20report%202019\Data%20files\effort%20sharing%20working%20file.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oleObject" Target="file:///\\net1.cec.eu.int\CLIMA\C\2\22.06%20Monitoring%20Mechanism%20Regulation\4.%20Implementation\PROGRESS%20REPORT\Progress%20report%202019\Data%20files\progress%20report_all%20figur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CLIMA\C\2\22.06%20Monitoring%20Mechanism%20Regulation\4.%20Implementation\PROGRESS%20REPORT\Progress%20report%202019\Data%20files\progress%20report_all%20figures.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file:///\\net1.cec.eu.int\clima\Public\CLIMA-C2\MMR%20Art%2017%20use%20of%20ETS%20auctioning%20revenues\Copy%20of%20Copy%20of%202018%20working%20file_NG%20check.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59769841149636"/>
          <c:y val="3.3228637117322289E-2"/>
          <c:w val="0.82734575185086767"/>
          <c:h val="0.58854372280508349"/>
        </c:manualLayout>
      </c:layout>
      <c:lineChart>
        <c:grouping val="standard"/>
        <c:varyColors val="0"/>
        <c:ser>
          <c:idx val="0"/>
          <c:order val="0"/>
          <c:tx>
            <c:strRef>
              <c:f>'total emissions 1990-2030 figur'!$A$15</c:f>
              <c:strCache>
                <c:ptCount val="1"/>
                <c:pt idx="0">
                  <c:v>Total EU greenhouse gas emissions (historical)</c:v>
                </c:pt>
              </c:strCache>
            </c:strRef>
          </c:tx>
          <c:spPr>
            <a:ln w="19050"/>
          </c:spPr>
          <c:marker>
            <c:symbol val="none"/>
          </c:marker>
          <c:cat>
            <c:numRef>
              <c:f>'total emissions 1990-2030 figur'!$C$14:$AQ$14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'total emissions 1990-2030 figur'!$C$15:$AQ$15</c:f>
              <c:numCache>
                <c:formatCode>0</c:formatCode>
                <c:ptCount val="41"/>
                <c:pt idx="0">
                  <c:v>5722.8889676335102</c:v>
                </c:pt>
                <c:pt idx="1">
                  <c:v>5627.0827661841004</c:v>
                </c:pt>
                <c:pt idx="2">
                  <c:v>5457.2191375397197</c:v>
                </c:pt>
                <c:pt idx="3">
                  <c:v>5362.91298856087</c:v>
                </c:pt>
                <c:pt idx="4">
                  <c:v>5340.0570825834602</c:v>
                </c:pt>
                <c:pt idx="5">
                  <c:v>5397.8190591375997</c:v>
                </c:pt>
                <c:pt idx="6">
                  <c:v>5511.9891209971402</c:v>
                </c:pt>
                <c:pt idx="7">
                  <c:v>5423.7006898650698</c:v>
                </c:pt>
                <c:pt idx="8">
                  <c:v>5385.66549755506</c:v>
                </c:pt>
                <c:pt idx="9">
                  <c:v>5285.1389074741501</c:v>
                </c:pt>
                <c:pt idx="10">
                  <c:v>5287.2266057879997</c:v>
                </c:pt>
                <c:pt idx="11">
                  <c:v>5339.6781331275197</c:v>
                </c:pt>
                <c:pt idx="12">
                  <c:v>5296.3162332240399</c:v>
                </c:pt>
                <c:pt idx="13">
                  <c:v>5383.3690206929105</c:v>
                </c:pt>
                <c:pt idx="14">
                  <c:v>5390.8004565092497</c:v>
                </c:pt>
                <c:pt idx="15">
                  <c:v>5361.9561585458096</c:v>
                </c:pt>
                <c:pt idx="16">
                  <c:v>5353.5349827406399</c:v>
                </c:pt>
                <c:pt idx="17">
                  <c:v>5305.9410559522903</c:v>
                </c:pt>
                <c:pt idx="18">
                  <c:v>5191.0501536239999</c:v>
                </c:pt>
                <c:pt idx="19">
                  <c:v>4815.1787373316802</c:v>
                </c:pt>
                <c:pt idx="20">
                  <c:v>4917.5197692988604</c:v>
                </c:pt>
                <c:pt idx="21">
                  <c:v>4763.8598635143999</c:v>
                </c:pt>
                <c:pt idx="22">
                  <c:v>4698.5761959484798</c:v>
                </c:pt>
                <c:pt idx="23">
                  <c:v>4605.4897735696804</c:v>
                </c:pt>
                <c:pt idx="24">
                  <c:v>4436.2918572357803</c:v>
                </c:pt>
                <c:pt idx="25">
                  <c:v>4470.3049341415799</c:v>
                </c:pt>
                <c:pt idx="26">
                  <c:v>4453.1160671462103</c:v>
                </c:pt>
                <c:pt idx="27">
                  <c:v>4483.1367414945698</c:v>
                </c:pt>
                <c:pt idx="28">
                  <c:v>4394.029101270442</c:v>
                </c:pt>
              </c:numCache>
            </c:numRef>
          </c:val>
          <c:smooth val="0"/>
          <c:extLst>
            <c:ext xmlns:c16="http://schemas.microsoft.com/office/drawing/2014/chart" uri="{C3380CC4-5D6E-409C-BE32-E72D297353CC}">
              <c16:uniqueId val="{00000000-DDAE-4BE1-9B72-BD5A6C0CAF58}"/>
            </c:ext>
          </c:extLst>
        </c:ser>
        <c:ser>
          <c:idx val="1"/>
          <c:order val="1"/>
          <c:tx>
            <c:strRef>
              <c:f>'total emissions 1990-2030 figur'!$A$16</c:f>
              <c:strCache>
                <c:ptCount val="1"/>
                <c:pt idx="0">
                  <c:v>Total EU greenhouse gas emissions (projection with existing measures)</c:v>
                </c:pt>
              </c:strCache>
            </c:strRef>
          </c:tx>
          <c:spPr>
            <a:ln w="41275">
              <a:solidFill>
                <a:schemeClr val="accent1"/>
              </a:solidFill>
              <a:prstDash val="sysDot"/>
            </a:ln>
          </c:spPr>
          <c:marker>
            <c:symbol val="none"/>
          </c:marker>
          <c:cat>
            <c:numRef>
              <c:f>'total emissions 1990-2030 figur'!$C$14:$AQ$14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'total emissions 1990-2030 figur'!$C$16:$AQ$16</c:f>
              <c:numCache>
                <c:formatCode>General</c:formatCode>
                <c:ptCount val="41"/>
                <c:pt idx="29" formatCode="0">
                  <c:v>4313.8548135022038</c:v>
                </c:pt>
                <c:pt idx="30" formatCode="0">
                  <c:v>4275.3131695308484</c:v>
                </c:pt>
                <c:pt idx="31" formatCode="0">
                  <c:v>4236.3613155999783</c:v>
                </c:pt>
                <c:pt idx="32" formatCode="0">
                  <c:v>4207.24284278304</c:v>
                </c:pt>
                <c:pt idx="33" formatCode="0">
                  <c:v>4182.2155975688456</c:v>
                </c:pt>
                <c:pt idx="34" formatCode="0">
                  <c:v>4153.6858422808964</c:v>
                </c:pt>
                <c:pt idx="35" formatCode="0">
                  <c:v>4125.3143505616626</c:v>
                </c:pt>
                <c:pt idx="36" formatCode="0">
                  <c:v>4098.7777149064341</c:v>
                </c:pt>
                <c:pt idx="37" formatCode="0">
                  <c:v>4075.9633338090998</c:v>
                </c:pt>
                <c:pt idx="38" formatCode="0">
                  <c:v>4048.8265215140941</c:v>
                </c:pt>
                <c:pt idx="39" formatCode="0">
                  <c:v>4019.5780775855619</c:v>
                </c:pt>
                <c:pt idx="40" formatCode="0">
                  <c:v>3988.7986246000082</c:v>
                </c:pt>
              </c:numCache>
            </c:numRef>
          </c:val>
          <c:smooth val="0"/>
          <c:extLst>
            <c:ext xmlns:c16="http://schemas.microsoft.com/office/drawing/2014/chart" uri="{C3380CC4-5D6E-409C-BE32-E72D297353CC}">
              <c16:uniqueId val="{00000001-DDAE-4BE1-9B72-BD5A6C0CAF58}"/>
            </c:ext>
          </c:extLst>
        </c:ser>
        <c:ser>
          <c:idx val="2"/>
          <c:order val="2"/>
          <c:tx>
            <c:strRef>
              <c:f>'total emissions 1990-2030 figur'!$A$18</c:f>
              <c:strCache>
                <c:ptCount val="1"/>
                <c:pt idx="0">
                  <c:v>2020 and 2030 targets</c:v>
                </c:pt>
              </c:strCache>
            </c:strRef>
          </c:tx>
          <c:spPr>
            <a:ln w="25400">
              <a:solidFill>
                <a:schemeClr val="accent2"/>
              </a:solidFill>
              <a:prstDash val="sysDot"/>
            </a:ln>
          </c:spPr>
          <c:marker>
            <c:symbol val="none"/>
          </c:marker>
          <c:dPt>
            <c:idx val="30"/>
            <c:marker>
              <c:symbol val="diamond"/>
              <c:size val="7"/>
              <c:spPr>
                <a:solidFill>
                  <a:schemeClr val="accent2"/>
                </a:solidFill>
                <a:ln>
                  <a:noFill/>
                </a:ln>
              </c:spPr>
            </c:marker>
            <c:bubble3D val="0"/>
            <c:extLst>
              <c:ext xmlns:c16="http://schemas.microsoft.com/office/drawing/2014/chart" uri="{C3380CC4-5D6E-409C-BE32-E72D297353CC}">
                <c16:uniqueId val="{00000002-DDAE-4BE1-9B72-BD5A6C0CAF58}"/>
              </c:ext>
            </c:extLst>
          </c:dPt>
          <c:dPt>
            <c:idx val="40"/>
            <c:marker>
              <c:symbol val="diamond"/>
              <c:size val="7"/>
              <c:spPr>
                <a:solidFill>
                  <a:schemeClr val="accent2"/>
                </a:solidFill>
                <a:ln>
                  <a:noFill/>
                </a:ln>
              </c:spPr>
            </c:marker>
            <c:bubble3D val="0"/>
            <c:extLst>
              <c:ext xmlns:c16="http://schemas.microsoft.com/office/drawing/2014/chart" uri="{C3380CC4-5D6E-409C-BE32-E72D297353CC}">
                <c16:uniqueId val="{00000003-DDAE-4BE1-9B72-BD5A6C0CAF58}"/>
              </c:ext>
            </c:extLst>
          </c:dPt>
          <c:cat>
            <c:numRef>
              <c:f>'total emissions 1990-2030 figur'!$C$14:$AQ$14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'total emissions 1990-2030 figur'!$C$18:$AQ$18</c:f>
              <c:numCache>
                <c:formatCode>General</c:formatCode>
                <c:ptCount val="41"/>
                <c:pt idx="30" formatCode="0">
                  <c:v>4578.3111741068087</c:v>
                </c:pt>
                <c:pt idx="31" formatCode="0">
                  <c:v>4463.8533947541382</c:v>
                </c:pt>
                <c:pt idx="32" formatCode="0">
                  <c:v>4349.3956154014677</c:v>
                </c:pt>
                <c:pt idx="33" formatCode="0">
                  <c:v>4234.9378360487972</c:v>
                </c:pt>
                <c:pt idx="34" formatCode="0">
                  <c:v>4120.4800566961267</c:v>
                </c:pt>
                <c:pt idx="35" formatCode="0">
                  <c:v>4006.0222773434562</c:v>
                </c:pt>
                <c:pt idx="36" formatCode="0">
                  <c:v>3891.5644979907856</c:v>
                </c:pt>
                <c:pt idx="37" formatCode="0">
                  <c:v>3777.1067186381151</c:v>
                </c:pt>
                <c:pt idx="38" formatCode="0">
                  <c:v>3662.6489392854446</c:v>
                </c:pt>
                <c:pt idx="39" formatCode="0">
                  <c:v>3548.1911599327741</c:v>
                </c:pt>
                <c:pt idx="40" formatCode="0">
                  <c:v>3433.7333805801059</c:v>
                </c:pt>
              </c:numCache>
            </c:numRef>
          </c:val>
          <c:smooth val="0"/>
          <c:extLst>
            <c:ext xmlns:c16="http://schemas.microsoft.com/office/drawing/2014/chart" uri="{C3380CC4-5D6E-409C-BE32-E72D297353CC}">
              <c16:uniqueId val="{00000004-DDAE-4BE1-9B72-BD5A6C0CAF58}"/>
            </c:ext>
          </c:extLst>
        </c:ser>
        <c:ser>
          <c:idx val="3"/>
          <c:order val="3"/>
          <c:tx>
            <c:strRef>
              <c:f>'total emissions 1990-2030 figur'!$A$19</c:f>
              <c:strCache>
                <c:ptCount val="1"/>
                <c:pt idx="0">
                  <c:v>2020 and 2030 targets</c:v>
                </c:pt>
              </c:strCache>
            </c:strRef>
          </c:tx>
          <c:spPr>
            <a:ln>
              <a:solidFill>
                <a:schemeClr val="bg1"/>
              </a:solidFill>
              <a:prstDash val="sysDash"/>
            </a:ln>
          </c:spPr>
          <c:marker>
            <c:symbol val="diamond"/>
            <c:size val="7"/>
            <c:spPr>
              <a:solidFill>
                <a:schemeClr val="accent2"/>
              </a:solidFill>
              <a:ln>
                <a:solidFill>
                  <a:schemeClr val="accent2"/>
                </a:solidFill>
              </a:ln>
            </c:spPr>
          </c:marker>
          <c:val>
            <c:numRef>
              <c:f>'total emissions 1990-2030 figur'!$C$19</c:f>
              <c:numCache>
                <c:formatCode>General</c:formatCode>
                <c:ptCount val="1"/>
              </c:numCache>
            </c:numRef>
          </c:val>
          <c:smooth val="0"/>
          <c:extLst>
            <c:ext xmlns:c16="http://schemas.microsoft.com/office/drawing/2014/chart" uri="{C3380CC4-5D6E-409C-BE32-E72D297353CC}">
              <c16:uniqueId val="{00000005-DDAE-4BE1-9B72-BD5A6C0CAF58}"/>
            </c:ext>
          </c:extLst>
        </c:ser>
        <c:ser>
          <c:idx val="4"/>
          <c:order val="4"/>
          <c:tx>
            <c:strRef>
              <c:f>'total emissions 1990-2030 figur'!$A$17</c:f>
              <c:strCache>
                <c:ptCount val="1"/>
                <c:pt idx="0">
                  <c:v>Total EU greenhouse gas emissions (projection with additional measures)</c:v>
                </c:pt>
              </c:strCache>
            </c:strRef>
          </c:tx>
          <c:spPr>
            <a:ln w="38100">
              <a:solidFill>
                <a:srgbClr val="7030A0"/>
              </a:solidFill>
              <a:prstDash val="sysDot"/>
            </a:ln>
          </c:spPr>
          <c:marker>
            <c:symbol val="none"/>
          </c:marker>
          <c:val>
            <c:numRef>
              <c:f>'total emissions 1990-2030 figur'!$C$17:$AQ$17</c:f>
              <c:numCache>
                <c:formatCode>General</c:formatCode>
                <c:ptCount val="41"/>
                <c:pt idx="29" formatCode="0">
                  <c:v>4269.9365817796488</c:v>
                </c:pt>
                <c:pt idx="30" formatCode="0">
                  <c:v>4218.0003120907104</c:v>
                </c:pt>
                <c:pt idx="31" formatCode="0">
                  <c:v>4150.158141568807</c:v>
                </c:pt>
                <c:pt idx="32" formatCode="0">
                  <c:v>4092.7355300350259</c:v>
                </c:pt>
                <c:pt idx="33" formatCode="0">
                  <c:v>4039.6165990528029</c:v>
                </c:pt>
                <c:pt idx="34" formatCode="0">
                  <c:v>3981.460248849136</c:v>
                </c:pt>
                <c:pt idx="35" formatCode="0">
                  <c:v>3924.4598334447228</c:v>
                </c:pt>
                <c:pt idx="36" formatCode="0">
                  <c:v>3868.0765734058641</c:v>
                </c:pt>
                <c:pt idx="37" formatCode="0">
                  <c:v>3820.3033736686489</c:v>
                </c:pt>
                <c:pt idx="38" formatCode="0">
                  <c:v>3768.997316698471</c:v>
                </c:pt>
                <c:pt idx="39" formatCode="0">
                  <c:v>3715.8499779008494</c:v>
                </c:pt>
                <c:pt idx="40" formatCode="0">
                  <c:v>3662.2387378601693</c:v>
                </c:pt>
              </c:numCache>
            </c:numRef>
          </c:val>
          <c:smooth val="0"/>
          <c:extLst>
            <c:ext xmlns:c16="http://schemas.microsoft.com/office/drawing/2014/chart" uri="{C3380CC4-5D6E-409C-BE32-E72D297353CC}">
              <c16:uniqueId val="{00000006-DDAE-4BE1-9B72-BD5A6C0CAF58}"/>
            </c:ext>
          </c:extLst>
        </c:ser>
        <c:dLbls>
          <c:showLegendKey val="0"/>
          <c:showVal val="0"/>
          <c:showCatName val="0"/>
          <c:showSerName val="0"/>
          <c:showPercent val="0"/>
          <c:showBubbleSize val="0"/>
        </c:dLbls>
        <c:smooth val="0"/>
        <c:axId val="118264960"/>
        <c:axId val="118266880"/>
      </c:lineChart>
      <c:catAx>
        <c:axId val="118264960"/>
        <c:scaling>
          <c:orientation val="minMax"/>
        </c:scaling>
        <c:delete val="0"/>
        <c:axPos val="b"/>
        <c:numFmt formatCode="General" sourceLinked="1"/>
        <c:majorTickMark val="out"/>
        <c:minorTickMark val="none"/>
        <c:tickLblPos val="nextTo"/>
        <c:txPr>
          <a:bodyPr/>
          <a:lstStyle/>
          <a:p>
            <a:pPr>
              <a:defRPr sz="1050"/>
            </a:pPr>
            <a:endParaRPr lang="en-US"/>
          </a:p>
        </c:txPr>
        <c:crossAx val="118266880"/>
        <c:crosses val="autoZero"/>
        <c:auto val="1"/>
        <c:lblAlgn val="ctr"/>
        <c:lblOffset val="100"/>
        <c:tickLblSkip val="5"/>
        <c:noMultiLvlLbl val="0"/>
      </c:catAx>
      <c:valAx>
        <c:axId val="118266880"/>
        <c:scaling>
          <c:orientation val="minMax"/>
        </c:scaling>
        <c:delete val="0"/>
        <c:axPos val="l"/>
        <c:majorGridlines/>
        <c:title>
          <c:tx>
            <c:rich>
              <a:bodyPr rot="-5400000" vert="horz"/>
              <a:lstStyle/>
              <a:p>
                <a:pPr>
                  <a:defRPr sz="1100"/>
                </a:pPr>
                <a:r>
                  <a:rPr lang="en-US" sz="1100"/>
                  <a:t>Mt CO</a:t>
                </a:r>
                <a:r>
                  <a:rPr lang="en-US" sz="1100" baseline="-25000"/>
                  <a:t>2</a:t>
                </a:r>
                <a:r>
                  <a:rPr lang="en-US" sz="1100"/>
                  <a:t>-eq. </a:t>
                </a:r>
              </a:p>
            </c:rich>
          </c:tx>
          <c:layout>
            <c:manualLayout>
              <c:xMode val="edge"/>
              <c:yMode val="edge"/>
              <c:x val="1.5475587272694729E-2"/>
              <c:y val="0.2514852639152983"/>
            </c:manualLayout>
          </c:layout>
          <c:overlay val="0"/>
        </c:title>
        <c:numFmt formatCode="0\ 000" sourceLinked="0"/>
        <c:majorTickMark val="out"/>
        <c:minorTickMark val="none"/>
        <c:tickLblPos val="nextTo"/>
        <c:txPr>
          <a:bodyPr/>
          <a:lstStyle/>
          <a:p>
            <a:pPr>
              <a:defRPr sz="1050"/>
            </a:pPr>
            <a:endParaRPr lang="en-US"/>
          </a:p>
        </c:txPr>
        <c:crossAx val="118264960"/>
        <c:crosses val="autoZero"/>
        <c:crossBetween val="between"/>
      </c:valAx>
    </c:plotArea>
    <c:legend>
      <c:legendPos val="b"/>
      <c:legendEntry>
        <c:idx val="2"/>
        <c:delete val="1"/>
      </c:legendEntry>
      <c:layout>
        <c:manualLayout>
          <c:xMode val="edge"/>
          <c:yMode val="edge"/>
          <c:x val="0.13572269785798158"/>
          <c:y val="0.71125673232965536"/>
          <c:w val="0.82161891019992983"/>
          <c:h val="0.26527826962576101"/>
        </c:manualLayout>
      </c:layout>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2"/>
          <c:order val="2"/>
          <c:tx>
            <c:strRef>
              <c:f>'Domestic spending by category'!$D$5</c:f>
              <c:strCache>
                <c:ptCount val="1"/>
                <c:pt idx="0">
                  <c:v>2013-2018</c:v>
                </c:pt>
              </c:strCache>
              <c:extLst xmlns:c15="http://schemas.microsoft.com/office/drawing/2012/chart"/>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1739-4A5A-ABB6-BAD273D52A54}"/>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03-1739-4A5A-ABB6-BAD273D52A54}"/>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5-1739-4A5A-ABB6-BAD273D52A54}"/>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07-1739-4A5A-ABB6-BAD273D52A54}"/>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09-1739-4A5A-ABB6-BAD273D52A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15:layout/>
              </c:ext>
            </c:extLst>
          </c:dLbls>
          <c:cat>
            <c:strRef>
              <c:f>'Domestic spending by category'!$A$6:$A$10</c:f>
              <c:strCache>
                <c:ptCount val="5"/>
                <c:pt idx="0">
                  <c:v>Renewable energy</c:v>
                </c:pt>
                <c:pt idx="1">
                  <c:v>Energy efficiency</c:v>
                </c:pt>
                <c:pt idx="2">
                  <c:v>Sustainable transport</c:v>
                </c:pt>
                <c:pt idx="3">
                  <c:v>R&amp;D</c:v>
                </c:pt>
                <c:pt idx="4">
                  <c:v>Other domestic / EU uses</c:v>
                </c:pt>
              </c:strCache>
              <c:extLst xmlns:c15="http://schemas.microsoft.com/office/drawing/2012/chart"/>
            </c:strRef>
          </c:cat>
          <c:val>
            <c:numRef>
              <c:f>'Domestic spending by category'!$D$6:$D$10</c:f>
              <c:numCache>
                <c:formatCode>0.0</c:formatCode>
                <c:ptCount val="5"/>
                <c:pt idx="0">
                  <c:v>9.2213958759016528</c:v>
                </c:pt>
                <c:pt idx="1">
                  <c:v>8.0675425000000001</c:v>
                </c:pt>
                <c:pt idx="2">
                  <c:v>4.2021844069999998</c:v>
                </c:pt>
                <c:pt idx="3">
                  <c:v>1.6700975260266668</c:v>
                </c:pt>
                <c:pt idx="4">
                  <c:v>1.9331548807666667</c:v>
                </c:pt>
              </c:numCache>
              <c:extLst xmlns:c15="http://schemas.microsoft.com/office/drawing/2012/chart"/>
            </c:numRef>
          </c:val>
          <c:extLst xmlns:c15="http://schemas.microsoft.com/office/drawing/2012/chart">
            <c:ext xmlns:c16="http://schemas.microsoft.com/office/drawing/2014/chart" uri="{C3380CC4-5D6E-409C-BE32-E72D297353CC}">
              <c16:uniqueId val="{0000000A-1739-4A5A-ABB6-BAD273D52A54}"/>
            </c:ext>
          </c:extLst>
        </c:ser>
        <c:dLbls>
          <c:showLegendKey val="0"/>
          <c:showVal val="1"/>
          <c:showCatName val="1"/>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'Domestic spending by category'!$B$5</c15:sqref>
                        </c15:formulaRef>
                      </c:ext>
                    </c:extLst>
                    <c:strCache>
                      <c:ptCount val="1"/>
                      <c:pt idx="0">
                        <c:v>2013-2017</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1739-4A5A-ABB6-BAD273D52A5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1739-4A5A-ABB6-BAD273D52A5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1739-4A5A-ABB6-BAD273D52A5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1739-4A5A-ABB6-BAD273D52A5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1739-4A5A-ABB6-BAD273D52A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'Domestic spending by category'!$A$6:$A$10</c15:sqref>
                        </c15:formulaRef>
                      </c:ext>
                    </c:extLst>
                    <c:strCache>
                      <c:ptCount val="5"/>
                      <c:pt idx="0">
                        <c:v>Renewable energy</c:v>
                      </c:pt>
                      <c:pt idx="1">
                        <c:v>Energy efficiency</c:v>
                      </c:pt>
                      <c:pt idx="2">
                        <c:v>Sustainable transport</c:v>
                      </c:pt>
                      <c:pt idx="3">
                        <c:v>R&amp;D</c:v>
                      </c:pt>
                      <c:pt idx="4">
                        <c:v>Other domestic / EU uses</c:v>
                      </c:pt>
                    </c:strCache>
                  </c:strRef>
                </c:cat>
                <c:val>
                  <c:numRef>
                    <c:extLst>
                      <c:ext uri="{02D57815-91ED-43cb-92C2-25804820EDAC}">
                        <c15:formulaRef>
                          <c15:sqref>'Domestic spending by category'!$B$6:$B$10</c15:sqref>
                        </c15:formulaRef>
                      </c:ext>
                    </c:extLst>
                    <c:numCache>
                      <c:formatCode>0.0</c:formatCode>
                      <c:ptCount val="5"/>
                      <c:pt idx="0">
                        <c:v>5.8441668759016521</c:v>
                      </c:pt>
                      <c:pt idx="1">
                        <c:v>5.4793634999999998</c:v>
                      </c:pt>
                      <c:pt idx="2">
                        <c:v>1.6140054070000001</c:v>
                      </c:pt>
                      <c:pt idx="3">
                        <c:v>1.2298835260266667</c:v>
                      </c:pt>
                      <c:pt idx="4">
                        <c:v>1.3880678807666667</c:v>
                      </c:pt>
                    </c:numCache>
                  </c:numRef>
                </c:val>
                <c:extLst>
                  <c:ext xmlns:c16="http://schemas.microsoft.com/office/drawing/2014/chart" uri="{C3380CC4-5D6E-409C-BE32-E72D297353CC}">
                    <c16:uniqueId val="{00000015-1739-4A5A-ABB6-BAD273D52A54}"/>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'Domestic spending by category'!$C$5</c15:sqref>
                        </c15:formulaRef>
                      </c:ext>
                    </c:extLst>
                    <c:strCache>
                      <c:ptCount val="1"/>
                      <c:pt idx="0">
                        <c:v>2018</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7-1739-4A5A-ABB6-BAD273D52A54}"/>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19-1739-4A5A-ABB6-BAD273D52A54}"/>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1B-1739-4A5A-ABB6-BAD273D52A54}"/>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1D-1739-4A5A-ABB6-BAD273D52A54}"/>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1F-1739-4A5A-ABB6-BAD273D52A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'Domestic spending by category'!$A$6:$A$10</c15:sqref>
                        </c15:formulaRef>
                      </c:ext>
                    </c:extLst>
                    <c:strCache>
                      <c:ptCount val="5"/>
                      <c:pt idx="0">
                        <c:v>Renewable energy</c:v>
                      </c:pt>
                      <c:pt idx="1">
                        <c:v>Energy efficiency</c:v>
                      </c:pt>
                      <c:pt idx="2">
                        <c:v>Sustainable transport</c:v>
                      </c:pt>
                      <c:pt idx="3">
                        <c:v>R&amp;D</c:v>
                      </c:pt>
                      <c:pt idx="4">
                        <c:v>Other domestic / EU uses</c:v>
                      </c:pt>
                    </c:strCache>
                  </c:strRef>
                </c:cat>
                <c:val>
                  <c:numRef>
                    <c:extLst xmlns:c15="http://schemas.microsoft.com/office/drawing/2012/chart">
                      <c:ext xmlns:c15="http://schemas.microsoft.com/office/drawing/2012/chart" uri="{02D57815-91ED-43cb-92C2-25804820EDAC}">
                        <c15:formulaRef>
                          <c15:sqref>'Domestic spending by category'!$C$6:$C$10</c15:sqref>
                        </c15:formulaRef>
                      </c:ext>
                    </c:extLst>
                    <c:numCache>
                      <c:formatCode>0.0</c:formatCode>
                      <c:ptCount val="5"/>
                      <c:pt idx="0">
                        <c:v>3.3772289999999998</c:v>
                      </c:pt>
                      <c:pt idx="1">
                        <c:v>2.5881789999999998</c:v>
                      </c:pt>
                      <c:pt idx="2">
                        <c:v>2.5881789999999998</c:v>
                      </c:pt>
                      <c:pt idx="3">
                        <c:v>0.44021399999999999</c:v>
                      </c:pt>
                      <c:pt idx="4">
                        <c:v>0.54508699999999999</c:v>
                      </c:pt>
                    </c:numCache>
                  </c:numRef>
                </c:val>
                <c:extLst xmlns:c15="http://schemas.microsoft.com/office/drawing/2012/chart">
                  <c:ext xmlns:c16="http://schemas.microsoft.com/office/drawing/2014/chart" uri="{C3380CC4-5D6E-409C-BE32-E72D297353CC}">
                    <c16:uniqueId val="{00000020-1739-4A5A-ABB6-BAD273D52A54}"/>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'Domestic spending by category'!$E$5</c15:sqref>
                        </c15:formulaRef>
                      </c:ext>
                    </c:extLst>
                    <c:strCache>
                      <c:ptCount val="1"/>
                      <c:pt idx="0">
                        <c:v>2013-2018</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2-1739-4A5A-ABB6-BAD273D52A54}"/>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24-1739-4A5A-ABB6-BAD273D52A54}"/>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6-1739-4A5A-ABB6-BAD273D52A54}"/>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8-1739-4A5A-ABB6-BAD273D52A54}"/>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2A-1739-4A5A-ABB6-BAD273D52A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'Domestic spending by category'!$A$6:$A$10</c15:sqref>
                        </c15:formulaRef>
                      </c:ext>
                    </c:extLst>
                    <c:strCache>
                      <c:ptCount val="5"/>
                      <c:pt idx="0">
                        <c:v>Renewable energy</c:v>
                      </c:pt>
                      <c:pt idx="1">
                        <c:v>Energy efficiency</c:v>
                      </c:pt>
                      <c:pt idx="2">
                        <c:v>Sustainable transport</c:v>
                      </c:pt>
                      <c:pt idx="3">
                        <c:v>R&amp;D</c:v>
                      </c:pt>
                      <c:pt idx="4">
                        <c:v>Other domestic / EU uses</c:v>
                      </c:pt>
                    </c:strCache>
                  </c:strRef>
                </c:cat>
                <c:val>
                  <c:numRef>
                    <c:extLst xmlns:c15="http://schemas.microsoft.com/office/drawing/2012/chart">
                      <c:ext xmlns:c15="http://schemas.microsoft.com/office/drawing/2012/chart" uri="{02D57815-91ED-43cb-92C2-25804820EDAC}">
                        <c15:formulaRef>
                          <c15:sqref>'Domestic spending by category'!$E$6:$E$10</c15:sqref>
                        </c15:formulaRef>
                      </c:ext>
                    </c:extLst>
                    <c:numCache>
                      <c:formatCode>0.0</c:formatCode>
                      <c:ptCount val="5"/>
                      <c:pt idx="0">
                        <c:v>9.2213958759016521E-6</c:v>
                      </c:pt>
                      <c:pt idx="1">
                        <c:v>8.0675424999999998E-6</c:v>
                      </c:pt>
                      <c:pt idx="2">
                        <c:v>4.2021844070000001E-6</c:v>
                      </c:pt>
                      <c:pt idx="3">
                        <c:v>1.6700975260266667E-6</c:v>
                      </c:pt>
                      <c:pt idx="4">
                        <c:v>1.9331548807666667E-6</c:v>
                      </c:pt>
                    </c:numCache>
                  </c:numRef>
                </c:val>
                <c:extLst xmlns:c15="http://schemas.microsoft.com/office/drawing/2012/chart">
                  <c:ext xmlns:c16="http://schemas.microsoft.com/office/drawing/2014/chart" uri="{C3380CC4-5D6E-409C-BE32-E72D297353CC}">
                    <c16:uniqueId val="{0000002B-1739-4A5A-ABB6-BAD273D52A54}"/>
                  </c:ext>
                </c:extLst>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B5D-4BF5-83EA-A229615538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B5D-4BF5-83EA-A229615538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B5D-4BF5-83EA-A229615538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B5D-4BF5-83EA-A229615538B5}"/>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14'!$A$5:$A$8</c:f>
              <c:strCache>
                <c:ptCount val="4"/>
                <c:pt idx="0">
                  <c:v>Nature and biodiversity</c:v>
                </c:pt>
                <c:pt idx="1">
                  <c:v>Circular economy and quality of life</c:v>
                </c:pt>
                <c:pt idx="2">
                  <c:v>Climate change mitigation and adaptation</c:v>
                </c:pt>
                <c:pt idx="3">
                  <c:v>Clean energy transition</c:v>
                </c:pt>
              </c:strCache>
            </c:strRef>
          </c:cat>
          <c:val>
            <c:numRef>
              <c:f>'Figure 14'!$B$5:$B$8</c:f>
              <c:numCache>
                <c:formatCode>General</c:formatCode>
                <c:ptCount val="4"/>
                <c:pt idx="0">
                  <c:v>2.15</c:v>
                </c:pt>
                <c:pt idx="1">
                  <c:v>1.35</c:v>
                </c:pt>
                <c:pt idx="2">
                  <c:v>0.95</c:v>
                </c:pt>
                <c:pt idx="3">
                  <c:v>1</c:v>
                </c:pt>
              </c:numCache>
            </c:numRef>
          </c:val>
          <c:extLst>
            <c:ext xmlns:c16="http://schemas.microsoft.com/office/drawing/2014/chart" uri="{C3380CC4-5D6E-409C-BE32-E72D297353CC}">
              <c16:uniqueId val="{00000008-CB5D-4BF5-83EA-A229615538B5}"/>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65074326895920909"/>
          <c:y val="9.8301254009915434E-2"/>
          <c:w val="0.33608623254260794"/>
          <c:h val="0.8311752697579469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37056543428761"/>
          <c:y val="3.134090957586793E-2"/>
          <c:w val="0.83434687385931061"/>
          <c:h val="0.68230681826264461"/>
        </c:manualLayout>
      </c:layout>
      <c:barChart>
        <c:barDir val="bar"/>
        <c:grouping val="percentStacked"/>
        <c:varyColors val="0"/>
        <c:ser>
          <c:idx val="0"/>
          <c:order val="0"/>
          <c:tx>
            <c:strRef>
              <c:f>'ETS figure'!$B$21</c:f>
              <c:strCache>
                <c:ptCount val="1"/>
                <c:pt idx="0">
                  <c:v>Phase 1</c:v>
                </c:pt>
              </c:strCache>
            </c:strRef>
          </c:tx>
          <c:spPr>
            <a:solidFill>
              <a:schemeClr val="bg1">
                <a:lumMod val="85000"/>
              </a:schemeClr>
            </a:solidFill>
            <a:ln>
              <a:solidFill>
                <a:schemeClr val="bg1">
                  <a:lumMod val="50000"/>
                </a:schemeClr>
              </a:solidFill>
            </a:ln>
          </c:spPr>
          <c:invertIfNegative val="0"/>
          <c:dLbls>
            <c:dLbl>
              <c:idx val="0"/>
              <c:layout>
                <c:manualLayout>
                  <c:x val="6.9805843805950121E-4"/>
                  <c:y val="-0.31383719317462461"/>
                </c:manualLayout>
              </c:layout>
              <c:dLblPos val="ct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0-5342-4D5B-8004-709B5B9F7D94}"/>
                </c:ext>
              </c:extLst>
            </c:dLbl>
            <c:spPr>
              <a:noFill/>
              <a:ln>
                <a:noFill/>
              </a:ln>
              <a:effectLst/>
            </c:spPr>
            <c:dLblPos val="inEnd"/>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'ETS figure'!$C$21</c:f>
              <c:numCache>
                <c:formatCode>General</c:formatCode>
                <c:ptCount val="1"/>
                <c:pt idx="0">
                  <c:v>0.11538461538461539</c:v>
                </c:pt>
              </c:numCache>
            </c:numRef>
          </c:val>
          <c:extLst>
            <c:ext xmlns:c16="http://schemas.microsoft.com/office/drawing/2014/chart" uri="{C3380CC4-5D6E-409C-BE32-E72D297353CC}">
              <c16:uniqueId val="{00000001-5342-4D5B-8004-709B5B9F7D94}"/>
            </c:ext>
          </c:extLst>
        </c:ser>
        <c:ser>
          <c:idx val="1"/>
          <c:order val="1"/>
          <c:tx>
            <c:strRef>
              <c:f>'ETS figure'!$B$22</c:f>
              <c:strCache>
                <c:ptCount val="1"/>
                <c:pt idx="0">
                  <c:v>Phase 2</c:v>
                </c:pt>
              </c:strCache>
            </c:strRef>
          </c:tx>
          <c:spPr>
            <a:solidFill>
              <a:schemeClr val="tx2">
                <a:lumMod val="20000"/>
                <a:lumOff val="80000"/>
              </a:schemeClr>
            </a:solidFill>
            <a:ln>
              <a:solidFill>
                <a:schemeClr val="bg1">
                  <a:lumMod val="65000"/>
                </a:schemeClr>
              </a:solidFill>
            </a:ln>
          </c:spPr>
          <c:invertIfNegative val="0"/>
          <c:dLbls>
            <c:dLbl>
              <c:idx val="0"/>
              <c:layout>
                <c:manualLayout>
                  <c:x val="-6.6225165562913907E-3"/>
                  <c:y val="-0.3129945569836336"/>
                </c:manualLayout>
              </c:layout>
              <c:dLblPos val="ctr"/>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2-5342-4D5B-8004-709B5B9F7D94}"/>
                </c:ext>
              </c:extLst>
            </c:dLbl>
            <c:spPr>
              <a:noFill/>
              <a:ln>
                <a:noFill/>
              </a:ln>
              <a:effectLst/>
            </c:spPr>
            <c:dLblPos val="ct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'ETS figure'!$C$22</c:f>
              <c:numCache>
                <c:formatCode>General</c:formatCode>
                <c:ptCount val="1"/>
                <c:pt idx="0">
                  <c:v>0.19230769230769232</c:v>
                </c:pt>
              </c:numCache>
            </c:numRef>
          </c:val>
          <c:extLst>
            <c:ext xmlns:c16="http://schemas.microsoft.com/office/drawing/2014/chart" uri="{C3380CC4-5D6E-409C-BE32-E72D297353CC}">
              <c16:uniqueId val="{00000003-5342-4D5B-8004-709B5B9F7D94}"/>
            </c:ext>
          </c:extLst>
        </c:ser>
        <c:ser>
          <c:idx val="2"/>
          <c:order val="2"/>
          <c:tx>
            <c:strRef>
              <c:f>'ETS figure'!$B$23</c:f>
              <c:strCache>
                <c:ptCount val="1"/>
                <c:pt idx="0">
                  <c:v>Phase 3</c:v>
                </c:pt>
              </c:strCache>
            </c:strRef>
          </c:tx>
          <c:spPr>
            <a:solidFill>
              <a:schemeClr val="bg1">
                <a:lumMod val="85000"/>
              </a:schemeClr>
            </a:solidFill>
            <a:ln>
              <a:solidFill>
                <a:schemeClr val="bg1">
                  <a:lumMod val="65000"/>
                </a:schemeClr>
              </a:solidFill>
            </a:ln>
          </c:spPr>
          <c:invertIfNegative val="0"/>
          <c:dLbls>
            <c:dLbl>
              <c:idx val="0"/>
              <c:layout>
                <c:manualLayout>
                  <c:x val="-1.3245033112582781E-2"/>
                  <c:y val="-0.31017169240289344"/>
                </c:manualLayout>
              </c:layout>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4-5342-4D5B-8004-709B5B9F7D9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'ETS figure'!$C$23</c:f>
              <c:numCache>
                <c:formatCode>General</c:formatCode>
                <c:ptCount val="1"/>
                <c:pt idx="0">
                  <c:v>0.30769230769230771</c:v>
                </c:pt>
              </c:numCache>
            </c:numRef>
          </c:val>
          <c:extLst>
            <c:ext xmlns:c16="http://schemas.microsoft.com/office/drawing/2014/chart" uri="{C3380CC4-5D6E-409C-BE32-E72D297353CC}">
              <c16:uniqueId val="{00000005-5342-4D5B-8004-709B5B9F7D94}"/>
            </c:ext>
          </c:extLst>
        </c:ser>
        <c:ser>
          <c:idx val="3"/>
          <c:order val="3"/>
          <c:tx>
            <c:strRef>
              <c:f>'ETS figure'!$B$24</c:f>
              <c:strCache>
                <c:ptCount val="1"/>
                <c:pt idx="0">
                  <c:v>Phase 4</c:v>
                </c:pt>
              </c:strCache>
            </c:strRef>
          </c:tx>
          <c:spPr>
            <a:solidFill>
              <a:schemeClr val="tx2">
                <a:lumMod val="20000"/>
                <a:lumOff val="80000"/>
              </a:schemeClr>
            </a:solidFill>
            <a:ln>
              <a:solidFill>
                <a:schemeClr val="bg1">
                  <a:lumMod val="65000"/>
                </a:schemeClr>
              </a:solidFill>
            </a:ln>
          </c:spPr>
          <c:invertIfNegative val="0"/>
          <c:dLbls>
            <c:dLbl>
              <c:idx val="0"/>
              <c:layout>
                <c:manualLayout>
                  <c:x val="-1.5452538631346579E-2"/>
                  <c:y val="-0.29719540624355406"/>
                </c:manualLayout>
              </c:layout>
              <c:showLegendKey val="0"/>
              <c:showVal val="0"/>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6-5342-4D5B-8004-709B5B9F7D94}"/>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'ETS figure'!$C$24</c:f>
              <c:numCache>
                <c:formatCode>General</c:formatCode>
                <c:ptCount val="1"/>
                <c:pt idx="0">
                  <c:v>0.38461538461538464</c:v>
                </c:pt>
              </c:numCache>
            </c:numRef>
          </c:val>
          <c:extLst>
            <c:ext xmlns:c16="http://schemas.microsoft.com/office/drawing/2014/chart" uri="{C3380CC4-5D6E-409C-BE32-E72D297353CC}">
              <c16:uniqueId val="{00000007-5342-4D5B-8004-709B5B9F7D94}"/>
            </c:ext>
          </c:extLst>
        </c:ser>
        <c:dLbls>
          <c:showLegendKey val="0"/>
          <c:showVal val="0"/>
          <c:showCatName val="0"/>
          <c:showSerName val="0"/>
          <c:showPercent val="0"/>
          <c:showBubbleSize val="0"/>
        </c:dLbls>
        <c:gapWidth val="0"/>
        <c:overlap val="100"/>
        <c:axId val="119950336"/>
        <c:axId val="119964800"/>
      </c:barChart>
      <c:barChart>
        <c:barDir val="col"/>
        <c:grouping val="stacked"/>
        <c:varyColors val="0"/>
        <c:ser>
          <c:idx val="4"/>
          <c:order val="4"/>
          <c:tx>
            <c:strRef>
              <c:f>'ETS figure'!$B$2</c:f>
              <c:strCache>
                <c:ptCount val="1"/>
                <c:pt idx="0">
                  <c:v>Combustion* (verified emissions)</c:v>
                </c:pt>
              </c:strCache>
            </c:strRef>
          </c:tx>
          <c:spPr>
            <a:solidFill>
              <a:schemeClr val="accent1">
                <a:lumMod val="75000"/>
              </a:schemeClr>
            </a:solidFill>
          </c:spPr>
          <c:invertIfNegative val="0"/>
          <c:cat>
            <c:numRef>
              <c:f>'ETS figure'!$C$1:$AB$1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'ETS figure'!$C$2:$AB$2</c:f>
              <c:numCache>
                <c:formatCode>_-* #,##0_-;\-* #,##0_-;_-* "-"??_-;_-@_-</c:formatCode>
                <c:ptCount val="26"/>
                <c:pt idx="0">
                  <c:v>1442.8739990000001</c:v>
                </c:pt>
                <c:pt idx="1">
                  <c:v>1454.8497609999999</c:v>
                </c:pt>
                <c:pt idx="2">
                  <c:v>1544.837403</c:v>
                </c:pt>
                <c:pt idx="3">
                  <c:v>1493.402773</c:v>
                </c:pt>
                <c:pt idx="4">
                  <c:v>1369.6105859999998</c:v>
                </c:pt>
                <c:pt idx="5">
                  <c:v>1402.2543189999999</c:v>
                </c:pt>
                <c:pt idx="6">
                  <c:v>1371.8661710000001</c:v>
                </c:pt>
                <c:pt idx="7">
                  <c:v>1359.580956</c:v>
                </c:pt>
                <c:pt idx="8">
                  <c:v>1319.8153829999999</c:v>
                </c:pt>
                <c:pt idx="9">
                  <c:v>1224.016973</c:v>
                </c:pt>
                <c:pt idx="10">
                  <c:v>1212.4361510000001</c:v>
                </c:pt>
                <c:pt idx="11">
                  <c:v>1166.232751</c:v>
                </c:pt>
                <c:pt idx="12">
                  <c:v>1163.5615789999999</c:v>
                </c:pt>
                <c:pt idx="13">
                  <c:v>1095.190975</c:v>
                </c:pt>
              </c:numCache>
            </c:numRef>
          </c:val>
          <c:extLst>
            <c:ext xmlns:c16="http://schemas.microsoft.com/office/drawing/2014/chart" uri="{C3380CC4-5D6E-409C-BE32-E72D297353CC}">
              <c16:uniqueId val="{00000008-5342-4D5B-8004-709B5B9F7D94}"/>
            </c:ext>
          </c:extLst>
        </c:ser>
        <c:ser>
          <c:idx val="5"/>
          <c:order val="5"/>
          <c:tx>
            <c:strRef>
              <c:f>'ETS figure'!$B$3</c:f>
              <c:strCache>
                <c:ptCount val="1"/>
                <c:pt idx="0">
                  <c:v>Other industrial installations (verified emissions)</c:v>
                </c:pt>
              </c:strCache>
            </c:strRef>
          </c:tx>
          <c:spPr>
            <a:solidFill>
              <a:schemeClr val="accent2">
                <a:lumMod val="60000"/>
                <a:lumOff val="40000"/>
              </a:schemeClr>
            </a:solidFill>
          </c:spPr>
          <c:invertIfNegative val="0"/>
          <c:cat>
            <c:numRef>
              <c:f>'ETS figure'!$C$1:$AB$1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'ETS figure'!$C$3:$AB$3</c:f>
              <c:numCache>
                <c:formatCode>_-* #,##0_-;\-* #,##0_-;_-* "-"??_-;_-@_-</c:formatCode>
                <c:ptCount val="26"/>
                <c:pt idx="0">
                  <c:v>571.20278399999995</c:v>
                </c:pt>
                <c:pt idx="1">
                  <c:v>580.93923699999993</c:v>
                </c:pt>
                <c:pt idx="2">
                  <c:v>619.89531700000009</c:v>
                </c:pt>
                <c:pt idx="3">
                  <c:v>626.27104700000007</c:v>
                </c:pt>
                <c:pt idx="4">
                  <c:v>510.00764000000004</c:v>
                </c:pt>
                <c:pt idx="5">
                  <c:v>536.54882099999998</c:v>
                </c:pt>
                <c:pt idx="6">
                  <c:v>532.52135299999998</c:v>
                </c:pt>
                <c:pt idx="7">
                  <c:v>507.445673</c:v>
                </c:pt>
                <c:pt idx="8">
                  <c:v>588.350279</c:v>
                </c:pt>
                <c:pt idx="9">
                  <c:v>589.81273600000009</c:v>
                </c:pt>
                <c:pt idx="10">
                  <c:v>590.50587899999994</c:v>
                </c:pt>
                <c:pt idx="11">
                  <c:v>584.22613799999999</c:v>
                </c:pt>
                <c:pt idx="12">
                  <c:v>591.00471699999991</c:v>
                </c:pt>
                <c:pt idx="13">
                  <c:v>586.83204699999999</c:v>
                </c:pt>
              </c:numCache>
            </c:numRef>
          </c:val>
          <c:extLst>
            <c:ext xmlns:c16="http://schemas.microsoft.com/office/drawing/2014/chart" uri="{C3380CC4-5D6E-409C-BE32-E72D297353CC}">
              <c16:uniqueId val="{00000009-5342-4D5B-8004-709B5B9F7D94}"/>
            </c:ext>
          </c:extLst>
        </c:ser>
        <c:ser>
          <c:idx val="7"/>
          <c:order val="6"/>
          <c:tx>
            <c:strRef>
              <c:f>'ETS figure'!$B$5</c:f>
              <c:strCache>
                <c:ptCount val="1"/>
                <c:pt idx="0">
                  <c:v>Combustion (sum of Member States' projections)</c:v>
                </c:pt>
              </c:strCache>
            </c:strRef>
          </c:tx>
          <c:spPr>
            <a:pattFill prst="pct50">
              <a:fgClr>
                <a:schemeClr val="bg1">
                  <a:lumMod val="85000"/>
                </a:schemeClr>
              </a:fgClr>
              <a:bgClr>
                <a:schemeClr val="accent1">
                  <a:lumMod val="75000"/>
                </a:schemeClr>
              </a:bgClr>
            </a:pattFill>
          </c:spPr>
          <c:invertIfNegative val="0"/>
          <c:cat>
            <c:numRef>
              <c:f>'ETS figure'!$C$1:$AB$1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'ETS figure'!$C$5:$AB$5</c:f>
              <c:numCache>
                <c:formatCode>General</c:formatCode>
                <c:ptCount val="26"/>
                <c:pt idx="14" formatCode="_-* #,##0_-;\-* #,##0_-;_-* &quot;-&quot;??_-;_-@_-">
                  <c:v>1057.9505885216959</c:v>
                </c:pt>
                <c:pt idx="15" formatCode="_-* #,##0_-;\-* #,##0_-;_-* &quot;-&quot;??_-;_-@_-">
                  <c:v>1031.3781707888327</c:v>
                </c:pt>
                <c:pt idx="16" formatCode="_-* #,##0_-;\-* #,##0_-;_-* &quot;-&quot;??_-;_-@_-">
                  <c:v>1012.9031302501303</c:v>
                </c:pt>
                <c:pt idx="17" formatCode="_-* #,##0_-;\-* #,##0_-;_-* &quot;-&quot;??_-;_-@_-">
                  <c:v>1003.3717899666397</c:v>
                </c:pt>
                <c:pt idx="18" formatCode="_-* #,##0_-;\-* #,##0_-;_-* &quot;-&quot;??_-;_-@_-">
                  <c:v>997.63208339949074</c:v>
                </c:pt>
                <c:pt idx="19" formatCode="_-* #,##0_-;\-* #,##0_-;_-* &quot;-&quot;??_-;_-@_-">
                  <c:v>988.78216635945489</c:v>
                </c:pt>
                <c:pt idx="20" formatCode="_-* #,##0_-;\-* #,##0_-;_-* &quot;-&quot;??_-;_-@_-">
                  <c:v>979.94525362586</c:v>
                </c:pt>
                <c:pt idx="21" formatCode="_-* #,##0_-;\-* #,##0_-;_-* &quot;-&quot;??_-;_-@_-">
                  <c:v>969.15286733949449</c:v>
                </c:pt>
                <c:pt idx="22" formatCode="_-* #,##0_-;\-* #,##0_-;_-* &quot;-&quot;??_-;_-@_-">
                  <c:v>963.91872040850114</c:v>
                </c:pt>
                <c:pt idx="23" formatCode="_-* #,##0_-;\-* #,##0_-;_-* &quot;-&quot;??_-;_-@_-">
                  <c:v>954.51017439684631</c:v>
                </c:pt>
                <c:pt idx="24" formatCode="_-* #,##0_-;\-* #,##0_-;_-* &quot;-&quot;??_-;_-@_-">
                  <c:v>943.07903653885251</c:v>
                </c:pt>
                <c:pt idx="25" formatCode="_-* #,##0_-;\-* #,##0_-;_-* &quot;-&quot;??_-;_-@_-">
                  <c:v>930.4475147712343</c:v>
                </c:pt>
              </c:numCache>
            </c:numRef>
          </c:val>
          <c:extLst>
            <c:ext xmlns:c16="http://schemas.microsoft.com/office/drawing/2014/chart" uri="{C3380CC4-5D6E-409C-BE32-E72D297353CC}">
              <c16:uniqueId val="{0000000A-5342-4D5B-8004-709B5B9F7D94}"/>
            </c:ext>
          </c:extLst>
        </c:ser>
        <c:ser>
          <c:idx val="8"/>
          <c:order val="7"/>
          <c:tx>
            <c:strRef>
              <c:f>'ETS figure'!$B$6</c:f>
              <c:strCache>
                <c:ptCount val="1"/>
                <c:pt idx="0">
                  <c:v>Other industrial installations (sum of Member States' projections)</c:v>
                </c:pt>
              </c:strCache>
            </c:strRef>
          </c:tx>
          <c:spPr>
            <a:pattFill prst="pct50">
              <a:fgClr>
                <a:schemeClr val="accent2">
                  <a:lumMod val="60000"/>
                  <a:lumOff val="40000"/>
                </a:schemeClr>
              </a:fgClr>
              <a:bgClr>
                <a:schemeClr val="bg1"/>
              </a:bgClr>
            </a:pattFill>
          </c:spPr>
          <c:invertIfNegative val="0"/>
          <c:cat>
            <c:numRef>
              <c:f>'ETS figure'!$C$1:$AB$1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'ETS figure'!$C$6:$AB$6</c:f>
              <c:numCache>
                <c:formatCode>General</c:formatCode>
                <c:ptCount val="26"/>
                <c:pt idx="14" formatCode="_-* #,##0_-;\-* #,##0_-;_-* &quot;-&quot;??_-;_-@_-">
                  <c:v>593.28192301498473</c:v>
                </c:pt>
                <c:pt idx="15" formatCode="_-* #,##0_-;\-* #,##0_-;_-* &quot;-&quot;??_-;_-@_-">
                  <c:v>590.35606319978342</c:v>
                </c:pt>
                <c:pt idx="16" formatCode="_-* #,##0_-;\-* #,##0_-;_-* &quot;-&quot;??_-;_-@_-">
                  <c:v>585.8904152847241</c:v>
                </c:pt>
                <c:pt idx="17" formatCode="_-* #,##0_-;\-* #,##0_-;_-* &quot;-&quot;??_-;_-@_-">
                  <c:v>582.01697202462788</c:v>
                </c:pt>
                <c:pt idx="18" formatCode="_-* #,##0_-;\-* #,##0_-;_-* &quot;-&quot;??_-;_-@_-">
                  <c:v>578.40226955868059</c:v>
                </c:pt>
                <c:pt idx="19" formatCode="_-* #,##0_-;\-* #,##0_-;_-* &quot;-&quot;??_-;_-@_-">
                  <c:v>574.69804041139071</c:v>
                </c:pt>
                <c:pt idx="20" formatCode="_-* #,##0_-;\-* #,##0_-;_-* &quot;-&quot;??_-;_-@_-">
                  <c:v>571.14804687344486</c:v>
                </c:pt>
                <c:pt idx="21" formatCode="_-* #,##0_-;\-* #,##0_-;_-* &quot;-&quot;??_-;_-@_-">
                  <c:v>566.79258964836345</c:v>
                </c:pt>
                <c:pt idx="22" formatCode="_-* #,##0_-;\-* #,##0_-;_-* &quot;-&quot;??_-;_-@_-">
                  <c:v>562.56358858722854</c:v>
                </c:pt>
                <c:pt idx="23" formatCode="_-* #,##0_-;\-* #,##0_-;_-* &quot;-&quot;??_-;_-@_-">
                  <c:v>558.44038640698159</c:v>
                </c:pt>
                <c:pt idx="24" formatCode="_-* #,##0_-;\-* #,##0_-;_-* &quot;-&quot;??_-;_-@_-">
                  <c:v>554.22935505010219</c:v>
                </c:pt>
                <c:pt idx="25" formatCode="_-* #,##0_-;\-* #,##0_-;_-* &quot;-&quot;??_-;_-@_-">
                  <c:v>550.38601528492734</c:v>
                </c:pt>
              </c:numCache>
            </c:numRef>
          </c:val>
          <c:extLst>
            <c:ext xmlns:c16="http://schemas.microsoft.com/office/drawing/2014/chart" uri="{C3380CC4-5D6E-409C-BE32-E72D297353CC}">
              <c16:uniqueId val="{0000000B-5342-4D5B-8004-709B5B9F7D94}"/>
            </c:ext>
          </c:extLst>
        </c:ser>
        <c:ser>
          <c:idx val="12"/>
          <c:order val="12"/>
          <c:tx>
            <c:strRef>
              <c:f>'ETS figure'!$B$4</c:f>
              <c:strCache>
                <c:ptCount val="1"/>
                <c:pt idx="0">
                  <c:v>Aviation (verified emissions)</c:v>
                </c:pt>
              </c:strCache>
            </c:strRef>
          </c:tx>
          <c:spPr>
            <a:solidFill>
              <a:schemeClr val="bg1">
                <a:lumMod val="50000"/>
              </a:schemeClr>
            </a:solidFill>
          </c:spPr>
          <c:invertIfNegative val="0"/>
          <c:val>
            <c:numRef>
              <c:f>'ETS figure'!$C$4:$P$4</c:f>
              <c:numCache>
                <c:formatCode>_-* #,##0_-;\-* #,##0_-;_-* "-"??_-;_-@_-</c:formatCode>
                <c:ptCount val="14"/>
                <c:pt idx="0">
                  <c:v>0</c:v>
                </c:pt>
                <c:pt idx="1">
                  <c:v>0</c:v>
                </c:pt>
                <c:pt idx="2">
                  <c:v>0</c:v>
                </c:pt>
                <c:pt idx="3">
                  <c:v>0</c:v>
                </c:pt>
                <c:pt idx="4">
                  <c:v>0</c:v>
                </c:pt>
                <c:pt idx="5">
                  <c:v>0</c:v>
                </c:pt>
                <c:pt idx="6">
                  <c:v>0</c:v>
                </c:pt>
                <c:pt idx="7">
                  <c:v>83.979600000000005</c:v>
                </c:pt>
                <c:pt idx="8">
                  <c:v>53.487031000000002</c:v>
                </c:pt>
                <c:pt idx="9">
                  <c:v>54.832616000000002</c:v>
                </c:pt>
                <c:pt idx="10">
                  <c:v>57.095936999999999</c:v>
                </c:pt>
                <c:pt idx="11">
                  <c:v>61.473762000000001</c:v>
                </c:pt>
                <c:pt idx="12">
                  <c:v>64.417811</c:v>
                </c:pt>
                <c:pt idx="13">
                  <c:v>67.001190000000008</c:v>
                </c:pt>
              </c:numCache>
            </c:numRef>
          </c:val>
          <c:extLst>
            <c:ext xmlns:c16="http://schemas.microsoft.com/office/drawing/2014/chart" uri="{C3380CC4-5D6E-409C-BE32-E72D297353CC}">
              <c16:uniqueId val="{0000000C-5342-4D5B-8004-709B5B9F7D94}"/>
            </c:ext>
          </c:extLst>
        </c:ser>
        <c:dLbls>
          <c:showLegendKey val="0"/>
          <c:showVal val="0"/>
          <c:showCatName val="0"/>
          <c:showSerName val="0"/>
          <c:showPercent val="0"/>
          <c:showBubbleSize val="0"/>
        </c:dLbls>
        <c:gapWidth val="100"/>
        <c:overlap val="100"/>
        <c:axId val="119968512"/>
        <c:axId val="119966336"/>
      </c:barChart>
      <c:lineChart>
        <c:grouping val="standard"/>
        <c:varyColors val="0"/>
        <c:ser>
          <c:idx val="6"/>
          <c:order val="8"/>
          <c:tx>
            <c:strRef>
              <c:f>'ETS figure'!$B$13</c:f>
              <c:strCache>
                <c:ptCount val="1"/>
                <c:pt idx="0">
                  <c:v>Cap phase 2</c:v>
                </c:pt>
              </c:strCache>
            </c:strRef>
          </c:tx>
          <c:spPr>
            <a:ln w="22225">
              <a:solidFill>
                <a:schemeClr val="accent6">
                  <a:lumMod val="50000"/>
                </a:schemeClr>
              </a:solidFill>
            </a:ln>
          </c:spPr>
          <c:marker>
            <c:symbol val="none"/>
          </c:marker>
          <c:val>
            <c:numRef>
              <c:f>'ETS figure'!$C$13:$AB$13</c:f>
              <c:numCache>
                <c:formatCode>General</c:formatCode>
                <c:ptCount val="26"/>
                <c:pt idx="3" formatCode="_-* #,##0_-;\-* #,##0_-;_-* &quot;-&quot;??_-;_-@_-">
                  <c:v>2081</c:v>
                </c:pt>
                <c:pt idx="4" formatCode="_-* #,##0_-;\-* #,##0_-;_-* &quot;-&quot;??_-;_-@_-">
                  <c:v>2081</c:v>
                </c:pt>
                <c:pt idx="5" formatCode="_-* #,##0_-;\-* #,##0_-;_-* &quot;-&quot;??_-;_-@_-">
                  <c:v>2081</c:v>
                </c:pt>
                <c:pt idx="6" formatCode="_-* #,##0_-;\-* #,##0_-;_-* &quot;-&quot;??_-;_-@_-">
                  <c:v>2081</c:v>
                </c:pt>
                <c:pt idx="7" formatCode="_-* #,##0_-;\-* #,##0_-;_-* &quot;-&quot;??_-;_-@_-">
                  <c:v>2113.5</c:v>
                </c:pt>
                <c:pt idx="8" formatCode="_-* #,##0_-;\-* #,##0_-;_-* &quot;-&quot;??_-;_-@_-">
                  <c:v>2116.4</c:v>
                </c:pt>
              </c:numCache>
            </c:numRef>
          </c:val>
          <c:smooth val="0"/>
          <c:extLst>
            <c:ext xmlns:c16="http://schemas.microsoft.com/office/drawing/2014/chart" uri="{C3380CC4-5D6E-409C-BE32-E72D297353CC}">
              <c16:uniqueId val="{0000000D-5342-4D5B-8004-709B5B9F7D94}"/>
            </c:ext>
          </c:extLst>
        </c:ser>
        <c:ser>
          <c:idx val="9"/>
          <c:order val="9"/>
          <c:tx>
            <c:strRef>
              <c:f>'ETS figure'!$B$14</c:f>
              <c:strCache>
                <c:ptCount val="1"/>
                <c:pt idx="0">
                  <c:v>Cap phase 3 </c:v>
                </c:pt>
              </c:strCache>
            </c:strRef>
          </c:tx>
          <c:spPr>
            <a:ln w="22225">
              <a:solidFill>
                <a:srgbClr val="C00000"/>
              </a:solidFill>
            </a:ln>
          </c:spPr>
          <c:marker>
            <c:symbol val="none"/>
          </c:marker>
          <c:val>
            <c:numRef>
              <c:f>'ETS figure'!$C$14:$AB$14</c:f>
              <c:numCache>
                <c:formatCode>General</c:formatCode>
                <c:ptCount val="26"/>
                <c:pt idx="8" formatCode="_-* #,##0_-;\-* #,##0_-;_-* &quot;-&quot;??_-;_-@_-">
                  <c:v>2116.7018567332002</c:v>
                </c:pt>
                <c:pt idx="9" formatCode="_-* #,##0_-;\-* #,##0_-;_-* &quot;-&quot;??_-;_-@_-">
                  <c:v>2087.7376107332002</c:v>
                </c:pt>
                <c:pt idx="10" formatCode="_-* #,##0_-;\-* #,##0_-;_-* &quot;-&quot;??_-;_-@_-">
                  <c:v>2056.2733647331997</c:v>
                </c:pt>
                <c:pt idx="11" formatCode="_-* #,##0_-;\-* #,##0_-;_-* &quot;-&quot;??_-;_-@_-">
                  <c:v>2007.4091187332001</c:v>
                </c:pt>
                <c:pt idx="12" formatCode="_-* #,##0_-;\-* #,##0_-;_-* &quot;-&quot;??_-;_-@_-">
                  <c:v>1970.1448727332001</c:v>
                </c:pt>
                <c:pt idx="13" formatCode="_-* #,##0_-;\-* #,##0_-;_-* &quot;-&quot;??_-;_-@_-">
                  <c:v>1930.8806267332002</c:v>
                </c:pt>
                <c:pt idx="14" formatCode="_-* #,##0_-;\-* #,##0_-;_-* &quot;-&quot;??_-;_-@_-">
                  <c:v>1854.7163807332001</c:v>
                </c:pt>
                <c:pt idx="15" formatCode="_-* #,##0_-;\-* #,##0_-;_-* &quot;-&quot;??_-;_-@_-">
                  <c:v>1816.4521347332002</c:v>
                </c:pt>
                <c:pt idx="16" formatCode="_-* #,##0_-;\-* #,##0_-;_-* &quot;-&quot;??_-;_-@_-">
                  <c:v>1768.0720528505747</c:v>
                </c:pt>
              </c:numCache>
            </c:numRef>
          </c:val>
          <c:smooth val="0"/>
          <c:extLst>
            <c:ext xmlns:c16="http://schemas.microsoft.com/office/drawing/2014/chart" uri="{C3380CC4-5D6E-409C-BE32-E72D297353CC}">
              <c16:uniqueId val="{0000000E-5342-4D5B-8004-709B5B9F7D94}"/>
            </c:ext>
          </c:extLst>
        </c:ser>
        <c:ser>
          <c:idx val="10"/>
          <c:order val="10"/>
          <c:tx>
            <c:strRef>
              <c:f>'ETS figure'!$B$10</c:f>
              <c:strCache>
                <c:ptCount val="1"/>
                <c:pt idx="0">
                  <c:v>Cap phase 4</c:v>
                </c:pt>
              </c:strCache>
            </c:strRef>
          </c:tx>
          <c:spPr>
            <a:ln w="22225">
              <a:solidFill>
                <a:schemeClr val="accent3">
                  <a:lumMod val="75000"/>
                </a:schemeClr>
              </a:solidFill>
            </a:ln>
          </c:spPr>
          <c:marker>
            <c:symbol val="none"/>
          </c:marker>
          <c:val>
            <c:numRef>
              <c:f>'ETS figure'!$C$10:$AB$10</c:f>
              <c:numCache>
                <c:formatCode>General</c:formatCode>
                <c:ptCount val="26"/>
                <c:pt idx="16" formatCode="_-* #,##0_-;\-* #,##0_-;_-* &quot;-&quot;??_-;_-@_-">
                  <c:v>1768.0720528505747</c:v>
                </c:pt>
                <c:pt idx="17" formatCode="_-* #,##0_-;\-* #,##0_-;_-* &quot;-&quot;??_-;_-@_-">
                  <c:v>1719.6919718505746</c:v>
                </c:pt>
                <c:pt idx="18" formatCode="_-* #,##0_-;\-* #,##0_-;_-* &quot;-&quot;??_-;_-@_-">
                  <c:v>1671.3118908505746</c:v>
                </c:pt>
                <c:pt idx="19" formatCode="_-* #,##0_-;\-* #,##0_-;_-* &quot;-&quot;??_-;_-@_-">
                  <c:v>1622.9318098505748</c:v>
                </c:pt>
                <c:pt idx="20" formatCode="_-* #,##0_-;\-* #,##0_-;_-* &quot;-&quot;??_-;_-@_-">
                  <c:v>1574.5517288505748</c:v>
                </c:pt>
                <c:pt idx="21" formatCode="_-* #,##0_-;\-* #,##0_-;_-* &quot;-&quot;??_-;_-@_-">
                  <c:v>1526.1716478505748</c:v>
                </c:pt>
                <c:pt idx="22" formatCode="_-* #,##0_-;\-* #,##0_-;_-* &quot;-&quot;??_-;_-@_-">
                  <c:v>1477.7915668505748</c:v>
                </c:pt>
                <c:pt idx="23" formatCode="_-* #,##0_-;\-* #,##0_-;_-* &quot;-&quot;??_-;_-@_-">
                  <c:v>1429.4114858505748</c:v>
                </c:pt>
                <c:pt idx="24" formatCode="_-* #,##0_-;\-* #,##0_-;_-* &quot;-&quot;??_-;_-@_-">
                  <c:v>1381.0314048505747</c:v>
                </c:pt>
                <c:pt idx="25" formatCode="_-* #,##0_-;\-* #,##0_-;_-* &quot;-&quot;??_-;_-@_-">
                  <c:v>1332.6513238505747</c:v>
                </c:pt>
              </c:numCache>
            </c:numRef>
          </c:val>
          <c:smooth val="0"/>
          <c:extLst>
            <c:ext xmlns:c16="http://schemas.microsoft.com/office/drawing/2014/chart" uri="{C3380CC4-5D6E-409C-BE32-E72D297353CC}">
              <c16:uniqueId val="{0000000F-5342-4D5B-8004-709B5B9F7D94}"/>
            </c:ext>
          </c:extLst>
        </c:ser>
        <c:ser>
          <c:idx val="11"/>
          <c:order val="11"/>
          <c:tx>
            <c:strRef>
              <c:f>'ETS figure'!$B$11</c:f>
              <c:strCache>
                <c:ptCount val="1"/>
                <c:pt idx="0">
                  <c:v>Surplus of allowances</c:v>
                </c:pt>
              </c:strCache>
            </c:strRef>
          </c:tx>
          <c:spPr>
            <a:ln w="19050">
              <a:solidFill>
                <a:schemeClr val="tx1">
                  <a:lumMod val="85000"/>
                  <a:lumOff val="15000"/>
                </a:schemeClr>
              </a:solidFill>
            </a:ln>
          </c:spPr>
          <c:marker>
            <c:symbol val="diamond"/>
            <c:size val="6"/>
            <c:spPr>
              <a:solidFill>
                <a:schemeClr val="tx1">
                  <a:lumMod val="85000"/>
                  <a:lumOff val="15000"/>
                </a:schemeClr>
              </a:solidFill>
              <a:ln>
                <a:solidFill>
                  <a:schemeClr val="tx1">
                    <a:lumMod val="85000"/>
                    <a:lumOff val="15000"/>
                  </a:schemeClr>
                </a:solidFill>
              </a:ln>
            </c:spPr>
          </c:marker>
          <c:val>
            <c:numRef>
              <c:f>'ETS figure'!$C$11:$AB$11</c:f>
              <c:numCache>
                <c:formatCode>General</c:formatCode>
                <c:ptCount val="26"/>
                <c:pt idx="3" formatCode="_-* #,##0_-;\-* #,##0_-;_-* &quot;-&quot;??_-;_-@_-">
                  <c:v>-24</c:v>
                </c:pt>
                <c:pt idx="4" formatCode="_-* #,##0_-;\-* #,##0_-;_-* &quot;-&quot;??_-;_-@_-">
                  <c:v>220</c:v>
                </c:pt>
                <c:pt idx="5" formatCode="_-* #,##0_-;\-* #,##0_-;_-* &quot;-&quot;??_-;_-@_-">
                  <c:v>505</c:v>
                </c:pt>
                <c:pt idx="6" formatCode="_-* #,##0_-;\-* #,##0_-;_-* &quot;-&quot;??_-;_-@_-">
                  <c:v>955</c:v>
                </c:pt>
                <c:pt idx="7" formatCode="_-* #,##0_-;\-* #,##0_-;_-* &quot;-&quot;??_-;_-@_-">
                  <c:v>1749</c:v>
                </c:pt>
                <c:pt idx="8" formatCode="_-* #,##0_-;\-* #,##0_-;_-* &quot;-&quot;??_-;_-@_-">
                  <c:v>2100</c:v>
                </c:pt>
                <c:pt idx="9" formatCode="_-* #,##0_-;\-* #,##0_-;_-* &quot;-&quot;??_-;_-@_-">
                  <c:v>2100</c:v>
                </c:pt>
                <c:pt idx="10" formatCode="_-* #,##0_-;\-* #,##0_-;_-* &quot;-&quot;??_-;_-@_-">
                  <c:v>1780</c:v>
                </c:pt>
                <c:pt idx="11" formatCode="_-* #,##0_-;\-* #,##0_-;_-* &quot;-&quot;??_-;_-@_-">
                  <c:v>1690</c:v>
                </c:pt>
                <c:pt idx="12" formatCode="_-* #,##0_-;\-* #,##0_-;_-* &quot;-&quot;??_-;_-@_-">
                  <c:v>1650</c:v>
                </c:pt>
                <c:pt idx="13" formatCode="_-* #,##0_-;\-* #,##0_-;_-* &quot;-&quot;??_-;_-@_-">
                  <c:v>1654</c:v>
                </c:pt>
              </c:numCache>
            </c:numRef>
          </c:val>
          <c:smooth val="0"/>
          <c:extLst>
            <c:ext xmlns:c16="http://schemas.microsoft.com/office/drawing/2014/chart" uri="{C3380CC4-5D6E-409C-BE32-E72D297353CC}">
              <c16:uniqueId val="{00000010-5342-4D5B-8004-709B5B9F7D94}"/>
            </c:ext>
          </c:extLst>
        </c:ser>
        <c:dLbls>
          <c:showLegendKey val="0"/>
          <c:showVal val="0"/>
          <c:showCatName val="0"/>
          <c:showSerName val="0"/>
          <c:showPercent val="0"/>
          <c:showBubbleSize val="0"/>
        </c:dLbls>
        <c:marker val="1"/>
        <c:smooth val="0"/>
        <c:axId val="119968512"/>
        <c:axId val="119966336"/>
      </c:lineChart>
      <c:catAx>
        <c:axId val="119950336"/>
        <c:scaling>
          <c:orientation val="minMax"/>
        </c:scaling>
        <c:delete val="1"/>
        <c:axPos val="l"/>
        <c:majorTickMark val="out"/>
        <c:minorTickMark val="none"/>
        <c:tickLblPos val="nextTo"/>
        <c:crossAx val="119964800"/>
        <c:crosses val="autoZero"/>
        <c:auto val="1"/>
        <c:lblAlgn val="ctr"/>
        <c:lblOffset val="100"/>
        <c:noMultiLvlLbl val="0"/>
      </c:catAx>
      <c:valAx>
        <c:axId val="119964800"/>
        <c:scaling>
          <c:orientation val="minMax"/>
        </c:scaling>
        <c:delete val="1"/>
        <c:axPos val="b"/>
        <c:majorGridlines/>
        <c:numFmt formatCode="0%" sourceLinked="1"/>
        <c:majorTickMark val="out"/>
        <c:minorTickMark val="none"/>
        <c:tickLblPos val="nextTo"/>
        <c:crossAx val="119950336"/>
        <c:crosses val="autoZero"/>
        <c:crossBetween val="between"/>
      </c:valAx>
      <c:valAx>
        <c:axId val="119966336"/>
        <c:scaling>
          <c:orientation val="minMax"/>
        </c:scaling>
        <c:delete val="0"/>
        <c:axPos val="l"/>
        <c:title>
          <c:tx>
            <c:rich>
              <a:bodyPr rot="-5400000" vert="horz"/>
              <a:lstStyle/>
              <a:p>
                <a:pPr>
                  <a:defRPr sz="800"/>
                </a:pPr>
                <a:r>
                  <a:rPr lang="en-US" sz="800"/>
                  <a:t>Mt CO</a:t>
                </a:r>
                <a:r>
                  <a:rPr lang="en-US" sz="800" baseline="-25000"/>
                  <a:t>2</a:t>
                </a:r>
                <a:r>
                  <a:rPr lang="en-US" sz="800"/>
                  <a:t>-eq.</a:t>
                </a:r>
              </a:p>
            </c:rich>
          </c:tx>
          <c:layout>
            <c:manualLayout>
              <c:xMode val="edge"/>
              <c:yMode val="edge"/>
              <c:x val="2.0098903200013903E-2"/>
              <c:y val="0.29734125363155506"/>
            </c:manualLayout>
          </c:layout>
          <c:overlay val="0"/>
        </c:title>
        <c:numFmt formatCode="#\ ##0" sourceLinked="0"/>
        <c:majorTickMark val="out"/>
        <c:minorTickMark val="none"/>
        <c:tickLblPos val="nextTo"/>
        <c:txPr>
          <a:bodyPr/>
          <a:lstStyle/>
          <a:p>
            <a:pPr>
              <a:defRPr sz="800"/>
            </a:pPr>
            <a:endParaRPr lang="en-US"/>
          </a:p>
        </c:txPr>
        <c:crossAx val="119968512"/>
        <c:crosses val="autoZero"/>
        <c:crossBetween val="between"/>
      </c:valAx>
      <c:catAx>
        <c:axId val="119968512"/>
        <c:scaling>
          <c:orientation val="minMax"/>
        </c:scaling>
        <c:delete val="0"/>
        <c:axPos val="b"/>
        <c:numFmt formatCode="General" sourceLinked="1"/>
        <c:majorTickMark val="none"/>
        <c:minorTickMark val="none"/>
        <c:tickLblPos val="nextTo"/>
        <c:txPr>
          <a:bodyPr rot="-3660000"/>
          <a:lstStyle/>
          <a:p>
            <a:pPr>
              <a:defRPr sz="800"/>
            </a:pPr>
            <a:endParaRPr lang="en-US"/>
          </a:p>
        </c:txPr>
        <c:crossAx val="119966336"/>
        <c:crosses val="autoZero"/>
        <c:auto val="1"/>
        <c:lblAlgn val="ctr"/>
        <c:lblOffset val="10"/>
        <c:noMultiLvlLbl val="0"/>
      </c:catAx>
    </c:plotArea>
    <c:legend>
      <c:legendPos val="b"/>
      <c:legendEntry>
        <c:idx val="0"/>
        <c:delete val="1"/>
      </c:legendEntry>
      <c:legendEntry>
        <c:idx val="1"/>
        <c:delete val="1"/>
      </c:legendEntry>
      <c:legendEntry>
        <c:idx val="2"/>
        <c:delete val="1"/>
      </c:legendEntry>
      <c:legendEntry>
        <c:idx val="3"/>
        <c:delete val="1"/>
      </c:legendEntry>
      <c:layout>
        <c:manualLayout>
          <c:xMode val="edge"/>
          <c:yMode val="edge"/>
          <c:x val="3.27461664129991E-2"/>
          <c:y val="0.75074354719113023"/>
          <c:w val="0.94378926144165753"/>
          <c:h val="0.20881842236258213"/>
        </c:manualLayout>
      </c:layout>
      <c:overlay val="0"/>
      <c:txPr>
        <a:bodyPr/>
        <a:lstStyle/>
        <a:p>
          <a:pPr>
            <a:defRPr sz="700"/>
          </a:pPr>
          <a:endParaRPr lang="en-US"/>
        </a:p>
      </c:txPr>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'Figure 5'!$H$3:$H$4</c:f>
              <c:strCache>
                <c:ptCount val="2"/>
                <c:pt idx="0">
                  <c:v>2030 projections</c:v>
                </c:pt>
                <c:pt idx="1">
                  <c:v>with existing measures</c:v>
                </c:pt>
              </c:strCache>
            </c:strRef>
          </c:tx>
          <c:spPr>
            <a:solidFill>
              <a:schemeClr val="tx2"/>
            </a:solidFill>
            <a:ln>
              <a:noFill/>
            </a:ln>
            <a:effectLst/>
          </c:spPr>
          <c:invertIfNegative val="0"/>
          <c:dLbls>
            <c:dLbl>
              <c:idx val="3"/>
              <c:layout>
                <c:manualLayout>
                  <c:x val="-9.0205905715415207E-17"/>
                  <c:y val="5.8911728737620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24E-42C0-A173-AF4D6FB22218}"/>
                </c:ext>
              </c:extLst>
            </c:dLbl>
            <c:dLbl>
              <c:idx val="27"/>
              <c:layout>
                <c:manualLayout>
                  <c:x val="2.4601894849564255E-3"/>
                  <c:y val="3.92744858250804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24E-42C0-A173-AF4D6FB222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'Figure 5'!$G$5:$G$32</c:f>
              <c:strCache>
                <c:ptCount val="28"/>
                <c:pt idx="0">
                  <c:v>Malta</c:v>
                </c:pt>
                <c:pt idx="1">
                  <c:v>Luxembourg</c:v>
                </c:pt>
                <c:pt idx="2">
                  <c:v>Estonia</c:v>
                </c:pt>
                <c:pt idx="3">
                  <c:v>Cyprus</c:v>
                </c:pt>
                <c:pt idx="4">
                  <c:v>Ireland</c:v>
                </c:pt>
                <c:pt idx="5">
                  <c:v>Belgium</c:v>
                </c:pt>
                <c:pt idx="6">
                  <c:v>Poland</c:v>
                </c:pt>
                <c:pt idx="7">
                  <c:v>Austria</c:v>
                </c:pt>
                <c:pt idx="8">
                  <c:v>Denmark</c:v>
                </c:pt>
                <c:pt idx="9">
                  <c:v>Germany</c:v>
                </c:pt>
                <c:pt idx="10">
                  <c:v>Finland</c:v>
                </c:pt>
                <c:pt idx="11">
                  <c:v>Lithuania</c:v>
                </c:pt>
                <c:pt idx="12">
                  <c:v>France</c:v>
                </c:pt>
                <c:pt idx="13">
                  <c:v>Romania</c:v>
                </c:pt>
                <c:pt idx="14">
                  <c:v>Spain</c:v>
                </c:pt>
                <c:pt idx="15">
                  <c:v>Bulgaria</c:v>
                </c:pt>
                <c:pt idx="16">
                  <c:v>Italy</c:v>
                </c:pt>
                <c:pt idx="17">
                  <c:v>Slovakia</c:v>
                </c:pt>
                <c:pt idx="18">
                  <c:v>United Kingdom</c:v>
                </c:pt>
                <c:pt idx="19">
                  <c:v>Netherlands</c:v>
                </c:pt>
                <c:pt idx="20">
                  <c:v>Hungary</c:v>
                </c:pt>
                <c:pt idx="21">
                  <c:v>Latvia</c:v>
                </c:pt>
                <c:pt idx="22">
                  <c:v>Czechia</c:v>
                </c:pt>
                <c:pt idx="23">
                  <c:v>Croatia</c:v>
                </c:pt>
                <c:pt idx="24">
                  <c:v>Slovenia</c:v>
                </c:pt>
                <c:pt idx="25">
                  <c:v>Sweden</c:v>
                </c:pt>
                <c:pt idx="26">
                  <c:v>Greece</c:v>
                </c:pt>
                <c:pt idx="27">
                  <c:v>Portugal</c:v>
                </c:pt>
              </c:strCache>
            </c:strRef>
          </c:cat>
          <c:val>
            <c:numRef>
              <c:f>'Figure 5'!$H$5:$H$32</c:f>
              <c:numCache>
                <c:formatCode>0%</c:formatCode>
                <c:ptCount val="28"/>
                <c:pt idx="0">
                  <c:v>0.61660139518860912</c:v>
                </c:pt>
                <c:pt idx="1">
                  <c:v>0.2526423246046845</c:v>
                </c:pt>
                <c:pt idx="2">
                  <c:v>0.24771951004417925</c:v>
                </c:pt>
                <c:pt idx="3">
                  <c:v>0.24750355286093551</c:v>
                </c:pt>
                <c:pt idx="4">
                  <c:v>0.23467597772408672</c:v>
                </c:pt>
                <c:pt idx="5">
                  <c:v>0.21731410700292342</c:v>
                </c:pt>
                <c:pt idx="6">
                  <c:v>0.20900828840034719</c:v>
                </c:pt>
                <c:pt idx="7">
                  <c:v>0.20178033763702719</c:v>
                </c:pt>
                <c:pt idx="8">
                  <c:v>0.16230349371151453</c:v>
                </c:pt>
                <c:pt idx="9">
                  <c:v>0.16183676020706328</c:v>
                </c:pt>
                <c:pt idx="10">
                  <c:v>0.1547266624943624</c:v>
                </c:pt>
                <c:pt idx="11">
                  <c:v>0.1401484886958119</c:v>
                </c:pt>
                <c:pt idx="12">
                  <c:v>0.13307699178831744</c:v>
                </c:pt>
                <c:pt idx="13">
                  <c:v>0.12485799739408308</c:v>
                </c:pt>
                <c:pt idx="14">
                  <c:v>9.675496179117804E-2</c:v>
                </c:pt>
                <c:pt idx="15">
                  <c:v>8.0507763748084216E-2</c:v>
                </c:pt>
                <c:pt idx="16">
                  <c:v>6.0785587743923786E-2</c:v>
                </c:pt>
                <c:pt idx="17">
                  <c:v>5.3560474212683395E-2</c:v>
                </c:pt>
                <c:pt idx="18">
                  <c:v>4.8981878801527712E-2</c:v>
                </c:pt>
                <c:pt idx="19">
                  <c:v>3.5536243738765294E-2</c:v>
                </c:pt>
                <c:pt idx="20">
                  <c:v>3.0443666815119064E-2</c:v>
                </c:pt>
                <c:pt idx="21">
                  <c:v>2.0333818772040491E-2</c:v>
                </c:pt>
                <c:pt idx="22">
                  <c:v>1.5202713824690184E-2</c:v>
                </c:pt>
                <c:pt idx="23">
                  <c:v>1.1652650944279974E-2</c:v>
                </c:pt>
                <c:pt idx="24">
                  <c:v>1.6056481098876974E-3</c:v>
                </c:pt>
                <c:pt idx="25">
                  <c:v>-1.2923483217543996E-3</c:v>
                </c:pt>
                <c:pt idx="26">
                  <c:v>-9.10753682297262E-2</c:v>
                </c:pt>
                <c:pt idx="27">
                  <c:v>-0.2623903543950159</c:v>
                </c:pt>
              </c:numCache>
            </c:numRef>
          </c:val>
          <c:extLst>
            <c:ext xmlns:c16="http://schemas.microsoft.com/office/drawing/2014/chart" uri="{C3380CC4-5D6E-409C-BE32-E72D297353CC}">
              <c16:uniqueId val="{00000002-A24E-42C0-A173-AF4D6FB22218}"/>
            </c:ext>
          </c:extLst>
        </c:ser>
        <c:ser>
          <c:idx val="1"/>
          <c:order val="1"/>
          <c:tx>
            <c:strRef>
              <c:f>'Figure 5'!$I$3:$I$4</c:f>
              <c:strCache>
                <c:ptCount val="2"/>
                <c:pt idx="0">
                  <c:v>2030 projections</c:v>
                </c:pt>
                <c:pt idx="1">
                  <c:v>with additional measures</c:v>
                </c:pt>
              </c:strCache>
            </c:strRef>
          </c:tx>
          <c:spPr>
            <a:solidFill>
              <a:schemeClr val="accent6">
                <a:lumMod val="60000"/>
                <a:lumOff val="40000"/>
              </a:schemeClr>
            </a:solidFill>
            <a:ln>
              <a:noFill/>
            </a:ln>
            <a:effectLst/>
          </c:spPr>
          <c:invertIfNegative val="0"/>
          <c:dLbls>
            <c:dLbl>
              <c:idx val="21"/>
              <c:layout>
                <c:manualLayout>
                  <c:x val="0"/>
                  <c:y val="-3.92744858250804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24E-42C0-A173-AF4D6FB22218}"/>
                </c:ext>
              </c:extLst>
            </c:dLbl>
            <c:dLbl>
              <c:idx val="22"/>
              <c:layout>
                <c:manualLayout>
                  <c:x val="-2.4601894849564255E-3"/>
                  <c:y val="-5.8911728737620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24E-42C0-A173-AF4D6FB222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'Figure 5'!$G$5:$G$32</c:f>
              <c:strCache>
                <c:ptCount val="28"/>
                <c:pt idx="0">
                  <c:v>Malta</c:v>
                </c:pt>
                <c:pt idx="1">
                  <c:v>Luxembourg</c:v>
                </c:pt>
                <c:pt idx="2">
                  <c:v>Estonia</c:v>
                </c:pt>
                <c:pt idx="3">
                  <c:v>Cyprus</c:v>
                </c:pt>
                <c:pt idx="4">
                  <c:v>Ireland</c:v>
                </c:pt>
                <c:pt idx="5">
                  <c:v>Belgium</c:v>
                </c:pt>
                <c:pt idx="6">
                  <c:v>Poland</c:v>
                </c:pt>
                <c:pt idx="7">
                  <c:v>Austria</c:v>
                </c:pt>
                <c:pt idx="8">
                  <c:v>Denmark</c:v>
                </c:pt>
                <c:pt idx="9">
                  <c:v>Germany</c:v>
                </c:pt>
                <c:pt idx="10">
                  <c:v>Finland</c:v>
                </c:pt>
                <c:pt idx="11">
                  <c:v>Lithuania</c:v>
                </c:pt>
                <c:pt idx="12">
                  <c:v>France</c:v>
                </c:pt>
                <c:pt idx="13">
                  <c:v>Romania</c:v>
                </c:pt>
                <c:pt idx="14">
                  <c:v>Spain</c:v>
                </c:pt>
                <c:pt idx="15">
                  <c:v>Bulgaria</c:v>
                </c:pt>
                <c:pt idx="16">
                  <c:v>Italy</c:v>
                </c:pt>
                <c:pt idx="17">
                  <c:v>Slovakia</c:v>
                </c:pt>
                <c:pt idx="18">
                  <c:v>United Kingdom</c:v>
                </c:pt>
                <c:pt idx="19">
                  <c:v>Netherlands</c:v>
                </c:pt>
                <c:pt idx="20">
                  <c:v>Hungary</c:v>
                </c:pt>
                <c:pt idx="21">
                  <c:v>Latvia</c:v>
                </c:pt>
                <c:pt idx="22">
                  <c:v>Czechia</c:v>
                </c:pt>
                <c:pt idx="23">
                  <c:v>Croatia</c:v>
                </c:pt>
                <c:pt idx="24">
                  <c:v>Slovenia</c:v>
                </c:pt>
                <c:pt idx="25">
                  <c:v>Sweden</c:v>
                </c:pt>
                <c:pt idx="26">
                  <c:v>Greece</c:v>
                </c:pt>
                <c:pt idx="27">
                  <c:v>Portugal</c:v>
                </c:pt>
              </c:strCache>
            </c:strRef>
          </c:cat>
          <c:val>
            <c:numRef>
              <c:f>'Figure 5'!$I$5:$I$32</c:f>
              <c:numCache>
                <c:formatCode>General</c:formatCode>
                <c:ptCount val="28"/>
                <c:pt idx="2" formatCode="0%">
                  <c:v>8.7855861997226836E-2</c:v>
                </c:pt>
                <c:pt idx="3" formatCode="0%">
                  <c:v>0.22443131164042252</c:v>
                </c:pt>
                <c:pt idx="4" formatCode="0%">
                  <c:v>0.17277131472242108</c:v>
                </c:pt>
                <c:pt idx="5" formatCode="0%">
                  <c:v>-1.1964641313610302E-2</c:v>
                </c:pt>
                <c:pt idx="10" formatCode="0%">
                  <c:v>1.8701456613794409E-2</c:v>
                </c:pt>
                <c:pt idx="11" formatCode="0%">
                  <c:v>8.2842060315514915E-2</c:v>
                </c:pt>
                <c:pt idx="12" formatCode="0%">
                  <c:v>-4.5802987906069403E-2</c:v>
                </c:pt>
                <c:pt idx="13" formatCode="0%">
                  <c:v>7.8796985186400534E-2</c:v>
                </c:pt>
                <c:pt idx="14" formatCode="0%">
                  <c:v>-0.12684595313404456</c:v>
                </c:pt>
                <c:pt idx="16" formatCode="0%">
                  <c:v>-2.5669592371856786E-2</c:v>
                </c:pt>
                <c:pt idx="17" formatCode="0%">
                  <c:v>-8.8083593564664442E-2</c:v>
                </c:pt>
                <c:pt idx="20" formatCode="0%">
                  <c:v>-8.9170781206557692E-2</c:v>
                </c:pt>
                <c:pt idx="21" formatCode="0%">
                  <c:v>2.6020978568531139E-3</c:v>
                </c:pt>
                <c:pt idx="22" formatCode="0%">
                  <c:v>4.8240596867106245E-3</c:v>
                </c:pt>
                <c:pt idx="23" formatCode="0%">
                  <c:v>-0.11594091103213083</c:v>
                </c:pt>
                <c:pt idx="26" formatCode="0%">
                  <c:v>-0.12866970402495329</c:v>
                </c:pt>
                <c:pt idx="27" formatCode="0%">
                  <c:v>-0.29625399622473236</c:v>
                </c:pt>
              </c:numCache>
            </c:numRef>
          </c:val>
          <c:extLst>
            <c:ext xmlns:c16="http://schemas.microsoft.com/office/drawing/2014/chart" uri="{C3380CC4-5D6E-409C-BE32-E72D297353CC}">
              <c16:uniqueId val="{00000005-A24E-42C0-A173-AF4D6FB22218}"/>
            </c:ext>
          </c:extLst>
        </c:ser>
        <c:dLbls>
          <c:showLegendKey val="0"/>
          <c:showVal val="0"/>
          <c:showCatName val="0"/>
          <c:showSerName val="0"/>
          <c:showPercent val="0"/>
          <c:showBubbleSize val="0"/>
        </c:dLbls>
        <c:gapWidth val="108"/>
        <c:axId val="109588696"/>
        <c:axId val="109585744"/>
      </c:barChart>
      <c:catAx>
        <c:axId val="109588696"/>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585744"/>
        <c:crosses val="autoZero"/>
        <c:auto val="1"/>
        <c:lblAlgn val="ctr"/>
        <c:lblOffset val="100"/>
        <c:noMultiLvlLbl val="0"/>
      </c:catAx>
      <c:valAx>
        <c:axId val="1095857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5886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 4'!$B$54</c:f>
              <c:strCache>
                <c:ptCount val="1"/>
                <c:pt idx="0">
                  <c:v>Emissions</c:v>
                </c:pt>
              </c:strCache>
            </c:strRef>
          </c:tx>
          <c:spPr>
            <a:solidFill>
              <a:schemeClr val="accent1">
                <a:lumMod val="75000"/>
              </a:schemeClr>
            </a:solidFill>
            <a:ln>
              <a:noFill/>
            </a:ln>
            <a:effectLst/>
          </c:spPr>
          <c:invertIfNegative val="0"/>
          <c:cat>
            <c:numRef>
              <c:f>'figure 4'!$C$53:$AB$53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4'!$C$54:$AB$54</c:f>
              <c:numCache>
                <c:formatCode>#,##0</c:formatCode>
                <c:ptCount val="26"/>
                <c:pt idx="0">
                  <c:v>2855.8416881812068</c:v>
                </c:pt>
                <c:pt idx="1">
                  <c:v>2837.7960395987761</c:v>
                </c:pt>
                <c:pt idx="2">
                  <c:v>2768.9642388757807</c:v>
                </c:pt>
                <c:pt idx="3">
                  <c:v>2793.0698783191665</c:v>
                </c:pt>
                <c:pt idx="4">
                  <c:v>2676.781535646574</c:v>
                </c:pt>
                <c:pt idx="5">
                  <c:v>2735.3926833746059</c:v>
                </c:pt>
                <c:pt idx="6">
                  <c:v>2618.074927137046</c:v>
                </c:pt>
                <c:pt idx="7">
                  <c:v>2597.4794322115786</c:v>
                </c:pt>
                <c:pt idx="8">
                  <c:v>2567.1994271061121</c:v>
                </c:pt>
                <c:pt idx="9">
                  <c:v>2478.1903896175181</c:v>
                </c:pt>
                <c:pt idx="10">
                  <c:v>2519.2345427463179</c:v>
                </c:pt>
                <c:pt idx="11">
                  <c:v>2554.9861384853475</c:v>
                </c:pt>
                <c:pt idx="12">
                  <c:v>2584.2477589429473</c:v>
                </c:pt>
                <c:pt idx="13">
                  <c:v>2562.0806556334687</c:v>
                </c:pt>
              </c:numCache>
            </c:numRef>
          </c:val>
          <c:extLst>
            <c:ext xmlns:c16="http://schemas.microsoft.com/office/drawing/2014/chart" uri="{C3380CC4-5D6E-409C-BE32-E72D297353CC}">
              <c16:uniqueId val="{00000000-C54B-4EB0-8FF6-9E8E58FA4F49}"/>
            </c:ext>
          </c:extLst>
        </c:ser>
        <c:ser>
          <c:idx val="1"/>
          <c:order val="1"/>
          <c:tx>
            <c:strRef>
              <c:f>'figure 4'!$B$55</c:f>
              <c:strCache>
                <c:ptCount val="1"/>
                <c:pt idx="0">
                  <c:v>Projections with existing measures</c:v>
                </c:pt>
              </c:strCache>
            </c:strRef>
          </c:tx>
          <c:spPr>
            <a:solidFill>
              <a:schemeClr val="tx2"/>
            </a:solidFill>
            <a:ln>
              <a:noFill/>
            </a:ln>
            <a:effectLst/>
          </c:spPr>
          <c:invertIfNegative val="0"/>
          <c:cat>
            <c:numRef>
              <c:f>'figure 4'!$C$53:$AB$53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4'!$C$55:$AB$55</c:f>
              <c:numCache>
                <c:formatCode>General</c:formatCode>
                <c:ptCount val="26"/>
                <c:pt idx="14" formatCode="#,##0">
                  <c:v>2512.4193318421662</c:v>
                </c:pt>
                <c:pt idx="15" formatCode="#,##0">
                  <c:v>2499.9642988064866</c:v>
                </c:pt>
                <c:pt idx="16" formatCode="#,##0">
                  <c:v>2480.4567061505863</c:v>
                </c:pt>
                <c:pt idx="17" formatCode="#,##0">
                  <c:v>2460.929895252807</c:v>
                </c:pt>
                <c:pt idx="18" formatCode="#,##0">
                  <c:v>2441.7890219920305</c:v>
                </c:pt>
                <c:pt idx="19" formatCode="#,##0">
                  <c:v>2422.2453712189217</c:v>
                </c:pt>
                <c:pt idx="20" formatCode="#,##0">
                  <c:v>2402.827741430458</c:v>
                </c:pt>
                <c:pt idx="21" formatCode="#,##0">
                  <c:v>2384.2390406018098</c:v>
                </c:pt>
                <c:pt idx="22" formatCode="#,##0">
                  <c:v>2365.7006136641685</c:v>
                </c:pt>
                <c:pt idx="23" formatCode="#,##0">
                  <c:v>2347.3608880824831</c:v>
                </c:pt>
                <c:pt idx="24" formatCode="#,##0">
                  <c:v>2329.3374797126776</c:v>
                </c:pt>
                <c:pt idx="25" formatCode="#,##0">
                  <c:v>2311.1131027734305</c:v>
                </c:pt>
              </c:numCache>
            </c:numRef>
          </c:val>
          <c:extLst>
            <c:ext xmlns:c16="http://schemas.microsoft.com/office/drawing/2014/chart" uri="{C3380CC4-5D6E-409C-BE32-E72D297353CC}">
              <c16:uniqueId val="{00000001-C54B-4EB0-8FF6-9E8E58FA4F49}"/>
            </c:ext>
          </c:extLst>
        </c:ser>
        <c:ser>
          <c:idx val="2"/>
          <c:order val="2"/>
          <c:tx>
            <c:strRef>
              <c:f>'figure 4'!$B$56</c:f>
              <c:strCache>
                <c:ptCount val="1"/>
                <c:pt idx="0">
                  <c:v>Projections with additional measures</c:v>
                </c:pt>
              </c:strCache>
            </c:strRef>
          </c:tx>
          <c:spPr>
            <a:solidFill>
              <a:schemeClr val="accent5">
                <a:lumMod val="40000"/>
                <a:lumOff val="60000"/>
              </a:schemeClr>
            </a:solidFill>
            <a:ln>
              <a:noFill/>
            </a:ln>
            <a:effectLst/>
          </c:spPr>
          <c:invertIfNegative val="0"/>
          <c:cat>
            <c:numRef>
              <c:f>'figure 4'!$C$53:$AB$53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4'!$C$56:$AB$56</c:f>
              <c:numCache>
                <c:formatCode>General</c:formatCode>
                <c:ptCount val="26"/>
                <c:pt idx="14" formatCode="#,##0">
                  <c:v>2482.3666006133972</c:v>
                </c:pt>
                <c:pt idx="15" formatCode="#,##0">
                  <c:v>2460.0514068200928</c:v>
                </c:pt>
                <c:pt idx="16" formatCode="#,##0">
                  <c:v>2426.029800935567</c:v>
                </c:pt>
                <c:pt idx="17" formatCode="#,##0">
                  <c:v>2392.4500184166968</c:v>
                </c:pt>
                <c:pt idx="18" formatCode="#,##0">
                  <c:v>2359.1948333529058</c:v>
                </c:pt>
                <c:pt idx="19" formatCode="#,##0">
                  <c:v>2325.1167646096674</c:v>
                </c:pt>
                <c:pt idx="20" formatCode="#,##0">
                  <c:v>2290.0956734613242</c:v>
                </c:pt>
                <c:pt idx="21" formatCode="#,##0">
                  <c:v>2254.1552569532423</c:v>
                </c:pt>
                <c:pt idx="22" formatCode="#,##0">
                  <c:v>2218.118989642654</c:v>
                </c:pt>
                <c:pt idx="23" formatCode="#,##0">
                  <c:v>2182.3218536669524</c:v>
                </c:pt>
                <c:pt idx="24" formatCode="#,##0">
                  <c:v>2146.8591123046162</c:v>
                </c:pt>
                <c:pt idx="25" formatCode="#,##0">
                  <c:v>2111.4816252634105</c:v>
                </c:pt>
              </c:numCache>
            </c:numRef>
          </c:val>
          <c:extLst>
            <c:ext xmlns:c16="http://schemas.microsoft.com/office/drawing/2014/chart" uri="{C3380CC4-5D6E-409C-BE32-E72D297353CC}">
              <c16:uniqueId val="{00000002-C54B-4EB0-8FF6-9E8E58FA4F49}"/>
            </c:ext>
          </c:extLst>
        </c:ser>
        <c:dLbls>
          <c:showLegendKey val="0"/>
          <c:showVal val="0"/>
          <c:showCatName val="0"/>
          <c:showSerName val="0"/>
          <c:showPercent val="0"/>
          <c:showBubbleSize val="0"/>
        </c:dLbls>
        <c:gapWidth val="30"/>
        <c:overlap val="-1"/>
        <c:axId val="699253632"/>
        <c:axId val="699253960"/>
      </c:barChart>
      <c:lineChart>
        <c:grouping val="standard"/>
        <c:varyColors val="0"/>
        <c:ser>
          <c:idx val="3"/>
          <c:order val="3"/>
          <c:tx>
            <c:strRef>
              <c:f>'figure 4'!$B$57</c:f>
              <c:strCache>
                <c:ptCount val="1"/>
                <c:pt idx="0">
                  <c:v>Emissions limit under the ESD</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'figure 4'!$C$53:$AB$53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4'!$C$57:$AB$57</c:f>
              <c:numCache>
                <c:formatCode>General</c:formatCode>
                <c:ptCount val="26"/>
                <c:pt idx="8" formatCode="#,##0">
                  <c:v>2790.6340449999998</c:v>
                </c:pt>
                <c:pt idx="9" formatCode="#,##0">
                  <c:v>2770.063212</c:v>
                </c:pt>
                <c:pt idx="10" formatCode="#,##0">
                  <c:v>2749.0800239999999</c:v>
                </c:pt>
                <c:pt idx="11" formatCode="#,##0">
                  <c:v>2728.0968339999999</c:v>
                </c:pt>
                <c:pt idx="12" formatCode="#,##0">
                  <c:v>2679.1795844233766</c:v>
                </c:pt>
                <c:pt idx="13" formatCode="#,##0">
                  <c:v>2658.8422692455852</c:v>
                </c:pt>
                <c:pt idx="14" formatCode="#,##0">
                  <c:v>2638.5049560677926</c:v>
                </c:pt>
                <c:pt idx="15" formatCode="#,##0">
                  <c:v>2618.1676408899998</c:v>
                </c:pt>
              </c:numCache>
            </c:numRef>
          </c:val>
          <c:smooth val="0"/>
          <c:extLst>
            <c:ext xmlns:c16="http://schemas.microsoft.com/office/drawing/2014/chart" uri="{C3380CC4-5D6E-409C-BE32-E72D297353CC}">
              <c16:uniqueId val="{00000003-C54B-4EB0-8FF6-9E8E58FA4F49}"/>
            </c:ext>
          </c:extLst>
        </c:ser>
        <c:ser>
          <c:idx val="4"/>
          <c:order val="4"/>
          <c:tx>
            <c:strRef>
              <c:f>'figure 4'!$B$58</c:f>
              <c:strCache>
                <c:ptCount val="1"/>
                <c:pt idx="0">
                  <c:v>Estimated emissions limit under the ESR</c:v>
                </c:pt>
              </c:strCache>
            </c:strRef>
          </c:tx>
          <c:spPr>
            <a:ln w="28575" cap="rnd">
              <a:solidFill>
                <a:srgbClr val="C00000"/>
              </a:solidFill>
              <a:prstDash val="sysDot"/>
              <a:round/>
            </a:ln>
            <a:effectLst/>
          </c:spPr>
          <c:marker>
            <c:symbol val="circle"/>
            <c:size val="5"/>
            <c:spPr>
              <a:solidFill>
                <a:srgbClr val="C00000"/>
              </a:solidFill>
              <a:ln w="9525">
                <a:solidFill>
                  <a:srgbClr val="C00000"/>
                </a:solidFill>
              </a:ln>
              <a:effectLst/>
            </c:spPr>
          </c:marker>
          <c:cat>
            <c:numRef>
              <c:f>'figure 4'!$C$53:$AB$53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4'!$C$58:$AB$58</c:f>
              <c:numCache>
                <c:formatCode>General</c:formatCode>
                <c:ptCount val="26"/>
                <c:pt idx="16" formatCode="#,##0">
                  <c:v>2495.5902179528721</c:v>
                </c:pt>
                <c:pt idx="17" formatCode="#,##0">
                  <c:v>2406.1404567944287</c:v>
                </c:pt>
                <c:pt idx="18" formatCode="#,##0">
                  <c:v>2357.7566056359851</c:v>
                </c:pt>
                <c:pt idx="19" formatCode="#,##0">
                  <c:v>2309.372754477542</c:v>
                </c:pt>
                <c:pt idx="20" formatCode="#,##0">
                  <c:v>2260.9889033190993</c:v>
                </c:pt>
                <c:pt idx="21" formatCode="#,##0">
                  <c:v>2212.6050521606553</c:v>
                </c:pt>
                <c:pt idx="22" formatCode="#,##0">
                  <c:v>2164.2212010022122</c:v>
                </c:pt>
                <c:pt idx="23" formatCode="#,##0">
                  <c:v>2115.8373498437691</c:v>
                </c:pt>
                <c:pt idx="24" formatCode="#,##0">
                  <c:v>2067.4534986853264</c:v>
                </c:pt>
                <c:pt idx="25" formatCode="#,##0">
                  <c:v>2019.0696475268835</c:v>
                </c:pt>
              </c:numCache>
            </c:numRef>
          </c:val>
          <c:smooth val="0"/>
          <c:extLst>
            <c:ext xmlns:c16="http://schemas.microsoft.com/office/drawing/2014/chart" uri="{C3380CC4-5D6E-409C-BE32-E72D297353CC}">
              <c16:uniqueId val="{00000004-C54B-4EB0-8FF6-9E8E58FA4F49}"/>
            </c:ext>
          </c:extLst>
        </c:ser>
        <c:ser>
          <c:idx val="5"/>
          <c:order val="5"/>
          <c:tx>
            <c:strRef>
              <c:f>'figure 4'!$B$59</c:f>
              <c:strCache>
                <c:ptCount val="1"/>
                <c:pt idx="0">
                  <c:v>Cumulative surplus of AEAs</c:v>
                </c:pt>
              </c:strCache>
            </c:strRef>
          </c:tx>
          <c:spPr>
            <a:ln w="28575" cap="rnd">
              <a:solidFill>
                <a:schemeClr val="tx1">
                  <a:lumMod val="95000"/>
                  <a:lumOff val="5000"/>
                </a:schemeClr>
              </a:solidFill>
              <a:round/>
            </a:ln>
            <a:effectLst/>
          </c:spPr>
          <c:marker>
            <c:symbol val="circle"/>
            <c:size val="5"/>
            <c:spPr>
              <a:solidFill>
                <a:schemeClr val="tx1">
                  <a:lumMod val="95000"/>
                  <a:lumOff val="5000"/>
                </a:schemeClr>
              </a:solidFill>
              <a:ln w="9525">
                <a:solidFill>
                  <a:schemeClr val="tx1">
                    <a:lumMod val="95000"/>
                    <a:lumOff val="5000"/>
                  </a:schemeClr>
                </a:solidFill>
              </a:ln>
              <a:effectLst/>
            </c:spPr>
          </c:marker>
          <c:cat>
            <c:numRef>
              <c:f>'figure 4'!$C$53:$AB$53</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'figure 4'!$C$59:$AB$59</c:f>
              <c:numCache>
                <c:formatCode>General</c:formatCode>
                <c:ptCount val="26"/>
                <c:pt idx="8" formatCode="#,##0">
                  <c:v>223.43461789388766</c:v>
                </c:pt>
                <c:pt idx="9" formatCode="#,##0">
                  <c:v>515.30744027636956</c:v>
                </c:pt>
                <c:pt idx="10" formatCode="#,##0">
                  <c:v>745.15292153005157</c:v>
                </c:pt>
                <c:pt idx="11" formatCode="#,##0">
                  <c:v>918.26361704470401</c:v>
                </c:pt>
                <c:pt idx="12" formatCode="#,##0">
                  <c:v>1013.1954425251333</c:v>
                </c:pt>
                <c:pt idx="13" formatCode="#,##0">
                  <c:v>1109.9570561372498</c:v>
                </c:pt>
              </c:numCache>
            </c:numRef>
          </c:val>
          <c:smooth val="0"/>
          <c:extLst>
            <c:ext xmlns:c16="http://schemas.microsoft.com/office/drawing/2014/chart" uri="{C3380CC4-5D6E-409C-BE32-E72D297353CC}">
              <c16:uniqueId val="{00000005-C54B-4EB0-8FF6-9E8E58FA4F49}"/>
            </c:ext>
          </c:extLst>
        </c:ser>
        <c:dLbls>
          <c:showLegendKey val="0"/>
          <c:showVal val="0"/>
          <c:showCatName val="0"/>
          <c:showSerName val="0"/>
          <c:showPercent val="0"/>
          <c:showBubbleSize val="0"/>
        </c:dLbls>
        <c:marker val="1"/>
        <c:smooth val="0"/>
        <c:axId val="699253632"/>
        <c:axId val="699253960"/>
      </c:lineChart>
      <c:catAx>
        <c:axId val="69925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253960"/>
        <c:crosses val="autoZero"/>
        <c:auto val="1"/>
        <c:lblAlgn val="ctr"/>
        <c:lblOffset val="100"/>
        <c:noMultiLvlLbl val="0"/>
      </c:catAx>
      <c:valAx>
        <c:axId val="699253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a:t>
                </a:r>
                <a:r>
                  <a:rPr lang="en-GB" baseline="0"/>
                  <a:t>t CO2-eq.</a:t>
                </a:r>
              </a:p>
            </c:rich>
          </c:tx>
          <c:layout>
            <c:manualLayout>
              <c:xMode val="edge"/>
              <c:yMode val="edge"/>
              <c:x val="2.5233563999778191E-2"/>
              <c:y val="0.289857438728176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9253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'Figure 7'!$T$3</c:f>
              <c:strCache>
                <c:ptCount val="1"/>
                <c:pt idx="0">
                  <c:v>2010-2017 GHG intensity reduction (excluding indirect land use changes)</c:v>
                </c:pt>
              </c:strCache>
            </c:strRef>
          </c:tx>
          <c:spPr>
            <a:solidFill>
              <a:schemeClr val="accent5"/>
            </a:solidFill>
            <a:ln>
              <a:solidFill>
                <a:schemeClr val="accent5"/>
              </a:solidFill>
            </a:ln>
            <a:effectLst/>
          </c:spPr>
          <c:invertIfNegative val="0"/>
          <c:cat>
            <c:strRef>
              <c:f>'Figure 7'!$S$4:$S$26</c:f>
              <c:strCache>
                <c:ptCount val="23"/>
                <c:pt idx="0">
                  <c:v>Austria</c:v>
                </c:pt>
                <c:pt idx="1">
                  <c:v>Belgium</c:v>
                </c:pt>
                <c:pt idx="2">
                  <c:v>Bulgaria</c:v>
                </c:pt>
                <c:pt idx="3">
                  <c:v>Croatia</c:v>
                </c:pt>
                <c:pt idx="4">
                  <c:v>Cyprus</c:v>
                </c:pt>
                <c:pt idx="5">
                  <c:v>Czechia</c:v>
                </c:pt>
                <c:pt idx="6">
                  <c:v>Denmark</c:v>
                </c:pt>
                <c:pt idx="7">
                  <c:v>Finland</c:v>
                </c:pt>
                <c:pt idx="8">
                  <c:v>France</c:v>
                </c:pt>
                <c:pt idx="9">
                  <c:v>Germany</c:v>
                </c:pt>
                <c:pt idx="10">
                  <c:v>Greece</c:v>
                </c:pt>
                <c:pt idx="11">
                  <c:v>Hungary</c:v>
                </c:pt>
                <c:pt idx="12">
                  <c:v>Ireland</c:v>
                </c:pt>
                <c:pt idx="13">
                  <c:v>Italy</c:v>
                </c:pt>
                <c:pt idx="14">
                  <c:v>Latvia</c:v>
                </c:pt>
                <c:pt idx="15">
                  <c:v>Luxembourg</c:v>
                </c:pt>
                <c:pt idx="16">
                  <c:v>Malta</c:v>
                </c:pt>
                <c:pt idx="17">
                  <c:v>Netherlands</c:v>
                </c:pt>
                <c:pt idx="18">
                  <c:v>Slovakia</c:v>
                </c:pt>
                <c:pt idx="19">
                  <c:v>Slovenia</c:v>
                </c:pt>
                <c:pt idx="20">
                  <c:v>Sweden</c:v>
                </c:pt>
                <c:pt idx="21">
                  <c:v>UK</c:v>
                </c:pt>
                <c:pt idx="22">
                  <c:v>EU (22 MS)</c:v>
                </c:pt>
              </c:strCache>
            </c:strRef>
          </c:cat>
          <c:val>
            <c:numRef>
              <c:f>'[11]2020_Target'!$P$14:$P$37</c:f>
              <c:numCache>
                <c:formatCode>General</c:formatCode>
                <c:ptCount val="24"/>
                <c:pt idx="0">
                  <c:v>3.2000000000000001E-2</c:v>
                </c:pt>
                <c:pt idx="1">
                  <c:v>2.8000000000000001E-2</c:v>
                </c:pt>
                <c:pt idx="2">
                  <c:v>0.02</c:v>
                </c:pt>
                <c:pt idx="3">
                  <c:v>-1E-3</c:v>
                </c:pt>
                <c:pt idx="4">
                  <c:v>-2E-3</c:v>
                </c:pt>
                <c:pt idx="5">
                  <c:v>3.5999999999999997E-2</c:v>
                </c:pt>
                <c:pt idx="6">
                  <c:v>2.1999999999999999E-2</c:v>
                </c:pt>
                <c:pt idx="7">
                  <c:v>5.5E-2</c:v>
                </c:pt>
                <c:pt idx="8">
                  <c:v>4.4999999999999998E-2</c:v>
                </c:pt>
                <c:pt idx="9">
                  <c:v>3.6999999999999998E-2</c:v>
                </c:pt>
                <c:pt idx="10">
                  <c:v>3.2000000000000001E-2</c:v>
                </c:pt>
                <c:pt idx="11">
                  <c:v>2.5999999999999999E-2</c:v>
                </c:pt>
                <c:pt idx="12">
                  <c:v>2.9000000000000001E-2</c:v>
                </c:pt>
                <c:pt idx="13">
                  <c:v>3.1E-2</c:v>
                </c:pt>
                <c:pt idx="14">
                  <c:v>3.0000000000000001E-3</c:v>
                </c:pt>
                <c:pt idx="15">
                  <c:v>2.9000000000000001E-2</c:v>
                </c:pt>
                <c:pt idx="16">
                  <c:v>1.95E-2</c:v>
                </c:pt>
                <c:pt idx="17">
                  <c:v>0.03</c:v>
                </c:pt>
                <c:pt idx="18">
                  <c:v>0.04</c:v>
                </c:pt>
                <c:pt idx="19">
                  <c:v>3.0000000000000001E-3</c:v>
                </c:pt>
                <c:pt idx="20">
                  <c:v>0.17399999999999999</c:v>
                </c:pt>
                <c:pt idx="21">
                  <c:v>1.4E-2</c:v>
                </c:pt>
                <c:pt idx="22">
                  <c:v>3.4000000000000002E-2</c:v>
                </c:pt>
              </c:numCache>
            </c:numRef>
          </c:val>
          <c:extLst>
            <c:ext xmlns:c16="http://schemas.microsoft.com/office/drawing/2014/chart" uri="{C3380CC4-5D6E-409C-BE32-E72D297353CC}">
              <c16:uniqueId val="{00000000-19BB-4A27-BF46-3168502C97C2}"/>
            </c:ext>
          </c:extLst>
        </c:ser>
        <c:dLbls>
          <c:showLegendKey val="0"/>
          <c:showVal val="0"/>
          <c:showCatName val="0"/>
          <c:showSerName val="0"/>
          <c:showPercent val="0"/>
          <c:showBubbleSize val="0"/>
        </c:dLbls>
        <c:gapWidth val="75"/>
        <c:overlap val="-25"/>
        <c:axId val="461758176"/>
        <c:axId val="461758832"/>
      </c:barChart>
      <c:lineChart>
        <c:grouping val="standard"/>
        <c:varyColors val="0"/>
        <c:ser>
          <c:idx val="2"/>
          <c:order val="1"/>
          <c:tx>
            <c:strRef>
              <c:f>'[11]2020_Target'!$Q$13</c:f>
              <c:strCache>
                <c:ptCount val="1"/>
                <c:pt idx="0">
                  <c:v>2020 target</c:v>
                </c:pt>
              </c:strCache>
            </c:strRef>
          </c:tx>
          <c:spPr>
            <a:ln w="28575" cap="rnd">
              <a:solidFill>
                <a:sysClr val="windowText" lastClr="000000"/>
              </a:solidFill>
              <a:round/>
            </a:ln>
            <a:effectLst/>
          </c:spPr>
          <c:marker>
            <c:symbol val="none"/>
          </c:marker>
          <c:cat>
            <c:strRef>
              <c:f>'[11]2020_Target'!$O$14:$O$36</c:f>
              <c:strCache>
                <c:ptCount val="23"/>
                <c:pt idx="0">
                  <c:v>Austria</c:v>
                </c:pt>
                <c:pt idx="1">
                  <c:v>Belgium</c:v>
                </c:pt>
                <c:pt idx="2">
                  <c:v>Bulgaria</c:v>
                </c:pt>
                <c:pt idx="3">
                  <c:v>Croatia</c:v>
                </c:pt>
                <c:pt idx="4">
                  <c:v>Cyprus</c:v>
                </c:pt>
                <c:pt idx="5">
                  <c:v>Czechia</c:v>
                </c:pt>
                <c:pt idx="6">
                  <c:v>Denmark</c:v>
                </c:pt>
                <c:pt idx="7">
                  <c:v>Finland</c:v>
                </c:pt>
                <c:pt idx="8">
                  <c:v>France</c:v>
                </c:pt>
                <c:pt idx="9">
                  <c:v>Germany</c:v>
                </c:pt>
                <c:pt idx="10">
                  <c:v>Greece</c:v>
                </c:pt>
                <c:pt idx="11">
                  <c:v>Hungary</c:v>
                </c:pt>
                <c:pt idx="12">
                  <c:v>Ireland</c:v>
                </c:pt>
                <c:pt idx="13">
                  <c:v>Italy</c:v>
                </c:pt>
                <c:pt idx="14">
                  <c:v>Latvia</c:v>
                </c:pt>
                <c:pt idx="15">
                  <c:v>Luxembourg</c:v>
                </c:pt>
                <c:pt idx="16">
                  <c:v>Malta</c:v>
                </c:pt>
                <c:pt idx="17">
                  <c:v>Netherlands</c:v>
                </c:pt>
                <c:pt idx="18">
                  <c:v>Slovakia</c:v>
                </c:pt>
                <c:pt idx="19">
                  <c:v>Slovenia</c:v>
                </c:pt>
                <c:pt idx="20">
                  <c:v>Sweden</c:v>
                </c:pt>
                <c:pt idx="21">
                  <c:v>UK</c:v>
                </c:pt>
                <c:pt idx="22">
                  <c:v>EU (22 MS)</c:v>
                </c:pt>
              </c:strCache>
            </c:strRef>
          </c:cat>
          <c:val>
            <c:numRef>
              <c:f>'[11]2020_Target'!$Q$14:$Q$37</c:f>
              <c:numCache>
                <c:formatCode>General</c:formatCode>
                <c:ptCount val="24"/>
                <c:pt idx="0">
                  <c:v>0.06</c:v>
                </c:pt>
                <c:pt idx="1">
                  <c:v>0.06</c:v>
                </c:pt>
                <c:pt idx="2">
                  <c:v>0.06</c:v>
                </c:pt>
                <c:pt idx="3">
                  <c:v>0.06</c:v>
                </c:pt>
                <c:pt idx="4">
                  <c:v>0.06</c:v>
                </c:pt>
                <c:pt idx="5">
                  <c:v>0.06</c:v>
                </c:pt>
                <c:pt idx="6">
                  <c:v>0.06</c:v>
                </c:pt>
                <c:pt idx="7">
                  <c:v>0.06</c:v>
                </c:pt>
                <c:pt idx="8">
                  <c:v>0.06</c:v>
                </c:pt>
                <c:pt idx="9">
                  <c:v>0.06</c:v>
                </c:pt>
                <c:pt idx="10">
                  <c:v>0.06</c:v>
                </c:pt>
                <c:pt idx="11">
                  <c:v>0.06</c:v>
                </c:pt>
                <c:pt idx="12">
                  <c:v>0.06</c:v>
                </c:pt>
                <c:pt idx="13">
                  <c:v>0.06</c:v>
                </c:pt>
                <c:pt idx="14">
                  <c:v>0.06</c:v>
                </c:pt>
                <c:pt idx="15">
                  <c:v>0.06</c:v>
                </c:pt>
                <c:pt idx="16">
                  <c:v>0.06</c:v>
                </c:pt>
                <c:pt idx="17">
                  <c:v>0.06</c:v>
                </c:pt>
                <c:pt idx="18">
                  <c:v>0.06</c:v>
                </c:pt>
                <c:pt idx="19">
                  <c:v>0.06</c:v>
                </c:pt>
                <c:pt idx="20">
                  <c:v>0.06</c:v>
                </c:pt>
                <c:pt idx="21">
                  <c:v>0.06</c:v>
                </c:pt>
                <c:pt idx="22">
                  <c:v>0.06</c:v>
                </c:pt>
                <c:pt idx="23">
                  <c:v>0.06</c:v>
                </c:pt>
              </c:numCache>
            </c:numRef>
          </c:val>
          <c:smooth val="0"/>
          <c:extLst>
            <c:ext xmlns:c16="http://schemas.microsoft.com/office/drawing/2014/chart" uri="{C3380CC4-5D6E-409C-BE32-E72D297353CC}">
              <c16:uniqueId val="{00000001-19BB-4A27-BF46-3168502C97C2}"/>
            </c:ext>
          </c:extLst>
        </c:ser>
        <c:ser>
          <c:idx val="3"/>
          <c:order val="2"/>
          <c:tx>
            <c:strRef>
              <c:f>'[11]2020_Target'!$R$13</c:f>
              <c:strCache>
                <c:ptCount val="1"/>
                <c:pt idx="0">
                  <c:v>Indicative 2017 intermediate target</c:v>
                </c:pt>
              </c:strCache>
            </c:strRef>
          </c:tx>
          <c:spPr>
            <a:ln w="28575" cap="rnd">
              <a:solidFill>
                <a:schemeClr val="bg2">
                  <a:lumMod val="75000"/>
                </a:schemeClr>
              </a:solidFill>
              <a:round/>
            </a:ln>
            <a:effectLst/>
          </c:spPr>
          <c:marker>
            <c:symbol val="circle"/>
            <c:size val="5"/>
            <c:spPr>
              <a:solidFill>
                <a:schemeClr val="bg2">
                  <a:lumMod val="75000"/>
                </a:schemeClr>
              </a:solidFill>
              <a:ln w="9525">
                <a:solidFill>
                  <a:schemeClr val="bg2">
                    <a:lumMod val="75000"/>
                  </a:schemeClr>
                </a:solidFill>
              </a:ln>
              <a:effectLst/>
            </c:spPr>
          </c:marker>
          <c:cat>
            <c:strRef>
              <c:f>'[11]2020_Target'!$O$14:$O$36</c:f>
              <c:strCache>
                <c:ptCount val="23"/>
                <c:pt idx="0">
                  <c:v>Austria</c:v>
                </c:pt>
                <c:pt idx="1">
                  <c:v>Belgium</c:v>
                </c:pt>
                <c:pt idx="2">
                  <c:v>Bulgaria</c:v>
                </c:pt>
                <c:pt idx="3">
                  <c:v>Croatia</c:v>
                </c:pt>
                <c:pt idx="4">
                  <c:v>Cyprus</c:v>
                </c:pt>
                <c:pt idx="5">
                  <c:v>Czechia</c:v>
                </c:pt>
                <c:pt idx="6">
                  <c:v>Denmark</c:v>
                </c:pt>
                <c:pt idx="7">
                  <c:v>Finland</c:v>
                </c:pt>
                <c:pt idx="8">
                  <c:v>France</c:v>
                </c:pt>
                <c:pt idx="9">
                  <c:v>Germany</c:v>
                </c:pt>
                <c:pt idx="10">
                  <c:v>Greece</c:v>
                </c:pt>
                <c:pt idx="11">
                  <c:v>Hungary</c:v>
                </c:pt>
                <c:pt idx="12">
                  <c:v>Ireland</c:v>
                </c:pt>
                <c:pt idx="13">
                  <c:v>Italy</c:v>
                </c:pt>
                <c:pt idx="14">
                  <c:v>Latvia</c:v>
                </c:pt>
                <c:pt idx="15">
                  <c:v>Luxembourg</c:v>
                </c:pt>
                <c:pt idx="16">
                  <c:v>Malta</c:v>
                </c:pt>
                <c:pt idx="17">
                  <c:v>Netherlands</c:v>
                </c:pt>
                <c:pt idx="18">
                  <c:v>Slovakia</c:v>
                </c:pt>
                <c:pt idx="19">
                  <c:v>Slovenia</c:v>
                </c:pt>
                <c:pt idx="20">
                  <c:v>Sweden</c:v>
                </c:pt>
                <c:pt idx="21">
                  <c:v>UK</c:v>
                </c:pt>
                <c:pt idx="22">
                  <c:v>EU (22 MS)</c:v>
                </c:pt>
              </c:strCache>
            </c:strRef>
          </c:cat>
          <c:val>
            <c:numRef>
              <c:f>'[11]2020_Target'!$R$14:$R$37</c:f>
              <c:numCache>
                <c:formatCode>General</c:formatCode>
                <c:ptCount val="24"/>
                <c:pt idx="0">
                  <c:v>0.04</c:v>
                </c:pt>
                <c:pt idx="1">
                  <c:v>0.04</c:v>
                </c:pt>
                <c:pt idx="2">
                  <c:v>0.04</c:v>
                </c:pt>
                <c:pt idx="3">
                  <c:v>0.04</c:v>
                </c:pt>
                <c:pt idx="4">
                  <c:v>0.04</c:v>
                </c:pt>
                <c:pt idx="5">
                  <c:v>0.04</c:v>
                </c:pt>
                <c:pt idx="6">
                  <c:v>0.04</c:v>
                </c:pt>
                <c:pt idx="7">
                  <c:v>0.04</c:v>
                </c:pt>
                <c:pt idx="8">
                  <c:v>0.04</c:v>
                </c:pt>
                <c:pt idx="9">
                  <c:v>0.04</c:v>
                </c:pt>
                <c:pt idx="10">
                  <c:v>0.04</c:v>
                </c:pt>
                <c:pt idx="11">
                  <c:v>0.04</c:v>
                </c:pt>
                <c:pt idx="12">
                  <c:v>0.04</c:v>
                </c:pt>
                <c:pt idx="13">
                  <c:v>0.04</c:v>
                </c:pt>
                <c:pt idx="14">
                  <c:v>0.04</c:v>
                </c:pt>
                <c:pt idx="15">
                  <c:v>0.04</c:v>
                </c:pt>
                <c:pt idx="16">
                  <c:v>0.04</c:v>
                </c:pt>
                <c:pt idx="17">
                  <c:v>0.04</c:v>
                </c:pt>
                <c:pt idx="18">
                  <c:v>0.04</c:v>
                </c:pt>
                <c:pt idx="19">
                  <c:v>0.04</c:v>
                </c:pt>
                <c:pt idx="20">
                  <c:v>0.04</c:v>
                </c:pt>
                <c:pt idx="21">
                  <c:v>0.04</c:v>
                </c:pt>
                <c:pt idx="22">
                  <c:v>0.04</c:v>
                </c:pt>
                <c:pt idx="23">
                  <c:v>0.04</c:v>
                </c:pt>
              </c:numCache>
            </c:numRef>
          </c:val>
          <c:smooth val="0"/>
          <c:extLst>
            <c:ext xmlns:c16="http://schemas.microsoft.com/office/drawing/2014/chart" uri="{C3380CC4-5D6E-409C-BE32-E72D297353CC}">
              <c16:uniqueId val="{00000002-19BB-4A27-BF46-3168502C97C2}"/>
            </c:ext>
          </c:extLst>
        </c:ser>
        <c:dLbls>
          <c:showLegendKey val="0"/>
          <c:showVal val="0"/>
          <c:showCatName val="0"/>
          <c:showSerName val="0"/>
          <c:showPercent val="0"/>
          <c:showBubbleSize val="0"/>
        </c:dLbls>
        <c:marker val="1"/>
        <c:smooth val="0"/>
        <c:axId val="461758176"/>
        <c:axId val="461758832"/>
      </c:lineChart>
      <c:catAx>
        <c:axId val="4617581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1758832"/>
        <c:crosses val="autoZero"/>
        <c:auto val="1"/>
        <c:lblAlgn val="ctr"/>
        <c:lblOffset val="200"/>
        <c:noMultiLvlLbl val="0"/>
      </c:catAx>
      <c:valAx>
        <c:axId val="461758832"/>
        <c:scaling>
          <c:orientation val="minMax"/>
          <c:max val="0.18000000000000002"/>
        </c:scaling>
        <c:delete val="0"/>
        <c:axPos val="l"/>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4617581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aseline="0"/>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80896815608893"/>
          <c:y val="4.7117505373556703E-2"/>
          <c:w val="0.73845239224615"/>
          <c:h val="0.80387548147390664"/>
        </c:manualLayout>
      </c:layout>
      <c:barChart>
        <c:barDir val="bar"/>
        <c:grouping val="stacked"/>
        <c:varyColors val="0"/>
        <c:ser>
          <c:idx val="0"/>
          <c:order val="0"/>
          <c:tx>
            <c:strRef>
              <c:f>'Figure 9'!$B$7</c:f>
              <c:strCache>
                <c:ptCount val="1"/>
                <c:pt idx="0">
                  <c:v>Cumulative surplus of AEAs</c:v>
                </c:pt>
              </c:strCache>
            </c:strRef>
          </c:tx>
          <c:spPr>
            <a:solidFill>
              <a:schemeClr val="accent1">
                <a:lumMod val="60000"/>
                <a:lumOff val="40000"/>
              </a:schemeClr>
            </a:solidFill>
          </c:spPr>
          <c:invertIfNegative val="0"/>
          <c:dLbls>
            <c:spPr>
              <a:noFill/>
              <a:ln>
                <a:noFill/>
              </a:ln>
              <a:effectLst/>
            </c:spPr>
            <c:txPr>
              <a:bodyPr/>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'Figure 9'!$A$8:$A$37</c:f>
              <c:strCache>
                <c:ptCount val="30"/>
                <c:pt idx="0">
                  <c:v>Cyprus</c:v>
                </c:pt>
                <c:pt idx="1">
                  <c:v>Croatia</c:v>
                </c:pt>
                <c:pt idx="2">
                  <c:v>Greece</c:v>
                </c:pt>
                <c:pt idx="3">
                  <c:v>Hungary</c:v>
                </c:pt>
                <c:pt idx="4">
                  <c:v>Portugal</c:v>
                </c:pt>
                <c:pt idx="5">
                  <c:v>Slovakia</c:v>
                </c:pt>
                <c:pt idx="6">
                  <c:v>Sweden</c:v>
                </c:pt>
                <c:pt idx="7">
                  <c:v>Netherlands</c:v>
                </c:pt>
                <c:pt idx="8">
                  <c:v>Slovenia</c:v>
                </c:pt>
                <c:pt idx="9">
                  <c:v>Bulgaria</c:v>
                </c:pt>
                <c:pt idx="10">
                  <c:v>Spain</c:v>
                </c:pt>
                <c:pt idx="11">
                  <c:v>Italy</c:v>
                </c:pt>
                <c:pt idx="12">
                  <c:v>Romania</c:v>
                </c:pt>
                <c:pt idx="13">
                  <c:v>France</c:v>
                </c:pt>
                <c:pt idx="14">
                  <c:v>Denmark</c:v>
                </c:pt>
                <c:pt idx="15">
                  <c:v>United Kingdom</c:v>
                </c:pt>
                <c:pt idx="16">
                  <c:v>Latvia</c:v>
                </c:pt>
                <c:pt idx="17">
                  <c:v>Czechia</c:v>
                </c:pt>
                <c:pt idx="18">
                  <c:v>Belgium</c:v>
                </c:pt>
                <c:pt idx="19">
                  <c:v>Estonia</c:v>
                </c:pt>
                <c:pt idx="20">
                  <c:v>Luxembourg</c:v>
                </c:pt>
                <c:pt idx="21">
                  <c:v>Ireland</c:v>
                </c:pt>
                <c:pt idx="22">
                  <c:v>Austria</c:v>
                </c:pt>
                <c:pt idx="23">
                  <c:v>Lithuania</c:v>
                </c:pt>
                <c:pt idx="24">
                  <c:v>Poland</c:v>
                </c:pt>
                <c:pt idx="25">
                  <c:v>Germany</c:v>
                </c:pt>
                <c:pt idx="26">
                  <c:v>Finland</c:v>
                </c:pt>
                <c:pt idx="27">
                  <c:v>Malta</c:v>
                </c:pt>
                <c:pt idx="29">
                  <c:v>EU-28</c:v>
                </c:pt>
              </c:strCache>
            </c:strRef>
          </c:cat>
          <c:val>
            <c:numRef>
              <c:f>'Figure 9'!$B$8:$B$37</c:f>
              <c:numCache>
                <c:formatCode>0%</c:formatCode>
                <c:ptCount val="30"/>
                <c:pt idx="0">
                  <c:v>1.8133463262212086</c:v>
                </c:pt>
                <c:pt idx="1">
                  <c:v>1.1638311173801501</c:v>
                </c:pt>
                <c:pt idx="2">
                  <c:v>1.1594651050129032</c:v>
                </c:pt>
                <c:pt idx="3">
                  <c:v>1.1423948193258158</c:v>
                </c:pt>
                <c:pt idx="4">
                  <c:v>0.96694380662248025</c:v>
                </c:pt>
                <c:pt idx="5">
                  <c:v>0.9293085897474489</c:v>
                </c:pt>
                <c:pt idx="7">
                  <c:v>0.63600241431494708</c:v>
                </c:pt>
                <c:pt idx="8">
                  <c:v>0.62884524931815267</c:v>
                </c:pt>
                <c:pt idx="9">
                  <c:v>0.53543652304565004</c:v>
                </c:pt>
                <c:pt idx="10">
                  <c:v>0.51383653791952177</c:v>
                </c:pt>
                <c:pt idx="11">
                  <c:v>0.49739708101614777</c:v>
                </c:pt>
                <c:pt idx="12">
                  <c:v>0.38708859529072837</c:v>
                </c:pt>
                <c:pt idx="13">
                  <c:v>0.32187870492931198</c:v>
                </c:pt>
                <c:pt idx="14">
                  <c:v>0.29933739006039528</c:v>
                </c:pt>
                <c:pt idx="15">
                  <c:v>0.26899969872270929</c:v>
                </c:pt>
                <c:pt idx="16">
                  <c:v>0.25369510171949083</c:v>
                </c:pt>
                <c:pt idx="17">
                  <c:v>0.2267013954582365</c:v>
                </c:pt>
                <c:pt idx="18">
                  <c:v>0.18565257094632714</c:v>
                </c:pt>
                <c:pt idx="19">
                  <c:v>0.15834929934800782</c:v>
                </c:pt>
                <c:pt idx="20">
                  <c:v>0.15783623886182735</c:v>
                </c:pt>
                <c:pt idx="21">
                  <c:v>0.15155524122021605</c:v>
                </c:pt>
                <c:pt idx="22">
                  <c:v>0.12083846404692841</c:v>
                </c:pt>
                <c:pt idx="23">
                  <c:v>0.102721461780283</c:v>
                </c:pt>
                <c:pt idx="24">
                  <c:v>9.6787248647150118E-2</c:v>
                </c:pt>
                <c:pt idx="25">
                  <c:v>4.2247557680065211E-2</c:v>
                </c:pt>
                <c:pt idx="26">
                  <c:v>3.8670587531449058E-2</c:v>
                </c:pt>
                <c:pt idx="29">
                  <c:v>0.35094459839866093</c:v>
                </c:pt>
              </c:numCache>
            </c:numRef>
          </c:val>
          <c:extLst>
            <c:ext xmlns:c16="http://schemas.microsoft.com/office/drawing/2014/chart" uri="{C3380CC4-5D6E-409C-BE32-E72D297353CC}">
              <c16:uniqueId val="{00000000-49FB-4ECE-A39C-B5572E796B05}"/>
            </c:ext>
          </c:extLst>
        </c:ser>
        <c:ser>
          <c:idx val="1"/>
          <c:order val="1"/>
          <c:tx>
            <c:strRef>
              <c:f>'Figure 9'!$C$7</c:f>
              <c:strCache>
                <c:ptCount val="1"/>
                <c:pt idx="0">
                  <c:v>Sweden: cumulative surplus of AEAs, deleted</c:v>
                </c:pt>
              </c:strCache>
            </c:strRef>
          </c:tx>
          <c:spPr>
            <a:pattFill prst="pct25">
              <a:fgClr>
                <a:schemeClr val="accent1">
                  <a:lumMod val="60000"/>
                  <a:lumOff val="40000"/>
                </a:schemeClr>
              </a:fgClr>
              <a:bgClr>
                <a:schemeClr val="bg1"/>
              </a:bgClr>
            </a:pattFill>
            <a:ln>
              <a:solidFill>
                <a:schemeClr val="accent1">
                  <a:lumMod val="60000"/>
                  <a:lumOff val="40000"/>
                </a:schemeClr>
              </a:solidFill>
            </a:ln>
          </c:spPr>
          <c:invertIfNegative val="0"/>
          <c:dPt>
            <c:idx val="14"/>
            <c:invertIfNegative val="0"/>
            <c:bubble3D val="0"/>
            <c:spPr>
              <a:pattFill prst="pct25">
                <a:fgClr>
                  <a:schemeClr val="accent1">
                    <a:lumMod val="60000"/>
                    <a:lumOff val="40000"/>
                  </a:schemeClr>
                </a:fgClr>
                <a:bgClr>
                  <a:schemeClr val="bg1"/>
                </a:bgClr>
              </a:pattFill>
              <a:ln w="3175">
                <a:solidFill>
                  <a:schemeClr val="accent1">
                    <a:lumMod val="60000"/>
                    <a:lumOff val="40000"/>
                  </a:schemeClr>
                </a:solidFill>
              </a:ln>
            </c:spPr>
            <c:extLst>
              <c:ext xmlns:c16="http://schemas.microsoft.com/office/drawing/2014/chart" uri="{C3380CC4-5D6E-409C-BE32-E72D297353CC}">
                <c16:uniqueId val="{00000002-49FB-4ECE-A39C-B5572E796B05}"/>
              </c:ext>
            </c:extLst>
          </c:dPt>
          <c:dLbls>
            <c:spPr>
              <a:noFill/>
              <a:ln>
                <a:noFill/>
              </a:ln>
              <a:effectLst/>
            </c:spPr>
            <c:txPr>
              <a:bodyPr/>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 9'!$A$8:$A$37</c:f>
              <c:strCache>
                <c:ptCount val="30"/>
                <c:pt idx="0">
                  <c:v>Cyprus</c:v>
                </c:pt>
                <c:pt idx="1">
                  <c:v>Croatia</c:v>
                </c:pt>
                <c:pt idx="2">
                  <c:v>Greece</c:v>
                </c:pt>
                <c:pt idx="3">
                  <c:v>Hungary</c:v>
                </c:pt>
                <c:pt idx="4">
                  <c:v>Portugal</c:v>
                </c:pt>
                <c:pt idx="5">
                  <c:v>Slovakia</c:v>
                </c:pt>
                <c:pt idx="6">
                  <c:v>Sweden</c:v>
                </c:pt>
                <c:pt idx="7">
                  <c:v>Netherlands</c:v>
                </c:pt>
                <c:pt idx="8">
                  <c:v>Slovenia</c:v>
                </c:pt>
                <c:pt idx="9">
                  <c:v>Bulgaria</c:v>
                </c:pt>
                <c:pt idx="10">
                  <c:v>Spain</c:v>
                </c:pt>
                <c:pt idx="11">
                  <c:v>Italy</c:v>
                </c:pt>
                <c:pt idx="12">
                  <c:v>Romania</c:v>
                </c:pt>
                <c:pt idx="13">
                  <c:v>France</c:v>
                </c:pt>
                <c:pt idx="14">
                  <c:v>Denmark</c:v>
                </c:pt>
                <c:pt idx="15">
                  <c:v>United Kingdom</c:v>
                </c:pt>
                <c:pt idx="16">
                  <c:v>Latvia</c:v>
                </c:pt>
                <c:pt idx="17">
                  <c:v>Czechia</c:v>
                </c:pt>
                <c:pt idx="18">
                  <c:v>Belgium</c:v>
                </c:pt>
                <c:pt idx="19">
                  <c:v>Estonia</c:v>
                </c:pt>
                <c:pt idx="20">
                  <c:v>Luxembourg</c:v>
                </c:pt>
                <c:pt idx="21">
                  <c:v>Ireland</c:v>
                </c:pt>
                <c:pt idx="22">
                  <c:v>Austria</c:v>
                </c:pt>
                <c:pt idx="23">
                  <c:v>Lithuania</c:v>
                </c:pt>
                <c:pt idx="24">
                  <c:v>Poland</c:v>
                </c:pt>
                <c:pt idx="25">
                  <c:v>Germany</c:v>
                </c:pt>
                <c:pt idx="26">
                  <c:v>Finland</c:v>
                </c:pt>
                <c:pt idx="27">
                  <c:v>Malta</c:v>
                </c:pt>
                <c:pt idx="29">
                  <c:v>EU-28</c:v>
                </c:pt>
              </c:strCache>
            </c:strRef>
          </c:cat>
          <c:val>
            <c:numRef>
              <c:f>'Figure 9'!$C$8:$C$37</c:f>
              <c:numCache>
                <c:formatCode>General</c:formatCode>
                <c:ptCount val="30"/>
                <c:pt idx="6" formatCode="0%">
                  <c:v>0.73289193127678043</c:v>
                </c:pt>
              </c:numCache>
            </c:numRef>
          </c:val>
          <c:extLst>
            <c:ext xmlns:c16="http://schemas.microsoft.com/office/drawing/2014/chart" uri="{C3380CC4-5D6E-409C-BE32-E72D297353CC}">
              <c16:uniqueId val="{00000003-49FB-4ECE-A39C-B5572E796B05}"/>
            </c:ext>
          </c:extLst>
        </c:ser>
        <c:ser>
          <c:idx val="2"/>
          <c:order val="2"/>
          <c:tx>
            <c:strRef>
              <c:f>'Figure 9'!$D$7</c:f>
              <c:strCache>
                <c:ptCount val="1"/>
                <c:pt idx="0">
                  <c:v>Bulgaria, Malta: traded AEAs</c:v>
                </c:pt>
              </c:strCache>
            </c:strRef>
          </c:tx>
          <c:spPr>
            <a:solidFill>
              <a:schemeClr val="accent2"/>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 9'!$A$8:$A$37</c:f>
              <c:strCache>
                <c:ptCount val="30"/>
                <c:pt idx="0">
                  <c:v>Cyprus</c:v>
                </c:pt>
                <c:pt idx="1">
                  <c:v>Croatia</c:v>
                </c:pt>
                <c:pt idx="2">
                  <c:v>Greece</c:v>
                </c:pt>
                <c:pt idx="3">
                  <c:v>Hungary</c:v>
                </c:pt>
                <c:pt idx="4">
                  <c:v>Portugal</c:v>
                </c:pt>
                <c:pt idx="5">
                  <c:v>Slovakia</c:v>
                </c:pt>
                <c:pt idx="6">
                  <c:v>Sweden</c:v>
                </c:pt>
                <c:pt idx="7">
                  <c:v>Netherlands</c:v>
                </c:pt>
                <c:pt idx="8">
                  <c:v>Slovenia</c:v>
                </c:pt>
                <c:pt idx="9">
                  <c:v>Bulgaria</c:v>
                </c:pt>
                <c:pt idx="10">
                  <c:v>Spain</c:v>
                </c:pt>
                <c:pt idx="11">
                  <c:v>Italy</c:v>
                </c:pt>
                <c:pt idx="12">
                  <c:v>Romania</c:v>
                </c:pt>
                <c:pt idx="13">
                  <c:v>France</c:v>
                </c:pt>
                <c:pt idx="14">
                  <c:v>Denmark</c:v>
                </c:pt>
                <c:pt idx="15">
                  <c:v>United Kingdom</c:v>
                </c:pt>
                <c:pt idx="16">
                  <c:v>Latvia</c:v>
                </c:pt>
                <c:pt idx="17">
                  <c:v>Czechia</c:v>
                </c:pt>
                <c:pt idx="18">
                  <c:v>Belgium</c:v>
                </c:pt>
                <c:pt idx="19">
                  <c:v>Estonia</c:v>
                </c:pt>
                <c:pt idx="20">
                  <c:v>Luxembourg</c:v>
                </c:pt>
                <c:pt idx="21">
                  <c:v>Ireland</c:v>
                </c:pt>
                <c:pt idx="22">
                  <c:v>Austria</c:v>
                </c:pt>
                <c:pt idx="23">
                  <c:v>Lithuania</c:v>
                </c:pt>
                <c:pt idx="24">
                  <c:v>Poland</c:v>
                </c:pt>
                <c:pt idx="25">
                  <c:v>Germany</c:v>
                </c:pt>
                <c:pt idx="26">
                  <c:v>Finland</c:v>
                </c:pt>
                <c:pt idx="27">
                  <c:v>Malta</c:v>
                </c:pt>
                <c:pt idx="29">
                  <c:v>EU-28</c:v>
                </c:pt>
              </c:strCache>
            </c:strRef>
          </c:cat>
          <c:val>
            <c:numRef>
              <c:f>'Figure 9'!$D$8:$D$37</c:f>
              <c:numCache>
                <c:formatCode>General</c:formatCode>
                <c:ptCount val="30"/>
                <c:pt idx="9" formatCode="0%">
                  <c:v>3.4502174742736112E-2</c:v>
                </c:pt>
                <c:pt idx="27" formatCode="0%">
                  <c:v>-0.68375275516364287</c:v>
                </c:pt>
              </c:numCache>
            </c:numRef>
          </c:val>
          <c:extLst>
            <c:ext xmlns:c16="http://schemas.microsoft.com/office/drawing/2014/chart" uri="{C3380CC4-5D6E-409C-BE32-E72D297353CC}">
              <c16:uniqueId val="{00000004-49FB-4ECE-A39C-B5572E796B05}"/>
            </c:ext>
          </c:extLst>
        </c:ser>
        <c:dLbls>
          <c:showLegendKey val="0"/>
          <c:showVal val="1"/>
          <c:showCatName val="0"/>
          <c:showSerName val="0"/>
          <c:showPercent val="0"/>
          <c:showBubbleSize val="0"/>
        </c:dLbls>
        <c:gapWidth val="78"/>
        <c:overlap val="100"/>
        <c:axId val="121838208"/>
        <c:axId val="121856384"/>
      </c:barChart>
      <c:catAx>
        <c:axId val="121838208"/>
        <c:scaling>
          <c:orientation val="minMax"/>
        </c:scaling>
        <c:delete val="0"/>
        <c:axPos val="l"/>
        <c:numFmt formatCode="General" sourceLinked="0"/>
        <c:majorTickMark val="out"/>
        <c:minorTickMark val="none"/>
        <c:tickLblPos val="low"/>
        <c:txPr>
          <a:bodyPr rot="0" vert="horz"/>
          <a:lstStyle/>
          <a:p>
            <a:pPr>
              <a:defRPr sz="800"/>
            </a:pPr>
            <a:endParaRPr lang="en-US"/>
          </a:p>
        </c:txPr>
        <c:crossAx val="121856384"/>
        <c:crosses val="autoZero"/>
        <c:auto val="1"/>
        <c:lblAlgn val="ctr"/>
        <c:lblOffset val="100"/>
        <c:noMultiLvlLbl val="0"/>
      </c:catAx>
      <c:valAx>
        <c:axId val="121856384"/>
        <c:scaling>
          <c:orientation val="minMax"/>
          <c:min val="-0.5"/>
        </c:scaling>
        <c:delete val="0"/>
        <c:axPos val="b"/>
        <c:numFmt formatCode="0%" sourceLinked="1"/>
        <c:majorTickMark val="out"/>
        <c:minorTickMark val="none"/>
        <c:tickLblPos val="nextTo"/>
        <c:txPr>
          <a:bodyPr/>
          <a:lstStyle/>
          <a:p>
            <a:pPr>
              <a:defRPr sz="800"/>
            </a:pPr>
            <a:endParaRPr lang="en-US"/>
          </a:p>
        </c:txPr>
        <c:crossAx val="121838208"/>
        <c:crosses val="autoZero"/>
        <c:crossBetween val="between"/>
      </c:valAx>
    </c:plotArea>
    <c:legend>
      <c:legendPos val="b"/>
      <c:layout>
        <c:manualLayout>
          <c:xMode val="edge"/>
          <c:yMode val="edge"/>
          <c:x val="7.5806782597558992E-2"/>
          <c:y val="0.91172735798770654"/>
          <c:w val="0.90587221113982275"/>
          <c:h val="7.7989865662679056E-2"/>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05087028595111"/>
          <c:y val="0.10545615131441903"/>
          <c:w val="0.58799637318062514"/>
          <c:h val="0.75738399366745823"/>
        </c:manualLayout>
      </c:layout>
      <c:barChart>
        <c:barDir val="col"/>
        <c:grouping val="stacked"/>
        <c:varyColors val="0"/>
        <c:ser>
          <c:idx val="5"/>
          <c:order val="1"/>
          <c:tx>
            <c:strRef>
              <c:f>'EU-28'!$B$8</c:f>
              <c:strCache>
                <c:ptCount val="1"/>
                <c:pt idx="0">
                  <c:v>Revegetation</c:v>
                </c:pt>
              </c:strCache>
            </c:strRef>
          </c:tx>
          <c:spPr>
            <a:solidFill>
              <a:schemeClr val="accent4"/>
            </a:solidFill>
          </c:spPr>
          <c:invertIfNegative val="0"/>
          <c:cat>
            <c:strRef>
              <c:f>'EU-28'!$C$2:$G$2</c:f>
              <c:strCache>
                <c:ptCount val="5"/>
                <c:pt idx="0">
                  <c:v>2013</c:v>
                </c:pt>
                <c:pt idx="1">
                  <c:v>2014</c:v>
                </c:pt>
                <c:pt idx="2">
                  <c:v>2015</c:v>
                </c:pt>
                <c:pt idx="3">
                  <c:v>2016</c:v>
                </c:pt>
                <c:pt idx="4">
                  <c:v>2017</c:v>
                </c:pt>
              </c:strCache>
            </c:strRef>
          </c:cat>
          <c:val>
            <c:numRef>
              <c:f>'EU-28'!$C$8:$G$8</c:f>
              <c:numCache>
                <c:formatCode>#,##0.00</c:formatCode>
                <c:ptCount val="5"/>
                <c:pt idx="0">
                  <c:v>0.48723618400090024</c:v>
                </c:pt>
                <c:pt idx="1">
                  <c:v>0.47658938097692455</c:v>
                </c:pt>
                <c:pt idx="2">
                  <c:v>0.44398969758388374</c:v>
                </c:pt>
                <c:pt idx="3">
                  <c:v>0.40123732271544393</c:v>
                </c:pt>
                <c:pt idx="4">
                  <c:v>0.36798921014150437</c:v>
                </c:pt>
              </c:numCache>
            </c:numRef>
          </c:val>
          <c:extLst>
            <c:ext xmlns:c16="http://schemas.microsoft.com/office/drawing/2014/chart" uri="{C3380CC4-5D6E-409C-BE32-E72D297353CC}">
              <c16:uniqueId val="{00000000-2C91-4C8B-8055-EDE69F958360}"/>
            </c:ext>
          </c:extLst>
        </c:ser>
        <c:ser>
          <c:idx val="4"/>
          <c:order val="2"/>
          <c:tx>
            <c:strRef>
              <c:f>'EU-28'!$B$7</c:f>
              <c:strCache>
                <c:ptCount val="1"/>
                <c:pt idx="0">
                  <c:v>Grazing Land Management</c:v>
                </c:pt>
              </c:strCache>
            </c:strRef>
          </c:tx>
          <c:spPr>
            <a:solidFill>
              <a:schemeClr val="bg2">
                <a:lumMod val="50000"/>
              </a:schemeClr>
            </a:solidFill>
          </c:spPr>
          <c:invertIfNegative val="0"/>
          <c:cat>
            <c:strRef>
              <c:f>'EU-28'!$C$2:$G$2</c:f>
              <c:strCache>
                <c:ptCount val="5"/>
                <c:pt idx="0">
                  <c:v>2013</c:v>
                </c:pt>
                <c:pt idx="1">
                  <c:v>2014</c:v>
                </c:pt>
                <c:pt idx="2">
                  <c:v>2015</c:v>
                </c:pt>
                <c:pt idx="3">
                  <c:v>2016</c:v>
                </c:pt>
                <c:pt idx="4">
                  <c:v>2017</c:v>
                </c:pt>
              </c:strCache>
            </c:strRef>
          </c:cat>
          <c:val>
            <c:numRef>
              <c:f>'EU-28'!$C$7:$G$7</c:f>
              <c:numCache>
                <c:formatCode>#,##0.00</c:formatCode>
                <c:ptCount val="5"/>
                <c:pt idx="0">
                  <c:v>-4.2753427859158109</c:v>
                </c:pt>
                <c:pt idx="1">
                  <c:v>-4.213939574913951</c:v>
                </c:pt>
                <c:pt idx="2">
                  <c:v>-4.6455842795107927</c:v>
                </c:pt>
                <c:pt idx="3">
                  <c:v>-5.0116403411910575</c:v>
                </c:pt>
                <c:pt idx="4">
                  <c:v>-4.89650678799938</c:v>
                </c:pt>
              </c:numCache>
            </c:numRef>
          </c:val>
          <c:extLst>
            <c:ext xmlns:c16="http://schemas.microsoft.com/office/drawing/2014/chart" uri="{C3380CC4-5D6E-409C-BE32-E72D297353CC}">
              <c16:uniqueId val="{00000001-2C91-4C8B-8055-EDE69F958360}"/>
            </c:ext>
          </c:extLst>
        </c:ser>
        <c:ser>
          <c:idx val="3"/>
          <c:order val="3"/>
          <c:tx>
            <c:strRef>
              <c:f>'EU-28'!$B$6</c:f>
              <c:strCache>
                <c:ptCount val="1"/>
                <c:pt idx="0">
                  <c:v>Cropland Management</c:v>
                </c:pt>
              </c:strCache>
            </c:strRef>
          </c:tx>
          <c:spPr>
            <a:solidFill>
              <a:schemeClr val="accent6"/>
            </a:solidFill>
          </c:spPr>
          <c:invertIfNegative val="0"/>
          <c:cat>
            <c:strRef>
              <c:f>'EU-28'!$C$2:$G$2</c:f>
              <c:strCache>
                <c:ptCount val="5"/>
                <c:pt idx="0">
                  <c:v>2013</c:v>
                </c:pt>
                <c:pt idx="1">
                  <c:v>2014</c:v>
                </c:pt>
                <c:pt idx="2">
                  <c:v>2015</c:v>
                </c:pt>
                <c:pt idx="3">
                  <c:v>2016</c:v>
                </c:pt>
                <c:pt idx="4">
                  <c:v>2017</c:v>
                </c:pt>
              </c:strCache>
            </c:strRef>
          </c:cat>
          <c:val>
            <c:numRef>
              <c:f>'EU-28'!$C$6:$G$6</c:f>
              <c:numCache>
                <c:formatCode>#,##0.00</c:formatCode>
                <c:ptCount val="5"/>
                <c:pt idx="0">
                  <c:v>-2.5706108825946212</c:v>
                </c:pt>
                <c:pt idx="1">
                  <c:v>-3.5729272250651847</c:v>
                </c:pt>
                <c:pt idx="2">
                  <c:v>-6.1515676859867021</c:v>
                </c:pt>
                <c:pt idx="3">
                  <c:v>-7.6685916007762422</c:v>
                </c:pt>
                <c:pt idx="4">
                  <c:v>-8.3411446938060791</c:v>
                </c:pt>
              </c:numCache>
            </c:numRef>
          </c:val>
          <c:extLst>
            <c:ext xmlns:c16="http://schemas.microsoft.com/office/drawing/2014/chart" uri="{C3380CC4-5D6E-409C-BE32-E72D297353CC}">
              <c16:uniqueId val="{00000002-2C91-4C8B-8055-EDE69F958360}"/>
            </c:ext>
          </c:extLst>
        </c:ser>
        <c:ser>
          <c:idx val="2"/>
          <c:order val="4"/>
          <c:tx>
            <c:strRef>
              <c:f>'EU-28'!$B$5</c:f>
              <c:strCache>
                <c:ptCount val="1"/>
                <c:pt idx="0">
                  <c:v>Forest Management</c:v>
                </c:pt>
              </c:strCache>
            </c:strRef>
          </c:tx>
          <c:spPr>
            <a:solidFill>
              <a:schemeClr val="accent3">
                <a:lumMod val="50000"/>
              </a:schemeClr>
            </a:solidFill>
          </c:spPr>
          <c:invertIfNegative val="0"/>
          <c:cat>
            <c:strRef>
              <c:f>'EU-28'!$C$2:$G$2</c:f>
              <c:strCache>
                <c:ptCount val="5"/>
                <c:pt idx="0">
                  <c:v>2013</c:v>
                </c:pt>
                <c:pt idx="1">
                  <c:v>2014</c:v>
                </c:pt>
                <c:pt idx="2">
                  <c:v>2015</c:v>
                </c:pt>
                <c:pt idx="3">
                  <c:v>2016</c:v>
                </c:pt>
                <c:pt idx="4">
                  <c:v>2017</c:v>
                </c:pt>
              </c:strCache>
            </c:strRef>
          </c:cat>
          <c:val>
            <c:numRef>
              <c:f>'EU-28'!$C$5:$G$5</c:f>
              <c:numCache>
                <c:formatCode>0.00</c:formatCode>
                <c:ptCount val="5"/>
                <c:pt idx="0">
                  <c:v>-115.28341719212254</c:v>
                </c:pt>
                <c:pt idx="1">
                  <c:v>-98.322221320007174</c:v>
                </c:pt>
                <c:pt idx="2">
                  <c:v>-90.774932087196362</c:v>
                </c:pt>
                <c:pt idx="3">
                  <c:v>-84.755807248317439</c:v>
                </c:pt>
                <c:pt idx="4">
                  <c:v>-54.928553420238593</c:v>
                </c:pt>
              </c:numCache>
            </c:numRef>
          </c:val>
          <c:extLst>
            <c:ext xmlns:c16="http://schemas.microsoft.com/office/drawing/2014/chart" uri="{C3380CC4-5D6E-409C-BE32-E72D297353CC}">
              <c16:uniqueId val="{00000003-2C91-4C8B-8055-EDE69F958360}"/>
            </c:ext>
          </c:extLst>
        </c:ser>
        <c:ser>
          <c:idx val="1"/>
          <c:order val="5"/>
          <c:tx>
            <c:strRef>
              <c:f>'EU-28'!$B$4</c:f>
              <c:strCache>
                <c:ptCount val="1"/>
                <c:pt idx="0">
                  <c:v>Deforestation</c:v>
                </c:pt>
              </c:strCache>
            </c:strRef>
          </c:tx>
          <c:spPr>
            <a:solidFill>
              <a:schemeClr val="accent2"/>
            </a:solidFill>
          </c:spPr>
          <c:invertIfNegative val="0"/>
          <c:cat>
            <c:strRef>
              <c:f>'EU-28'!$C$2:$G$2</c:f>
              <c:strCache>
                <c:ptCount val="5"/>
                <c:pt idx="0">
                  <c:v>2013</c:v>
                </c:pt>
                <c:pt idx="1">
                  <c:v>2014</c:v>
                </c:pt>
                <c:pt idx="2">
                  <c:v>2015</c:v>
                </c:pt>
                <c:pt idx="3">
                  <c:v>2016</c:v>
                </c:pt>
                <c:pt idx="4">
                  <c:v>2017</c:v>
                </c:pt>
              </c:strCache>
            </c:strRef>
          </c:cat>
          <c:val>
            <c:numRef>
              <c:f>'EU-28'!$C$4:$G$4</c:f>
              <c:numCache>
                <c:formatCode>#,##0.00</c:formatCode>
                <c:ptCount val="5"/>
                <c:pt idx="0">
                  <c:v>40.596623889374591</c:v>
                </c:pt>
                <c:pt idx="1">
                  <c:v>39.769403812932246</c:v>
                </c:pt>
                <c:pt idx="2">
                  <c:v>40.638180232299497</c:v>
                </c:pt>
                <c:pt idx="3">
                  <c:v>44.207420464350179</c:v>
                </c:pt>
                <c:pt idx="4">
                  <c:v>38.201717795780567</c:v>
                </c:pt>
              </c:numCache>
            </c:numRef>
          </c:val>
          <c:extLst>
            <c:ext xmlns:c16="http://schemas.microsoft.com/office/drawing/2014/chart" uri="{C3380CC4-5D6E-409C-BE32-E72D297353CC}">
              <c16:uniqueId val="{00000004-2C91-4C8B-8055-EDE69F958360}"/>
            </c:ext>
          </c:extLst>
        </c:ser>
        <c:ser>
          <c:idx val="0"/>
          <c:order val="6"/>
          <c:tx>
            <c:strRef>
              <c:f>'EU-28'!$B$3</c:f>
              <c:strCache>
                <c:ptCount val="1"/>
                <c:pt idx="0">
                  <c:v>Afforestation / Reforestation</c:v>
                </c:pt>
              </c:strCache>
            </c:strRef>
          </c:tx>
          <c:spPr>
            <a:solidFill>
              <a:schemeClr val="accent3"/>
            </a:solidFill>
          </c:spPr>
          <c:invertIfNegative val="0"/>
          <c:cat>
            <c:strRef>
              <c:f>'EU-28'!$C$2:$G$2</c:f>
              <c:strCache>
                <c:ptCount val="5"/>
                <c:pt idx="0">
                  <c:v>2013</c:v>
                </c:pt>
                <c:pt idx="1">
                  <c:v>2014</c:v>
                </c:pt>
                <c:pt idx="2">
                  <c:v>2015</c:v>
                </c:pt>
                <c:pt idx="3">
                  <c:v>2016</c:v>
                </c:pt>
                <c:pt idx="4">
                  <c:v>2017</c:v>
                </c:pt>
              </c:strCache>
            </c:strRef>
          </c:cat>
          <c:val>
            <c:numRef>
              <c:f>'EU-28'!$C$3:$G$3</c:f>
              <c:numCache>
                <c:formatCode>#,##0.00</c:formatCode>
                <c:ptCount val="5"/>
                <c:pt idx="0">
                  <c:v>-52.799891581353883</c:v>
                </c:pt>
                <c:pt idx="1">
                  <c:v>-54.887048368901567</c:v>
                </c:pt>
                <c:pt idx="2">
                  <c:v>-56.065412336113077</c:v>
                </c:pt>
                <c:pt idx="3">
                  <c:v>-55.118933314602849</c:v>
                </c:pt>
                <c:pt idx="4">
                  <c:v>-50.909791412863065</c:v>
                </c:pt>
              </c:numCache>
            </c:numRef>
          </c:val>
          <c:extLst>
            <c:ext xmlns:c16="http://schemas.microsoft.com/office/drawing/2014/chart" uri="{C3380CC4-5D6E-409C-BE32-E72D297353CC}">
              <c16:uniqueId val="{00000005-2C91-4C8B-8055-EDE69F958360}"/>
            </c:ext>
          </c:extLst>
        </c:ser>
        <c:dLbls>
          <c:showLegendKey val="0"/>
          <c:showVal val="0"/>
          <c:showCatName val="0"/>
          <c:showSerName val="0"/>
          <c:showPercent val="0"/>
          <c:showBubbleSize val="0"/>
        </c:dLbls>
        <c:gapWidth val="150"/>
        <c:overlap val="100"/>
        <c:axId val="291002328"/>
        <c:axId val="291002720"/>
      </c:barChart>
      <c:lineChart>
        <c:grouping val="standard"/>
        <c:varyColors val="0"/>
        <c:ser>
          <c:idx val="6"/>
          <c:order val="0"/>
          <c:tx>
            <c:strRef>
              <c:f>'EU-28'!$B$10</c:f>
              <c:strCache>
                <c:ptCount val="1"/>
                <c:pt idx="0">
                  <c:v>Total</c:v>
                </c:pt>
              </c:strCache>
            </c:strRef>
          </c:tx>
          <c:spPr>
            <a:ln>
              <a:solidFill>
                <a:schemeClr val="tx1"/>
              </a:solidFill>
            </a:ln>
          </c:spPr>
          <c:marker>
            <c:symbol val="square"/>
            <c:size val="7"/>
            <c:spPr>
              <a:solidFill>
                <a:schemeClr val="tx1"/>
              </a:solidFill>
              <a:ln>
                <a:solidFill>
                  <a:schemeClr val="tx1"/>
                </a:solidFill>
              </a:ln>
            </c:spPr>
          </c:marker>
          <c:cat>
            <c:strRef>
              <c:f>'EU-28'!$C$2:$G$2</c:f>
              <c:strCache>
                <c:ptCount val="5"/>
                <c:pt idx="0">
                  <c:v>2013</c:v>
                </c:pt>
                <c:pt idx="1">
                  <c:v>2014</c:v>
                </c:pt>
                <c:pt idx="2">
                  <c:v>2015</c:v>
                </c:pt>
                <c:pt idx="3">
                  <c:v>2016</c:v>
                </c:pt>
                <c:pt idx="4">
                  <c:v>2017</c:v>
                </c:pt>
              </c:strCache>
            </c:strRef>
          </c:cat>
          <c:val>
            <c:numRef>
              <c:f>'EU-28'!$C$10:$G$10</c:f>
              <c:numCache>
                <c:formatCode>#,##0.00</c:formatCode>
                <c:ptCount val="5"/>
                <c:pt idx="0">
                  <c:v>-133.84540236861136</c:v>
                </c:pt>
                <c:pt idx="1">
                  <c:v>-120.75014329497871</c:v>
                </c:pt>
                <c:pt idx="2">
                  <c:v>-116.55532645892355</c:v>
                </c:pt>
                <c:pt idx="3">
                  <c:v>-107.94631471782196</c:v>
                </c:pt>
                <c:pt idx="4">
                  <c:v>-80.50628930898506</c:v>
                </c:pt>
              </c:numCache>
            </c:numRef>
          </c:val>
          <c:smooth val="0"/>
          <c:extLst>
            <c:ext xmlns:c16="http://schemas.microsoft.com/office/drawing/2014/chart" uri="{C3380CC4-5D6E-409C-BE32-E72D297353CC}">
              <c16:uniqueId val="{00000006-2C91-4C8B-8055-EDE69F958360}"/>
            </c:ext>
          </c:extLst>
        </c:ser>
        <c:dLbls>
          <c:showLegendKey val="0"/>
          <c:showVal val="0"/>
          <c:showCatName val="0"/>
          <c:showSerName val="0"/>
          <c:showPercent val="0"/>
          <c:showBubbleSize val="0"/>
        </c:dLbls>
        <c:marker val="1"/>
        <c:smooth val="0"/>
        <c:axId val="291002328"/>
        <c:axId val="291002720"/>
      </c:lineChart>
      <c:catAx>
        <c:axId val="291002328"/>
        <c:scaling>
          <c:orientation val="minMax"/>
        </c:scaling>
        <c:delete val="0"/>
        <c:axPos val="b"/>
        <c:numFmt formatCode="General" sourceLinked="1"/>
        <c:majorTickMark val="out"/>
        <c:minorTickMark val="none"/>
        <c:tickLblPos val="nextTo"/>
        <c:spPr>
          <a:ln>
            <a:solidFill>
              <a:schemeClr val="tx1"/>
            </a:solidFill>
          </a:ln>
        </c:spPr>
        <c:crossAx val="291002720"/>
        <c:crossesAt val="-200"/>
        <c:auto val="1"/>
        <c:lblAlgn val="ctr"/>
        <c:lblOffset val="100"/>
        <c:noMultiLvlLbl val="0"/>
      </c:catAx>
      <c:valAx>
        <c:axId val="291002720"/>
        <c:scaling>
          <c:orientation val="minMax"/>
        </c:scaling>
        <c:delete val="0"/>
        <c:axPos val="l"/>
        <c:majorGridlines>
          <c:spPr>
            <a:ln>
              <a:solidFill>
                <a:schemeClr val="tx1"/>
              </a:solidFill>
            </a:ln>
          </c:spPr>
        </c:majorGridlines>
        <c:title>
          <c:tx>
            <c:rich>
              <a:bodyPr rot="-5400000" vert="horz"/>
              <a:lstStyle/>
              <a:p>
                <a:pPr>
                  <a:defRPr/>
                </a:pPr>
                <a:r>
                  <a:rPr lang="en-GB"/>
                  <a:t>Mt CO</a:t>
                </a:r>
                <a:r>
                  <a:rPr lang="en-GB" baseline="-25000"/>
                  <a:t>2</a:t>
                </a:r>
                <a:r>
                  <a:rPr lang="en-GB" baseline="0"/>
                  <a:t>-e</a:t>
                </a:r>
                <a:r>
                  <a:rPr lang="en-GB"/>
                  <a:t>q.</a:t>
                </a:r>
              </a:p>
            </c:rich>
          </c:tx>
          <c:layout/>
          <c:overlay val="0"/>
        </c:title>
        <c:numFmt formatCode="#,##0" sourceLinked="0"/>
        <c:majorTickMark val="out"/>
        <c:minorTickMark val="none"/>
        <c:tickLblPos val="nextTo"/>
        <c:spPr>
          <a:ln>
            <a:solidFill>
              <a:schemeClr val="tx1"/>
            </a:solidFill>
          </a:ln>
        </c:spPr>
        <c:crossAx val="291002328"/>
        <c:crosses val="autoZero"/>
        <c:crossBetween val="between"/>
      </c:valAx>
    </c:plotArea>
    <c:legend>
      <c:legendPos val="r"/>
      <c:layout>
        <c:manualLayout>
          <c:xMode val="edge"/>
          <c:yMode val="edge"/>
          <c:x val="0.72739279408255775"/>
          <c:y val="5.3098695996333795E-2"/>
          <c:w val="0.25806175137198761"/>
          <c:h val="0.89380227471566054"/>
        </c:manualLayout>
      </c:layout>
      <c:overlay val="0"/>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97463987570115"/>
          <c:y val="3.7524363877909694E-2"/>
          <c:w val="0.76567101737780563"/>
          <c:h val="0.67396303724219664"/>
        </c:manualLayout>
      </c:layout>
      <c:barChart>
        <c:barDir val="col"/>
        <c:grouping val="stacked"/>
        <c:varyColors val="0"/>
        <c:ser>
          <c:idx val="0"/>
          <c:order val="0"/>
          <c:tx>
            <c:strRef>
              <c:f>'climate finance mainstreaming'!$A$7</c:f>
              <c:strCache>
                <c:ptCount val="1"/>
                <c:pt idx="0">
                  <c:v>Horizon 2020</c:v>
                </c:pt>
              </c:strCache>
            </c:strRef>
          </c:tx>
          <c:invertIfNegative val="0"/>
          <c:cat>
            <c:numRef>
              <c:f>'climate finance mainstreaming'!$B$5:$H$5</c:f>
              <c:numCache>
                <c:formatCode>General</c:formatCode>
                <c:ptCount val="7"/>
                <c:pt idx="0">
                  <c:v>2014</c:v>
                </c:pt>
                <c:pt idx="1">
                  <c:v>2015</c:v>
                </c:pt>
                <c:pt idx="2">
                  <c:v>2016</c:v>
                </c:pt>
                <c:pt idx="3">
                  <c:v>2017</c:v>
                </c:pt>
                <c:pt idx="4">
                  <c:v>2018</c:v>
                </c:pt>
                <c:pt idx="5">
                  <c:v>2019</c:v>
                </c:pt>
                <c:pt idx="6">
                  <c:v>2020</c:v>
                </c:pt>
              </c:numCache>
            </c:numRef>
          </c:cat>
          <c:val>
            <c:numRef>
              <c:f>'climate finance mainstreaming'!$B$7:$H$7</c:f>
              <c:numCache>
                <c:formatCode>General</c:formatCode>
                <c:ptCount val="7"/>
                <c:pt idx="0">
                  <c:v>2387.5</c:v>
                </c:pt>
                <c:pt idx="1">
                  <c:v>2709.6</c:v>
                </c:pt>
                <c:pt idx="2">
                  <c:v>2623</c:v>
                </c:pt>
                <c:pt idx="3">
                  <c:v>3245</c:v>
                </c:pt>
                <c:pt idx="4">
                  <c:v>2608.6999999999998</c:v>
                </c:pt>
                <c:pt idx="5">
                  <c:v>3071.8</c:v>
                </c:pt>
                <c:pt idx="6">
                  <c:v>3276.1</c:v>
                </c:pt>
              </c:numCache>
            </c:numRef>
          </c:val>
          <c:extLst>
            <c:ext xmlns:c16="http://schemas.microsoft.com/office/drawing/2014/chart" uri="{C3380CC4-5D6E-409C-BE32-E72D297353CC}">
              <c16:uniqueId val="{00000000-2334-4B8C-8CA4-1B754AD791AD}"/>
            </c:ext>
          </c:extLst>
        </c:ser>
        <c:ser>
          <c:idx val="1"/>
          <c:order val="1"/>
          <c:tx>
            <c:strRef>
              <c:f>'climate finance mainstreaming'!$A$8</c:f>
              <c:strCache>
                <c:ptCount val="1"/>
                <c:pt idx="0">
                  <c:v>Connecting Europe Facility</c:v>
                </c:pt>
              </c:strCache>
            </c:strRef>
          </c:tx>
          <c:invertIfNegative val="0"/>
          <c:cat>
            <c:numRef>
              <c:f>'climate finance mainstreaming'!$B$5:$H$5</c:f>
              <c:numCache>
                <c:formatCode>General</c:formatCode>
                <c:ptCount val="7"/>
                <c:pt idx="0">
                  <c:v>2014</c:v>
                </c:pt>
                <c:pt idx="1">
                  <c:v>2015</c:v>
                </c:pt>
                <c:pt idx="2">
                  <c:v>2016</c:v>
                </c:pt>
                <c:pt idx="3">
                  <c:v>2017</c:v>
                </c:pt>
                <c:pt idx="4">
                  <c:v>2018</c:v>
                </c:pt>
                <c:pt idx="5">
                  <c:v>2019</c:v>
                </c:pt>
                <c:pt idx="6">
                  <c:v>2020</c:v>
                </c:pt>
              </c:numCache>
            </c:numRef>
          </c:cat>
          <c:val>
            <c:numRef>
              <c:f>'climate finance mainstreaming'!$B$8:$H$8</c:f>
              <c:numCache>
                <c:formatCode>General</c:formatCode>
                <c:ptCount val="7"/>
                <c:pt idx="0">
                  <c:v>1129.5</c:v>
                </c:pt>
                <c:pt idx="1">
                  <c:v>1029.8</c:v>
                </c:pt>
                <c:pt idx="2">
                  <c:v>1736.5</c:v>
                </c:pt>
                <c:pt idx="3">
                  <c:v>1578</c:v>
                </c:pt>
                <c:pt idx="4">
                  <c:v>1683</c:v>
                </c:pt>
                <c:pt idx="5">
                  <c:v>2123.4</c:v>
                </c:pt>
                <c:pt idx="6">
                  <c:v>2192.9</c:v>
                </c:pt>
              </c:numCache>
            </c:numRef>
          </c:val>
          <c:extLst>
            <c:ext xmlns:c16="http://schemas.microsoft.com/office/drawing/2014/chart" uri="{C3380CC4-5D6E-409C-BE32-E72D297353CC}">
              <c16:uniqueId val="{00000001-2334-4B8C-8CA4-1B754AD791AD}"/>
            </c:ext>
          </c:extLst>
        </c:ser>
        <c:ser>
          <c:idx val="2"/>
          <c:order val="2"/>
          <c:tx>
            <c:strRef>
              <c:f>'climate finance mainstreaming'!$A$9</c:f>
              <c:strCache>
                <c:ptCount val="1"/>
                <c:pt idx="0">
                  <c:v>European Regional Development Fund</c:v>
                </c:pt>
              </c:strCache>
            </c:strRef>
          </c:tx>
          <c:invertIfNegative val="0"/>
          <c:cat>
            <c:numRef>
              <c:f>'climate finance mainstreaming'!$B$5:$H$5</c:f>
              <c:numCache>
                <c:formatCode>General</c:formatCode>
                <c:ptCount val="7"/>
                <c:pt idx="0">
                  <c:v>2014</c:v>
                </c:pt>
                <c:pt idx="1">
                  <c:v>2015</c:v>
                </c:pt>
                <c:pt idx="2">
                  <c:v>2016</c:v>
                </c:pt>
                <c:pt idx="3">
                  <c:v>2017</c:v>
                </c:pt>
                <c:pt idx="4">
                  <c:v>2018</c:v>
                </c:pt>
                <c:pt idx="5">
                  <c:v>2019</c:v>
                </c:pt>
                <c:pt idx="6">
                  <c:v>2020</c:v>
                </c:pt>
              </c:numCache>
            </c:numRef>
          </c:cat>
          <c:val>
            <c:numRef>
              <c:f>'climate finance mainstreaming'!$B$9:$H$9</c:f>
              <c:numCache>
                <c:formatCode>General</c:formatCode>
                <c:ptCount val="7"/>
                <c:pt idx="0">
                  <c:v>3138</c:v>
                </c:pt>
                <c:pt idx="1">
                  <c:v>6111.2</c:v>
                </c:pt>
                <c:pt idx="2">
                  <c:v>4948.1000000000004</c:v>
                </c:pt>
                <c:pt idx="3">
                  <c:v>5376.7</c:v>
                </c:pt>
                <c:pt idx="4">
                  <c:v>5554.4</c:v>
                </c:pt>
                <c:pt idx="5">
                  <c:v>5721.2</c:v>
                </c:pt>
                <c:pt idx="6">
                  <c:v>5880.7</c:v>
                </c:pt>
              </c:numCache>
            </c:numRef>
          </c:val>
          <c:extLst>
            <c:ext xmlns:c16="http://schemas.microsoft.com/office/drawing/2014/chart" uri="{C3380CC4-5D6E-409C-BE32-E72D297353CC}">
              <c16:uniqueId val="{00000002-2334-4B8C-8CA4-1B754AD791AD}"/>
            </c:ext>
          </c:extLst>
        </c:ser>
        <c:ser>
          <c:idx val="3"/>
          <c:order val="3"/>
          <c:tx>
            <c:strRef>
              <c:f>'climate finance mainstreaming'!$A$10</c:f>
              <c:strCache>
                <c:ptCount val="1"/>
                <c:pt idx="0">
                  <c:v>Cohesion Fund</c:v>
                </c:pt>
              </c:strCache>
            </c:strRef>
          </c:tx>
          <c:invertIfNegative val="0"/>
          <c:cat>
            <c:numRef>
              <c:f>'climate finance mainstreaming'!$B$5:$H$5</c:f>
              <c:numCache>
                <c:formatCode>General</c:formatCode>
                <c:ptCount val="7"/>
                <c:pt idx="0">
                  <c:v>2014</c:v>
                </c:pt>
                <c:pt idx="1">
                  <c:v>2015</c:v>
                </c:pt>
                <c:pt idx="2">
                  <c:v>2016</c:v>
                </c:pt>
                <c:pt idx="3">
                  <c:v>2017</c:v>
                </c:pt>
                <c:pt idx="4">
                  <c:v>2018</c:v>
                </c:pt>
                <c:pt idx="5">
                  <c:v>2019</c:v>
                </c:pt>
                <c:pt idx="6">
                  <c:v>2020</c:v>
                </c:pt>
              </c:numCache>
            </c:numRef>
          </c:cat>
          <c:val>
            <c:numRef>
              <c:f>'climate finance mainstreaming'!$B$10:$H$10</c:f>
              <c:numCache>
                <c:formatCode>General</c:formatCode>
                <c:ptCount val="7"/>
                <c:pt idx="0">
                  <c:v>1960.3</c:v>
                </c:pt>
                <c:pt idx="1">
                  <c:v>3148.3</c:v>
                </c:pt>
                <c:pt idx="2">
                  <c:v>3070.4</c:v>
                </c:pt>
                <c:pt idx="3">
                  <c:v>2943.4</c:v>
                </c:pt>
                <c:pt idx="4">
                  <c:v>3053.9</c:v>
                </c:pt>
                <c:pt idx="5">
                  <c:v>3165.9</c:v>
                </c:pt>
                <c:pt idx="6">
                  <c:v>3274</c:v>
                </c:pt>
              </c:numCache>
            </c:numRef>
          </c:val>
          <c:extLst>
            <c:ext xmlns:c16="http://schemas.microsoft.com/office/drawing/2014/chart" uri="{C3380CC4-5D6E-409C-BE32-E72D297353CC}">
              <c16:uniqueId val="{00000003-2334-4B8C-8CA4-1B754AD791AD}"/>
            </c:ext>
          </c:extLst>
        </c:ser>
        <c:ser>
          <c:idx val="4"/>
          <c:order val="4"/>
          <c:tx>
            <c:strRef>
              <c:f>'climate finance mainstreaming'!$A$11</c:f>
              <c:strCache>
                <c:ptCount val="1"/>
                <c:pt idx="0">
                  <c:v>European Agricultural Guarantee Fund</c:v>
                </c:pt>
              </c:strCache>
            </c:strRef>
          </c:tx>
          <c:invertIfNegative val="0"/>
          <c:cat>
            <c:numRef>
              <c:f>'climate finance mainstreaming'!$B$5:$H$5</c:f>
              <c:numCache>
                <c:formatCode>General</c:formatCode>
                <c:ptCount val="7"/>
                <c:pt idx="0">
                  <c:v>2014</c:v>
                </c:pt>
                <c:pt idx="1">
                  <c:v>2015</c:v>
                </c:pt>
                <c:pt idx="2">
                  <c:v>2016</c:v>
                </c:pt>
                <c:pt idx="3">
                  <c:v>2017</c:v>
                </c:pt>
                <c:pt idx="4">
                  <c:v>2018</c:v>
                </c:pt>
                <c:pt idx="5">
                  <c:v>2019</c:v>
                </c:pt>
                <c:pt idx="6">
                  <c:v>2020</c:v>
                </c:pt>
              </c:numCache>
            </c:numRef>
          </c:cat>
          <c:val>
            <c:numRef>
              <c:f>'climate finance mainstreaming'!$B$11:$H$11</c:f>
              <c:numCache>
                <c:formatCode>General</c:formatCode>
                <c:ptCount val="7"/>
                <c:pt idx="0">
                  <c:v>3316</c:v>
                </c:pt>
                <c:pt idx="1">
                  <c:v>3273</c:v>
                </c:pt>
                <c:pt idx="2">
                  <c:v>7938</c:v>
                </c:pt>
                <c:pt idx="3">
                  <c:v>7643</c:v>
                </c:pt>
                <c:pt idx="4">
                  <c:v>7751</c:v>
                </c:pt>
                <c:pt idx="5">
                  <c:v>7768</c:v>
                </c:pt>
                <c:pt idx="6">
                  <c:v>7824</c:v>
                </c:pt>
              </c:numCache>
            </c:numRef>
          </c:val>
          <c:extLst>
            <c:ext xmlns:c16="http://schemas.microsoft.com/office/drawing/2014/chart" uri="{C3380CC4-5D6E-409C-BE32-E72D297353CC}">
              <c16:uniqueId val="{00000004-2334-4B8C-8CA4-1B754AD791AD}"/>
            </c:ext>
          </c:extLst>
        </c:ser>
        <c:ser>
          <c:idx val="5"/>
          <c:order val="5"/>
          <c:tx>
            <c:strRef>
              <c:f>'climate finance mainstreaming'!$A$12</c:f>
              <c:strCache>
                <c:ptCount val="1"/>
                <c:pt idx="0">
                  <c:v>European Agricultural Fund for Rural Development</c:v>
                </c:pt>
              </c:strCache>
            </c:strRef>
          </c:tx>
          <c:invertIfNegative val="0"/>
          <c:cat>
            <c:numRef>
              <c:f>'climate finance mainstreaming'!$B$5:$H$5</c:f>
              <c:numCache>
                <c:formatCode>General</c:formatCode>
                <c:ptCount val="7"/>
                <c:pt idx="0">
                  <c:v>2014</c:v>
                </c:pt>
                <c:pt idx="1">
                  <c:v>2015</c:v>
                </c:pt>
                <c:pt idx="2">
                  <c:v>2016</c:v>
                </c:pt>
                <c:pt idx="3">
                  <c:v>2017</c:v>
                </c:pt>
                <c:pt idx="4">
                  <c:v>2018</c:v>
                </c:pt>
                <c:pt idx="5">
                  <c:v>2019</c:v>
                </c:pt>
                <c:pt idx="6">
                  <c:v>2020</c:v>
                </c:pt>
              </c:numCache>
            </c:numRef>
          </c:cat>
          <c:val>
            <c:numRef>
              <c:f>'climate finance mainstreaming'!$B$12:$H$12</c:f>
              <c:numCache>
                <c:formatCode>General</c:formatCode>
                <c:ptCount val="7"/>
                <c:pt idx="0">
                  <c:v>3037</c:v>
                </c:pt>
                <c:pt idx="1">
                  <c:v>10468</c:v>
                </c:pt>
                <c:pt idx="2">
                  <c:v>10756</c:v>
                </c:pt>
                <c:pt idx="3">
                  <c:v>8269</c:v>
                </c:pt>
                <c:pt idx="4">
                  <c:v>8275</c:v>
                </c:pt>
                <c:pt idx="5">
                  <c:v>8453</c:v>
                </c:pt>
                <c:pt idx="6">
                  <c:v>8464</c:v>
                </c:pt>
              </c:numCache>
            </c:numRef>
          </c:val>
          <c:extLst>
            <c:ext xmlns:c16="http://schemas.microsoft.com/office/drawing/2014/chart" uri="{C3380CC4-5D6E-409C-BE32-E72D297353CC}">
              <c16:uniqueId val="{00000005-2334-4B8C-8CA4-1B754AD791AD}"/>
            </c:ext>
          </c:extLst>
        </c:ser>
        <c:ser>
          <c:idx val="6"/>
          <c:order val="6"/>
          <c:tx>
            <c:strRef>
              <c:f>'climate finance mainstreaming'!$A$13</c:f>
              <c:strCache>
                <c:ptCount val="1"/>
                <c:pt idx="0">
                  <c:v>Others</c:v>
                </c:pt>
              </c:strCache>
            </c:strRef>
          </c:tx>
          <c:invertIfNegative val="0"/>
          <c:cat>
            <c:numRef>
              <c:f>'climate finance mainstreaming'!$B$5:$H$5</c:f>
              <c:numCache>
                <c:formatCode>General</c:formatCode>
                <c:ptCount val="7"/>
                <c:pt idx="0">
                  <c:v>2014</c:v>
                </c:pt>
                <c:pt idx="1">
                  <c:v>2015</c:v>
                </c:pt>
                <c:pt idx="2">
                  <c:v>2016</c:v>
                </c:pt>
                <c:pt idx="3">
                  <c:v>2017</c:v>
                </c:pt>
                <c:pt idx="4">
                  <c:v>2018</c:v>
                </c:pt>
                <c:pt idx="5">
                  <c:v>2019</c:v>
                </c:pt>
                <c:pt idx="6">
                  <c:v>2020</c:v>
                </c:pt>
              </c:numCache>
            </c:numRef>
          </c:cat>
          <c:val>
            <c:numRef>
              <c:f>'climate finance mainstreaming'!$B$13:$H$13</c:f>
              <c:numCache>
                <c:formatCode>General</c:formatCode>
                <c:ptCount val="7"/>
                <c:pt idx="0">
                  <c:v>1199.7000000000025</c:v>
                </c:pt>
                <c:pt idx="1">
                  <c:v>1652.5999999999985</c:v>
                </c:pt>
                <c:pt idx="2">
                  <c:v>1939.6000000000058</c:v>
                </c:pt>
                <c:pt idx="3">
                  <c:v>2493.8000000000029</c:v>
                </c:pt>
                <c:pt idx="4">
                  <c:v>3365</c:v>
                </c:pt>
                <c:pt idx="5">
                  <c:v>3496.2999999999956</c:v>
                </c:pt>
                <c:pt idx="6">
                  <c:v>3544.8999999999905</c:v>
                </c:pt>
              </c:numCache>
            </c:numRef>
          </c:val>
          <c:extLst>
            <c:ext xmlns:c16="http://schemas.microsoft.com/office/drawing/2014/chart" uri="{C3380CC4-5D6E-409C-BE32-E72D297353CC}">
              <c16:uniqueId val="{00000006-2334-4B8C-8CA4-1B754AD791AD}"/>
            </c:ext>
          </c:extLst>
        </c:ser>
        <c:dLbls>
          <c:showLegendKey val="0"/>
          <c:showVal val="0"/>
          <c:showCatName val="0"/>
          <c:showSerName val="0"/>
          <c:showPercent val="0"/>
          <c:showBubbleSize val="0"/>
        </c:dLbls>
        <c:gapWidth val="81"/>
        <c:overlap val="100"/>
        <c:axId val="123556224"/>
        <c:axId val="123557760"/>
      </c:barChart>
      <c:lineChart>
        <c:grouping val="standard"/>
        <c:varyColors val="0"/>
        <c:ser>
          <c:idx val="7"/>
          <c:order val="7"/>
          <c:tx>
            <c:strRef>
              <c:f>'climate finance mainstreaming'!$A$3</c:f>
              <c:strCache>
                <c:ptCount val="1"/>
                <c:pt idx="0">
                  <c:v>Share of climate relevant spending in EU budget</c:v>
                </c:pt>
              </c:strCache>
            </c:strRef>
          </c:tx>
          <c:spPr>
            <a:ln>
              <a:solidFill>
                <a:schemeClr val="accent1"/>
              </a:solidFill>
            </a:ln>
          </c:spPr>
          <c:marker>
            <c:symbol val="triangle"/>
            <c:size val="7"/>
            <c:spPr>
              <a:solidFill>
                <a:schemeClr val="accent1"/>
              </a:solidFill>
              <a:ln>
                <a:solidFill>
                  <a:schemeClr val="accent1"/>
                </a:solidFill>
              </a:ln>
            </c:spPr>
          </c:marker>
          <c:dLbls>
            <c:numFmt formatCode="0.0\ %" sourceLinked="0"/>
            <c:spPr>
              <a:noFill/>
              <a:ln>
                <a:noFill/>
              </a:ln>
              <a:effectLst/>
            </c:spPr>
            <c:txPr>
              <a:bodyPr/>
              <a:lstStyle/>
              <a:p>
                <a:pPr>
                  <a:defRPr sz="800"/>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'climate finance mainstreaming'!$B$3:$H$3</c:f>
              <c:numCache>
                <c:formatCode>0.0%</c:formatCode>
                <c:ptCount val="7"/>
                <c:pt idx="0">
                  <c:v>0.1370046904709997</c:v>
                </c:pt>
                <c:pt idx="1">
                  <c:v>0.17904909010066949</c:v>
                </c:pt>
                <c:pt idx="2">
                  <c:v>0.21794549016572518</c:v>
                </c:pt>
                <c:pt idx="3">
                  <c:v>0.2035978515632183</c:v>
                </c:pt>
                <c:pt idx="4">
                  <c:v>0.2067799166713723</c:v>
                </c:pt>
                <c:pt idx="5">
                  <c:v>0.209098578551981</c:v>
                </c:pt>
                <c:pt idx="6">
                  <c:v>0.21014711029430597</c:v>
                </c:pt>
              </c:numCache>
            </c:numRef>
          </c:val>
          <c:smooth val="0"/>
          <c:extLst>
            <c:ext xmlns:c16="http://schemas.microsoft.com/office/drawing/2014/chart" uri="{C3380CC4-5D6E-409C-BE32-E72D297353CC}">
              <c16:uniqueId val="{00000007-2334-4B8C-8CA4-1B754AD791AD}"/>
            </c:ext>
          </c:extLst>
        </c:ser>
        <c:dLbls>
          <c:showLegendKey val="0"/>
          <c:showVal val="0"/>
          <c:showCatName val="0"/>
          <c:showSerName val="0"/>
          <c:showPercent val="0"/>
          <c:showBubbleSize val="0"/>
        </c:dLbls>
        <c:marker val="1"/>
        <c:smooth val="0"/>
        <c:axId val="123569664"/>
        <c:axId val="123568128"/>
      </c:lineChart>
      <c:catAx>
        <c:axId val="123556224"/>
        <c:scaling>
          <c:orientation val="minMax"/>
        </c:scaling>
        <c:delete val="0"/>
        <c:axPos val="b"/>
        <c:numFmt formatCode="General" sourceLinked="1"/>
        <c:majorTickMark val="out"/>
        <c:minorTickMark val="none"/>
        <c:tickLblPos val="nextTo"/>
        <c:txPr>
          <a:bodyPr/>
          <a:lstStyle/>
          <a:p>
            <a:pPr>
              <a:defRPr sz="800"/>
            </a:pPr>
            <a:endParaRPr lang="en-US"/>
          </a:p>
        </c:txPr>
        <c:crossAx val="123557760"/>
        <c:crosses val="autoZero"/>
        <c:auto val="1"/>
        <c:lblAlgn val="ctr"/>
        <c:lblOffset val="100"/>
        <c:noMultiLvlLbl val="0"/>
      </c:catAx>
      <c:valAx>
        <c:axId val="123557760"/>
        <c:scaling>
          <c:orientation val="minMax"/>
        </c:scaling>
        <c:delete val="0"/>
        <c:axPos val="l"/>
        <c:majorGridlines/>
        <c:title>
          <c:tx>
            <c:rich>
              <a:bodyPr rot="-5400000" vert="horz"/>
              <a:lstStyle/>
              <a:p>
                <a:pPr>
                  <a:defRPr sz="900"/>
                </a:pPr>
                <a:r>
                  <a:rPr lang="en-US" sz="900"/>
                  <a:t>EUR million</a:t>
                </a:r>
              </a:p>
            </c:rich>
          </c:tx>
          <c:layout/>
          <c:overlay val="0"/>
        </c:title>
        <c:numFmt formatCode="#\ ##0\ " sourceLinked="0"/>
        <c:majorTickMark val="out"/>
        <c:minorTickMark val="none"/>
        <c:tickLblPos val="nextTo"/>
        <c:txPr>
          <a:bodyPr/>
          <a:lstStyle/>
          <a:p>
            <a:pPr>
              <a:defRPr sz="800"/>
            </a:pPr>
            <a:endParaRPr lang="en-US"/>
          </a:p>
        </c:txPr>
        <c:crossAx val="123556224"/>
        <c:crosses val="autoZero"/>
        <c:crossBetween val="between"/>
      </c:valAx>
      <c:valAx>
        <c:axId val="123568128"/>
        <c:scaling>
          <c:orientation val="minMax"/>
        </c:scaling>
        <c:delete val="0"/>
        <c:axPos val="r"/>
        <c:numFmt formatCode="0\ %" sourceLinked="0"/>
        <c:majorTickMark val="out"/>
        <c:minorTickMark val="none"/>
        <c:tickLblPos val="nextTo"/>
        <c:txPr>
          <a:bodyPr/>
          <a:lstStyle/>
          <a:p>
            <a:pPr>
              <a:defRPr sz="800"/>
            </a:pPr>
            <a:endParaRPr lang="en-US"/>
          </a:p>
        </c:txPr>
        <c:crossAx val="123569664"/>
        <c:crosses val="max"/>
        <c:crossBetween val="between"/>
      </c:valAx>
      <c:catAx>
        <c:axId val="123569664"/>
        <c:scaling>
          <c:orientation val="minMax"/>
        </c:scaling>
        <c:delete val="1"/>
        <c:axPos val="b"/>
        <c:majorTickMark val="out"/>
        <c:minorTickMark val="none"/>
        <c:tickLblPos val="nextTo"/>
        <c:crossAx val="123568128"/>
        <c:crosses val="autoZero"/>
        <c:auto val="1"/>
        <c:lblAlgn val="ctr"/>
        <c:lblOffset val="100"/>
        <c:noMultiLvlLbl val="0"/>
      </c:catAx>
    </c:plotArea>
    <c:legend>
      <c:legendPos val="b"/>
      <c:layout/>
      <c:overlay val="0"/>
      <c:txPr>
        <a:bodyPr/>
        <a:lstStyle/>
        <a:p>
          <a:pPr>
            <a:defRPr sz="80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'Total spending per year'!$B$16</c:f>
              <c:strCache>
                <c:ptCount val="1"/>
                <c:pt idx="0">
                  <c:v>Used for domestic climate and energy purposes</c:v>
                </c:pt>
              </c:strCache>
            </c:strRef>
          </c:tx>
          <c:spPr>
            <a:solidFill>
              <a:schemeClr val="accent1"/>
            </a:solidFill>
            <a:ln>
              <a:noFill/>
            </a:ln>
            <a:effectLst/>
          </c:spPr>
          <c:invertIfNegative val="0"/>
          <c:cat>
            <c:numRef>
              <c:f>'Total spending per year'!$A$17:$A$22</c:f>
              <c:numCache>
                <c:formatCode>General</c:formatCode>
                <c:ptCount val="6"/>
                <c:pt idx="0">
                  <c:v>2013</c:v>
                </c:pt>
                <c:pt idx="1">
                  <c:v>2014</c:v>
                </c:pt>
                <c:pt idx="2">
                  <c:v>2015</c:v>
                </c:pt>
                <c:pt idx="3">
                  <c:v>2016</c:v>
                </c:pt>
                <c:pt idx="4">
                  <c:v>2017</c:v>
                </c:pt>
                <c:pt idx="5">
                  <c:v>2018</c:v>
                </c:pt>
              </c:numCache>
            </c:numRef>
          </c:cat>
          <c:val>
            <c:numRef>
              <c:f>'Total spending per year'!$B$17:$B$22</c:f>
              <c:numCache>
                <c:formatCode>General</c:formatCode>
                <c:ptCount val="6"/>
                <c:pt idx="0">
                  <c:v>2.3224279608599998</c:v>
                </c:pt>
                <c:pt idx="1">
                  <c:v>2.2277942524999998</c:v>
                </c:pt>
                <c:pt idx="2">
                  <c:v>3.3805828999999998</c:v>
                </c:pt>
                <c:pt idx="3">
                  <c:v>2.6044342999999999</c:v>
                </c:pt>
                <c:pt idx="4">
                  <c:v>4.2319604452300004</c:v>
                </c:pt>
                <c:pt idx="5">
                  <c:v>7.4571719999999999</c:v>
                </c:pt>
              </c:numCache>
            </c:numRef>
          </c:val>
          <c:extLst>
            <c:ext xmlns:c16="http://schemas.microsoft.com/office/drawing/2014/chart" uri="{C3380CC4-5D6E-409C-BE32-E72D297353CC}">
              <c16:uniqueId val="{00000000-E6C3-4FF9-88EB-72BDFB24DAD0}"/>
            </c:ext>
          </c:extLst>
        </c:ser>
        <c:ser>
          <c:idx val="1"/>
          <c:order val="1"/>
          <c:tx>
            <c:strRef>
              <c:f>'Total spending per year'!$C$16</c:f>
              <c:strCache>
                <c:ptCount val="1"/>
                <c:pt idx="0">
                  <c:v>Used for international climate and energy purposes</c:v>
                </c:pt>
              </c:strCache>
            </c:strRef>
          </c:tx>
          <c:spPr>
            <a:solidFill>
              <a:schemeClr val="accent2"/>
            </a:solidFill>
            <a:ln>
              <a:noFill/>
            </a:ln>
            <a:effectLst/>
          </c:spPr>
          <c:invertIfNegative val="0"/>
          <c:cat>
            <c:numRef>
              <c:f>'Total spending per year'!$A$17:$A$22</c:f>
              <c:numCache>
                <c:formatCode>General</c:formatCode>
                <c:ptCount val="6"/>
                <c:pt idx="0">
                  <c:v>2013</c:v>
                </c:pt>
                <c:pt idx="1">
                  <c:v>2014</c:v>
                </c:pt>
                <c:pt idx="2">
                  <c:v>2015</c:v>
                </c:pt>
                <c:pt idx="3">
                  <c:v>2016</c:v>
                </c:pt>
                <c:pt idx="4">
                  <c:v>2017</c:v>
                </c:pt>
                <c:pt idx="5">
                  <c:v>2018</c:v>
                </c:pt>
              </c:numCache>
            </c:numRef>
          </c:cat>
          <c:val>
            <c:numRef>
              <c:f>'Total spending per year'!$C$17:$C$22</c:f>
              <c:numCache>
                <c:formatCode>General</c:formatCode>
                <c:ptCount val="6"/>
                <c:pt idx="0">
                  <c:v>0.5293336218600001</c:v>
                </c:pt>
                <c:pt idx="1">
                  <c:v>0.28441317249999998</c:v>
                </c:pt>
                <c:pt idx="2">
                  <c:v>8.4139267500000003E-2</c:v>
                </c:pt>
                <c:pt idx="3">
                  <c:v>0.13766700000000001</c:v>
                </c:pt>
                <c:pt idx="4">
                  <c:v>0.21236938024999999</c:v>
                </c:pt>
                <c:pt idx="5">
                  <c:v>0.53458744699999994</c:v>
                </c:pt>
              </c:numCache>
            </c:numRef>
          </c:val>
          <c:extLst>
            <c:ext xmlns:c16="http://schemas.microsoft.com/office/drawing/2014/chart" uri="{C3380CC4-5D6E-409C-BE32-E72D297353CC}">
              <c16:uniqueId val="{00000001-E6C3-4FF9-88EB-72BDFB24DAD0}"/>
            </c:ext>
          </c:extLst>
        </c:ser>
        <c:ser>
          <c:idx val="2"/>
          <c:order val="2"/>
          <c:tx>
            <c:strRef>
              <c:f>'Total spending per year'!$D$16</c:f>
              <c:strCache>
                <c:ptCount val="1"/>
                <c:pt idx="0">
                  <c:v>Used for climate and energy purposes (unspecified)</c:v>
                </c:pt>
              </c:strCache>
            </c:strRef>
          </c:tx>
          <c:spPr>
            <a:solidFill>
              <a:schemeClr val="accent3"/>
            </a:solidFill>
            <a:ln>
              <a:noFill/>
            </a:ln>
            <a:effectLst/>
          </c:spPr>
          <c:invertIfNegative val="0"/>
          <c:cat>
            <c:numRef>
              <c:f>'Total spending per year'!$A$17:$A$22</c:f>
              <c:numCache>
                <c:formatCode>General</c:formatCode>
                <c:ptCount val="6"/>
                <c:pt idx="0">
                  <c:v>2013</c:v>
                </c:pt>
                <c:pt idx="1">
                  <c:v>2014</c:v>
                </c:pt>
                <c:pt idx="2">
                  <c:v>2015</c:v>
                </c:pt>
                <c:pt idx="3">
                  <c:v>2016</c:v>
                </c:pt>
                <c:pt idx="4">
                  <c:v>2017</c:v>
                </c:pt>
                <c:pt idx="5">
                  <c:v>2018</c:v>
                </c:pt>
              </c:numCache>
            </c:numRef>
          </c:cat>
          <c:val>
            <c:numRef>
              <c:f>'Total spending per year'!$D$17:$D$22</c:f>
              <c:numCache>
                <c:formatCode>General</c:formatCode>
                <c:ptCount val="6"/>
                <c:pt idx="0">
                  <c:v>0.30926805741999996</c:v>
                </c:pt>
                <c:pt idx="1">
                  <c:v>0.28083517000000002</c:v>
                </c:pt>
                <c:pt idx="2">
                  <c:v>0.7026993574999999</c:v>
                </c:pt>
                <c:pt idx="3">
                  <c:v>0.6137429499999999</c:v>
                </c:pt>
                <c:pt idx="4">
                  <c:v>0</c:v>
                </c:pt>
                <c:pt idx="5">
                  <c:v>1.36016382166</c:v>
                </c:pt>
              </c:numCache>
            </c:numRef>
          </c:val>
          <c:extLst>
            <c:ext xmlns:c16="http://schemas.microsoft.com/office/drawing/2014/chart" uri="{C3380CC4-5D6E-409C-BE32-E72D297353CC}">
              <c16:uniqueId val="{00000002-E6C3-4FF9-88EB-72BDFB24DAD0}"/>
            </c:ext>
          </c:extLst>
        </c:ser>
        <c:dLbls>
          <c:showLegendKey val="0"/>
          <c:showVal val="0"/>
          <c:showCatName val="0"/>
          <c:showSerName val="0"/>
          <c:showPercent val="0"/>
          <c:showBubbleSize val="0"/>
        </c:dLbls>
        <c:gapWidth val="75"/>
        <c:overlap val="100"/>
        <c:axId val="535385592"/>
        <c:axId val="535387232"/>
      </c:barChart>
      <c:lineChart>
        <c:grouping val="standard"/>
        <c:varyColors val="0"/>
        <c:ser>
          <c:idx val="3"/>
          <c:order val="3"/>
          <c:tx>
            <c:strRef>
              <c:f>'Total spending per year'!$E$16</c:f>
              <c:strCache>
                <c:ptCount val="1"/>
                <c:pt idx="0">
                  <c:v>Total revenues</c:v>
                </c:pt>
              </c:strCache>
            </c:strRef>
          </c:tx>
          <c:spPr>
            <a:ln w="28575" cap="rnd">
              <a:solidFill>
                <a:schemeClr val="accent4"/>
              </a:solidFill>
              <a:round/>
            </a:ln>
            <a:effectLst/>
          </c:spPr>
          <c:marker>
            <c:symbol val="square"/>
            <c:size val="5"/>
            <c:spPr>
              <a:solidFill>
                <a:schemeClr val="accent4"/>
              </a:solidFill>
              <a:ln w="9525">
                <a:solidFill>
                  <a:schemeClr val="accent4"/>
                </a:solidFill>
              </a:ln>
              <a:effectLst/>
            </c:spPr>
          </c:marker>
          <c:val>
            <c:numRef>
              <c:f>'Total spending per year'!$E$17:$E$22</c:f>
              <c:numCache>
                <c:formatCode>General</c:formatCode>
                <c:ptCount val="6"/>
                <c:pt idx="0">
                  <c:v>3.6844150811400005</c:v>
                </c:pt>
                <c:pt idx="1">
                  <c:v>3.21018413</c:v>
                </c:pt>
                <c:pt idx="2">
                  <c:v>4.9225865199999994</c:v>
                </c:pt>
                <c:pt idx="3">
                  <c:v>3.7879979449999994</c:v>
                </c:pt>
                <c:pt idx="4">
                  <c:v>5.6098683600000001</c:v>
                </c:pt>
                <c:pt idx="5">
                  <c:v>13.910221798999999</c:v>
                </c:pt>
              </c:numCache>
            </c:numRef>
          </c:val>
          <c:smooth val="0"/>
          <c:extLst>
            <c:ext xmlns:c16="http://schemas.microsoft.com/office/drawing/2014/chart" uri="{C3380CC4-5D6E-409C-BE32-E72D297353CC}">
              <c16:uniqueId val="{00000003-E6C3-4FF9-88EB-72BDFB24DAD0}"/>
            </c:ext>
          </c:extLst>
        </c:ser>
        <c:dLbls>
          <c:showLegendKey val="0"/>
          <c:showVal val="0"/>
          <c:showCatName val="0"/>
          <c:showSerName val="0"/>
          <c:showPercent val="0"/>
          <c:showBubbleSize val="0"/>
        </c:dLbls>
        <c:marker val="1"/>
        <c:smooth val="0"/>
        <c:axId val="535385592"/>
        <c:axId val="535387232"/>
      </c:lineChart>
      <c:catAx>
        <c:axId val="53538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387232"/>
        <c:crosses val="autoZero"/>
        <c:auto val="1"/>
        <c:lblAlgn val="ctr"/>
        <c:lblOffset val="100"/>
        <c:noMultiLvlLbl val="0"/>
      </c:catAx>
      <c:valAx>
        <c:axId val="5353872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EUR billion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38559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0.69836</cdr:x>
      <cdr:y>0.03108</cdr:y>
    </cdr:from>
    <cdr:to>
      <cdr:x>0.86066</cdr:x>
      <cdr:y>0.21522</cdr:y>
    </cdr:to>
    <cdr:sp macro="" textlink="">
      <cdr:nvSpPr>
        <cdr:cNvPr id="2" name="Rectangular Callout 1"/>
        <cdr:cNvSpPr/>
      </cdr:nvSpPr>
      <cdr:spPr>
        <a:xfrm xmlns:a="http://schemas.openxmlformats.org/drawingml/2006/main">
          <a:off x="4002657" y="100940"/>
          <a:ext cx="930224" cy="597963"/>
        </a:xfrm>
        <a:prstGeom xmlns:a="http://schemas.openxmlformats.org/drawingml/2006/main" prst="wedgeRectCallout">
          <a:avLst/>
        </a:prstGeom>
        <a:solidFill xmlns:a="http://schemas.openxmlformats.org/drawingml/2006/main">
          <a:schemeClr val="accent2">
            <a:lumMod val="20000"/>
            <a:lumOff val="80000"/>
          </a:schemeClr>
        </a:solidFill>
        <a:ln xmlns:a="http://schemas.openxmlformats.org/drawingml/2006/main">
          <a:solidFill>
            <a:schemeClr val="accent1">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50" b="0">
              <a:solidFill>
                <a:schemeClr val="tx2"/>
              </a:solidFill>
            </a:rPr>
            <a:t>2020-target:</a:t>
          </a:r>
          <a:r>
            <a:rPr lang="en-US" sz="1050" b="0" baseline="0">
              <a:solidFill>
                <a:schemeClr val="tx2"/>
              </a:solidFill>
            </a:rPr>
            <a:t> </a:t>
          </a:r>
        </a:p>
        <a:p xmlns:a="http://schemas.openxmlformats.org/drawingml/2006/main">
          <a:r>
            <a:rPr lang="en-US" sz="1050" b="0" baseline="0">
              <a:solidFill>
                <a:schemeClr val="tx2"/>
              </a:solidFill>
            </a:rPr>
            <a:t>minus 20</a:t>
          </a:r>
          <a:r>
            <a:rPr lang="en-US" sz="1050" b="0" baseline="0">
              <a:solidFill>
                <a:schemeClr val="tx2"/>
              </a:solidFill>
              <a:latin typeface="+mn-lt"/>
              <a:ea typeface="+mn-ea"/>
              <a:cs typeface="+mn-cs"/>
            </a:rPr>
            <a:t>%</a:t>
          </a:r>
          <a:r>
            <a:rPr lang="en-US" sz="1050" b="0" baseline="0">
              <a:solidFill>
                <a:schemeClr val="tx2"/>
              </a:solidFill>
            </a:rPr>
            <a:t> vs. 1990</a:t>
          </a:r>
          <a:endParaRPr lang="en-US" sz="1050" b="0">
            <a:solidFill>
              <a:schemeClr val="tx2"/>
            </a:solidFill>
          </a:endParaRPr>
        </a:p>
      </cdr:txBody>
    </cdr:sp>
  </cdr:relSizeAnchor>
  <cdr:relSizeAnchor xmlns:cdr="http://schemas.openxmlformats.org/drawingml/2006/chartDrawing">
    <cdr:from>
      <cdr:x>0.81013</cdr:x>
      <cdr:y>0.4211</cdr:y>
    </cdr:from>
    <cdr:to>
      <cdr:x>0.98075</cdr:x>
      <cdr:y>0.60339</cdr:y>
    </cdr:to>
    <cdr:sp macro="" textlink="">
      <cdr:nvSpPr>
        <cdr:cNvPr id="3" name="Rectangular Callout 2"/>
        <cdr:cNvSpPr/>
      </cdr:nvSpPr>
      <cdr:spPr>
        <a:xfrm xmlns:a="http://schemas.openxmlformats.org/drawingml/2006/main">
          <a:off x="4643253" y="1367476"/>
          <a:ext cx="977926" cy="591967"/>
        </a:xfrm>
        <a:prstGeom xmlns:a="http://schemas.openxmlformats.org/drawingml/2006/main" prst="wedgeRectCallout">
          <a:avLst>
            <a:gd name="adj1" fmla="val 28071"/>
            <a:gd name="adj2" fmla="val -71452"/>
          </a:avLst>
        </a:prstGeom>
        <a:solidFill xmlns:a="http://schemas.openxmlformats.org/drawingml/2006/main">
          <a:schemeClr val="accent2">
            <a:lumMod val="20000"/>
            <a:lumOff val="80000"/>
          </a:schemeClr>
        </a:solidFill>
        <a:ln xmlns:a="http://schemas.openxmlformats.org/drawingml/2006/main">
          <a:solidFill>
            <a:schemeClr val="accent1">
              <a:lumMod val="60000"/>
              <a:lumOff val="40000"/>
            </a:schemeClr>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50">
              <a:solidFill>
                <a:schemeClr val="tx2"/>
              </a:solidFill>
            </a:rPr>
            <a:t>2030-target: </a:t>
          </a:r>
        </a:p>
        <a:p xmlns:a="http://schemas.openxmlformats.org/drawingml/2006/main">
          <a:r>
            <a:rPr lang="en-US" sz="1050">
              <a:solidFill>
                <a:schemeClr val="tx2"/>
              </a:solidFill>
            </a:rPr>
            <a:t>at least minus</a:t>
          </a:r>
          <a:r>
            <a:rPr lang="en-US" sz="1050" baseline="0">
              <a:solidFill>
                <a:schemeClr val="tx2"/>
              </a:solidFill>
            </a:rPr>
            <a:t> </a:t>
          </a:r>
          <a:r>
            <a:rPr lang="en-US" sz="1050">
              <a:solidFill>
                <a:schemeClr val="tx2"/>
              </a:solidFill>
            </a:rPr>
            <a:t>40</a:t>
          </a:r>
          <a:r>
            <a:rPr lang="en-US" sz="1050">
              <a:solidFill>
                <a:schemeClr val="tx2"/>
              </a:solidFill>
              <a:latin typeface="+mn-lt"/>
              <a:ea typeface="+mn-ea"/>
              <a:cs typeface="+mn-cs"/>
            </a:rPr>
            <a:t>%</a:t>
          </a:r>
          <a:r>
            <a:rPr lang="en-US" sz="1050">
              <a:solidFill>
                <a:schemeClr val="tx2"/>
              </a:solidFill>
            </a:rPr>
            <a:t> vs. 1990</a:t>
          </a:r>
          <a:endParaRPr lang="en-US" sz="1600">
            <a:solidFill>
              <a:schemeClr val="tx2"/>
            </a:solidFill>
          </a:endParaRPr>
        </a:p>
      </cdr:txBody>
    </cdr:sp>
  </cdr:relSizeAnchor>
  <cdr:relSizeAnchor xmlns:cdr="http://schemas.openxmlformats.org/drawingml/2006/chartDrawing">
    <cdr:from>
      <cdr:x>0.55241</cdr:x>
      <cdr:y>0.32056</cdr:y>
    </cdr:from>
    <cdr:to>
      <cdr:x>0.73912</cdr:x>
      <cdr:y>0.49916</cdr:y>
    </cdr:to>
    <cdr:sp macro="" textlink="">
      <cdr:nvSpPr>
        <cdr:cNvPr id="4" name="Rectangular Callout 3"/>
        <cdr:cNvSpPr/>
      </cdr:nvSpPr>
      <cdr:spPr>
        <a:xfrm xmlns:a="http://schemas.openxmlformats.org/drawingml/2006/main">
          <a:off x="3166143" y="1040982"/>
          <a:ext cx="1070131" cy="579999"/>
        </a:xfrm>
        <a:prstGeom xmlns:a="http://schemas.openxmlformats.org/drawingml/2006/main" prst="wedgeRectCallout">
          <a:avLst>
            <a:gd name="adj1" fmla="val 24249"/>
            <a:gd name="adj2" fmla="val -68008"/>
          </a:avLst>
        </a:prstGeom>
        <a:solidFill xmlns:a="http://schemas.openxmlformats.org/drawingml/2006/main">
          <a:schemeClr val="accent1">
            <a:lumMod val="20000"/>
            <a:lumOff val="80000"/>
          </a:schemeClr>
        </a:solidFill>
        <a:ln xmlns:a="http://schemas.openxmlformats.org/drawingml/2006/main">
          <a:solidFill>
            <a:schemeClr val="accent1">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50">
              <a:solidFill>
                <a:schemeClr val="tx2"/>
              </a:solidFill>
            </a:rPr>
            <a:t>2018-emissions: </a:t>
          </a:r>
        </a:p>
        <a:p xmlns:a="http://schemas.openxmlformats.org/drawingml/2006/main">
          <a:r>
            <a:rPr lang="en-US" sz="1050" baseline="0">
              <a:solidFill>
                <a:schemeClr val="tx2"/>
              </a:solidFill>
            </a:rPr>
            <a:t>minus 23</a:t>
          </a:r>
          <a:r>
            <a:rPr lang="en-US" sz="1050" baseline="0">
              <a:solidFill>
                <a:schemeClr val="tx2"/>
              </a:solidFill>
              <a:latin typeface="+mn-lt"/>
              <a:ea typeface="+mn-ea"/>
              <a:cs typeface="+mn-cs"/>
            </a:rPr>
            <a:t>%</a:t>
          </a:r>
          <a:r>
            <a:rPr lang="en-US" sz="1050">
              <a:solidFill>
                <a:schemeClr val="tx2"/>
              </a:solidFill>
            </a:rPr>
            <a:t> </a:t>
          </a:r>
        </a:p>
        <a:p xmlns:a="http://schemas.openxmlformats.org/drawingml/2006/main">
          <a:r>
            <a:rPr lang="en-US" sz="1050">
              <a:solidFill>
                <a:schemeClr val="tx2"/>
              </a:solidFill>
            </a:rPr>
            <a:t>vs. 1990</a:t>
          </a:r>
        </a:p>
      </cdr:txBody>
    </cdr:sp>
  </cdr:relSizeAnchor>
</c:userShapes>
</file>

<file path=word/drawings/drawing2.xml><?xml version="1.0" encoding="utf-8"?>
<c:userShapes xmlns:c="http://schemas.openxmlformats.org/drawingml/2006/chart">
  <cdr:relSizeAnchor xmlns:cdr="http://schemas.openxmlformats.org/drawingml/2006/chartDrawing">
    <cdr:from>
      <cdr:x>0.03942</cdr:x>
      <cdr:y>0.93366</cdr:y>
    </cdr:from>
    <cdr:to>
      <cdr:x>0.92281</cdr:x>
      <cdr:y>0.99052</cdr:y>
    </cdr:to>
    <cdr:sp macro="" textlink="">
      <cdr:nvSpPr>
        <cdr:cNvPr id="2" name="TextBox 1"/>
        <cdr:cNvSpPr txBox="1"/>
      </cdr:nvSpPr>
      <cdr:spPr>
        <a:xfrm xmlns:a="http://schemas.openxmlformats.org/drawingml/2006/main">
          <a:off x="226615" y="3518693"/>
          <a:ext cx="5078016"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0.03735</cdr:x>
      <cdr:y>0.94945</cdr:y>
    </cdr:from>
    <cdr:to>
      <cdr:x>0.97459</cdr:x>
      <cdr:y>1</cdr:y>
    </cdr:to>
    <cdr:sp macro="" textlink="">
      <cdr:nvSpPr>
        <cdr:cNvPr id="3" name="TextBox 2"/>
        <cdr:cNvSpPr txBox="1"/>
      </cdr:nvSpPr>
      <cdr:spPr>
        <a:xfrm xmlns:a="http://schemas.openxmlformats.org/drawingml/2006/main">
          <a:off x="214709" y="3578224"/>
          <a:ext cx="5387578" cy="190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a:t>
          </a:r>
          <a:r>
            <a:rPr lang="en-GB" sz="700" i="1"/>
            <a:t>Combustion</a:t>
          </a:r>
          <a:r>
            <a:rPr lang="en-GB" sz="700" baseline="0"/>
            <a:t> refers to activity 20 "combustion of fuels" in the EU Transaction Log. </a:t>
          </a:r>
          <a:r>
            <a:rPr lang="en-GB" sz="700"/>
            <a:t> </a:t>
          </a:r>
        </a:p>
      </cdr:txBody>
    </cdr:sp>
  </cdr:relSizeAnchor>
</c:userShapes>
</file>

<file path=word/drawings/drawing3.xml><?xml version="1.0" encoding="utf-8"?>
<c:userShapes xmlns:c="http://schemas.openxmlformats.org/drawingml/2006/chart">
  <cdr:relSizeAnchor xmlns:cdr="http://schemas.openxmlformats.org/drawingml/2006/chartDrawing">
    <cdr:from>
      <cdr:x>0.0289</cdr:x>
      <cdr:y>0.92976</cdr:y>
    </cdr:from>
    <cdr:to>
      <cdr:x>0.34198</cdr:x>
      <cdr:y>0.98616</cdr:y>
    </cdr:to>
    <cdr:sp macro="" textlink="">
      <cdr:nvSpPr>
        <cdr:cNvPr id="2" name="TextBox 1"/>
        <cdr:cNvSpPr txBox="1"/>
      </cdr:nvSpPr>
      <cdr:spPr>
        <a:xfrm xmlns:a="http://schemas.openxmlformats.org/drawingml/2006/main">
          <a:off x="313508" y="6460177"/>
          <a:ext cx="3396343" cy="3918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CEACD6A-0CE9-4A12-A87B-580566B95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6023</Words>
  <Characters>32528</Characters>
  <Application>Microsoft Office Word</Application>
  <DocSecurity>0</DocSecurity>
  <Lines>602</Lines>
  <Paragraphs>193</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BORKE Ragnhild (CLIMA)</dc:creator>
  <cp:keywords/>
  <dc:description/>
  <cp:lastModifiedBy>PAGANELI Erifili (SG)</cp:lastModifiedBy>
  <cp:revision>4</cp:revision>
  <cp:lastPrinted>2019-10-17T07:04:00Z</cp:lastPrinted>
  <dcterms:created xsi:type="dcterms:W3CDTF">2019-10-17T07:37:00Z</dcterms:created>
  <dcterms:modified xsi:type="dcterms:W3CDTF">2019-10-30T13:27:00Z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7.0, Build 20190717</vt:lpwstr>
  </property>
  <property fmtid="{D5CDD505-2E9C-101B-9397-08002B2CF9AE}" pid="8" name="Created using">
    <vt:lpwstr>LW 7.0, Build 20190717</vt:lpwstr>
  </property>
</Properties>
</file>