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9D06" w14:textId="3F89944E" w:rsidR="006C22B7" w:rsidRDefault="00BD71DF" w:rsidP="00BD71DF">
      <w:pPr>
        <w:pStyle w:val="Pagedecouverture"/>
      </w:pPr>
      <w:bookmarkStart w:id="0" w:name="LW_BM_COVERPAGE"/>
      <w:r>
        <w:pict w14:anchorId="28C72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E6CE7B-ACA0-45AB-BC8E-2A9A0E305EC5" style="width:450.75pt;height:321pt">
            <v:imagedata r:id="rId8" o:title=""/>
          </v:shape>
        </w:pict>
      </w:r>
    </w:p>
    <w:bookmarkEnd w:id="0"/>
    <w:p w14:paraId="34EC61E4" w14:textId="77777777" w:rsidR="006C22B7" w:rsidRDefault="006C22B7">
      <w:pPr>
        <w:sectPr w:rsidR="006C22B7" w:rsidSect="00BD71DF">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14:paraId="131274B5" w14:textId="2065415E" w:rsidR="006C22B7" w:rsidRDefault="00694984">
      <w:pPr>
        <w:pStyle w:val="Heading1"/>
        <w:spacing w:after="240"/>
        <w:ind w:left="714" w:hanging="357"/>
      </w:pPr>
      <w:bookmarkStart w:id="1" w:name="_GoBack"/>
      <w:bookmarkEnd w:id="1"/>
      <w:r>
        <w:lastRenderedPageBreak/>
        <w:t>RESPECT DES ENGAGEMENTS INTERNATIONAUX DE L’UE</w:t>
      </w:r>
    </w:p>
    <w:p w14:paraId="21246FD4" w14:textId="5C27E223" w:rsidR="006C22B7" w:rsidRDefault="00CE78E6">
      <w:pPr>
        <w:jc w:val="both"/>
        <w:rPr>
          <w:rFonts w:ascii="Times New Roman" w:hAnsi="Times New Roman" w:cs="Times New Roman"/>
          <w:b/>
          <w:i/>
          <w:sz w:val="24"/>
        </w:rPr>
      </w:pPr>
      <w:r>
        <w:rPr>
          <w:rFonts w:ascii="Times New Roman" w:hAnsi="Times New Roman"/>
          <w:b/>
          <w:i/>
        </w:rPr>
        <w:t>Définition d’une vision pour la neutralité climatique d’ici </w:t>
      </w:r>
      <w:r w:rsidRPr="00C75E40">
        <w:rPr>
          <w:rFonts w:ascii="Times New Roman" w:hAnsi="Times New Roman"/>
          <w:b/>
          <w:i/>
        </w:rPr>
        <w:t>2050</w:t>
      </w:r>
    </w:p>
    <w:p w14:paraId="73519969" w14:textId="521ACA4C" w:rsidR="006C22B7" w:rsidRDefault="00675E1B">
      <w:pPr>
        <w:jc w:val="both"/>
        <w:rPr>
          <w:rFonts w:ascii="Times New Roman" w:hAnsi="Times New Roman" w:cs="Times New Roman"/>
          <w:sz w:val="24"/>
        </w:rPr>
      </w:pPr>
      <w:r>
        <w:rPr>
          <w:rFonts w:ascii="Times New Roman" w:hAnsi="Times New Roman"/>
        </w:rPr>
        <w:t>En novembre </w:t>
      </w:r>
      <w:r w:rsidRPr="00C75E40">
        <w:rPr>
          <w:rFonts w:ascii="Times New Roman" w:hAnsi="Times New Roman"/>
        </w:rPr>
        <w:t>2018</w:t>
      </w:r>
      <w:r>
        <w:rPr>
          <w:rFonts w:ascii="Times New Roman" w:hAnsi="Times New Roman"/>
        </w:rPr>
        <w:t>, la Commission européenne a présenté sa vision stratégique intitulée «Une planète propre pour tous»</w:t>
      </w:r>
      <w:r>
        <w:rPr>
          <w:rStyle w:val="FootnoteReference"/>
          <w:rFonts w:ascii="Times New Roman" w:hAnsi="Times New Roman" w:cs="Times New Roman"/>
        </w:rPr>
        <w:footnoteReference w:id="1"/>
      </w:r>
      <w:r>
        <w:rPr>
          <w:rFonts w:ascii="Times New Roman" w:hAnsi="Times New Roman"/>
        </w:rPr>
        <w:t>. Celle-ci indique comment l’Europe peut montrer la voie à suivre pour atteindre la neutralité climatique en investissant dans des solutions technologiques réalistes, en donnant aux citoyens les moyens d’agir et en adaptant l’action à mettre en œuvre dans des domaines clés tels que la politique industrielle, la finance ou la recherche tout en garantissant la justice sociale nécessaire à une transition juste. Le graphique </w:t>
      </w:r>
      <w:r w:rsidRPr="00C75E40">
        <w:rPr>
          <w:rFonts w:ascii="Times New Roman" w:hAnsi="Times New Roman"/>
        </w:rPr>
        <w:t>1</w:t>
      </w:r>
      <w:r>
        <w:rPr>
          <w:rFonts w:ascii="Times New Roman" w:hAnsi="Times New Roman"/>
        </w:rPr>
        <w:t xml:space="preserve"> illustre l’une des voies possibles pour atteindre un bilan neutre d'émission de gaz à effet de serre (GES) en </w:t>
      </w:r>
      <w:r w:rsidRPr="00C75E40">
        <w:rPr>
          <w:rFonts w:ascii="Times New Roman" w:hAnsi="Times New Roman"/>
        </w:rPr>
        <w:t>2050</w:t>
      </w:r>
      <w:r>
        <w:rPr>
          <w:rFonts w:ascii="Times New Roman" w:hAnsi="Times New Roman"/>
        </w:rPr>
        <w:t xml:space="preserve">. </w:t>
      </w:r>
    </w:p>
    <w:p w14:paraId="4C6CBEAB" w14:textId="43DECEDF" w:rsidR="006C22B7" w:rsidRDefault="006C22B7">
      <w:pPr>
        <w:jc w:val="both"/>
        <w:rPr>
          <w:rFonts w:ascii="Times New Roman" w:hAnsi="Times New Roman" w:cs="Times New Roman"/>
          <w:sz w:val="24"/>
        </w:rPr>
      </w:pPr>
    </w:p>
    <w:p w14:paraId="5B4A773E" w14:textId="2E164551" w:rsidR="006C22B7" w:rsidRDefault="00BD71DF">
      <w:pPr>
        <w:pStyle w:val="Caption"/>
        <w:jc w:val="both"/>
      </w:pPr>
      <w:r>
        <w:rPr>
          <w:noProof/>
          <w:lang w:val="en-US"/>
        </w:rPr>
        <w:pict w14:anchorId="087691F5">
          <v:shape id="_x0000_i1026" type="#_x0000_t75" style="width:450.75pt;height:327pt">
            <v:imagedata r:id="rId15" o:title="LTS_FR_editable-page0001"/>
          </v:shape>
        </w:pict>
      </w:r>
    </w:p>
    <w:p w14:paraId="35C894D2" w14:textId="1E4A35EB" w:rsidR="006C22B7" w:rsidRDefault="004D7B88">
      <w:pPr>
        <w:pStyle w:val="Caption"/>
        <w:jc w:val="both"/>
        <w:rPr>
          <w:rFonts w:ascii="Times New Roman" w:hAnsi="Times New Roman"/>
          <w:sz w:val="24"/>
        </w:rPr>
      </w:pPr>
      <w:r>
        <w:t xml:space="preserve">Graphique </w:t>
      </w:r>
      <w:r w:rsidR="00BD71DF">
        <w:fldChar w:fldCharType="begin"/>
      </w:r>
      <w:r w:rsidR="00BD71DF">
        <w:instrText xml:space="preserve"> SEQ Figure \* ARABIC </w:instrText>
      </w:r>
      <w:r w:rsidR="00BD71DF">
        <w:fldChar w:fldCharType="separate"/>
      </w:r>
      <w:r w:rsidRPr="00C75E40">
        <w:t>1</w:t>
      </w:r>
      <w:r w:rsidR="00BD71DF">
        <w:fldChar w:fldCharType="end"/>
      </w:r>
      <w:r>
        <w:t xml:space="preserve">: trajectoire des émissions de GES pour l’Union dans le cas d’un scénario de hausse de température de </w:t>
      </w:r>
      <w:r w:rsidRPr="00C75E40">
        <w:t>1</w:t>
      </w:r>
      <w:r>
        <w:t>,</w:t>
      </w:r>
      <w:r w:rsidRPr="00C75E40">
        <w:t>5</w:t>
      </w:r>
      <w:r>
        <w:t> degré</w:t>
      </w:r>
      <w:r>
        <w:rPr>
          <w:rStyle w:val="FootnoteReference"/>
        </w:rPr>
        <w:footnoteReference w:id="2"/>
      </w:r>
    </w:p>
    <w:p w14:paraId="0B411147" w14:textId="26CFF7C9" w:rsidR="006C22B7" w:rsidRDefault="00675E1B">
      <w:pPr>
        <w:jc w:val="both"/>
        <w:rPr>
          <w:rFonts w:ascii="Times New Roman" w:hAnsi="Times New Roman" w:cs="Times New Roman"/>
          <w:sz w:val="24"/>
        </w:rPr>
      </w:pPr>
      <w:r>
        <w:rPr>
          <w:rFonts w:ascii="Times New Roman" w:hAnsi="Times New Roman"/>
        </w:rPr>
        <w:t xml:space="preserve">La vision stratégique de la Commission constitue une invitation adressée à l’ensemble des institutions de l’Union, aux parlements nationaux, aux entreprises, aux organisations non gouvernementales, aux villes et aux communautés ainsi qu’aux citoyens, notamment les jeunes, à participer aux actions visant à garantir que l’Union européenne peut continuer de montrer l’exemple et encourager d’autres partenaires internationaux à faire de même. La vision stratégique de la Commission a été largement débattue au sein des institutions de l’UE et parmi les parties prenantes en </w:t>
      </w:r>
      <w:r w:rsidRPr="00C75E40">
        <w:rPr>
          <w:rFonts w:ascii="Times New Roman" w:hAnsi="Times New Roman"/>
        </w:rPr>
        <w:t>2019</w:t>
      </w:r>
      <w:r>
        <w:rPr>
          <w:rFonts w:ascii="Times New Roman" w:hAnsi="Times New Roman"/>
        </w:rPr>
        <w:t xml:space="preserve">. Ce débat éclairé constitue un pas en avant vers l’adoption d’une stratégie ambitieuse sur le long terme, qui devra être présentée d’ici le début de </w:t>
      </w:r>
      <w:r w:rsidRPr="00C75E40">
        <w:rPr>
          <w:rFonts w:ascii="Times New Roman" w:hAnsi="Times New Roman"/>
        </w:rPr>
        <w:t>2020</w:t>
      </w:r>
      <w:r>
        <w:rPr>
          <w:rFonts w:ascii="Times New Roman" w:hAnsi="Times New Roman"/>
        </w:rPr>
        <w:t xml:space="preserve"> à la convention-cadre des Nations unies sur les changements climatiques (CCNUCC), en application de l’accord de Paris.</w:t>
      </w:r>
    </w:p>
    <w:p w14:paraId="314134DD" w14:textId="16A06AE0" w:rsidR="006C22B7" w:rsidRDefault="00CE78E6">
      <w:pPr>
        <w:pStyle w:val="Heading2"/>
        <w:spacing w:after="120"/>
      </w:pPr>
      <w:r>
        <w:t xml:space="preserve">En </w:t>
      </w:r>
      <w:r w:rsidRPr="00C75E40">
        <w:t>2018</w:t>
      </w:r>
      <w:r>
        <w:t xml:space="preserve">, les émissions de GES ont chuté de </w:t>
      </w:r>
      <w:r w:rsidRPr="00C75E40">
        <w:t>2</w:t>
      </w:r>
      <w:r>
        <w:t>,</w:t>
      </w:r>
      <w:r w:rsidRPr="00C75E40">
        <w:t>0</w:t>
      </w:r>
      <w:r>
        <w:t xml:space="preserve"> % alors que l’économie européenne n’a cessé de croître.</w:t>
      </w:r>
    </w:p>
    <w:p w14:paraId="7F8708CA" w14:textId="1985487E" w:rsidR="006C22B7" w:rsidRDefault="00CE78E6">
      <w:pPr>
        <w:jc w:val="both"/>
        <w:rPr>
          <w:rFonts w:ascii="Times New Roman" w:hAnsi="Times New Roman" w:cs="Times New Roman"/>
          <w:sz w:val="24"/>
        </w:rPr>
      </w:pPr>
      <w:r>
        <w:rPr>
          <w:rFonts w:ascii="Times New Roman" w:hAnsi="Times New Roman"/>
        </w:rPr>
        <w:t xml:space="preserve">En </w:t>
      </w:r>
      <w:r w:rsidRPr="00C75E40">
        <w:rPr>
          <w:rFonts w:ascii="Times New Roman" w:hAnsi="Times New Roman"/>
        </w:rPr>
        <w:t>2018</w:t>
      </w:r>
      <w:r>
        <w:rPr>
          <w:rFonts w:ascii="Times New Roman" w:hAnsi="Times New Roman"/>
        </w:rPr>
        <w:t xml:space="preserve">, les émissions de gaz à effet de serre de l’Union (aviation internationale incluse) étaient inférieures de </w:t>
      </w:r>
      <w:r w:rsidRPr="00C75E40">
        <w:rPr>
          <w:rFonts w:ascii="Times New Roman" w:hAnsi="Times New Roman"/>
        </w:rPr>
        <w:t>23</w:t>
      </w:r>
      <w:r>
        <w:rPr>
          <w:rFonts w:ascii="Times New Roman" w:hAnsi="Times New Roman"/>
        </w:rPr>
        <w:t xml:space="preserve"> % aux niveaux de </w:t>
      </w:r>
      <w:r w:rsidRPr="00C75E40">
        <w:rPr>
          <w:rFonts w:ascii="Times New Roman" w:hAnsi="Times New Roman"/>
        </w:rPr>
        <w:t>1990</w:t>
      </w:r>
      <w:r>
        <w:rPr>
          <w:rFonts w:ascii="Times New Roman" w:hAnsi="Times New Roman"/>
        </w:rPr>
        <w:t xml:space="preserve">, selon les données préliminaires (voir graphique </w:t>
      </w:r>
      <w:r w:rsidRPr="00C75E40">
        <w:rPr>
          <w:rFonts w:ascii="Times New Roman" w:hAnsi="Times New Roman"/>
        </w:rPr>
        <w:t>2</w:t>
      </w:r>
      <w:r>
        <w:rPr>
          <w:rFonts w:ascii="Times New Roman" w:hAnsi="Times New Roman"/>
        </w:rPr>
        <w:t xml:space="preserve">). L’Union est donc sur la bonne voie pour atteindre l’objectif fixé par la CCNUCC visant à réduire ses émissions de GES de </w:t>
      </w:r>
      <w:r w:rsidRPr="00C75E40">
        <w:rPr>
          <w:rFonts w:ascii="Times New Roman" w:hAnsi="Times New Roman"/>
        </w:rPr>
        <w:t>20</w:t>
      </w:r>
      <w:r>
        <w:rPr>
          <w:rFonts w:ascii="Times New Roman" w:hAnsi="Times New Roman"/>
        </w:rPr>
        <w:t> % d’ici </w:t>
      </w:r>
      <w:r w:rsidRPr="00C75E40">
        <w:rPr>
          <w:rFonts w:ascii="Times New Roman" w:hAnsi="Times New Roman"/>
        </w:rPr>
        <w:t>2020</w:t>
      </w:r>
      <w:r>
        <w:rPr>
          <w:rStyle w:val="FootnoteReference"/>
          <w:rFonts w:ascii="Times New Roman" w:hAnsi="Times New Roman" w:cs="Times New Roman"/>
        </w:rPr>
        <w:footnoteReference w:id="3"/>
      </w:r>
      <w:r>
        <w:rPr>
          <w:rFonts w:ascii="Times New Roman" w:hAnsi="Times New Roman"/>
        </w:rPr>
        <w:t xml:space="preserve">. En </w:t>
      </w:r>
      <w:r w:rsidRPr="00C75E40">
        <w:rPr>
          <w:rFonts w:ascii="Times New Roman" w:hAnsi="Times New Roman"/>
        </w:rPr>
        <w:t>2018</w:t>
      </w:r>
      <w:r>
        <w:rPr>
          <w:rFonts w:ascii="Times New Roman" w:hAnsi="Times New Roman"/>
        </w:rPr>
        <w:t xml:space="preserve">, les émissions ont diminué de </w:t>
      </w:r>
      <w:r w:rsidRPr="00C75E40">
        <w:rPr>
          <w:rFonts w:ascii="Times New Roman" w:hAnsi="Times New Roman"/>
        </w:rPr>
        <w:t>2</w:t>
      </w:r>
      <w:r>
        <w:rPr>
          <w:rFonts w:ascii="Times New Roman" w:hAnsi="Times New Roman"/>
        </w:rPr>
        <w:t>,</w:t>
      </w:r>
      <w:r w:rsidRPr="00C75E40">
        <w:rPr>
          <w:rFonts w:ascii="Times New Roman" w:hAnsi="Times New Roman"/>
        </w:rPr>
        <w:t>0</w:t>
      </w:r>
      <w:r>
        <w:rPr>
          <w:rFonts w:ascii="Times New Roman" w:hAnsi="Times New Roman"/>
        </w:rPr>
        <w:t xml:space="preserve"> % par rapport à </w:t>
      </w:r>
      <w:r w:rsidRPr="00C75E40">
        <w:rPr>
          <w:rFonts w:ascii="Times New Roman" w:hAnsi="Times New Roman"/>
        </w:rPr>
        <w:t>2017</w:t>
      </w:r>
      <w:r>
        <w:rPr>
          <w:rFonts w:ascii="Times New Roman" w:hAnsi="Times New Roman"/>
        </w:rPr>
        <w:t xml:space="preserve">.Les émissions de GES de l’Union ont donc atteint leur niveau le plus bas depuis </w:t>
      </w:r>
      <w:r w:rsidRPr="00C75E40">
        <w:rPr>
          <w:rFonts w:ascii="Times New Roman" w:hAnsi="Times New Roman"/>
        </w:rPr>
        <w:t>1990</w:t>
      </w:r>
      <w:r>
        <w:rPr>
          <w:rFonts w:ascii="Times New Roman" w:hAnsi="Times New Roman"/>
        </w:rPr>
        <w:t xml:space="preserve">. Entre </w:t>
      </w:r>
      <w:r w:rsidRPr="00C75E40">
        <w:rPr>
          <w:rFonts w:ascii="Times New Roman" w:hAnsi="Times New Roman"/>
        </w:rPr>
        <w:t>1990</w:t>
      </w:r>
      <w:r>
        <w:rPr>
          <w:rFonts w:ascii="Times New Roman" w:hAnsi="Times New Roman"/>
        </w:rPr>
        <w:t xml:space="preserve"> et </w:t>
      </w:r>
      <w:r w:rsidRPr="00C75E40">
        <w:rPr>
          <w:rFonts w:ascii="Times New Roman" w:hAnsi="Times New Roman"/>
        </w:rPr>
        <w:t>2018</w:t>
      </w:r>
      <w:r>
        <w:rPr>
          <w:rFonts w:ascii="Times New Roman" w:hAnsi="Times New Roman"/>
        </w:rPr>
        <w:t xml:space="preserve">, le PIB global de l’Union a augmenté de </w:t>
      </w:r>
      <w:r w:rsidRPr="00C75E40">
        <w:rPr>
          <w:rFonts w:ascii="Times New Roman" w:hAnsi="Times New Roman"/>
        </w:rPr>
        <w:t>61</w:t>
      </w:r>
      <w:r>
        <w:rPr>
          <w:rFonts w:ascii="Times New Roman" w:hAnsi="Times New Roman"/>
        </w:rPr>
        <w:t xml:space="preserve"> %. L’intensité des émissions de GES de l’économie, définie comme le rapport entre les émissions et le PIB, est tombée à </w:t>
      </w:r>
      <w:r w:rsidRPr="00C75E40">
        <w:rPr>
          <w:rFonts w:ascii="Times New Roman" w:hAnsi="Times New Roman"/>
        </w:rPr>
        <w:t>303</w:t>
      </w:r>
      <w:r>
        <w:rPr>
          <w:rFonts w:ascii="Times New Roman" w:hAnsi="Times New Roman"/>
        </w:rPr>
        <w:t xml:space="preserve"> g éq. CO</w:t>
      </w:r>
      <w:r w:rsidRPr="00C75E40">
        <w:rPr>
          <w:rFonts w:ascii="Times New Roman" w:hAnsi="Times New Roman"/>
          <w:vertAlign w:val="subscript"/>
        </w:rPr>
        <w:t>2</w:t>
      </w:r>
      <w:r>
        <w:rPr>
          <w:rFonts w:ascii="Times New Roman" w:hAnsi="Times New Roman"/>
        </w:rPr>
        <w:t xml:space="preserve">/EUR, ce qui correspond à moins de la moitié du niveau de </w:t>
      </w:r>
      <w:r w:rsidRPr="00C75E40">
        <w:rPr>
          <w:rFonts w:ascii="Times New Roman" w:hAnsi="Times New Roman"/>
        </w:rPr>
        <w:t>1990</w:t>
      </w:r>
      <w:r>
        <w:rPr>
          <w:rFonts w:ascii="Times New Roman" w:hAnsi="Times New Roman"/>
        </w:rPr>
        <w:t>.</w:t>
      </w:r>
    </w:p>
    <w:p w14:paraId="1F0B54CA" w14:textId="39FD1973" w:rsidR="006C22B7" w:rsidRDefault="00C75E40">
      <w:pPr>
        <w:overflowPunct w:val="0"/>
        <w:autoSpaceDE w:val="0"/>
        <w:autoSpaceDN w:val="0"/>
        <w:adjustRightInd w:val="0"/>
        <w:spacing w:after="240" w:line="276" w:lineRule="auto"/>
        <w:jc w:val="both"/>
        <w:textAlignment w:val="baseline"/>
        <w:rPr>
          <w:rFonts w:ascii="Times New Roman" w:eastAsia="Times New Roman" w:hAnsi="Times New Roman" w:cs="Times New Roman"/>
          <w:color w:val="000000"/>
          <w:sz w:val="24"/>
          <w:szCs w:val="24"/>
        </w:rPr>
      </w:pPr>
      <w:r w:rsidRPr="00C75E40">
        <w:rPr>
          <w:rFonts w:ascii="Times New Roman" w:eastAsia="Times New Roman" w:hAnsi="Times New Roman" w:cs="Times New Roman"/>
          <w:noProof/>
          <w:color w:val="000000"/>
          <w:sz w:val="24"/>
          <w:szCs w:val="24"/>
          <w:lang w:val="en-GB" w:eastAsia="en-GB"/>
        </w:rPr>
        <w:drawing>
          <wp:inline distT="0" distB="0" distL="0" distR="0" wp14:anchorId="3DC62453" wp14:editId="5739E707">
            <wp:extent cx="5731510" cy="3564890"/>
            <wp:effectExtent l="0" t="0" r="2540" b="16510"/>
            <wp:docPr id="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2B0C94" w14:textId="1825A480" w:rsidR="006C22B7" w:rsidRDefault="00D25DC5">
      <w:pPr>
        <w:pStyle w:val="Caption"/>
      </w:pPr>
      <w:r>
        <w:t xml:space="preserve">Graphique </w:t>
      </w:r>
      <w:r w:rsidR="00BD71DF">
        <w:fldChar w:fldCharType="begin"/>
      </w:r>
      <w:r w:rsidR="00BD71DF">
        <w:instrText xml:space="preserve"> SEQ Figure \* ARABIC </w:instrText>
      </w:r>
      <w:r w:rsidR="00BD71DF">
        <w:fldChar w:fldCharType="separate"/>
      </w:r>
      <w:r w:rsidRPr="00C75E40">
        <w:t>2</w:t>
      </w:r>
      <w:r w:rsidR="00BD71DF">
        <w:fldChar w:fldCharType="end"/>
      </w:r>
      <w:r>
        <w:t xml:space="preserve">: émissions totales de GES, y compris l’aviation internationale (émissions passées historiques </w:t>
      </w:r>
      <w:r w:rsidRPr="00C75E40">
        <w:t>1990</w:t>
      </w:r>
      <w:r>
        <w:t>-</w:t>
      </w:r>
      <w:r w:rsidRPr="00C75E40">
        <w:t>2018</w:t>
      </w:r>
      <w:r>
        <w:t>, projections des émissions avec mesures existantes et supplémentaires</w:t>
      </w:r>
      <w:r>
        <w:rPr>
          <w:rStyle w:val="FootnoteReference"/>
        </w:rPr>
        <w:footnoteReference w:id="4"/>
      </w:r>
      <w:r>
        <w:t xml:space="preserve"> </w:t>
      </w:r>
      <w:r w:rsidRPr="00C75E40">
        <w:t>2019</w:t>
      </w:r>
      <w:r>
        <w:t>-</w:t>
      </w:r>
      <w:r w:rsidRPr="00C75E40">
        <w:t>2030</w:t>
      </w:r>
      <w:r>
        <w:t>) et objectifs de réduction des émissions de GES</w:t>
      </w:r>
      <w:r>
        <w:rPr>
          <w:rFonts w:ascii="Times New Roman" w:hAnsi="Times New Roman"/>
        </w:rPr>
        <w:t xml:space="preserve"> </w:t>
      </w:r>
    </w:p>
    <w:p w14:paraId="1BC0AEBD" w14:textId="095023CD" w:rsidR="006C22B7" w:rsidRDefault="00CE78E6">
      <w:pPr>
        <w:jc w:val="both"/>
        <w:rPr>
          <w:rFonts w:ascii="Times New Roman" w:hAnsi="Times New Roman" w:cs="Times New Roman"/>
          <w:sz w:val="24"/>
        </w:rPr>
      </w:pPr>
      <w:r>
        <w:rPr>
          <w:rFonts w:ascii="Times New Roman" w:hAnsi="Times New Roman"/>
        </w:rPr>
        <w:t>Les émissions provenant d’installations fixes couvertes par le système d’échange de quotas d’émission de l’Union européenne (SEQE-UE), qui sont pour la plupart issues de l’industrie ainsi que de la production d’électricité et de chaleur, ont enregistré entre </w:t>
      </w:r>
      <w:r w:rsidRPr="00C75E40">
        <w:rPr>
          <w:rFonts w:ascii="Times New Roman" w:hAnsi="Times New Roman"/>
        </w:rPr>
        <w:t>2017</w:t>
      </w:r>
      <w:r>
        <w:rPr>
          <w:rFonts w:ascii="Times New Roman" w:hAnsi="Times New Roman"/>
        </w:rPr>
        <w:t xml:space="preserve"> et </w:t>
      </w:r>
      <w:r w:rsidRPr="00C75E40">
        <w:rPr>
          <w:rFonts w:ascii="Times New Roman" w:hAnsi="Times New Roman"/>
        </w:rPr>
        <w:t>2018</w:t>
      </w:r>
      <w:r>
        <w:rPr>
          <w:rFonts w:ascii="Times New Roman" w:hAnsi="Times New Roman"/>
        </w:rPr>
        <w:t xml:space="preserve"> une baisse de </w:t>
      </w:r>
      <w:r w:rsidRPr="00C75E40">
        <w:rPr>
          <w:rFonts w:ascii="Times New Roman" w:hAnsi="Times New Roman"/>
        </w:rPr>
        <w:t>4</w:t>
      </w:r>
      <w:r>
        <w:rPr>
          <w:rFonts w:ascii="Times New Roman" w:hAnsi="Times New Roman"/>
        </w:rPr>
        <w:t>,</w:t>
      </w:r>
      <w:r w:rsidRPr="00C75E40">
        <w:rPr>
          <w:rFonts w:ascii="Times New Roman" w:hAnsi="Times New Roman"/>
        </w:rPr>
        <w:t>1</w:t>
      </w:r>
      <w:r>
        <w:rPr>
          <w:rFonts w:ascii="Times New Roman" w:hAnsi="Times New Roman"/>
        </w:rPr>
        <w:t> %</w:t>
      </w:r>
      <w:r>
        <w:rPr>
          <w:rStyle w:val="FootnoteReference"/>
          <w:rFonts w:ascii="Times New Roman" w:hAnsi="Times New Roman" w:cs="Times New Roman"/>
        </w:rPr>
        <w:footnoteReference w:id="5"/>
      </w:r>
      <w:r>
        <w:rPr>
          <w:rFonts w:ascii="Times New Roman" w:hAnsi="Times New Roman"/>
        </w:rPr>
        <w:t xml:space="preserve"> principalement imputable à la production d’électricité et de chaleur. Cette évolution est conformément à la tendance observée ces cinq dernières années, au cours desquelles les émissions provenant de ces secteurs ont diminué de manière significative.</w:t>
      </w:r>
      <w:r w:rsidR="00C75E40">
        <w:rPr>
          <w:rFonts w:ascii="Times New Roman" w:hAnsi="Times New Roman"/>
        </w:rPr>
        <w:t xml:space="preserve"> </w:t>
      </w:r>
      <w:r>
        <w:rPr>
          <w:rFonts w:ascii="Times New Roman" w:hAnsi="Times New Roman"/>
        </w:rPr>
        <w:t xml:space="preserve">Cette situation résulte plus particulièrement des changements de carburants utilisés pour produire la chaleur et l’électricité, notamment une augmentation de l’utilisation de sources d’énergie renouvelables. </w:t>
      </w:r>
    </w:p>
    <w:p w14:paraId="745B1380" w14:textId="04A3DE8C" w:rsidR="006C22B7" w:rsidRDefault="00CE78E6">
      <w:pPr>
        <w:jc w:val="both"/>
        <w:rPr>
          <w:rFonts w:ascii="Times New Roman" w:hAnsi="Times New Roman" w:cs="Times New Roman"/>
          <w:sz w:val="24"/>
        </w:rPr>
      </w:pPr>
      <w:r>
        <w:rPr>
          <w:rFonts w:ascii="Times New Roman" w:hAnsi="Times New Roman"/>
        </w:rPr>
        <w:t xml:space="preserve">Les émissions qui ne sont pas couvertes par le SEQE-UE (telles que les émissions issues des transports, des bâtiments, de l’agriculture et des déchets) ont baissé de </w:t>
      </w:r>
      <w:r w:rsidRPr="00C75E40">
        <w:rPr>
          <w:rFonts w:ascii="Times New Roman" w:hAnsi="Times New Roman"/>
        </w:rPr>
        <w:t>0</w:t>
      </w:r>
      <w:r>
        <w:rPr>
          <w:rFonts w:ascii="Times New Roman" w:hAnsi="Times New Roman"/>
        </w:rPr>
        <w:t>,</w:t>
      </w:r>
      <w:r w:rsidRPr="00C75E40">
        <w:rPr>
          <w:rFonts w:ascii="Times New Roman" w:hAnsi="Times New Roman"/>
        </w:rPr>
        <w:t>9</w:t>
      </w:r>
      <w:r>
        <w:rPr>
          <w:rFonts w:ascii="Times New Roman" w:hAnsi="Times New Roman"/>
        </w:rPr>
        <w:t xml:space="preserve"> % entre </w:t>
      </w:r>
      <w:r w:rsidRPr="00C75E40">
        <w:rPr>
          <w:rFonts w:ascii="Times New Roman" w:hAnsi="Times New Roman"/>
        </w:rPr>
        <w:t>2017</w:t>
      </w:r>
      <w:r>
        <w:rPr>
          <w:rFonts w:ascii="Times New Roman" w:hAnsi="Times New Roman"/>
        </w:rPr>
        <w:t xml:space="preserve"> et </w:t>
      </w:r>
      <w:r w:rsidRPr="00C75E40">
        <w:rPr>
          <w:rFonts w:ascii="Times New Roman" w:hAnsi="Times New Roman"/>
        </w:rPr>
        <w:t>2018</w:t>
      </w:r>
      <w:r>
        <w:rPr>
          <w:rFonts w:ascii="Times New Roman" w:hAnsi="Times New Roman"/>
        </w:rPr>
        <w:t>.</w:t>
      </w:r>
      <w:r w:rsidR="00C75E40">
        <w:rPr>
          <w:rFonts w:ascii="Times New Roman" w:hAnsi="Times New Roman"/>
        </w:rPr>
        <w:t xml:space="preserve"> </w:t>
      </w:r>
      <w:r>
        <w:rPr>
          <w:rFonts w:ascii="Times New Roman" w:hAnsi="Times New Roman"/>
        </w:rPr>
        <w:t>Cette réduction s’opère après trois années de légère augmentation des émissions dans ces secteurs. Elle résulte principalement de la consommation d’énergie dans les bâtiments. Les émissions issues de l’agriculture ont également légèrement baissé, tandis que celles issues des transports ont quelque peu augmenté par rapport à </w:t>
      </w:r>
      <w:r w:rsidRPr="00C75E40">
        <w:rPr>
          <w:rFonts w:ascii="Times New Roman" w:hAnsi="Times New Roman"/>
        </w:rPr>
        <w:t>2017</w:t>
      </w:r>
      <w:r>
        <w:rPr>
          <w:rFonts w:ascii="Times New Roman" w:hAnsi="Times New Roman"/>
        </w:rPr>
        <w:t xml:space="preserve">. </w:t>
      </w:r>
    </w:p>
    <w:p w14:paraId="6E596857" w14:textId="351B770C" w:rsidR="006C22B7" w:rsidRDefault="00CE78E6">
      <w:pPr>
        <w:jc w:val="both"/>
        <w:rPr>
          <w:rFonts w:ascii="Times New Roman" w:hAnsi="Times New Roman" w:cs="Times New Roman"/>
          <w:sz w:val="24"/>
        </w:rPr>
      </w:pPr>
      <w:r>
        <w:rPr>
          <w:rFonts w:ascii="Times New Roman" w:hAnsi="Times New Roman"/>
        </w:rPr>
        <w:t>Par ailleurs, les émissions résultant de l’aviation internationale ont poursuivi leur augmentation en </w:t>
      </w:r>
      <w:r w:rsidRPr="00C75E40">
        <w:rPr>
          <w:rFonts w:ascii="Times New Roman" w:hAnsi="Times New Roman"/>
        </w:rPr>
        <w:t>2018</w:t>
      </w:r>
      <w:r>
        <w:rPr>
          <w:rFonts w:ascii="Times New Roman" w:hAnsi="Times New Roman"/>
        </w:rPr>
        <w:t xml:space="preserve">, avec une hausse de </w:t>
      </w:r>
      <w:r w:rsidRPr="00C75E40">
        <w:rPr>
          <w:rFonts w:ascii="Times New Roman" w:hAnsi="Times New Roman"/>
        </w:rPr>
        <w:t>19</w:t>
      </w:r>
      <w:r>
        <w:rPr>
          <w:rFonts w:ascii="Times New Roman" w:hAnsi="Times New Roman"/>
        </w:rPr>
        <w:t> % au cours de ces cinq dernières années. Ces émissions sont en principe couvertes par le SEQE-UE, qui se limite pour le moment aux vols au sein de l’Espace économique européen (EEE).</w:t>
      </w:r>
      <w:r w:rsidR="00C75E40">
        <w:rPr>
          <w:rFonts w:ascii="Times New Roman" w:hAnsi="Times New Roman"/>
        </w:rPr>
        <w:t xml:space="preserve"> </w:t>
      </w:r>
    </w:p>
    <w:p w14:paraId="7520E613" w14:textId="36B76F2F" w:rsidR="006C22B7" w:rsidRDefault="00D25DC5">
      <w:pPr>
        <w:overflowPunct w:val="0"/>
        <w:autoSpaceDE w:val="0"/>
        <w:autoSpaceDN w:val="0"/>
        <w:adjustRightInd w:val="0"/>
        <w:spacing w:after="120" w:line="276" w:lineRule="auto"/>
        <w:jc w:val="both"/>
        <w:textAlignment w:val="baseline"/>
        <w:rPr>
          <w:rFonts w:ascii="Times New Roman" w:eastAsia="Times New Roman" w:hAnsi="Times New Roman" w:cs="Times New Roman"/>
          <w:b/>
          <w:color w:val="000000"/>
          <w:sz w:val="24"/>
          <w:szCs w:val="24"/>
        </w:rPr>
      </w:pPr>
      <w:r>
        <w:rPr>
          <w:rStyle w:val="Heading2Char"/>
        </w:rPr>
        <w:t>L’Union européenne a mis en place une législation visant à atteindre son objectif fixé pour </w:t>
      </w:r>
      <w:r w:rsidRPr="00C75E40">
        <w:rPr>
          <w:rStyle w:val="Heading2Char"/>
        </w:rPr>
        <w:t>2030</w:t>
      </w:r>
      <w:r>
        <w:rPr>
          <w:rStyle w:val="Heading2Char"/>
        </w:rPr>
        <w:t>.</w:t>
      </w:r>
    </w:p>
    <w:p w14:paraId="247D73B2" w14:textId="78D5D0C9" w:rsidR="006C22B7" w:rsidRDefault="00DF11B4">
      <w:pPr>
        <w:overflowPunct w:val="0"/>
        <w:autoSpaceDE w:val="0"/>
        <w:autoSpaceDN w:val="0"/>
        <w:adjustRightInd w:val="0"/>
        <w:spacing w:after="240" w:line="276" w:lineRule="auto"/>
        <w:jc w:val="both"/>
        <w:textAlignment w:val="baseline"/>
        <w:rPr>
          <w:rFonts w:ascii="Times New Roman" w:eastAsia="Times New Roman" w:hAnsi="Times New Roman" w:cs="Times New Roman"/>
          <w:color w:val="000000"/>
          <w:sz w:val="24"/>
          <w:szCs w:val="24"/>
        </w:rPr>
      </w:pPr>
      <w:r>
        <w:rPr>
          <w:rFonts w:ascii="Times New Roman" w:hAnsi="Times New Roman"/>
        </w:rPr>
        <w:t xml:space="preserve">L’Union a communiqué une contribution déterminée au niveau national, au titre de l’accord de Paris, de réductions des gaz à effet de serre d’au moins </w:t>
      </w:r>
      <w:r w:rsidRPr="00C75E40">
        <w:rPr>
          <w:rFonts w:ascii="Times New Roman" w:hAnsi="Times New Roman"/>
        </w:rPr>
        <w:t>40</w:t>
      </w:r>
      <w:r>
        <w:rPr>
          <w:rFonts w:ascii="Times New Roman" w:hAnsi="Times New Roman"/>
        </w:rPr>
        <w:t> % d’ici </w:t>
      </w:r>
      <w:r w:rsidRPr="00C75E40">
        <w:rPr>
          <w:rFonts w:ascii="Times New Roman" w:hAnsi="Times New Roman"/>
        </w:rPr>
        <w:t>2030</w:t>
      </w:r>
      <w:r>
        <w:rPr>
          <w:rFonts w:ascii="Times New Roman" w:hAnsi="Times New Roman"/>
        </w:rPr>
        <w:t xml:space="preserve"> par rapport à </w:t>
      </w:r>
      <w:r w:rsidRPr="00C75E40">
        <w:rPr>
          <w:rFonts w:ascii="Times New Roman" w:hAnsi="Times New Roman"/>
        </w:rPr>
        <w:t>1990</w:t>
      </w:r>
      <w:r>
        <w:rPr>
          <w:rFonts w:ascii="Times New Roman" w:hAnsi="Times New Roman"/>
        </w:rPr>
        <w:t>. Elle a mis en place une législation, comme l’illustre le graphique </w:t>
      </w:r>
      <w:r w:rsidRPr="00C75E40">
        <w:rPr>
          <w:rFonts w:ascii="Times New Roman" w:hAnsi="Times New Roman"/>
        </w:rPr>
        <w:t>3</w:t>
      </w:r>
      <w:r>
        <w:rPr>
          <w:rFonts w:ascii="Times New Roman" w:hAnsi="Times New Roman"/>
        </w:rPr>
        <w:t xml:space="preserve">, qui permettra de respecter cet engagement. La mise en œuvre effective de l’ensemble des objectifs en matière de climat, d’énergie et de mobilité définis par le droit de l’Union pourrait même entraîner une réduction d’environ </w:t>
      </w:r>
      <w:r w:rsidRPr="00C75E40">
        <w:rPr>
          <w:rFonts w:ascii="Times New Roman" w:hAnsi="Times New Roman"/>
        </w:rPr>
        <w:t>45</w:t>
      </w:r>
      <w:r>
        <w:rPr>
          <w:rFonts w:ascii="Times New Roman" w:hAnsi="Times New Roman"/>
        </w:rPr>
        <w:t xml:space="preserve"> % des GES dans l’UE à </w:t>
      </w:r>
      <w:r w:rsidRPr="00C75E40">
        <w:rPr>
          <w:rFonts w:ascii="Times New Roman" w:hAnsi="Times New Roman"/>
        </w:rPr>
        <w:t>28</w:t>
      </w:r>
      <w:r>
        <w:rPr>
          <w:rFonts w:ascii="Times New Roman" w:hAnsi="Times New Roman"/>
        </w:rPr>
        <w:t xml:space="preserve"> en </w:t>
      </w:r>
      <w:r w:rsidRPr="00C75E40">
        <w:rPr>
          <w:rFonts w:ascii="Times New Roman" w:hAnsi="Times New Roman"/>
        </w:rPr>
        <w:t>2030</w:t>
      </w:r>
      <w:r>
        <w:rPr>
          <w:rFonts w:ascii="Times New Roman" w:hAnsi="Times New Roman"/>
        </w:rPr>
        <w:t xml:space="preserve"> par rapport à </w:t>
      </w:r>
      <w:r w:rsidRPr="00C75E40">
        <w:rPr>
          <w:rFonts w:ascii="Times New Roman" w:hAnsi="Times New Roman"/>
        </w:rPr>
        <w:t>1990</w:t>
      </w:r>
      <w:r>
        <w:rPr>
          <w:rFonts w:ascii="Times New Roman" w:hAnsi="Times New Roman"/>
        </w:rPr>
        <w:t xml:space="preserve">. </w:t>
      </w:r>
    </w:p>
    <w:p w14:paraId="25EE82F6" w14:textId="64A7B0F6" w:rsidR="006C22B7" w:rsidRDefault="00CE78E6">
      <w:pPr>
        <w:pStyle w:val="Heading2"/>
        <w:spacing w:after="120"/>
      </w:pPr>
      <w:r>
        <w:t>Coopération avec la Norvège et l’Islande en vue d’atteindre l’objectif fixé pour </w:t>
      </w:r>
      <w:r w:rsidRPr="00C75E40">
        <w:t>2030</w:t>
      </w:r>
      <w:r>
        <w:t xml:space="preserve"> </w:t>
      </w:r>
    </w:p>
    <w:p w14:paraId="4A22CF30" w14:textId="3DB7B391" w:rsidR="006C22B7" w:rsidRDefault="00CE78E6">
      <w:pPr>
        <w:pStyle w:val="Heading2"/>
        <w:rPr>
          <w:b w:val="0"/>
          <w:i w:val="0"/>
        </w:rPr>
      </w:pPr>
      <w:r>
        <w:rPr>
          <w:b w:val="0"/>
          <w:i w:val="0"/>
        </w:rPr>
        <w:t xml:space="preserve">La Norvège et l’Islande ont accepté de coopérer avec l’Union européenne dans le cadre de la poursuite de leurs objectifs pour </w:t>
      </w:r>
      <w:r w:rsidRPr="00C75E40">
        <w:rPr>
          <w:b w:val="0"/>
          <w:i w:val="0"/>
        </w:rPr>
        <w:t>2030</w:t>
      </w:r>
      <w:r>
        <w:rPr>
          <w:b w:val="0"/>
          <w:i w:val="0"/>
        </w:rPr>
        <w:t xml:space="preserve"> visant à réduire les émissions de GES d’au moins </w:t>
      </w:r>
      <w:r w:rsidRPr="00C75E40">
        <w:rPr>
          <w:b w:val="0"/>
          <w:i w:val="0"/>
        </w:rPr>
        <w:t>40</w:t>
      </w:r>
      <w:r>
        <w:rPr>
          <w:b w:val="0"/>
          <w:i w:val="0"/>
        </w:rPr>
        <w:t xml:space="preserve"> % par rapport aux niveaux de </w:t>
      </w:r>
      <w:r w:rsidRPr="00C75E40">
        <w:rPr>
          <w:b w:val="0"/>
          <w:i w:val="0"/>
        </w:rPr>
        <w:t>1990</w:t>
      </w:r>
      <w:r>
        <w:rPr>
          <w:b w:val="0"/>
          <w:i w:val="0"/>
        </w:rPr>
        <w:t>. Dans le cadre de l’accord sur l’Espace économique européen (accord EEE), la Norvège et l’Islande appliqueront dès </w:t>
      </w:r>
      <w:r w:rsidRPr="00C75E40">
        <w:rPr>
          <w:b w:val="0"/>
          <w:i w:val="0"/>
        </w:rPr>
        <w:t>2021</w:t>
      </w:r>
      <w:r>
        <w:rPr>
          <w:b w:val="0"/>
          <w:i w:val="0"/>
        </w:rPr>
        <w:t xml:space="preserve"> le règlement sur la répartition de l’effort et le règlement relatif à la prise en compte des émissions et des absorptions de gaz à effet de serre résultant de l’utilisation des terres, du changement d’affectation des terres et de la foresterie (UTCATF). La Norvège et l’Islande participent au SEQE-UE depuis </w:t>
      </w:r>
      <w:r w:rsidRPr="00C75E40">
        <w:rPr>
          <w:b w:val="0"/>
          <w:i w:val="0"/>
        </w:rPr>
        <w:t>2008</w:t>
      </w:r>
      <w:r>
        <w:rPr>
          <w:b w:val="0"/>
          <w:i w:val="0"/>
        </w:rPr>
        <w:t>.</w:t>
      </w:r>
    </w:p>
    <w:p w14:paraId="64D80315" w14:textId="77777777" w:rsidR="006C22B7" w:rsidRDefault="006C22B7">
      <w:pPr>
        <w:overflowPunct w:val="0"/>
        <w:autoSpaceDE w:val="0"/>
        <w:autoSpaceDN w:val="0"/>
        <w:adjustRightInd w:val="0"/>
        <w:spacing w:after="240" w:line="276" w:lineRule="auto"/>
        <w:jc w:val="both"/>
        <w:textAlignment w:val="baseline"/>
        <w:rPr>
          <w:rFonts w:ascii="Times New Roman" w:eastAsia="Times New Roman" w:hAnsi="Times New Roman" w:cs="Times New Roman"/>
          <w:color w:val="000000"/>
          <w:sz w:val="24"/>
          <w:szCs w:val="24"/>
        </w:rPr>
      </w:pPr>
    </w:p>
    <w:tbl>
      <w:tblPr>
        <w:tblW w:w="8931" w:type="dxa"/>
        <w:tblInd w:w="108" w:type="dxa"/>
        <w:tblLook w:val="0420" w:firstRow="1" w:lastRow="0" w:firstColumn="0" w:lastColumn="0" w:noHBand="0" w:noVBand="1"/>
      </w:tblPr>
      <w:tblGrid>
        <w:gridCol w:w="1104"/>
        <w:gridCol w:w="1119"/>
        <w:gridCol w:w="1418"/>
        <w:gridCol w:w="1276"/>
        <w:gridCol w:w="1347"/>
        <w:gridCol w:w="1399"/>
        <w:gridCol w:w="1268"/>
      </w:tblGrid>
      <w:tr w:rsidR="006C22B7" w14:paraId="1C941771" w14:textId="77777777" w:rsidTr="004C23CE">
        <w:trPr>
          <w:trHeight w:val="367"/>
        </w:trPr>
        <w:tc>
          <w:tcPr>
            <w:tcW w:w="1133" w:type="dxa"/>
            <w:vMerge w:val="restart"/>
            <w:tcBorders>
              <w:top w:val="single" w:sz="4" w:space="0" w:color="4472C4"/>
              <w:left w:val="single" w:sz="4" w:space="0" w:color="4472C4"/>
              <w:bottom w:val="dotted" w:sz="4" w:space="0" w:color="D9D9D9"/>
              <w:right w:val="dotted" w:sz="4" w:space="0" w:color="D9D9D9"/>
            </w:tcBorders>
            <w:shd w:val="clear" w:color="auto" w:fill="auto"/>
            <w:hideMark/>
          </w:tcPr>
          <w:p w14:paraId="00E56389" w14:textId="77777777" w:rsidR="006C22B7" w:rsidRDefault="000B2576">
            <w:pPr>
              <w:spacing w:after="0" w:line="240" w:lineRule="auto"/>
              <w:jc w:val="both"/>
              <w:rPr>
                <w:rFonts w:ascii="Calibri" w:eastAsia="Times New Roman" w:hAnsi="Calibri" w:cs="Times New Roman"/>
                <w:color w:val="000000"/>
              </w:rPr>
            </w:pPr>
            <w:r>
              <w:rPr>
                <w:rFonts w:ascii="Calibri" w:hAnsi="Calibri"/>
              </w:rPr>
              <w:t> </w:t>
            </w:r>
          </w:p>
        </w:tc>
        <w:tc>
          <w:tcPr>
            <w:tcW w:w="1135"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14:paraId="7B2826B4" w14:textId="77777777" w:rsidR="006C22B7" w:rsidRDefault="000B2576">
            <w:pPr>
              <w:spacing w:after="0" w:line="240" w:lineRule="auto"/>
              <w:jc w:val="center"/>
              <w:rPr>
                <w:rFonts w:ascii="EC Square Sans Pro" w:eastAsia="Times New Roman" w:hAnsi="EC Square Sans Pro" w:cs="Times New Roman"/>
                <w:b/>
                <w:bCs/>
                <w:color w:val="094E9C"/>
                <w:sz w:val="14"/>
                <w:szCs w:val="14"/>
              </w:rPr>
            </w:pPr>
            <w:r>
              <w:rPr>
                <w:rFonts w:ascii="EC Square Sans Pro" w:hAnsi="EC Square Sans Pro"/>
                <w:b/>
                <w:bCs/>
                <w:color w:val="094E9C"/>
                <w:sz w:val="14"/>
                <w:szCs w:val="14"/>
              </w:rPr>
              <w:t>ÉMISSIONS DE GAZ À EFFET DE SERRE</w:t>
            </w:r>
          </w:p>
        </w:tc>
        <w:tc>
          <w:tcPr>
            <w:tcW w:w="1418"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14:paraId="4E61C07A" w14:textId="77777777" w:rsidR="006C22B7" w:rsidRDefault="000B2576">
            <w:pPr>
              <w:spacing w:after="0" w:line="240" w:lineRule="auto"/>
              <w:jc w:val="center"/>
              <w:rPr>
                <w:rFonts w:ascii="EC Square Sans Pro" w:eastAsia="Times New Roman" w:hAnsi="EC Square Sans Pro" w:cs="Times New Roman"/>
                <w:b/>
                <w:bCs/>
                <w:color w:val="094E9C"/>
                <w:sz w:val="14"/>
                <w:szCs w:val="14"/>
              </w:rPr>
            </w:pPr>
            <w:r>
              <w:rPr>
                <w:rFonts w:ascii="EC Square Sans Pro" w:hAnsi="EC Square Sans Pro"/>
                <w:b/>
                <w:bCs/>
                <w:color w:val="094E9C"/>
                <w:sz w:val="14"/>
                <w:szCs w:val="14"/>
              </w:rPr>
              <w:t>ÉNERGIE RENOUVELABLE</w:t>
            </w:r>
          </w:p>
        </w:tc>
        <w:tc>
          <w:tcPr>
            <w:tcW w:w="1276"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14:paraId="1721DBB8" w14:textId="77777777" w:rsidR="006C22B7" w:rsidRDefault="000B2576">
            <w:pPr>
              <w:spacing w:after="0" w:line="240" w:lineRule="auto"/>
              <w:jc w:val="center"/>
              <w:rPr>
                <w:rFonts w:ascii="EC Square Sans Pro" w:eastAsia="Times New Roman" w:hAnsi="EC Square Sans Pro" w:cs="Times New Roman"/>
                <w:b/>
                <w:bCs/>
                <w:color w:val="094E9C"/>
                <w:sz w:val="14"/>
                <w:szCs w:val="14"/>
              </w:rPr>
            </w:pPr>
            <w:r>
              <w:rPr>
                <w:rFonts w:ascii="EC Square Sans Pro" w:hAnsi="EC Square Sans Pro"/>
                <w:b/>
                <w:bCs/>
                <w:color w:val="094E9C"/>
                <w:sz w:val="14"/>
                <w:szCs w:val="14"/>
              </w:rPr>
              <w:t>EFFICACITÉ ÉNERGÉTIQUE</w:t>
            </w:r>
          </w:p>
        </w:tc>
        <w:tc>
          <w:tcPr>
            <w:tcW w:w="1275"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14:paraId="08F6DBB1" w14:textId="77777777" w:rsidR="006C22B7" w:rsidRDefault="000B2576">
            <w:pPr>
              <w:spacing w:after="0" w:line="240" w:lineRule="auto"/>
              <w:jc w:val="center"/>
              <w:rPr>
                <w:rFonts w:ascii="EC Square Sans Pro" w:eastAsia="Times New Roman" w:hAnsi="EC Square Sans Pro" w:cs="Times New Roman"/>
                <w:b/>
                <w:bCs/>
                <w:color w:val="094E9C"/>
                <w:sz w:val="14"/>
                <w:szCs w:val="14"/>
              </w:rPr>
            </w:pPr>
            <w:r>
              <w:rPr>
                <w:rFonts w:ascii="EC Square Sans Pro" w:hAnsi="EC Square Sans Pro"/>
                <w:b/>
                <w:bCs/>
                <w:color w:val="094E9C"/>
                <w:sz w:val="14"/>
                <w:szCs w:val="14"/>
              </w:rPr>
              <w:t>INTERCONNEXION</w:t>
            </w:r>
          </w:p>
        </w:tc>
        <w:tc>
          <w:tcPr>
            <w:tcW w:w="1418" w:type="dxa"/>
            <w:tcBorders>
              <w:top w:val="single" w:sz="4" w:space="0" w:color="4472C4"/>
              <w:left w:val="nil"/>
              <w:bottom w:val="nil"/>
              <w:right w:val="dotted" w:sz="4" w:space="0" w:color="D9D9D9"/>
            </w:tcBorders>
            <w:shd w:val="clear" w:color="auto" w:fill="auto"/>
            <w:vAlign w:val="center"/>
            <w:hideMark/>
          </w:tcPr>
          <w:p w14:paraId="0156D179" w14:textId="77777777" w:rsidR="006C22B7" w:rsidRDefault="000B2576">
            <w:pPr>
              <w:spacing w:after="0" w:line="240" w:lineRule="auto"/>
              <w:jc w:val="center"/>
              <w:rPr>
                <w:rFonts w:ascii="EC Square Sans Pro" w:eastAsia="Times New Roman" w:hAnsi="EC Square Sans Pro" w:cs="Times New Roman"/>
                <w:b/>
                <w:bCs/>
                <w:color w:val="094E9C"/>
                <w:sz w:val="14"/>
                <w:szCs w:val="14"/>
              </w:rPr>
            </w:pPr>
            <w:r>
              <w:rPr>
                <w:rFonts w:ascii="EC Square Sans Pro" w:hAnsi="EC Square Sans Pro"/>
                <w:b/>
                <w:bCs/>
                <w:color w:val="094E9C"/>
                <w:sz w:val="14"/>
                <w:szCs w:val="14"/>
              </w:rPr>
              <w:t>CLIMAT DANS</w:t>
            </w:r>
          </w:p>
        </w:tc>
        <w:tc>
          <w:tcPr>
            <w:tcW w:w="1276" w:type="dxa"/>
            <w:tcBorders>
              <w:top w:val="single" w:sz="4" w:space="0" w:color="4472C4"/>
              <w:left w:val="nil"/>
              <w:bottom w:val="nil"/>
              <w:right w:val="single" w:sz="4" w:space="0" w:color="4472C4"/>
            </w:tcBorders>
            <w:shd w:val="clear" w:color="auto" w:fill="auto"/>
            <w:vAlign w:val="center"/>
            <w:hideMark/>
          </w:tcPr>
          <w:p w14:paraId="7AAEBCF6" w14:textId="77777777" w:rsidR="006C22B7" w:rsidRDefault="000B2576">
            <w:pPr>
              <w:spacing w:after="0" w:line="240" w:lineRule="auto"/>
              <w:jc w:val="center"/>
              <w:rPr>
                <w:rFonts w:ascii="EC Square Sans Pro" w:eastAsia="Times New Roman" w:hAnsi="EC Square Sans Pro" w:cs="Times New Roman"/>
                <w:b/>
                <w:bCs/>
                <w:color w:val="094E9C"/>
                <w:sz w:val="14"/>
                <w:szCs w:val="14"/>
              </w:rPr>
            </w:pPr>
            <w:r>
              <w:rPr>
                <w:rFonts w:ascii="EC Square Sans Pro" w:hAnsi="EC Square Sans Pro"/>
                <w:b/>
                <w:bCs/>
                <w:color w:val="094E9C"/>
                <w:sz w:val="14"/>
                <w:szCs w:val="14"/>
              </w:rPr>
              <w:t>CO</w:t>
            </w:r>
            <w:r w:rsidRPr="00C75E40">
              <w:rPr>
                <w:rFonts w:ascii="EC Square Sans Pro" w:hAnsi="EC Square Sans Pro"/>
                <w:b/>
                <w:bCs/>
                <w:color w:val="094E9C"/>
                <w:sz w:val="14"/>
                <w:szCs w:val="14"/>
                <w:vertAlign w:val="subscript"/>
              </w:rPr>
              <w:t>2</w:t>
            </w:r>
          </w:p>
        </w:tc>
      </w:tr>
      <w:tr w:rsidR="006C22B7" w14:paraId="75CD80F4" w14:textId="77777777" w:rsidTr="004C23CE">
        <w:trPr>
          <w:trHeight w:val="733"/>
        </w:trPr>
        <w:tc>
          <w:tcPr>
            <w:tcW w:w="1133" w:type="dxa"/>
            <w:vMerge/>
            <w:tcBorders>
              <w:top w:val="single" w:sz="4" w:space="0" w:color="4472C4"/>
              <w:left w:val="single" w:sz="4" w:space="0" w:color="4472C4"/>
              <w:bottom w:val="dotted" w:sz="4" w:space="0" w:color="D9D9D9"/>
              <w:right w:val="dotted" w:sz="4" w:space="0" w:color="D9D9D9"/>
            </w:tcBorders>
            <w:vAlign w:val="center"/>
            <w:hideMark/>
          </w:tcPr>
          <w:p w14:paraId="7854029E" w14:textId="77777777" w:rsidR="006C22B7" w:rsidRDefault="006C22B7">
            <w:pPr>
              <w:spacing w:after="0" w:line="240" w:lineRule="auto"/>
              <w:jc w:val="both"/>
              <w:rPr>
                <w:rFonts w:ascii="Calibri" w:eastAsia="Times New Roman" w:hAnsi="Calibri" w:cs="Times New Roman"/>
                <w:color w:val="000000"/>
              </w:rPr>
            </w:pPr>
          </w:p>
        </w:tc>
        <w:tc>
          <w:tcPr>
            <w:tcW w:w="1135" w:type="dxa"/>
            <w:vMerge/>
            <w:tcBorders>
              <w:top w:val="single" w:sz="4" w:space="0" w:color="4472C4"/>
              <w:left w:val="dotted" w:sz="4" w:space="0" w:color="D9D9D9"/>
              <w:bottom w:val="dotted" w:sz="4" w:space="0" w:color="D9D9D9"/>
              <w:right w:val="dotted" w:sz="4" w:space="0" w:color="D9D9D9"/>
            </w:tcBorders>
            <w:vAlign w:val="center"/>
            <w:hideMark/>
          </w:tcPr>
          <w:p w14:paraId="49F56CEC" w14:textId="77777777" w:rsidR="006C22B7" w:rsidRDefault="006C22B7">
            <w:pPr>
              <w:spacing w:after="0" w:line="240" w:lineRule="auto"/>
              <w:jc w:val="center"/>
              <w:rPr>
                <w:rFonts w:ascii="EC Square Sans Pro" w:eastAsia="Times New Roman" w:hAnsi="EC Square Sans Pro" w:cs="Times New Roman"/>
                <w:b/>
                <w:bCs/>
                <w:color w:val="094E9C"/>
                <w:sz w:val="14"/>
                <w:szCs w:val="14"/>
              </w:rPr>
            </w:pPr>
          </w:p>
        </w:tc>
        <w:tc>
          <w:tcPr>
            <w:tcW w:w="1418" w:type="dxa"/>
            <w:vMerge/>
            <w:tcBorders>
              <w:top w:val="single" w:sz="4" w:space="0" w:color="4472C4"/>
              <w:left w:val="dotted" w:sz="4" w:space="0" w:color="D9D9D9"/>
              <w:bottom w:val="dotted" w:sz="4" w:space="0" w:color="D9D9D9"/>
              <w:right w:val="dotted" w:sz="4" w:space="0" w:color="D9D9D9"/>
            </w:tcBorders>
            <w:vAlign w:val="center"/>
            <w:hideMark/>
          </w:tcPr>
          <w:p w14:paraId="67606795" w14:textId="77777777" w:rsidR="006C22B7" w:rsidRDefault="006C22B7">
            <w:pPr>
              <w:spacing w:after="0" w:line="240" w:lineRule="auto"/>
              <w:jc w:val="center"/>
              <w:rPr>
                <w:rFonts w:ascii="EC Square Sans Pro" w:eastAsia="Times New Roman" w:hAnsi="EC Square Sans Pro" w:cs="Times New Roman"/>
                <w:b/>
                <w:bCs/>
                <w:color w:val="094E9C"/>
                <w:sz w:val="14"/>
                <w:szCs w:val="14"/>
              </w:rPr>
            </w:pPr>
          </w:p>
        </w:tc>
        <w:tc>
          <w:tcPr>
            <w:tcW w:w="1276" w:type="dxa"/>
            <w:vMerge/>
            <w:tcBorders>
              <w:top w:val="single" w:sz="4" w:space="0" w:color="4472C4"/>
              <w:left w:val="dotted" w:sz="4" w:space="0" w:color="D9D9D9"/>
              <w:bottom w:val="dotted" w:sz="4" w:space="0" w:color="D9D9D9"/>
              <w:right w:val="dotted" w:sz="4" w:space="0" w:color="D9D9D9"/>
            </w:tcBorders>
            <w:vAlign w:val="center"/>
            <w:hideMark/>
          </w:tcPr>
          <w:p w14:paraId="7872B4C3" w14:textId="77777777" w:rsidR="006C22B7" w:rsidRDefault="006C22B7">
            <w:pPr>
              <w:spacing w:after="0" w:line="240" w:lineRule="auto"/>
              <w:jc w:val="center"/>
              <w:rPr>
                <w:rFonts w:ascii="EC Square Sans Pro" w:eastAsia="Times New Roman" w:hAnsi="EC Square Sans Pro" w:cs="Times New Roman"/>
                <w:b/>
                <w:bCs/>
                <w:color w:val="094E9C"/>
                <w:sz w:val="14"/>
                <w:szCs w:val="14"/>
              </w:rPr>
            </w:pPr>
          </w:p>
        </w:tc>
        <w:tc>
          <w:tcPr>
            <w:tcW w:w="1275" w:type="dxa"/>
            <w:vMerge/>
            <w:tcBorders>
              <w:top w:val="single" w:sz="4" w:space="0" w:color="4472C4"/>
              <w:left w:val="dotted" w:sz="4" w:space="0" w:color="D9D9D9"/>
              <w:bottom w:val="dotted" w:sz="4" w:space="0" w:color="D9D9D9"/>
              <w:right w:val="dotted" w:sz="4" w:space="0" w:color="D9D9D9"/>
            </w:tcBorders>
            <w:vAlign w:val="center"/>
            <w:hideMark/>
          </w:tcPr>
          <w:p w14:paraId="638DA3C9" w14:textId="77777777" w:rsidR="006C22B7" w:rsidRDefault="006C22B7">
            <w:pPr>
              <w:spacing w:after="0" w:line="240" w:lineRule="auto"/>
              <w:jc w:val="center"/>
              <w:rPr>
                <w:rFonts w:ascii="EC Square Sans Pro" w:eastAsia="Times New Roman" w:hAnsi="EC Square Sans Pro" w:cs="Times New Roman"/>
                <w:b/>
                <w:bCs/>
                <w:color w:val="094E9C"/>
                <w:sz w:val="14"/>
                <w:szCs w:val="14"/>
              </w:rPr>
            </w:pPr>
          </w:p>
        </w:tc>
        <w:tc>
          <w:tcPr>
            <w:tcW w:w="1418" w:type="dxa"/>
            <w:tcBorders>
              <w:top w:val="nil"/>
              <w:left w:val="nil"/>
              <w:bottom w:val="dotted" w:sz="4" w:space="0" w:color="D9D9D9"/>
              <w:right w:val="dotted" w:sz="4" w:space="0" w:color="D9D9D9"/>
            </w:tcBorders>
            <w:shd w:val="clear" w:color="auto" w:fill="auto"/>
            <w:vAlign w:val="center"/>
            <w:hideMark/>
          </w:tcPr>
          <w:p w14:paraId="4BD1351A" w14:textId="77777777" w:rsidR="006C22B7" w:rsidRDefault="000B2576">
            <w:pPr>
              <w:spacing w:after="0" w:line="240" w:lineRule="auto"/>
              <w:jc w:val="center"/>
              <w:rPr>
                <w:rFonts w:ascii="EC Square Sans Pro" w:eastAsia="Times New Roman" w:hAnsi="EC Square Sans Pro" w:cs="Times New Roman"/>
                <w:b/>
                <w:bCs/>
                <w:color w:val="094E9C"/>
                <w:sz w:val="14"/>
                <w:szCs w:val="14"/>
              </w:rPr>
            </w:pPr>
            <w:r>
              <w:rPr>
                <w:rFonts w:ascii="EC Square Sans Pro" w:hAnsi="EC Square Sans Pro"/>
                <w:b/>
                <w:bCs/>
                <w:color w:val="094E9C"/>
                <w:sz w:val="14"/>
                <w:szCs w:val="14"/>
              </w:rPr>
              <w:t>LES PROGRAMMES FINANCÉS PAR L’UE</w:t>
            </w:r>
          </w:p>
        </w:tc>
        <w:tc>
          <w:tcPr>
            <w:tcW w:w="1276" w:type="dxa"/>
            <w:tcBorders>
              <w:top w:val="nil"/>
              <w:left w:val="nil"/>
              <w:bottom w:val="dotted" w:sz="4" w:space="0" w:color="D9D9D9"/>
              <w:right w:val="single" w:sz="4" w:space="0" w:color="4472C4"/>
            </w:tcBorders>
            <w:shd w:val="clear" w:color="auto" w:fill="auto"/>
            <w:vAlign w:val="center"/>
            <w:hideMark/>
          </w:tcPr>
          <w:p w14:paraId="33EF138B" w14:textId="77777777" w:rsidR="006C22B7" w:rsidRDefault="000B2576">
            <w:pPr>
              <w:spacing w:after="0" w:line="240" w:lineRule="auto"/>
              <w:jc w:val="center"/>
              <w:rPr>
                <w:rFonts w:ascii="EC Square Sans Pro" w:eastAsia="Times New Roman" w:hAnsi="EC Square Sans Pro" w:cs="Times New Roman"/>
                <w:b/>
                <w:bCs/>
                <w:color w:val="094E9C"/>
                <w:sz w:val="14"/>
                <w:szCs w:val="14"/>
              </w:rPr>
            </w:pPr>
            <w:r>
              <w:rPr>
                <w:rFonts w:ascii="EC Square Sans Pro" w:hAnsi="EC Square Sans Pro"/>
                <w:b/>
                <w:bCs/>
                <w:color w:val="094E9C"/>
                <w:sz w:val="14"/>
                <w:szCs w:val="14"/>
              </w:rPr>
              <w:t>ISSU DE:</w:t>
            </w:r>
          </w:p>
        </w:tc>
      </w:tr>
      <w:tr w:rsidR="006C22B7" w14:paraId="62B196CF" w14:textId="77777777" w:rsidTr="004C23CE">
        <w:trPr>
          <w:trHeight w:val="301"/>
        </w:trPr>
        <w:tc>
          <w:tcPr>
            <w:tcW w:w="1133" w:type="dxa"/>
            <w:vMerge w:val="restart"/>
            <w:tcBorders>
              <w:top w:val="nil"/>
              <w:left w:val="single" w:sz="4" w:space="0" w:color="4472C4"/>
              <w:bottom w:val="dotted" w:sz="4" w:space="0" w:color="D9D9D9"/>
              <w:right w:val="dotted" w:sz="4" w:space="0" w:color="D9D9D9"/>
            </w:tcBorders>
            <w:shd w:val="clear" w:color="auto" w:fill="auto"/>
            <w:vAlign w:val="center"/>
            <w:hideMark/>
          </w:tcPr>
          <w:p w14:paraId="67D8F917" w14:textId="77777777" w:rsidR="006C22B7" w:rsidRDefault="000B2576">
            <w:pPr>
              <w:spacing w:after="0" w:line="240" w:lineRule="auto"/>
              <w:jc w:val="both"/>
              <w:rPr>
                <w:rFonts w:ascii="EC Square Sans Pro" w:eastAsia="Times New Roman" w:hAnsi="EC Square Sans Pro" w:cs="Times New Roman"/>
                <w:b/>
                <w:bCs/>
                <w:color w:val="094E9C"/>
                <w:sz w:val="21"/>
                <w:szCs w:val="21"/>
              </w:rPr>
            </w:pPr>
            <w:r w:rsidRPr="00C75E40">
              <w:rPr>
                <w:rFonts w:ascii="EC Square Sans Pro" w:hAnsi="EC Square Sans Pro"/>
                <w:b/>
                <w:bCs/>
                <w:color w:val="094E9C"/>
                <w:sz w:val="21"/>
                <w:szCs w:val="21"/>
              </w:rPr>
              <w:t>2020</w:t>
            </w:r>
          </w:p>
        </w:tc>
        <w:tc>
          <w:tcPr>
            <w:tcW w:w="1135" w:type="dxa"/>
            <w:vMerge w:val="restart"/>
            <w:tcBorders>
              <w:top w:val="nil"/>
              <w:left w:val="dotted" w:sz="4" w:space="0" w:color="D9D9D9"/>
              <w:bottom w:val="nil"/>
              <w:right w:val="dotted" w:sz="4" w:space="0" w:color="D9D9D9"/>
            </w:tcBorders>
            <w:shd w:val="clear" w:color="auto" w:fill="auto"/>
            <w:vAlign w:val="center"/>
            <w:hideMark/>
          </w:tcPr>
          <w:p w14:paraId="09D8C94A" w14:textId="77777777" w:rsidR="006C22B7" w:rsidRDefault="000B2576">
            <w:pPr>
              <w:spacing w:after="0" w:line="240" w:lineRule="auto"/>
              <w:jc w:val="center"/>
              <w:rPr>
                <w:rFonts w:ascii="EC Square Sans Pro" w:eastAsia="Times New Roman" w:hAnsi="EC Square Sans Pro" w:cs="Times New Roman"/>
                <w:color w:val="808080"/>
                <w:sz w:val="28"/>
                <w:szCs w:val="28"/>
              </w:rPr>
            </w:pPr>
            <w:r>
              <w:rPr>
                <w:rFonts w:ascii="EC Square Sans Pro" w:hAnsi="EC Square Sans Pro"/>
                <w:color w:val="808080"/>
                <w:sz w:val="28"/>
                <w:szCs w:val="28"/>
              </w:rPr>
              <w:t>-</w:t>
            </w:r>
            <w:r w:rsidRPr="00C75E40">
              <w:rPr>
                <w:rFonts w:ascii="EC Square Sans Pro" w:hAnsi="EC Square Sans Pro"/>
                <w:color w:val="808080"/>
                <w:sz w:val="28"/>
                <w:szCs w:val="28"/>
              </w:rPr>
              <w:t>20</w:t>
            </w:r>
            <w:r>
              <w:rPr>
                <w:rFonts w:ascii="EC Square Sans Pro" w:hAnsi="EC Square Sans Pro"/>
                <w:color w:val="808080"/>
                <w:sz w:val="28"/>
                <w:szCs w:val="28"/>
              </w:rPr>
              <w:t> %</w:t>
            </w:r>
          </w:p>
        </w:tc>
        <w:tc>
          <w:tcPr>
            <w:tcW w:w="1418" w:type="dxa"/>
            <w:vMerge w:val="restart"/>
            <w:tcBorders>
              <w:top w:val="nil"/>
              <w:left w:val="dotted" w:sz="4" w:space="0" w:color="D9D9D9"/>
              <w:bottom w:val="nil"/>
              <w:right w:val="dotted" w:sz="4" w:space="0" w:color="D9D9D9"/>
            </w:tcBorders>
            <w:shd w:val="clear" w:color="auto" w:fill="auto"/>
            <w:vAlign w:val="center"/>
            <w:hideMark/>
          </w:tcPr>
          <w:p w14:paraId="5CAEDEDE" w14:textId="77777777" w:rsidR="006C22B7" w:rsidRDefault="000B2576">
            <w:pPr>
              <w:spacing w:after="0" w:line="240" w:lineRule="auto"/>
              <w:jc w:val="center"/>
              <w:rPr>
                <w:rFonts w:ascii="EC Square Sans Pro" w:eastAsia="Times New Roman" w:hAnsi="EC Square Sans Pro" w:cs="Times New Roman"/>
                <w:color w:val="808080"/>
                <w:sz w:val="28"/>
                <w:szCs w:val="28"/>
              </w:rPr>
            </w:pPr>
            <w:r w:rsidRPr="00C75E40">
              <w:rPr>
                <w:rFonts w:ascii="EC Square Sans Pro" w:hAnsi="EC Square Sans Pro"/>
                <w:color w:val="808080"/>
                <w:sz w:val="28"/>
                <w:szCs w:val="28"/>
              </w:rPr>
              <w:t>20</w:t>
            </w:r>
            <w:r>
              <w:rPr>
                <w:rFonts w:ascii="EC Square Sans Pro" w:hAnsi="EC Square Sans Pro"/>
                <w:color w:val="808080"/>
                <w:sz w:val="28"/>
                <w:szCs w:val="28"/>
              </w:rPr>
              <w:t> %</w:t>
            </w:r>
          </w:p>
        </w:tc>
        <w:tc>
          <w:tcPr>
            <w:tcW w:w="1276" w:type="dxa"/>
            <w:vMerge w:val="restart"/>
            <w:tcBorders>
              <w:top w:val="nil"/>
              <w:left w:val="dotted" w:sz="4" w:space="0" w:color="D9D9D9"/>
              <w:bottom w:val="nil"/>
              <w:right w:val="dotted" w:sz="4" w:space="0" w:color="D9D9D9"/>
            </w:tcBorders>
            <w:shd w:val="clear" w:color="auto" w:fill="auto"/>
            <w:vAlign w:val="center"/>
            <w:hideMark/>
          </w:tcPr>
          <w:p w14:paraId="3BA8D353" w14:textId="77777777" w:rsidR="006C22B7" w:rsidRDefault="000B2576">
            <w:pPr>
              <w:spacing w:after="0" w:line="240" w:lineRule="auto"/>
              <w:jc w:val="center"/>
              <w:rPr>
                <w:rFonts w:ascii="EC Square Sans Pro" w:eastAsia="Times New Roman" w:hAnsi="EC Square Sans Pro" w:cs="Times New Roman"/>
                <w:color w:val="808080"/>
                <w:sz w:val="28"/>
                <w:szCs w:val="28"/>
              </w:rPr>
            </w:pPr>
            <w:r w:rsidRPr="00C75E40">
              <w:rPr>
                <w:rFonts w:ascii="EC Square Sans Pro" w:hAnsi="EC Square Sans Pro"/>
                <w:color w:val="808080"/>
                <w:sz w:val="28"/>
                <w:szCs w:val="28"/>
              </w:rPr>
              <w:t>20</w:t>
            </w:r>
            <w:r>
              <w:rPr>
                <w:rFonts w:ascii="EC Square Sans Pro" w:hAnsi="EC Square Sans Pro"/>
                <w:color w:val="808080"/>
                <w:sz w:val="28"/>
                <w:szCs w:val="28"/>
              </w:rPr>
              <w:t> %</w:t>
            </w:r>
          </w:p>
        </w:tc>
        <w:tc>
          <w:tcPr>
            <w:tcW w:w="1275" w:type="dxa"/>
            <w:vMerge w:val="restart"/>
            <w:tcBorders>
              <w:top w:val="nil"/>
              <w:left w:val="dotted" w:sz="4" w:space="0" w:color="D9D9D9"/>
              <w:bottom w:val="nil"/>
              <w:right w:val="dotted" w:sz="4" w:space="0" w:color="D9D9D9"/>
            </w:tcBorders>
            <w:shd w:val="clear" w:color="auto" w:fill="auto"/>
            <w:vAlign w:val="center"/>
            <w:hideMark/>
          </w:tcPr>
          <w:p w14:paraId="56BFE779" w14:textId="77777777" w:rsidR="006C22B7" w:rsidRDefault="000B2576">
            <w:pPr>
              <w:spacing w:after="0" w:line="240" w:lineRule="auto"/>
              <w:jc w:val="center"/>
              <w:rPr>
                <w:rFonts w:ascii="EC Square Sans Pro" w:eastAsia="Times New Roman" w:hAnsi="EC Square Sans Pro" w:cs="Times New Roman"/>
                <w:color w:val="808080"/>
                <w:sz w:val="28"/>
                <w:szCs w:val="28"/>
              </w:rPr>
            </w:pPr>
            <w:r w:rsidRPr="00C75E40">
              <w:rPr>
                <w:rFonts w:ascii="EC Square Sans Pro" w:hAnsi="EC Square Sans Pro"/>
                <w:color w:val="808080"/>
                <w:sz w:val="28"/>
                <w:szCs w:val="28"/>
              </w:rPr>
              <w:t>10</w:t>
            </w:r>
            <w:r>
              <w:rPr>
                <w:rFonts w:ascii="EC Square Sans Pro" w:hAnsi="EC Square Sans Pro"/>
                <w:color w:val="808080"/>
                <w:sz w:val="28"/>
                <w:szCs w:val="28"/>
              </w:rPr>
              <w:t> %</w:t>
            </w:r>
          </w:p>
        </w:tc>
        <w:tc>
          <w:tcPr>
            <w:tcW w:w="1418" w:type="dxa"/>
            <w:tcBorders>
              <w:top w:val="nil"/>
              <w:left w:val="nil"/>
              <w:bottom w:val="nil"/>
              <w:right w:val="dotted" w:sz="4" w:space="0" w:color="D9D9D9"/>
            </w:tcBorders>
            <w:shd w:val="clear" w:color="auto" w:fill="auto"/>
            <w:vAlign w:val="center"/>
            <w:hideMark/>
          </w:tcPr>
          <w:p w14:paraId="1B20025F" w14:textId="77777777" w:rsidR="006C22B7" w:rsidRDefault="000B2576">
            <w:pPr>
              <w:spacing w:after="0" w:line="240" w:lineRule="auto"/>
              <w:jc w:val="center"/>
              <w:rPr>
                <w:rFonts w:ascii="EC Square Sans Pro Medium" w:eastAsia="Times New Roman" w:hAnsi="EC Square Sans Pro Medium" w:cs="Times New Roman"/>
                <w:color w:val="808080"/>
                <w:sz w:val="16"/>
                <w:szCs w:val="16"/>
              </w:rPr>
            </w:pPr>
            <w:r w:rsidRPr="00C75E40">
              <w:rPr>
                <w:rFonts w:ascii="EC Square Sans Pro Medium" w:hAnsi="EC Square Sans Pro Medium"/>
                <w:color w:val="808080"/>
                <w:sz w:val="16"/>
                <w:szCs w:val="16"/>
              </w:rPr>
              <w:t>2014</w:t>
            </w:r>
            <w:r>
              <w:rPr>
                <w:rFonts w:ascii="EC Square Sans Pro Medium" w:hAnsi="EC Square Sans Pro Medium"/>
                <w:color w:val="808080"/>
                <w:sz w:val="16"/>
                <w:szCs w:val="16"/>
              </w:rPr>
              <w:t>-</w:t>
            </w:r>
            <w:r w:rsidRPr="00C75E40">
              <w:rPr>
                <w:rFonts w:ascii="EC Square Sans Pro Medium" w:hAnsi="EC Square Sans Pro Medium"/>
                <w:color w:val="808080"/>
                <w:sz w:val="16"/>
                <w:szCs w:val="16"/>
              </w:rPr>
              <w:t>2020</w:t>
            </w:r>
          </w:p>
        </w:tc>
        <w:tc>
          <w:tcPr>
            <w:tcW w:w="1276" w:type="dxa"/>
            <w:vMerge w:val="restart"/>
            <w:tcBorders>
              <w:top w:val="nil"/>
              <w:left w:val="dotted" w:sz="4" w:space="0" w:color="D9D9D9"/>
              <w:bottom w:val="nil"/>
              <w:right w:val="single" w:sz="4" w:space="0" w:color="4472C4"/>
            </w:tcBorders>
            <w:shd w:val="clear" w:color="auto" w:fill="auto"/>
            <w:hideMark/>
          </w:tcPr>
          <w:p w14:paraId="3607C231" w14:textId="3593DFDD" w:rsidR="006C22B7" w:rsidRDefault="006C22B7">
            <w:pPr>
              <w:spacing w:after="0" w:line="240" w:lineRule="auto"/>
              <w:jc w:val="center"/>
              <w:rPr>
                <w:rFonts w:ascii="Calibri" w:eastAsia="Times New Roman" w:hAnsi="Calibri" w:cs="Times New Roman"/>
                <w:color w:val="000000"/>
              </w:rPr>
            </w:pPr>
          </w:p>
        </w:tc>
      </w:tr>
      <w:tr w:rsidR="006C22B7" w14:paraId="7040B904" w14:textId="77777777" w:rsidTr="004C23CE">
        <w:trPr>
          <w:trHeight w:val="380"/>
        </w:trPr>
        <w:tc>
          <w:tcPr>
            <w:tcW w:w="1133" w:type="dxa"/>
            <w:vMerge/>
            <w:tcBorders>
              <w:top w:val="nil"/>
              <w:left w:val="single" w:sz="4" w:space="0" w:color="4472C4"/>
              <w:bottom w:val="dotted" w:sz="4" w:space="0" w:color="D9D9D9"/>
              <w:right w:val="dotted" w:sz="4" w:space="0" w:color="D9D9D9"/>
            </w:tcBorders>
            <w:vAlign w:val="center"/>
            <w:hideMark/>
          </w:tcPr>
          <w:p w14:paraId="51F36834" w14:textId="77777777" w:rsidR="006C22B7" w:rsidRDefault="006C22B7">
            <w:pPr>
              <w:spacing w:after="0" w:line="240" w:lineRule="auto"/>
              <w:jc w:val="both"/>
              <w:rPr>
                <w:rFonts w:ascii="EC Square Sans Pro" w:eastAsia="Times New Roman" w:hAnsi="EC Square Sans Pro" w:cs="Times New Roman"/>
                <w:b/>
                <w:bCs/>
                <w:color w:val="094E9C"/>
                <w:sz w:val="21"/>
                <w:szCs w:val="21"/>
              </w:rPr>
            </w:pPr>
          </w:p>
        </w:tc>
        <w:tc>
          <w:tcPr>
            <w:tcW w:w="1135" w:type="dxa"/>
            <w:vMerge/>
            <w:tcBorders>
              <w:top w:val="nil"/>
              <w:left w:val="dotted" w:sz="4" w:space="0" w:color="D9D9D9"/>
              <w:bottom w:val="nil"/>
              <w:right w:val="dotted" w:sz="4" w:space="0" w:color="D9D9D9"/>
            </w:tcBorders>
            <w:vAlign w:val="center"/>
            <w:hideMark/>
          </w:tcPr>
          <w:p w14:paraId="01F1670A" w14:textId="77777777" w:rsidR="006C22B7" w:rsidRDefault="006C22B7">
            <w:pPr>
              <w:spacing w:after="0" w:line="240" w:lineRule="auto"/>
              <w:jc w:val="center"/>
              <w:rPr>
                <w:rFonts w:ascii="EC Square Sans Pro" w:eastAsia="Times New Roman" w:hAnsi="EC Square Sans Pro" w:cs="Times New Roman"/>
                <w:color w:val="808080"/>
                <w:sz w:val="28"/>
                <w:szCs w:val="28"/>
              </w:rPr>
            </w:pPr>
          </w:p>
        </w:tc>
        <w:tc>
          <w:tcPr>
            <w:tcW w:w="1418" w:type="dxa"/>
            <w:vMerge/>
            <w:tcBorders>
              <w:top w:val="nil"/>
              <w:left w:val="dotted" w:sz="4" w:space="0" w:color="D9D9D9"/>
              <w:bottom w:val="nil"/>
              <w:right w:val="dotted" w:sz="4" w:space="0" w:color="D9D9D9"/>
            </w:tcBorders>
            <w:vAlign w:val="center"/>
            <w:hideMark/>
          </w:tcPr>
          <w:p w14:paraId="250A9D70" w14:textId="77777777" w:rsidR="006C22B7" w:rsidRDefault="006C22B7">
            <w:pPr>
              <w:spacing w:after="0" w:line="240" w:lineRule="auto"/>
              <w:jc w:val="center"/>
              <w:rPr>
                <w:rFonts w:ascii="EC Square Sans Pro" w:eastAsia="Times New Roman" w:hAnsi="EC Square Sans Pro" w:cs="Times New Roman"/>
                <w:color w:val="808080"/>
                <w:sz w:val="28"/>
                <w:szCs w:val="28"/>
              </w:rPr>
            </w:pPr>
          </w:p>
        </w:tc>
        <w:tc>
          <w:tcPr>
            <w:tcW w:w="1276" w:type="dxa"/>
            <w:vMerge/>
            <w:tcBorders>
              <w:top w:val="nil"/>
              <w:left w:val="dotted" w:sz="4" w:space="0" w:color="D9D9D9"/>
              <w:bottom w:val="nil"/>
              <w:right w:val="dotted" w:sz="4" w:space="0" w:color="D9D9D9"/>
            </w:tcBorders>
            <w:vAlign w:val="center"/>
            <w:hideMark/>
          </w:tcPr>
          <w:p w14:paraId="23468B03" w14:textId="77777777" w:rsidR="006C22B7" w:rsidRDefault="006C22B7">
            <w:pPr>
              <w:spacing w:after="0" w:line="240" w:lineRule="auto"/>
              <w:jc w:val="center"/>
              <w:rPr>
                <w:rFonts w:ascii="EC Square Sans Pro" w:eastAsia="Times New Roman" w:hAnsi="EC Square Sans Pro" w:cs="Times New Roman"/>
                <w:color w:val="808080"/>
                <w:sz w:val="28"/>
                <w:szCs w:val="28"/>
              </w:rPr>
            </w:pPr>
          </w:p>
        </w:tc>
        <w:tc>
          <w:tcPr>
            <w:tcW w:w="1275" w:type="dxa"/>
            <w:vMerge/>
            <w:tcBorders>
              <w:top w:val="nil"/>
              <w:left w:val="dotted" w:sz="4" w:space="0" w:color="D9D9D9"/>
              <w:bottom w:val="nil"/>
              <w:right w:val="dotted" w:sz="4" w:space="0" w:color="D9D9D9"/>
            </w:tcBorders>
            <w:vAlign w:val="center"/>
            <w:hideMark/>
          </w:tcPr>
          <w:p w14:paraId="644FBAD8" w14:textId="77777777" w:rsidR="006C22B7" w:rsidRDefault="006C22B7">
            <w:pPr>
              <w:spacing w:after="0" w:line="240" w:lineRule="auto"/>
              <w:jc w:val="center"/>
              <w:rPr>
                <w:rFonts w:ascii="EC Square Sans Pro" w:eastAsia="Times New Roman" w:hAnsi="EC Square Sans Pro" w:cs="Times New Roman"/>
                <w:color w:val="808080"/>
                <w:sz w:val="28"/>
                <w:szCs w:val="28"/>
              </w:rPr>
            </w:pPr>
          </w:p>
        </w:tc>
        <w:tc>
          <w:tcPr>
            <w:tcW w:w="1418" w:type="dxa"/>
            <w:tcBorders>
              <w:top w:val="nil"/>
              <w:left w:val="nil"/>
              <w:bottom w:val="nil"/>
              <w:right w:val="dotted" w:sz="4" w:space="0" w:color="D9D9D9"/>
            </w:tcBorders>
            <w:shd w:val="clear" w:color="auto" w:fill="auto"/>
            <w:vAlign w:val="center"/>
            <w:hideMark/>
          </w:tcPr>
          <w:p w14:paraId="61BFD89E" w14:textId="77777777" w:rsidR="006C22B7" w:rsidRDefault="000B2576">
            <w:pPr>
              <w:spacing w:after="0" w:line="240" w:lineRule="auto"/>
              <w:jc w:val="center"/>
              <w:rPr>
                <w:rFonts w:ascii="EC Square Sans Pro" w:eastAsia="Times New Roman" w:hAnsi="EC Square Sans Pro" w:cs="Times New Roman"/>
                <w:color w:val="808080"/>
                <w:sz w:val="28"/>
                <w:szCs w:val="28"/>
              </w:rPr>
            </w:pPr>
            <w:r w:rsidRPr="00C75E40">
              <w:rPr>
                <w:rFonts w:ascii="EC Square Sans Pro" w:hAnsi="EC Square Sans Pro"/>
                <w:color w:val="808080"/>
                <w:sz w:val="28"/>
                <w:szCs w:val="28"/>
              </w:rPr>
              <w:t>20</w:t>
            </w:r>
            <w:r>
              <w:rPr>
                <w:rFonts w:ascii="EC Square Sans Pro" w:hAnsi="EC Square Sans Pro"/>
                <w:color w:val="808080"/>
                <w:sz w:val="28"/>
                <w:szCs w:val="28"/>
              </w:rPr>
              <w:t> %</w:t>
            </w:r>
          </w:p>
        </w:tc>
        <w:tc>
          <w:tcPr>
            <w:tcW w:w="1276" w:type="dxa"/>
            <w:vMerge/>
            <w:tcBorders>
              <w:top w:val="nil"/>
              <w:left w:val="dotted" w:sz="4" w:space="0" w:color="D9D9D9"/>
              <w:bottom w:val="nil"/>
              <w:right w:val="single" w:sz="4" w:space="0" w:color="4472C4"/>
            </w:tcBorders>
            <w:vAlign w:val="center"/>
            <w:hideMark/>
          </w:tcPr>
          <w:p w14:paraId="17E611AC" w14:textId="77777777" w:rsidR="006C22B7" w:rsidRDefault="006C22B7">
            <w:pPr>
              <w:spacing w:after="0" w:line="240" w:lineRule="auto"/>
              <w:jc w:val="center"/>
              <w:rPr>
                <w:rFonts w:ascii="Calibri" w:eastAsia="Times New Roman" w:hAnsi="Calibri" w:cs="Times New Roman"/>
                <w:color w:val="000000"/>
              </w:rPr>
            </w:pPr>
          </w:p>
        </w:tc>
      </w:tr>
      <w:tr w:rsidR="006C22B7" w14:paraId="1C08AD7A" w14:textId="77777777" w:rsidTr="004C23CE">
        <w:trPr>
          <w:trHeight w:val="393"/>
        </w:trPr>
        <w:tc>
          <w:tcPr>
            <w:tcW w:w="1133" w:type="dxa"/>
            <w:tcBorders>
              <w:top w:val="nil"/>
              <w:left w:val="single" w:sz="4" w:space="0" w:color="4472C4"/>
              <w:bottom w:val="nil"/>
              <w:right w:val="nil"/>
            </w:tcBorders>
            <w:shd w:val="clear" w:color="auto" w:fill="auto"/>
            <w:vAlign w:val="center"/>
            <w:hideMark/>
          </w:tcPr>
          <w:p w14:paraId="7E06BDDE" w14:textId="77777777" w:rsidR="006C22B7" w:rsidRDefault="000B2576">
            <w:pPr>
              <w:spacing w:after="0" w:line="240" w:lineRule="auto"/>
              <w:jc w:val="both"/>
              <w:rPr>
                <w:rFonts w:ascii="EC Square Sans Pro" w:eastAsia="Times New Roman" w:hAnsi="EC Square Sans Pro" w:cs="Times New Roman"/>
                <w:b/>
                <w:bCs/>
                <w:color w:val="094E9C"/>
                <w:sz w:val="21"/>
                <w:szCs w:val="21"/>
              </w:rPr>
            </w:pPr>
            <w:r>
              <w:rPr>
                <w:rFonts w:ascii="Calibri" w:hAnsi="Calibri"/>
                <w:b/>
                <w:bCs/>
                <w:color w:val="094E9C"/>
                <w:sz w:val="21"/>
                <w:szCs w:val="21"/>
              </w:rPr>
              <w:t> </w:t>
            </w:r>
          </w:p>
        </w:tc>
        <w:tc>
          <w:tcPr>
            <w:tcW w:w="1135" w:type="dxa"/>
            <w:tcBorders>
              <w:top w:val="nil"/>
              <w:left w:val="nil"/>
              <w:bottom w:val="nil"/>
              <w:right w:val="nil"/>
            </w:tcBorders>
            <w:shd w:val="clear" w:color="auto" w:fill="auto"/>
            <w:vAlign w:val="center"/>
            <w:hideMark/>
          </w:tcPr>
          <w:p w14:paraId="63AEF1BF" w14:textId="77777777" w:rsidR="006C22B7" w:rsidRDefault="006C22B7">
            <w:pPr>
              <w:spacing w:after="0" w:line="240" w:lineRule="auto"/>
              <w:jc w:val="center"/>
              <w:rPr>
                <w:rFonts w:ascii="EC Square Sans Pro" w:eastAsia="Times New Roman" w:hAnsi="EC Square Sans Pro" w:cs="Times New Roman"/>
                <w:b/>
                <w:bCs/>
                <w:color w:val="094E9C"/>
                <w:sz w:val="21"/>
                <w:szCs w:val="21"/>
              </w:rPr>
            </w:pPr>
          </w:p>
        </w:tc>
        <w:tc>
          <w:tcPr>
            <w:tcW w:w="1418" w:type="dxa"/>
            <w:tcBorders>
              <w:top w:val="nil"/>
              <w:left w:val="nil"/>
              <w:bottom w:val="nil"/>
              <w:right w:val="nil"/>
            </w:tcBorders>
            <w:shd w:val="clear" w:color="auto" w:fill="auto"/>
            <w:noWrap/>
            <w:vAlign w:val="bottom"/>
            <w:hideMark/>
          </w:tcPr>
          <w:p w14:paraId="497D0F38" w14:textId="77777777" w:rsidR="006C22B7" w:rsidRDefault="006C22B7">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5DBDA139" w14:textId="77777777" w:rsidR="006C22B7" w:rsidRDefault="006C22B7">
            <w:pPr>
              <w:spacing w:after="0" w:line="240" w:lineRule="auto"/>
              <w:jc w:val="center"/>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vAlign w:val="center"/>
            <w:hideMark/>
          </w:tcPr>
          <w:p w14:paraId="4EDEE54B" w14:textId="77777777" w:rsidR="006C22B7" w:rsidRDefault="006C22B7">
            <w:pPr>
              <w:spacing w:after="0" w:line="240" w:lineRule="auto"/>
              <w:jc w:val="center"/>
              <w:rPr>
                <w:rFonts w:ascii="Times New Roman" w:eastAsia="Times New Roman" w:hAnsi="Times New Roman" w:cs="Times New Roman"/>
                <w:sz w:val="20"/>
                <w:szCs w:val="20"/>
              </w:rPr>
            </w:pPr>
          </w:p>
        </w:tc>
        <w:tc>
          <w:tcPr>
            <w:tcW w:w="1418" w:type="dxa"/>
            <w:tcBorders>
              <w:top w:val="nil"/>
              <w:left w:val="nil"/>
              <w:bottom w:val="nil"/>
              <w:right w:val="dotted" w:sz="4" w:space="0" w:color="FFFFFF"/>
            </w:tcBorders>
            <w:shd w:val="clear" w:color="000000" w:fill="7ABD70"/>
            <w:vAlign w:val="center"/>
            <w:hideMark/>
          </w:tcPr>
          <w:p w14:paraId="580F4310" w14:textId="77777777" w:rsidR="006C22B7" w:rsidRDefault="000B2576">
            <w:pPr>
              <w:spacing w:after="0" w:line="240" w:lineRule="auto"/>
              <w:jc w:val="center"/>
              <w:rPr>
                <w:rFonts w:ascii="EC Square Sans Pro Medium" w:eastAsia="Times New Roman" w:hAnsi="EC Square Sans Pro Medium" w:cs="Times New Roman"/>
                <w:color w:val="FFFFFF"/>
                <w:sz w:val="16"/>
                <w:szCs w:val="16"/>
              </w:rPr>
            </w:pPr>
            <w:r w:rsidRPr="00C75E40">
              <w:rPr>
                <w:rFonts w:ascii="EC Square Sans Pro Medium" w:hAnsi="EC Square Sans Pro Medium"/>
                <w:color w:val="FFFFFF"/>
                <w:sz w:val="16"/>
                <w:szCs w:val="16"/>
              </w:rPr>
              <w:t>2021</w:t>
            </w:r>
            <w:r>
              <w:rPr>
                <w:rFonts w:ascii="EC Square Sans Pro Medium" w:hAnsi="EC Square Sans Pro Medium"/>
                <w:color w:val="FFFFFF"/>
                <w:sz w:val="16"/>
                <w:szCs w:val="16"/>
              </w:rPr>
              <w:t>-</w:t>
            </w:r>
            <w:r w:rsidRPr="00C75E40">
              <w:rPr>
                <w:rFonts w:ascii="EC Square Sans Pro Medium" w:hAnsi="EC Square Sans Pro Medium"/>
                <w:color w:val="FFFFFF"/>
                <w:sz w:val="16"/>
                <w:szCs w:val="16"/>
              </w:rPr>
              <w:t>2027</w:t>
            </w:r>
          </w:p>
        </w:tc>
        <w:tc>
          <w:tcPr>
            <w:tcW w:w="1276" w:type="dxa"/>
            <w:tcBorders>
              <w:top w:val="nil"/>
              <w:left w:val="nil"/>
              <w:bottom w:val="nil"/>
              <w:right w:val="single" w:sz="4" w:space="0" w:color="4472C4"/>
            </w:tcBorders>
            <w:shd w:val="clear" w:color="000000" w:fill="86C250"/>
            <w:vAlign w:val="center"/>
            <w:hideMark/>
          </w:tcPr>
          <w:p w14:paraId="5C8CAE54" w14:textId="77777777" w:rsidR="006C22B7" w:rsidRDefault="000B2576">
            <w:pPr>
              <w:spacing w:after="0" w:line="240" w:lineRule="auto"/>
              <w:jc w:val="center"/>
              <w:rPr>
                <w:rFonts w:ascii="EC Square Sans Pro Medium" w:eastAsia="Times New Roman" w:hAnsi="EC Square Sans Pro Medium" w:cs="Times New Roman"/>
                <w:color w:val="FFFFFF"/>
                <w:sz w:val="16"/>
                <w:szCs w:val="16"/>
              </w:rPr>
            </w:pPr>
            <w:r>
              <w:rPr>
                <w:rFonts w:ascii="EC Square Sans Pro Medium" w:hAnsi="EC Square Sans Pro Medium"/>
                <w:color w:val="FFFFFF"/>
                <w:sz w:val="16"/>
                <w:szCs w:val="16"/>
              </w:rPr>
              <w:t>VOITURES</w:t>
            </w:r>
          </w:p>
        </w:tc>
      </w:tr>
      <w:tr w:rsidR="006C22B7" w14:paraId="2F3ADC57" w14:textId="77777777" w:rsidTr="004C23CE">
        <w:trPr>
          <w:trHeight w:val="301"/>
        </w:trPr>
        <w:tc>
          <w:tcPr>
            <w:tcW w:w="1133" w:type="dxa"/>
            <w:vMerge w:val="restart"/>
            <w:tcBorders>
              <w:top w:val="dotted" w:sz="4" w:space="0" w:color="D9D9D9"/>
              <w:left w:val="single" w:sz="4" w:space="0" w:color="4472C4"/>
              <w:bottom w:val="dotted" w:sz="4" w:space="0" w:color="D9D9D9"/>
              <w:right w:val="nil"/>
            </w:tcBorders>
            <w:shd w:val="clear" w:color="auto" w:fill="auto"/>
            <w:vAlign w:val="center"/>
            <w:hideMark/>
          </w:tcPr>
          <w:p w14:paraId="13F3D673" w14:textId="77777777" w:rsidR="006C22B7" w:rsidRDefault="000B2576">
            <w:pPr>
              <w:spacing w:after="0" w:line="240" w:lineRule="auto"/>
              <w:jc w:val="both"/>
              <w:rPr>
                <w:rFonts w:ascii="EC Square Sans Pro" w:eastAsia="Times New Roman" w:hAnsi="EC Square Sans Pro" w:cs="Times New Roman"/>
                <w:b/>
                <w:bCs/>
                <w:color w:val="094E9C"/>
                <w:sz w:val="21"/>
                <w:szCs w:val="21"/>
              </w:rPr>
            </w:pPr>
            <w:r w:rsidRPr="00C75E40">
              <w:rPr>
                <w:rFonts w:ascii="EC Square Sans Pro" w:hAnsi="EC Square Sans Pro"/>
                <w:b/>
                <w:bCs/>
                <w:color w:val="094E9C"/>
                <w:sz w:val="21"/>
                <w:szCs w:val="21"/>
              </w:rPr>
              <w:t>2030</w:t>
            </w:r>
          </w:p>
        </w:tc>
        <w:tc>
          <w:tcPr>
            <w:tcW w:w="1135" w:type="dxa"/>
            <w:vMerge w:val="restart"/>
            <w:tcBorders>
              <w:top w:val="nil"/>
              <w:left w:val="nil"/>
              <w:bottom w:val="nil"/>
              <w:right w:val="dotted" w:sz="4" w:space="0" w:color="FFFFFF"/>
            </w:tcBorders>
            <w:shd w:val="clear" w:color="000000" w:fill="34ADCC"/>
            <w:vAlign w:val="center"/>
            <w:hideMark/>
          </w:tcPr>
          <w:p w14:paraId="0C76A4F1" w14:textId="04659138" w:rsidR="006C22B7" w:rsidRDefault="00C44178">
            <w:pPr>
              <w:spacing w:after="0" w:line="240" w:lineRule="auto"/>
              <w:jc w:val="center"/>
              <w:rPr>
                <w:rFonts w:ascii="EC Square Sans Pro" w:eastAsia="Times New Roman" w:hAnsi="EC Square Sans Pro" w:cs="Times New Roman"/>
                <w:b/>
                <w:bCs/>
                <w:color w:val="FFFFFF"/>
                <w:sz w:val="24"/>
                <w:szCs w:val="24"/>
              </w:rPr>
            </w:pPr>
            <w:r>
              <w:rPr>
                <w:rFonts w:ascii="EC Square Sans Pro" w:hAnsi="EC Square Sans Pro"/>
                <w:b/>
                <w:bCs/>
                <w:color w:val="FFFFFF"/>
              </w:rPr>
              <w:t>Au moins</w:t>
            </w:r>
            <w:r>
              <w:rPr>
                <w:rFonts w:ascii="EC Square Sans Pro" w:hAnsi="EC Square Sans Pro"/>
                <w:color w:val="FFFFFF"/>
              </w:rPr>
              <w:t xml:space="preserve"> </w:t>
            </w:r>
            <w:r>
              <w:rPr>
                <w:rFonts w:ascii="EC Square Sans Pro" w:hAnsi="EC Square Sans Pro"/>
                <w:b/>
                <w:bCs/>
                <w:color w:val="FFFFFF"/>
              </w:rPr>
              <w:t>-</w:t>
            </w:r>
            <w:r w:rsidRPr="00C75E40">
              <w:rPr>
                <w:rFonts w:ascii="EC Square Sans Pro" w:hAnsi="EC Square Sans Pro"/>
                <w:b/>
                <w:bCs/>
                <w:color w:val="FFFFFF"/>
              </w:rPr>
              <w:t>40</w:t>
            </w:r>
            <w:r>
              <w:rPr>
                <w:rFonts w:ascii="EC Square Sans Pro" w:hAnsi="EC Square Sans Pro"/>
                <w:b/>
                <w:bCs/>
                <w:color w:val="FFFFFF"/>
              </w:rPr>
              <w:t> %</w:t>
            </w:r>
          </w:p>
        </w:tc>
        <w:tc>
          <w:tcPr>
            <w:tcW w:w="1418" w:type="dxa"/>
            <w:vMerge w:val="restart"/>
            <w:tcBorders>
              <w:top w:val="nil"/>
              <w:left w:val="dotted" w:sz="4" w:space="0" w:color="FFFFFF"/>
              <w:bottom w:val="nil"/>
              <w:right w:val="dotted" w:sz="4" w:space="0" w:color="FFFFFF"/>
            </w:tcBorders>
            <w:shd w:val="clear" w:color="000000" w:fill="49B0B9"/>
            <w:vAlign w:val="center"/>
            <w:hideMark/>
          </w:tcPr>
          <w:p w14:paraId="3EA256A4" w14:textId="77777777" w:rsidR="006C22B7" w:rsidRDefault="000B2576">
            <w:pPr>
              <w:spacing w:after="0" w:line="240" w:lineRule="auto"/>
              <w:jc w:val="center"/>
              <w:rPr>
                <w:rFonts w:ascii="EC Square Sans Pro" w:eastAsia="Times New Roman" w:hAnsi="EC Square Sans Pro" w:cs="Times New Roman"/>
                <w:b/>
                <w:bCs/>
                <w:color w:val="FFFFFF"/>
                <w:sz w:val="24"/>
                <w:szCs w:val="24"/>
              </w:rPr>
            </w:pPr>
            <w:r>
              <w:rPr>
                <w:rFonts w:ascii="EC Square Sans Pro" w:hAnsi="EC Square Sans Pro"/>
                <w:b/>
                <w:bCs/>
                <w:color w:val="FFFFFF"/>
              </w:rPr>
              <w:t xml:space="preserve">≥ </w:t>
            </w:r>
            <w:r w:rsidRPr="00C75E40">
              <w:rPr>
                <w:rFonts w:ascii="EC Square Sans Pro" w:hAnsi="EC Square Sans Pro"/>
                <w:b/>
                <w:bCs/>
                <w:color w:val="FFFFFF"/>
              </w:rPr>
              <w:t>32</w:t>
            </w:r>
            <w:r>
              <w:rPr>
                <w:rFonts w:ascii="EC Square Sans Pro" w:hAnsi="EC Square Sans Pro"/>
                <w:b/>
                <w:bCs/>
                <w:color w:val="FFFFFF"/>
              </w:rPr>
              <w:t> %</w:t>
            </w:r>
          </w:p>
        </w:tc>
        <w:tc>
          <w:tcPr>
            <w:tcW w:w="1276" w:type="dxa"/>
            <w:vMerge w:val="restart"/>
            <w:tcBorders>
              <w:top w:val="nil"/>
              <w:left w:val="dotted" w:sz="4" w:space="0" w:color="FFFFFF"/>
              <w:bottom w:val="nil"/>
              <w:right w:val="dotted" w:sz="4" w:space="0" w:color="FFFFFF"/>
            </w:tcBorders>
            <w:shd w:val="clear" w:color="000000" w:fill="5DB4A3"/>
            <w:vAlign w:val="center"/>
            <w:hideMark/>
          </w:tcPr>
          <w:p w14:paraId="74E2A80B" w14:textId="77777777" w:rsidR="006C22B7" w:rsidRDefault="000B2576">
            <w:pPr>
              <w:spacing w:after="0" w:line="240" w:lineRule="auto"/>
              <w:jc w:val="center"/>
              <w:rPr>
                <w:rFonts w:ascii="EC Square Sans Pro" w:eastAsia="Times New Roman" w:hAnsi="EC Square Sans Pro" w:cs="Times New Roman"/>
                <w:b/>
                <w:bCs/>
                <w:color w:val="FFFFFF"/>
                <w:sz w:val="24"/>
                <w:szCs w:val="24"/>
              </w:rPr>
            </w:pPr>
            <w:r>
              <w:rPr>
                <w:rFonts w:ascii="EC Square Sans Pro" w:hAnsi="EC Square Sans Pro"/>
                <w:b/>
                <w:bCs/>
                <w:color w:val="FFFFFF"/>
              </w:rPr>
              <w:t xml:space="preserve">≥ </w:t>
            </w:r>
            <w:r w:rsidRPr="00C75E40">
              <w:rPr>
                <w:rFonts w:ascii="EC Square Sans Pro" w:hAnsi="EC Square Sans Pro"/>
                <w:b/>
                <w:bCs/>
                <w:color w:val="FFFFFF"/>
              </w:rPr>
              <w:t>32</w:t>
            </w:r>
            <w:r>
              <w:rPr>
                <w:rFonts w:ascii="EC Square Sans Pro" w:hAnsi="EC Square Sans Pro"/>
                <w:b/>
                <w:bCs/>
                <w:color w:val="FFFFFF"/>
              </w:rPr>
              <w:t>,</w:t>
            </w:r>
            <w:r w:rsidRPr="00C75E40">
              <w:rPr>
                <w:rFonts w:ascii="EC Square Sans Pro" w:hAnsi="EC Square Sans Pro"/>
                <w:b/>
                <w:bCs/>
                <w:color w:val="FFFFFF"/>
              </w:rPr>
              <w:t>5</w:t>
            </w:r>
            <w:r>
              <w:rPr>
                <w:rFonts w:ascii="EC Square Sans Pro" w:hAnsi="EC Square Sans Pro"/>
                <w:b/>
                <w:bCs/>
                <w:color w:val="FFFFFF"/>
              </w:rPr>
              <w:t> %</w:t>
            </w:r>
          </w:p>
        </w:tc>
        <w:tc>
          <w:tcPr>
            <w:tcW w:w="1275" w:type="dxa"/>
            <w:vMerge w:val="restart"/>
            <w:tcBorders>
              <w:top w:val="nil"/>
              <w:left w:val="dotted" w:sz="4" w:space="0" w:color="FFFFFF"/>
              <w:bottom w:val="nil"/>
              <w:right w:val="dotted" w:sz="4" w:space="0" w:color="FFFFFF"/>
            </w:tcBorders>
            <w:shd w:val="clear" w:color="000000" w:fill="6CB78C"/>
            <w:vAlign w:val="center"/>
            <w:hideMark/>
          </w:tcPr>
          <w:p w14:paraId="36559F5D" w14:textId="77777777" w:rsidR="006C22B7" w:rsidRDefault="000B2576">
            <w:pPr>
              <w:spacing w:after="0" w:line="240" w:lineRule="auto"/>
              <w:jc w:val="center"/>
              <w:rPr>
                <w:rFonts w:ascii="EC Square Sans Pro" w:eastAsia="Times New Roman" w:hAnsi="EC Square Sans Pro" w:cs="Times New Roman"/>
                <w:b/>
                <w:bCs/>
                <w:color w:val="FFFFFF"/>
                <w:sz w:val="24"/>
                <w:szCs w:val="24"/>
              </w:rPr>
            </w:pPr>
            <w:r w:rsidRPr="00C75E40">
              <w:rPr>
                <w:rFonts w:ascii="EC Square Sans Pro" w:hAnsi="EC Square Sans Pro"/>
                <w:b/>
                <w:bCs/>
                <w:color w:val="FFFFFF"/>
              </w:rPr>
              <w:t>15</w:t>
            </w:r>
            <w:r>
              <w:rPr>
                <w:rFonts w:ascii="EC Square Sans Pro" w:hAnsi="EC Square Sans Pro"/>
                <w:b/>
                <w:bCs/>
                <w:color w:val="FFFFFF"/>
              </w:rPr>
              <w:t> %</w:t>
            </w:r>
          </w:p>
        </w:tc>
        <w:tc>
          <w:tcPr>
            <w:tcW w:w="1418" w:type="dxa"/>
            <w:vMerge w:val="restart"/>
            <w:tcBorders>
              <w:top w:val="nil"/>
              <w:left w:val="dotted" w:sz="4" w:space="0" w:color="FFFFFF"/>
              <w:bottom w:val="nil"/>
              <w:right w:val="nil"/>
            </w:tcBorders>
            <w:shd w:val="clear" w:color="000000" w:fill="7ABD70"/>
            <w:vAlign w:val="center"/>
            <w:hideMark/>
          </w:tcPr>
          <w:p w14:paraId="0DCF85E2" w14:textId="77777777" w:rsidR="006C22B7" w:rsidRDefault="000B2576">
            <w:pPr>
              <w:spacing w:after="0" w:line="240" w:lineRule="auto"/>
              <w:jc w:val="center"/>
              <w:rPr>
                <w:rFonts w:ascii="EC Square Sans Pro" w:eastAsia="Times New Roman" w:hAnsi="EC Square Sans Pro" w:cs="Times New Roman"/>
                <w:b/>
                <w:bCs/>
                <w:color w:val="FFFFFF"/>
                <w:sz w:val="24"/>
                <w:szCs w:val="24"/>
              </w:rPr>
            </w:pPr>
            <w:r w:rsidRPr="00C75E40">
              <w:rPr>
                <w:rFonts w:ascii="EC Square Sans Pro" w:hAnsi="EC Square Sans Pro"/>
                <w:b/>
                <w:bCs/>
                <w:color w:val="FFFFFF"/>
              </w:rPr>
              <w:t>25</w:t>
            </w:r>
            <w:r>
              <w:rPr>
                <w:rFonts w:ascii="EC Square Sans Pro" w:hAnsi="EC Square Sans Pro"/>
                <w:b/>
                <w:bCs/>
                <w:color w:val="FFFFFF"/>
              </w:rPr>
              <w:t> %</w:t>
            </w:r>
          </w:p>
        </w:tc>
        <w:tc>
          <w:tcPr>
            <w:tcW w:w="1276" w:type="dxa"/>
            <w:tcBorders>
              <w:top w:val="nil"/>
              <w:left w:val="nil"/>
              <w:bottom w:val="nil"/>
              <w:right w:val="single" w:sz="4" w:space="0" w:color="4472C4"/>
            </w:tcBorders>
            <w:shd w:val="clear" w:color="000000" w:fill="86C250"/>
            <w:vAlign w:val="center"/>
            <w:hideMark/>
          </w:tcPr>
          <w:p w14:paraId="6D4FF36F" w14:textId="04FFFC2D" w:rsidR="006C22B7" w:rsidRDefault="006C22B7">
            <w:pPr>
              <w:spacing w:after="0" w:line="240" w:lineRule="auto"/>
              <w:jc w:val="center"/>
              <w:rPr>
                <w:rFonts w:ascii="EC Square Sans Pro Medium" w:eastAsia="Times New Roman" w:hAnsi="EC Square Sans Pro Medium" w:cs="Times New Roman"/>
                <w:color w:val="FFFFFF"/>
                <w:sz w:val="14"/>
                <w:szCs w:val="14"/>
              </w:rPr>
            </w:pPr>
          </w:p>
        </w:tc>
      </w:tr>
      <w:tr w:rsidR="006C22B7" w14:paraId="6A84990C" w14:textId="77777777" w:rsidTr="004C23CE">
        <w:trPr>
          <w:trHeight w:val="341"/>
        </w:trPr>
        <w:tc>
          <w:tcPr>
            <w:tcW w:w="1133" w:type="dxa"/>
            <w:vMerge/>
            <w:tcBorders>
              <w:top w:val="dotted" w:sz="4" w:space="0" w:color="D9D9D9"/>
              <w:left w:val="single" w:sz="4" w:space="0" w:color="4472C4"/>
              <w:bottom w:val="dotted" w:sz="4" w:space="0" w:color="D9D9D9"/>
              <w:right w:val="nil"/>
            </w:tcBorders>
            <w:vAlign w:val="center"/>
            <w:hideMark/>
          </w:tcPr>
          <w:p w14:paraId="0023C88E" w14:textId="77777777" w:rsidR="006C22B7" w:rsidRDefault="006C22B7">
            <w:pPr>
              <w:spacing w:after="0" w:line="240" w:lineRule="auto"/>
              <w:jc w:val="both"/>
              <w:rPr>
                <w:rFonts w:ascii="EC Square Sans Pro" w:eastAsia="Times New Roman" w:hAnsi="EC Square Sans Pro" w:cs="Times New Roman"/>
                <w:b/>
                <w:bCs/>
                <w:color w:val="094E9C"/>
                <w:sz w:val="21"/>
                <w:szCs w:val="21"/>
              </w:rPr>
            </w:pPr>
          </w:p>
        </w:tc>
        <w:tc>
          <w:tcPr>
            <w:tcW w:w="1135" w:type="dxa"/>
            <w:vMerge/>
            <w:tcBorders>
              <w:top w:val="nil"/>
              <w:left w:val="nil"/>
              <w:bottom w:val="nil"/>
              <w:right w:val="dotted" w:sz="4" w:space="0" w:color="FFFFFF"/>
            </w:tcBorders>
            <w:vAlign w:val="center"/>
            <w:hideMark/>
          </w:tcPr>
          <w:p w14:paraId="77D1A5FB" w14:textId="77777777" w:rsidR="006C22B7" w:rsidRDefault="006C22B7">
            <w:pPr>
              <w:spacing w:after="0" w:line="240" w:lineRule="auto"/>
              <w:jc w:val="center"/>
              <w:rPr>
                <w:rFonts w:ascii="EC Square Sans Pro" w:eastAsia="Times New Roman" w:hAnsi="EC Square Sans Pro" w:cs="Times New Roman"/>
                <w:b/>
                <w:bCs/>
                <w:color w:val="FFFFFF"/>
                <w:sz w:val="24"/>
                <w:szCs w:val="24"/>
              </w:rPr>
            </w:pPr>
          </w:p>
        </w:tc>
        <w:tc>
          <w:tcPr>
            <w:tcW w:w="1418" w:type="dxa"/>
            <w:vMerge/>
            <w:tcBorders>
              <w:top w:val="nil"/>
              <w:left w:val="dotted" w:sz="4" w:space="0" w:color="FFFFFF"/>
              <w:bottom w:val="nil"/>
              <w:right w:val="dotted" w:sz="4" w:space="0" w:color="FFFFFF"/>
            </w:tcBorders>
            <w:vAlign w:val="center"/>
            <w:hideMark/>
          </w:tcPr>
          <w:p w14:paraId="40D98971" w14:textId="77777777" w:rsidR="006C22B7" w:rsidRDefault="006C22B7">
            <w:pPr>
              <w:spacing w:after="0" w:line="240" w:lineRule="auto"/>
              <w:jc w:val="center"/>
              <w:rPr>
                <w:rFonts w:ascii="EC Square Sans Pro" w:eastAsia="Times New Roman" w:hAnsi="EC Square Sans Pro" w:cs="Times New Roman"/>
                <w:b/>
                <w:bCs/>
                <w:color w:val="FFFFFF"/>
                <w:sz w:val="24"/>
                <w:szCs w:val="24"/>
              </w:rPr>
            </w:pPr>
          </w:p>
        </w:tc>
        <w:tc>
          <w:tcPr>
            <w:tcW w:w="1276" w:type="dxa"/>
            <w:vMerge/>
            <w:tcBorders>
              <w:top w:val="nil"/>
              <w:left w:val="dotted" w:sz="4" w:space="0" w:color="FFFFFF"/>
              <w:bottom w:val="nil"/>
              <w:right w:val="dotted" w:sz="4" w:space="0" w:color="FFFFFF"/>
            </w:tcBorders>
            <w:vAlign w:val="center"/>
            <w:hideMark/>
          </w:tcPr>
          <w:p w14:paraId="747A94A1" w14:textId="77777777" w:rsidR="006C22B7" w:rsidRDefault="006C22B7">
            <w:pPr>
              <w:spacing w:after="0" w:line="240" w:lineRule="auto"/>
              <w:jc w:val="center"/>
              <w:rPr>
                <w:rFonts w:ascii="EC Square Sans Pro" w:eastAsia="Times New Roman" w:hAnsi="EC Square Sans Pro" w:cs="Times New Roman"/>
                <w:b/>
                <w:bCs/>
                <w:color w:val="FFFFFF"/>
                <w:sz w:val="24"/>
                <w:szCs w:val="24"/>
              </w:rPr>
            </w:pPr>
          </w:p>
        </w:tc>
        <w:tc>
          <w:tcPr>
            <w:tcW w:w="1275" w:type="dxa"/>
            <w:vMerge/>
            <w:tcBorders>
              <w:top w:val="nil"/>
              <w:left w:val="dotted" w:sz="4" w:space="0" w:color="FFFFFF"/>
              <w:bottom w:val="nil"/>
              <w:right w:val="dotted" w:sz="4" w:space="0" w:color="FFFFFF"/>
            </w:tcBorders>
            <w:vAlign w:val="center"/>
            <w:hideMark/>
          </w:tcPr>
          <w:p w14:paraId="1DA4E9DD" w14:textId="77777777" w:rsidR="006C22B7" w:rsidRDefault="006C22B7">
            <w:pPr>
              <w:spacing w:after="0" w:line="240" w:lineRule="auto"/>
              <w:jc w:val="center"/>
              <w:rPr>
                <w:rFonts w:ascii="EC Square Sans Pro" w:eastAsia="Times New Roman" w:hAnsi="EC Square Sans Pro" w:cs="Times New Roman"/>
                <w:b/>
                <w:bCs/>
                <w:color w:val="FFFFFF"/>
                <w:sz w:val="24"/>
                <w:szCs w:val="24"/>
              </w:rPr>
            </w:pPr>
          </w:p>
        </w:tc>
        <w:tc>
          <w:tcPr>
            <w:tcW w:w="1418" w:type="dxa"/>
            <w:vMerge/>
            <w:tcBorders>
              <w:top w:val="nil"/>
              <w:left w:val="dotted" w:sz="4" w:space="0" w:color="FFFFFF"/>
              <w:bottom w:val="nil"/>
              <w:right w:val="nil"/>
            </w:tcBorders>
            <w:vAlign w:val="center"/>
            <w:hideMark/>
          </w:tcPr>
          <w:p w14:paraId="5AAC830C" w14:textId="77777777" w:rsidR="006C22B7" w:rsidRDefault="006C22B7">
            <w:pPr>
              <w:spacing w:after="0" w:line="240" w:lineRule="auto"/>
              <w:jc w:val="center"/>
              <w:rPr>
                <w:rFonts w:ascii="EC Square Sans Pro" w:eastAsia="Times New Roman" w:hAnsi="EC Square Sans Pro" w:cs="Times New Roman"/>
                <w:b/>
                <w:bCs/>
                <w:color w:val="FFFFFF"/>
                <w:sz w:val="24"/>
                <w:szCs w:val="24"/>
              </w:rPr>
            </w:pPr>
          </w:p>
        </w:tc>
        <w:tc>
          <w:tcPr>
            <w:tcW w:w="1276" w:type="dxa"/>
            <w:tcBorders>
              <w:top w:val="nil"/>
              <w:left w:val="nil"/>
              <w:bottom w:val="nil"/>
              <w:right w:val="single" w:sz="4" w:space="0" w:color="4472C4"/>
            </w:tcBorders>
            <w:shd w:val="clear" w:color="000000" w:fill="86C250"/>
            <w:vAlign w:val="center"/>
            <w:hideMark/>
          </w:tcPr>
          <w:p w14:paraId="272C534E" w14:textId="77777777" w:rsidR="006C22B7" w:rsidRDefault="000B2576">
            <w:pPr>
              <w:spacing w:after="0" w:line="240" w:lineRule="auto"/>
              <w:jc w:val="center"/>
              <w:rPr>
                <w:rFonts w:ascii="EC Square Sans Pro" w:eastAsia="Times New Roman" w:hAnsi="EC Square Sans Pro" w:cs="Times New Roman"/>
                <w:b/>
                <w:bCs/>
                <w:color w:val="FFFFFF"/>
                <w:sz w:val="24"/>
                <w:szCs w:val="24"/>
              </w:rPr>
            </w:pPr>
            <w:r>
              <w:rPr>
                <w:rFonts w:ascii="EC Square Sans Pro" w:hAnsi="EC Square Sans Pro"/>
                <w:b/>
                <w:bCs/>
                <w:color w:val="FFFFFF"/>
              </w:rPr>
              <w:t>-</w:t>
            </w:r>
            <w:r w:rsidRPr="00C75E40">
              <w:rPr>
                <w:rFonts w:ascii="EC Square Sans Pro" w:hAnsi="EC Square Sans Pro"/>
                <w:b/>
                <w:bCs/>
                <w:color w:val="FFFFFF"/>
              </w:rPr>
              <w:t>37</w:t>
            </w:r>
            <w:r>
              <w:rPr>
                <w:rFonts w:ascii="EC Square Sans Pro" w:hAnsi="EC Square Sans Pro"/>
                <w:b/>
                <w:bCs/>
                <w:color w:val="FFFFFF"/>
              </w:rPr>
              <w:t>,</w:t>
            </w:r>
            <w:r w:rsidRPr="00C75E40">
              <w:rPr>
                <w:rFonts w:ascii="EC Square Sans Pro" w:hAnsi="EC Square Sans Pro"/>
                <w:b/>
                <w:bCs/>
                <w:color w:val="FFFFFF"/>
              </w:rPr>
              <w:t>5</w:t>
            </w:r>
            <w:r>
              <w:rPr>
                <w:rFonts w:ascii="EC Square Sans Pro" w:hAnsi="EC Square Sans Pro"/>
                <w:b/>
                <w:bCs/>
                <w:color w:val="FFFFFF"/>
              </w:rPr>
              <w:t> %</w:t>
            </w:r>
          </w:p>
        </w:tc>
      </w:tr>
      <w:tr w:rsidR="006C22B7" w14:paraId="102E61CF" w14:textId="77777777" w:rsidTr="004C23CE">
        <w:trPr>
          <w:trHeight w:val="301"/>
        </w:trPr>
        <w:tc>
          <w:tcPr>
            <w:tcW w:w="1133" w:type="dxa"/>
            <w:vMerge/>
            <w:tcBorders>
              <w:top w:val="dotted" w:sz="4" w:space="0" w:color="D9D9D9"/>
              <w:left w:val="single" w:sz="4" w:space="0" w:color="4472C4"/>
              <w:bottom w:val="dotted" w:sz="4" w:space="0" w:color="D9D9D9"/>
              <w:right w:val="nil"/>
            </w:tcBorders>
            <w:vAlign w:val="center"/>
            <w:hideMark/>
          </w:tcPr>
          <w:p w14:paraId="7BF046A9" w14:textId="77777777" w:rsidR="006C22B7" w:rsidRDefault="006C22B7">
            <w:pPr>
              <w:spacing w:after="0" w:line="240" w:lineRule="auto"/>
              <w:jc w:val="both"/>
              <w:rPr>
                <w:rFonts w:ascii="EC Square Sans Pro" w:eastAsia="Times New Roman" w:hAnsi="EC Square Sans Pro" w:cs="Times New Roman"/>
                <w:b/>
                <w:bCs/>
                <w:color w:val="094E9C"/>
                <w:sz w:val="21"/>
                <w:szCs w:val="21"/>
              </w:rPr>
            </w:pPr>
          </w:p>
        </w:tc>
        <w:tc>
          <w:tcPr>
            <w:tcW w:w="1135" w:type="dxa"/>
            <w:vMerge/>
            <w:tcBorders>
              <w:top w:val="nil"/>
              <w:left w:val="nil"/>
              <w:bottom w:val="nil"/>
              <w:right w:val="dotted" w:sz="4" w:space="0" w:color="FFFFFF"/>
            </w:tcBorders>
            <w:vAlign w:val="center"/>
            <w:hideMark/>
          </w:tcPr>
          <w:p w14:paraId="4BD3B169" w14:textId="77777777" w:rsidR="006C22B7" w:rsidRDefault="006C22B7">
            <w:pPr>
              <w:spacing w:after="0" w:line="240" w:lineRule="auto"/>
              <w:jc w:val="center"/>
              <w:rPr>
                <w:rFonts w:ascii="EC Square Sans Pro" w:eastAsia="Times New Roman" w:hAnsi="EC Square Sans Pro" w:cs="Times New Roman"/>
                <w:b/>
                <w:bCs/>
                <w:color w:val="FFFFFF"/>
                <w:sz w:val="24"/>
                <w:szCs w:val="24"/>
              </w:rPr>
            </w:pPr>
          </w:p>
        </w:tc>
        <w:tc>
          <w:tcPr>
            <w:tcW w:w="1418" w:type="dxa"/>
            <w:vMerge/>
            <w:tcBorders>
              <w:top w:val="nil"/>
              <w:left w:val="dotted" w:sz="4" w:space="0" w:color="FFFFFF"/>
              <w:bottom w:val="nil"/>
              <w:right w:val="dotted" w:sz="4" w:space="0" w:color="FFFFFF"/>
            </w:tcBorders>
            <w:vAlign w:val="center"/>
            <w:hideMark/>
          </w:tcPr>
          <w:p w14:paraId="1349F844" w14:textId="77777777" w:rsidR="006C22B7" w:rsidRDefault="006C22B7">
            <w:pPr>
              <w:spacing w:after="0" w:line="240" w:lineRule="auto"/>
              <w:jc w:val="center"/>
              <w:rPr>
                <w:rFonts w:ascii="EC Square Sans Pro" w:eastAsia="Times New Roman" w:hAnsi="EC Square Sans Pro" w:cs="Times New Roman"/>
                <w:b/>
                <w:bCs/>
                <w:color w:val="FFFFFF"/>
                <w:sz w:val="24"/>
                <w:szCs w:val="24"/>
              </w:rPr>
            </w:pPr>
          </w:p>
        </w:tc>
        <w:tc>
          <w:tcPr>
            <w:tcW w:w="1276" w:type="dxa"/>
            <w:vMerge/>
            <w:tcBorders>
              <w:top w:val="nil"/>
              <w:left w:val="dotted" w:sz="4" w:space="0" w:color="FFFFFF"/>
              <w:bottom w:val="nil"/>
              <w:right w:val="dotted" w:sz="4" w:space="0" w:color="FFFFFF"/>
            </w:tcBorders>
            <w:vAlign w:val="center"/>
            <w:hideMark/>
          </w:tcPr>
          <w:p w14:paraId="17C60A7E" w14:textId="77777777" w:rsidR="006C22B7" w:rsidRDefault="006C22B7">
            <w:pPr>
              <w:spacing w:after="0" w:line="240" w:lineRule="auto"/>
              <w:jc w:val="center"/>
              <w:rPr>
                <w:rFonts w:ascii="EC Square Sans Pro" w:eastAsia="Times New Roman" w:hAnsi="EC Square Sans Pro" w:cs="Times New Roman"/>
                <w:b/>
                <w:bCs/>
                <w:color w:val="FFFFFF"/>
                <w:sz w:val="24"/>
                <w:szCs w:val="24"/>
              </w:rPr>
            </w:pPr>
          </w:p>
        </w:tc>
        <w:tc>
          <w:tcPr>
            <w:tcW w:w="1275" w:type="dxa"/>
            <w:vMerge/>
            <w:tcBorders>
              <w:top w:val="nil"/>
              <w:left w:val="dotted" w:sz="4" w:space="0" w:color="FFFFFF"/>
              <w:bottom w:val="nil"/>
              <w:right w:val="dotted" w:sz="4" w:space="0" w:color="FFFFFF"/>
            </w:tcBorders>
            <w:vAlign w:val="center"/>
            <w:hideMark/>
          </w:tcPr>
          <w:p w14:paraId="238D49AF" w14:textId="77777777" w:rsidR="006C22B7" w:rsidRDefault="006C22B7">
            <w:pPr>
              <w:spacing w:after="0" w:line="240" w:lineRule="auto"/>
              <w:jc w:val="center"/>
              <w:rPr>
                <w:rFonts w:ascii="EC Square Sans Pro" w:eastAsia="Times New Roman" w:hAnsi="EC Square Sans Pro" w:cs="Times New Roman"/>
                <w:b/>
                <w:bCs/>
                <w:color w:val="FFFFFF"/>
                <w:sz w:val="24"/>
                <w:szCs w:val="24"/>
              </w:rPr>
            </w:pPr>
          </w:p>
        </w:tc>
        <w:tc>
          <w:tcPr>
            <w:tcW w:w="1418" w:type="dxa"/>
            <w:vMerge/>
            <w:tcBorders>
              <w:top w:val="nil"/>
              <w:left w:val="dotted" w:sz="4" w:space="0" w:color="FFFFFF"/>
              <w:bottom w:val="nil"/>
              <w:right w:val="nil"/>
            </w:tcBorders>
            <w:vAlign w:val="center"/>
            <w:hideMark/>
          </w:tcPr>
          <w:p w14:paraId="7E50841B" w14:textId="77777777" w:rsidR="006C22B7" w:rsidRDefault="006C22B7">
            <w:pPr>
              <w:spacing w:after="0" w:line="240" w:lineRule="auto"/>
              <w:jc w:val="center"/>
              <w:rPr>
                <w:rFonts w:ascii="EC Square Sans Pro" w:eastAsia="Times New Roman" w:hAnsi="EC Square Sans Pro" w:cs="Times New Roman"/>
                <w:b/>
                <w:bCs/>
                <w:color w:val="FFFFFF"/>
                <w:sz w:val="24"/>
                <w:szCs w:val="24"/>
              </w:rPr>
            </w:pPr>
          </w:p>
        </w:tc>
        <w:tc>
          <w:tcPr>
            <w:tcW w:w="1276" w:type="dxa"/>
            <w:tcBorders>
              <w:top w:val="nil"/>
              <w:left w:val="nil"/>
              <w:bottom w:val="nil"/>
              <w:right w:val="single" w:sz="4" w:space="0" w:color="4472C4"/>
            </w:tcBorders>
            <w:shd w:val="clear" w:color="000000" w:fill="86C250"/>
            <w:vAlign w:val="center"/>
            <w:hideMark/>
          </w:tcPr>
          <w:p w14:paraId="71E8EF39" w14:textId="77777777" w:rsidR="006C22B7" w:rsidRDefault="000B2576">
            <w:pPr>
              <w:spacing w:after="0" w:line="240" w:lineRule="auto"/>
              <w:jc w:val="center"/>
              <w:rPr>
                <w:rFonts w:ascii="EC Square Sans Pro Medium" w:eastAsia="Times New Roman" w:hAnsi="EC Square Sans Pro Medium" w:cs="Times New Roman"/>
                <w:color w:val="FFFFFF"/>
                <w:sz w:val="16"/>
                <w:szCs w:val="16"/>
              </w:rPr>
            </w:pPr>
            <w:r>
              <w:rPr>
                <w:rFonts w:ascii="EC Square Sans Pro Medium" w:hAnsi="EC Square Sans Pro Medium"/>
                <w:color w:val="FFFFFF"/>
                <w:sz w:val="16"/>
                <w:szCs w:val="16"/>
              </w:rPr>
              <w:t xml:space="preserve">Camionnettes </w:t>
            </w:r>
            <w:r>
              <w:rPr>
                <w:rFonts w:ascii="EC Square Sans Pro" w:hAnsi="EC Square Sans Pro"/>
                <w:b/>
                <w:bCs/>
                <w:color w:val="FFFFFF"/>
                <w:sz w:val="16"/>
                <w:szCs w:val="16"/>
              </w:rPr>
              <w:t>-</w:t>
            </w:r>
            <w:r w:rsidRPr="00C75E40">
              <w:rPr>
                <w:rFonts w:ascii="EC Square Sans Pro" w:hAnsi="EC Square Sans Pro"/>
                <w:b/>
                <w:bCs/>
                <w:color w:val="FFFFFF"/>
                <w:sz w:val="16"/>
                <w:szCs w:val="16"/>
              </w:rPr>
              <w:t>31</w:t>
            </w:r>
            <w:r>
              <w:rPr>
                <w:rFonts w:ascii="EC Square Sans Pro" w:hAnsi="EC Square Sans Pro"/>
                <w:b/>
                <w:bCs/>
                <w:color w:val="FFFFFF"/>
                <w:sz w:val="16"/>
                <w:szCs w:val="16"/>
              </w:rPr>
              <w:t> %</w:t>
            </w:r>
          </w:p>
        </w:tc>
      </w:tr>
      <w:tr w:rsidR="006C22B7" w14:paraId="555FC65E" w14:textId="77777777" w:rsidTr="004C23CE">
        <w:trPr>
          <w:trHeight w:val="301"/>
        </w:trPr>
        <w:tc>
          <w:tcPr>
            <w:tcW w:w="1133" w:type="dxa"/>
            <w:vMerge/>
            <w:tcBorders>
              <w:top w:val="dotted" w:sz="4" w:space="0" w:color="D9D9D9"/>
              <w:left w:val="single" w:sz="4" w:space="0" w:color="4472C4"/>
              <w:bottom w:val="dotted" w:sz="4" w:space="0" w:color="D9D9D9"/>
              <w:right w:val="nil"/>
            </w:tcBorders>
            <w:vAlign w:val="center"/>
            <w:hideMark/>
          </w:tcPr>
          <w:p w14:paraId="5E6AFEAA" w14:textId="77777777" w:rsidR="006C22B7" w:rsidRDefault="006C22B7">
            <w:pPr>
              <w:spacing w:after="0" w:line="240" w:lineRule="auto"/>
              <w:jc w:val="both"/>
              <w:rPr>
                <w:rFonts w:ascii="EC Square Sans Pro" w:eastAsia="Times New Roman" w:hAnsi="EC Square Sans Pro" w:cs="Times New Roman"/>
                <w:b/>
                <w:bCs/>
                <w:color w:val="094E9C"/>
                <w:sz w:val="21"/>
                <w:szCs w:val="21"/>
              </w:rPr>
            </w:pPr>
          </w:p>
        </w:tc>
        <w:tc>
          <w:tcPr>
            <w:tcW w:w="1135" w:type="dxa"/>
            <w:vMerge/>
            <w:tcBorders>
              <w:top w:val="nil"/>
              <w:left w:val="nil"/>
              <w:bottom w:val="nil"/>
              <w:right w:val="dotted" w:sz="4" w:space="0" w:color="FFFFFF"/>
            </w:tcBorders>
            <w:vAlign w:val="center"/>
            <w:hideMark/>
          </w:tcPr>
          <w:p w14:paraId="49B8B000" w14:textId="77777777" w:rsidR="006C22B7" w:rsidRDefault="006C22B7">
            <w:pPr>
              <w:spacing w:after="0" w:line="240" w:lineRule="auto"/>
              <w:jc w:val="center"/>
              <w:rPr>
                <w:rFonts w:ascii="EC Square Sans Pro" w:eastAsia="Times New Roman" w:hAnsi="EC Square Sans Pro" w:cs="Times New Roman"/>
                <w:b/>
                <w:bCs/>
                <w:color w:val="FFFFFF"/>
                <w:sz w:val="24"/>
                <w:szCs w:val="24"/>
              </w:rPr>
            </w:pPr>
          </w:p>
        </w:tc>
        <w:tc>
          <w:tcPr>
            <w:tcW w:w="1418" w:type="dxa"/>
            <w:vMerge/>
            <w:tcBorders>
              <w:top w:val="nil"/>
              <w:left w:val="dotted" w:sz="4" w:space="0" w:color="FFFFFF"/>
              <w:bottom w:val="nil"/>
              <w:right w:val="dotted" w:sz="4" w:space="0" w:color="FFFFFF"/>
            </w:tcBorders>
            <w:vAlign w:val="center"/>
            <w:hideMark/>
          </w:tcPr>
          <w:p w14:paraId="4D44CD96" w14:textId="77777777" w:rsidR="006C22B7" w:rsidRDefault="006C22B7">
            <w:pPr>
              <w:spacing w:after="0" w:line="240" w:lineRule="auto"/>
              <w:jc w:val="center"/>
              <w:rPr>
                <w:rFonts w:ascii="EC Square Sans Pro" w:eastAsia="Times New Roman" w:hAnsi="EC Square Sans Pro" w:cs="Times New Roman"/>
                <w:b/>
                <w:bCs/>
                <w:color w:val="FFFFFF"/>
                <w:sz w:val="24"/>
                <w:szCs w:val="24"/>
              </w:rPr>
            </w:pPr>
          </w:p>
        </w:tc>
        <w:tc>
          <w:tcPr>
            <w:tcW w:w="1276" w:type="dxa"/>
            <w:vMerge/>
            <w:tcBorders>
              <w:top w:val="nil"/>
              <w:left w:val="dotted" w:sz="4" w:space="0" w:color="FFFFFF"/>
              <w:bottom w:val="nil"/>
              <w:right w:val="dotted" w:sz="4" w:space="0" w:color="FFFFFF"/>
            </w:tcBorders>
            <w:vAlign w:val="center"/>
            <w:hideMark/>
          </w:tcPr>
          <w:p w14:paraId="638FC84F" w14:textId="77777777" w:rsidR="006C22B7" w:rsidRDefault="006C22B7">
            <w:pPr>
              <w:spacing w:after="0" w:line="240" w:lineRule="auto"/>
              <w:jc w:val="center"/>
              <w:rPr>
                <w:rFonts w:ascii="EC Square Sans Pro" w:eastAsia="Times New Roman" w:hAnsi="EC Square Sans Pro" w:cs="Times New Roman"/>
                <w:b/>
                <w:bCs/>
                <w:color w:val="FFFFFF"/>
                <w:sz w:val="24"/>
                <w:szCs w:val="24"/>
              </w:rPr>
            </w:pPr>
          </w:p>
        </w:tc>
        <w:tc>
          <w:tcPr>
            <w:tcW w:w="1275" w:type="dxa"/>
            <w:vMerge/>
            <w:tcBorders>
              <w:top w:val="nil"/>
              <w:left w:val="dotted" w:sz="4" w:space="0" w:color="FFFFFF"/>
              <w:bottom w:val="nil"/>
              <w:right w:val="dotted" w:sz="4" w:space="0" w:color="FFFFFF"/>
            </w:tcBorders>
            <w:vAlign w:val="center"/>
            <w:hideMark/>
          </w:tcPr>
          <w:p w14:paraId="1E047038" w14:textId="77777777" w:rsidR="006C22B7" w:rsidRDefault="006C22B7">
            <w:pPr>
              <w:spacing w:after="0" w:line="240" w:lineRule="auto"/>
              <w:jc w:val="center"/>
              <w:rPr>
                <w:rFonts w:ascii="EC Square Sans Pro" w:eastAsia="Times New Roman" w:hAnsi="EC Square Sans Pro" w:cs="Times New Roman"/>
                <w:b/>
                <w:bCs/>
                <w:color w:val="FFFFFF"/>
                <w:sz w:val="24"/>
                <w:szCs w:val="24"/>
              </w:rPr>
            </w:pPr>
          </w:p>
        </w:tc>
        <w:tc>
          <w:tcPr>
            <w:tcW w:w="1418" w:type="dxa"/>
            <w:vMerge/>
            <w:tcBorders>
              <w:top w:val="nil"/>
              <w:left w:val="dotted" w:sz="4" w:space="0" w:color="FFFFFF"/>
              <w:bottom w:val="nil"/>
              <w:right w:val="nil"/>
            </w:tcBorders>
            <w:vAlign w:val="center"/>
            <w:hideMark/>
          </w:tcPr>
          <w:p w14:paraId="2B51CEF0" w14:textId="77777777" w:rsidR="006C22B7" w:rsidRDefault="006C22B7">
            <w:pPr>
              <w:spacing w:after="0" w:line="240" w:lineRule="auto"/>
              <w:jc w:val="center"/>
              <w:rPr>
                <w:rFonts w:ascii="EC Square Sans Pro" w:eastAsia="Times New Roman" w:hAnsi="EC Square Sans Pro" w:cs="Times New Roman"/>
                <w:b/>
                <w:bCs/>
                <w:color w:val="FFFFFF"/>
                <w:sz w:val="24"/>
                <w:szCs w:val="24"/>
              </w:rPr>
            </w:pPr>
          </w:p>
        </w:tc>
        <w:tc>
          <w:tcPr>
            <w:tcW w:w="1276" w:type="dxa"/>
            <w:tcBorders>
              <w:top w:val="nil"/>
              <w:left w:val="nil"/>
              <w:bottom w:val="nil"/>
              <w:right w:val="single" w:sz="4" w:space="0" w:color="4472C4"/>
            </w:tcBorders>
            <w:shd w:val="clear" w:color="000000" w:fill="86C250"/>
            <w:vAlign w:val="center"/>
            <w:hideMark/>
          </w:tcPr>
          <w:p w14:paraId="7C7CA8AC" w14:textId="77777777" w:rsidR="006C22B7" w:rsidRDefault="000B2576">
            <w:pPr>
              <w:spacing w:after="0" w:line="240" w:lineRule="auto"/>
              <w:jc w:val="center"/>
              <w:rPr>
                <w:rFonts w:ascii="EC Square Sans Pro Medium" w:eastAsia="Times New Roman" w:hAnsi="EC Square Sans Pro Medium" w:cs="Times New Roman"/>
                <w:color w:val="FFFFFF"/>
                <w:sz w:val="16"/>
                <w:szCs w:val="16"/>
              </w:rPr>
            </w:pPr>
            <w:r>
              <w:rPr>
                <w:rFonts w:ascii="EC Square Sans Pro Medium" w:hAnsi="EC Square Sans Pro Medium"/>
                <w:color w:val="FFFFFF"/>
                <w:sz w:val="16"/>
                <w:szCs w:val="16"/>
              </w:rPr>
              <w:t>Camions</w:t>
            </w:r>
            <w:r>
              <w:rPr>
                <w:rFonts w:ascii="EC Square Sans Pro Medium" w:hAnsi="EC Square Sans Pro Medium"/>
                <w:sz w:val="16"/>
                <w:szCs w:val="16"/>
              </w:rPr>
              <w:t xml:space="preserve"> </w:t>
            </w:r>
            <w:r>
              <w:rPr>
                <w:rFonts w:ascii="EC Square Sans Pro" w:hAnsi="EC Square Sans Pro"/>
                <w:b/>
                <w:bCs/>
                <w:color w:val="FFFFFF"/>
                <w:sz w:val="16"/>
                <w:szCs w:val="16"/>
              </w:rPr>
              <w:t>-</w:t>
            </w:r>
            <w:r w:rsidRPr="00C75E40">
              <w:rPr>
                <w:rFonts w:ascii="EC Square Sans Pro" w:hAnsi="EC Square Sans Pro"/>
                <w:b/>
                <w:bCs/>
                <w:color w:val="FFFFFF"/>
                <w:sz w:val="16"/>
                <w:szCs w:val="16"/>
              </w:rPr>
              <w:t>30</w:t>
            </w:r>
            <w:r>
              <w:rPr>
                <w:rFonts w:ascii="EC Square Sans Pro" w:hAnsi="EC Square Sans Pro"/>
                <w:b/>
                <w:bCs/>
                <w:color w:val="FFFFFF"/>
                <w:sz w:val="16"/>
                <w:szCs w:val="16"/>
              </w:rPr>
              <w:t> %</w:t>
            </w:r>
          </w:p>
        </w:tc>
      </w:tr>
      <w:tr w:rsidR="006C22B7" w14:paraId="2DF77A81" w14:textId="77777777" w:rsidTr="004C23CE">
        <w:trPr>
          <w:trHeight w:val="445"/>
        </w:trPr>
        <w:tc>
          <w:tcPr>
            <w:tcW w:w="2268" w:type="dxa"/>
            <w:gridSpan w:val="2"/>
            <w:tcBorders>
              <w:top w:val="nil"/>
              <w:left w:val="single" w:sz="4" w:space="0" w:color="4472C4"/>
              <w:bottom w:val="single" w:sz="4" w:space="0" w:color="4472C4"/>
              <w:right w:val="nil"/>
            </w:tcBorders>
            <w:shd w:val="clear" w:color="auto" w:fill="auto"/>
            <w:hideMark/>
          </w:tcPr>
          <w:p w14:paraId="5649F5F7" w14:textId="77777777" w:rsidR="006C22B7" w:rsidRDefault="000B2576">
            <w:pPr>
              <w:spacing w:after="0" w:line="240" w:lineRule="auto"/>
              <w:jc w:val="both"/>
              <w:rPr>
                <w:rFonts w:ascii="Calibri" w:eastAsia="Times New Roman" w:hAnsi="Calibri" w:cs="Times New Roman"/>
                <w:color w:val="000000"/>
              </w:rPr>
            </w:pPr>
            <w:r>
              <w:rPr>
                <w:rFonts w:ascii="Calibri" w:hAnsi="Calibri"/>
              </w:rPr>
              <w:t> </w:t>
            </w:r>
          </w:p>
        </w:tc>
        <w:tc>
          <w:tcPr>
            <w:tcW w:w="2694" w:type="dxa"/>
            <w:gridSpan w:val="2"/>
            <w:tcBorders>
              <w:top w:val="nil"/>
              <w:left w:val="nil"/>
              <w:bottom w:val="single" w:sz="4" w:space="0" w:color="4472C4"/>
              <w:right w:val="nil"/>
            </w:tcBorders>
            <w:shd w:val="clear" w:color="000000" w:fill="FFFFFF"/>
            <w:vAlign w:val="center"/>
            <w:hideMark/>
          </w:tcPr>
          <w:p w14:paraId="6E6DDB32" w14:textId="77777777" w:rsidR="006C22B7" w:rsidRDefault="000B2576">
            <w:pPr>
              <w:spacing w:after="0" w:line="240" w:lineRule="auto"/>
              <w:jc w:val="both"/>
              <w:rPr>
                <w:rFonts w:ascii="EC Square Sans Pro" w:eastAsia="Times New Roman" w:hAnsi="EC Square Sans Pro" w:cs="Times New Roman"/>
                <w:b/>
                <w:bCs/>
                <w:color w:val="0070C0"/>
                <w:sz w:val="16"/>
                <w:szCs w:val="16"/>
              </w:rPr>
            </w:pPr>
            <w:r>
              <w:rPr>
                <w:rFonts w:ascii="EC Square Sans Pro" w:hAnsi="EC Square Sans Pro"/>
                <w:b/>
                <w:bCs/>
                <w:color w:val="0070C0"/>
                <w:sz w:val="16"/>
                <w:szCs w:val="16"/>
              </w:rPr>
              <w:t>Clause de révision à la hausse d’ici </w:t>
            </w:r>
            <w:r w:rsidRPr="00C75E40">
              <w:rPr>
                <w:rFonts w:ascii="EC Square Sans Pro" w:hAnsi="EC Square Sans Pro"/>
                <w:b/>
                <w:bCs/>
                <w:color w:val="0070C0"/>
                <w:sz w:val="16"/>
                <w:szCs w:val="16"/>
              </w:rPr>
              <w:t>2023</w:t>
            </w:r>
          </w:p>
        </w:tc>
        <w:tc>
          <w:tcPr>
            <w:tcW w:w="3969" w:type="dxa"/>
            <w:gridSpan w:val="3"/>
            <w:tcBorders>
              <w:top w:val="nil"/>
              <w:left w:val="nil"/>
              <w:bottom w:val="single" w:sz="4" w:space="0" w:color="4472C4"/>
              <w:right w:val="single" w:sz="4" w:space="0" w:color="4472C4"/>
            </w:tcBorders>
            <w:shd w:val="clear" w:color="000000" w:fill="FFFFFF"/>
            <w:hideMark/>
          </w:tcPr>
          <w:p w14:paraId="077EFE89" w14:textId="77777777" w:rsidR="006C22B7" w:rsidRDefault="000B2576">
            <w:pPr>
              <w:spacing w:after="0" w:line="240" w:lineRule="auto"/>
              <w:jc w:val="both"/>
              <w:rPr>
                <w:rFonts w:ascii="Calibri" w:eastAsia="Times New Roman" w:hAnsi="Calibri" w:cs="Times New Roman"/>
                <w:color w:val="000000"/>
              </w:rPr>
            </w:pPr>
            <w:r>
              <w:rPr>
                <w:rFonts w:ascii="Calibri" w:hAnsi="Calibri"/>
              </w:rPr>
              <w:t> </w:t>
            </w:r>
          </w:p>
        </w:tc>
      </w:tr>
    </w:tbl>
    <w:p w14:paraId="6F690107" w14:textId="5E901209" w:rsidR="006C22B7" w:rsidRDefault="00D25DC5">
      <w:pPr>
        <w:pStyle w:val="Caption"/>
        <w:rPr>
          <w:rFonts w:ascii="Times New Roman" w:eastAsia="Times New Roman" w:hAnsi="Times New Roman"/>
          <w:color w:val="000000"/>
          <w:sz w:val="24"/>
          <w:szCs w:val="24"/>
        </w:rPr>
      </w:pPr>
      <w:r>
        <w:t xml:space="preserve">Graphique </w:t>
      </w:r>
      <w:r w:rsidR="00BD71DF">
        <w:fldChar w:fldCharType="begin"/>
      </w:r>
      <w:r w:rsidR="00BD71DF">
        <w:instrText xml:space="preserve"> SEQ Figure \* ARABIC </w:instrText>
      </w:r>
      <w:r w:rsidR="00BD71DF">
        <w:fldChar w:fldCharType="separate"/>
      </w:r>
      <w:r w:rsidRPr="00C75E40">
        <w:t>3</w:t>
      </w:r>
      <w:r w:rsidR="00BD71DF">
        <w:fldChar w:fldCharType="end"/>
      </w:r>
      <w:r>
        <w:t xml:space="preserve">: cadre d’action en matière de climat et d’énergie d’ici à </w:t>
      </w:r>
      <w:r w:rsidRPr="00C75E40">
        <w:t>2030</w:t>
      </w:r>
      <w:r w:rsidR="00C75E40">
        <w:t xml:space="preserve"> </w:t>
      </w:r>
    </w:p>
    <w:p w14:paraId="5D9C279E" w14:textId="2D6E3580" w:rsidR="006C22B7" w:rsidRDefault="00D25DC5">
      <w:pPr>
        <w:overflowPunct w:val="0"/>
        <w:autoSpaceDE w:val="0"/>
        <w:autoSpaceDN w:val="0"/>
        <w:adjustRightInd w:val="0"/>
        <w:spacing w:after="120" w:line="276" w:lineRule="auto"/>
        <w:jc w:val="both"/>
        <w:textAlignment w:val="baseline"/>
        <w:rPr>
          <w:rFonts w:ascii="Times New Roman" w:eastAsia="Times New Roman" w:hAnsi="Times New Roman" w:cs="Times New Roman"/>
          <w:color w:val="000000"/>
          <w:sz w:val="24"/>
          <w:szCs w:val="24"/>
        </w:rPr>
      </w:pPr>
      <w:r>
        <w:rPr>
          <w:rStyle w:val="Heading2Char"/>
        </w:rPr>
        <w:t>Les États membres définissent les politiques et mesures supplémentaires visant à atteindre les objectifs fixés pour </w:t>
      </w:r>
      <w:r w:rsidRPr="00C75E40">
        <w:rPr>
          <w:rStyle w:val="Heading2Char"/>
        </w:rPr>
        <w:t>2030</w:t>
      </w:r>
    </w:p>
    <w:p w14:paraId="42749403" w14:textId="53D1B77B" w:rsidR="006C22B7" w:rsidRDefault="007F63E9">
      <w:pPr>
        <w:overflowPunct w:val="0"/>
        <w:autoSpaceDE w:val="0"/>
        <w:autoSpaceDN w:val="0"/>
        <w:adjustRightInd w:val="0"/>
        <w:spacing w:after="240" w:line="276" w:lineRule="auto"/>
        <w:jc w:val="both"/>
        <w:textAlignment w:val="baseline"/>
        <w:rPr>
          <w:rFonts w:ascii="Times New Roman" w:eastAsia="Times New Roman" w:hAnsi="Times New Roman" w:cs="Times New Roman"/>
          <w:color w:val="000000"/>
          <w:sz w:val="24"/>
          <w:szCs w:val="24"/>
        </w:rPr>
      </w:pPr>
      <w:r>
        <w:rPr>
          <w:rFonts w:ascii="Times New Roman" w:hAnsi="Times New Roman"/>
        </w:rPr>
        <w:t>En </w:t>
      </w:r>
      <w:r w:rsidRPr="00C75E40">
        <w:rPr>
          <w:rFonts w:ascii="Times New Roman" w:hAnsi="Times New Roman"/>
        </w:rPr>
        <w:t>2018</w:t>
      </w:r>
      <w:r>
        <w:rPr>
          <w:rFonts w:ascii="Times New Roman" w:hAnsi="Times New Roman"/>
        </w:rPr>
        <w:t>, pour la première fois, les États membres ont préparé des projets de plans nationaux intégrés en matière d’énergie et de climat (PNEC)</w:t>
      </w:r>
      <w:r>
        <w:rPr>
          <w:rStyle w:val="FootnoteReference"/>
          <w:rFonts w:ascii="Times New Roman" w:eastAsia="Times New Roman" w:hAnsi="Times New Roman" w:cs="Times New Roman"/>
        </w:rPr>
        <w:footnoteReference w:id="6"/>
      </w:r>
      <w:r>
        <w:rPr>
          <w:rFonts w:ascii="Times New Roman" w:hAnsi="Times New Roman"/>
        </w:rPr>
        <w:t>. Ceux-ci montrent que les États membres réalisent des progrès considérables dans la définition de la voie à suivre pour atteindre les objectifs fixés pour </w:t>
      </w:r>
      <w:r w:rsidRPr="00C75E40">
        <w:rPr>
          <w:rFonts w:ascii="Times New Roman" w:hAnsi="Times New Roman"/>
        </w:rPr>
        <w:t>2030</w:t>
      </w:r>
      <w:r>
        <w:rPr>
          <w:rFonts w:ascii="Times New Roman" w:hAnsi="Times New Roman"/>
        </w:rPr>
        <w:t xml:space="preserve"> en matière de climat et d’énergie, bien que des efforts supplémentaires soient toujours nécessaires. La Commission européenne a analysé les effets globaux des projets de plans en vue d’atteindre les objectifs fixés pour </w:t>
      </w:r>
      <w:r w:rsidRPr="00C75E40">
        <w:rPr>
          <w:rFonts w:ascii="Times New Roman" w:hAnsi="Times New Roman"/>
        </w:rPr>
        <w:t>2030</w:t>
      </w:r>
      <w:r>
        <w:rPr>
          <w:rFonts w:ascii="Times New Roman" w:hAnsi="Times New Roman"/>
        </w:rPr>
        <w:t xml:space="preserve"> et </w:t>
      </w:r>
      <w:r w:rsidR="00D26CF5">
        <w:rPr>
          <w:rFonts w:ascii="Times New Roman" w:hAnsi="Times New Roman"/>
        </w:rPr>
        <w:t>a</w:t>
      </w:r>
      <w:r>
        <w:rPr>
          <w:rFonts w:ascii="Times New Roman" w:hAnsi="Times New Roman"/>
        </w:rPr>
        <w:t xml:space="preserve"> émis des recommandations par pays</w:t>
      </w:r>
      <w:r>
        <w:rPr>
          <w:rStyle w:val="FootnoteReference"/>
          <w:rFonts w:ascii="Times New Roman" w:eastAsia="Times New Roman" w:hAnsi="Times New Roman" w:cs="Times New Roman"/>
        </w:rPr>
        <w:footnoteReference w:id="7"/>
      </w:r>
      <w:r>
        <w:rPr>
          <w:rFonts w:ascii="Times New Roman" w:hAnsi="Times New Roman"/>
        </w:rPr>
        <w:t>. Les États membres doivent finaliser leurs plans d’ici à la fin de </w:t>
      </w:r>
      <w:r w:rsidRPr="00C75E40">
        <w:rPr>
          <w:rFonts w:ascii="Times New Roman" w:hAnsi="Times New Roman"/>
        </w:rPr>
        <w:t>2019</w:t>
      </w:r>
      <w:r>
        <w:rPr>
          <w:rFonts w:ascii="Times New Roman" w:hAnsi="Times New Roman"/>
        </w:rPr>
        <w:t xml:space="preserve">. </w:t>
      </w:r>
    </w:p>
    <w:p w14:paraId="0D5EFDAD" w14:textId="701598D5" w:rsidR="006C22B7" w:rsidRDefault="00DF11B4">
      <w:pPr>
        <w:overflowPunct w:val="0"/>
        <w:autoSpaceDE w:val="0"/>
        <w:autoSpaceDN w:val="0"/>
        <w:adjustRightInd w:val="0"/>
        <w:spacing w:after="240" w:line="276" w:lineRule="auto"/>
        <w:jc w:val="both"/>
        <w:textAlignment w:val="baseline"/>
        <w:rPr>
          <w:rFonts w:ascii="Times New Roman" w:eastAsia="Times New Roman" w:hAnsi="Times New Roman" w:cs="Times New Roman"/>
          <w:color w:val="000000"/>
          <w:sz w:val="24"/>
          <w:szCs w:val="24"/>
        </w:rPr>
      </w:pPr>
      <w:r>
        <w:rPr>
          <w:rFonts w:ascii="Times New Roman" w:hAnsi="Times New Roman"/>
        </w:rPr>
        <w:t xml:space="preserve">D’après une agrégation des dernières projections nationales de GES, une fois les politiques et mesures nationales appliquées, il est prévu que les émissions soient réduites de </w:t>
      </w:r>
      <w:r w:rsidRPr="00C75E40">
        <w:rPr>
          <w:rFonts w:ascii="Times New Roman" w:hAnsi="Times New Roman"/>
        </w:rPr>
        <w:t>30</w:t>
      </w:r>
      <w:r>
        <w:rPr>
          <w:rFonts w:ascii="Times New Roman" w:hAnsi="Times New Roman"/>
        </w:rPr>
        <w:t> % d’ici </w:t>
      </w:r>
      <w:r w:rsidRPr="00C75E40">
        <w:rPr>
          <w:rFonts w:ascii="Times New Roman" w:hAnsi="Times New Roman"/>
        </w:rPr>
        <w:t>2030</w:t>
      </w:r>
      <w:r>
        <w:rPr>
          <w:rFonts w:ascii="Times New Roman" w:hAnsi="Times New Roman"/>
        </w:rPr>
        <w:t xml:space="preserve">. Si les mesures prévues ou les ambitions déclarées dans les projets de PNEC sont mises en œuvre, la réduction globale de GES de l’Union devrait atteindre l’objectif de </w:t>
      </w:r>
      <w:r w:rsidRPr="00C75E40">
        <w:rPr>
          <w:rFonts w:ascii="Times New Roman" w:hAnsi="Times New Roman"/>
        </w:rPr>
        <w:t>40</w:t>
      </w:r>
      <w:r>
        <w:rPr>
          <w:rFonts w:ascii="Times New Roman" w:hAnsi="Times New Roman"/>
        </w:rPr>
        <w:t xml:space="preserve"> % au moins. </w:t>
      </w:r>
    </w:p>
    <w:p w14:paraId="5FF7EA42" w14:textId="1D6EEDBD" w:rsidR="006C22B7" w:rsidRDefault="00675E1B">
      <w:pPr>
        <w:overflowPunct w:val="0"/>
        <w:autoSpaceDE w:val="0"/>
        <w:autoSpaceDN w:val="0"/>
        <w:adjustRightInd w:val="0"/>
        <w:spacing w:after="240" w:line="276" w:lineRule="auto"/>
        <w:jc w:val="both"/>
        <w:textAlignment w:val="baseline"/>
        <w:rPr>
          <w:rFonts w:ascii="Times New Roman" w:eastAsia="Times New Roman" w:hAnsi="Times New Roman" w:cs="Times New Roman"/>
          <w:color w:val="000000"/>
          <w:sz w:val="24"/>
          <w:szCs w:val="24"/>
        </w:rPr>
      </w:pPr>
      <w:r>
        <w:rPr>
          <w:rFonts w:ascii="Times New Roman" w:hAnsi="Times New Roman"/>
        </w:rPr>
        <w:t xml:space="preserve">Les dernières projections soumises par les États membres après les projets de PNEC indiquent que, si l’on tient compte de l’application des politiques prévues mais que l’on exclut les ambitions déclarées (objectifs), les émissions pourraient être réduites de </w:t>
      </w:r>
      <w:r w:rsidRPr="00C75E40">
        <w:rPr>
          <w:rFonts w:ascii="Times New Roman" w:hAnsi="Times New Roman"/>
        </w:rPr>
        <w:t>36</w:t>
      </w:r>
      <w:r>
        <w:rPr>
          <w:rFonts w:ascii="Times New Roman" w:hAnsi="Times New Roman"/>
        </w:rPr>
        <w:t> % en </w:t>
      </w:r>
      <w:r w:rsidRPr="00C75E40">
        <w:rPr>
          <w:rFonts w:ascii="Times New Roman" w:hAnsi="Times New Roman"/>
        </w:rPr>
        <w:t>2030</w:t>
      </w:r>
      <w:r>
        <w:rPr>
          <w:rFonts w:ascii="Times New Roman" w:hAnsi="Times New Roman"/>
        </w:rPr>
        <w:t xml:space="preserve">, une estimation un peu moins élevée que l’évaluation présentée dans les projets de PNEC. Les principales raisons qui expliquent cette différence sont que l’évaluation des projets de PNEC prend en considération les objectifs nationaux déclarés par l’Allemagne et les Pays-Bas dans leurs propres projets de PNEC et que la Pologne a présenté des projections fondées sur des mesures prévues dans son projet de PNEC, mais ne les a pas soumises comme faisant partie de l’exercice de déclaration sur les projections en </w:t>
      </w:r>
      <w:r w:rsidRPr="00C75E40">
        <w:rPr>
          <w:rFonts w:ascii="Times New Roman" w:hAnsi="Times New Roman"/>
        </w:rPr>
        <w:t>2019</w:t>
      </w:r>
      <w:r>
        <w:rPr>
          <w:rFonts w:ascii="Times New Roman" w:hAnsi="Times New Roman"/>
        </w:rPr>
        <w:t>.</w:t>
      </w:r>
    </w:p>
    <w:p w14:paraId="71EF297C" w14:textId="77777777" w:rsidR="006C22B7" w:rsidRDefault="006C22B7">
      <w:pPr>
        <w:overflowPunct w:val="0"/>
        <w:autoSpaceDE w:val="0"/>
        <w:autoSpaceDN w:val="0"/>
        <w:adjustRightInd w:val="0"/>
        <w:spacing w:after="240" w:line="276" w:lineRule="auto"/>
        <w:jc w:val="both"/>
        <w:textAlignment w:val="baseline"/>
        <w:rPr>
          <w:rFonts w:ascii="Times New Roman" w:eastAsia="Times New Roman" w:hAnsi="Times New Roman" w:cs="Times New Roman"/>
          <w:color w:val="000000"/>
          <w:sz w:val="24"/>
          <w:szCs w:val="24"/>
        </w:rPr>
      </w:pPr>
    </w:p>
    <w:p w14:paraId="7A2618DD" w14:textId="6ADA2809" w:rsidR="006C22B7" w:rsidRDefault="00CE78E6">
      <w:pPr>
        <w:pStyle w:val="Heading1"/>
        <w:spacing w:after="240"/>
        <w:ind w:left="714" w:hanging="357"/>
        <w:jc w:val="both"/>
      </w:pPr>
      <w:r>
        <w:t>ÉMISSIONS DANS LE SYSTÈME D’ÉCHANGE DE QUOTAS D’ÉMISSION DE L’UE (SEQE-UE)</w:t>
      </w:r>
    </w:p>
    <w:p w14:paraId="04C61ACA" w14:textId="70514DE4" w:rsidR="006C22B7" w:rsidRDefault="00CE78E6">
      <w:pPr>
        <w:jc w:val="both"/>
        <w:rPr>
          <w:rFonts w:ascii="Times New Roman" w:hAnsi="Times New Roman" w:cs="Times New Roman"/>
          <w:sz w:val="24"/>
        </w:rPr>
      </w:pPr>
      <w:r>
        <w:rPr>
          <w:rFonts w:ascii="Times New Roman" w:hAnsi="Times New Roman"/>
        </w:rPr>
        <w:t xml:space="preserve">Le système d’échange de quotas d’émission de l’UE (SEQE-UE) couvre les émissions provenant d’environ </w:t>
      </w:r>
      <w:r w:rsidRPr="00C75E40">
        <w:rPr>
          <w:rFonts w:ascii="Times New Roman" w:hAnsi="Times New Roman"/>
        </w:rPr>
        <w:t>11</w:t>
      </w:r>
      <w:r>
        <w:rPr>
          <w:rFonts w:ascii="Times New Roman" w:hAnsi="Times New Roman"/>
        </w:rPr>
        <w:t> </w:t>
      </w:r>
      <w:r w:rsidRPr="00C75E40">
        <w:rPr>
          <w:rFonts w:ascii="Times New Roman" w:hAnsi="Times New Roman"/>
        </w:rPr>
        <w:t>000</w:t>
      </w:r>
      <w:r>
        <w:rPr>
          <w:rFonts w:ascii="Times New Roman" w:hAnsi="Times New Roman"/>
        </w:rPr>
        <w:t xml:space="preserve"> centrales électriques et usines ainsi que des activités aériennes à l’intérieur des pays participants et entre eux. </w:t>
      </w:r>
    </w:p>
    <w:p w14:paraId="3EFE708E" w14:textId="64A108B7" w:rsidR="006C22B7" w:rsidRDefault="00CE78E6">
      <w:pPr>
        <w:jc w:val="both"/>
        <w:rPr>
          <w:rFonts w:ascii="Times New Roman" w:hAnsi="Times New Roman"/>
          <w:sz w:val="24"/>
          <w:szCs w:val="24"/>
        </w:rPr>
      </w:pPr>
      <w:r>
        <w:rPr>
          <w:rFonts w:ascii="Times New Roman" w:hAnsi="Times New Roman"/>
        </w:rPr>
        <w:t>Sur la base des informations consignées dans le registre de l’Union, on estime qu’en </w:t>
      </w:r>
      <w:r w:rsidRPr="00C75E40">
        <w:rPr>
          <w:rFonts w:ascii="Times New Roman" w:hAnsi="Times New Roman"/>
        </w:rPr>
        <w:t>2018</w:t>
      </w:r>
      <w:r>
        <w:rPr>
          <w:rFonts w:ascii="Times New Roman" w:hAnsi="Times New Roman"/>
        </w:rPr>
        <w:t xml:space="preserve">, les émissions d’installations fixes participant au SEQE-UE auraient diminué de </w:t>
      </w:r>
      <w:r w:rsidRPr="00C75E40">
        <w:rPr>
          <w:rFonts w:ascii="Times New Roman" w:hAnsi="Times New Roman"/>
        </w:rPr>
        <w:t>4</w:t>
      </w:r>
      <w:r>
        <w:rPr>
          <w:rFonts w:ascii="Times New Roman" w:hAnsi="Times New Roman"/>
        </w:rPr>
        <w:t>,</w:t>
      </w:r>
      <w:r w:rsidRPr="00C75E40">
        <w:rPr>
          <w:rFonts w:ascii="Times New Roman" w:hAnsi="Times New Roman"/>
        </w:rPr>
        <w:t>1</w:t>
      </w:r>
      <w:r>
        <w:rPr>
          <w:rFonts w:ascii="Times New Roman" w:hAnsi="Times New Roman"/>
        </w:rPr>
        <w:t> % par rapport à </w:t>
      </w:r>
      <w:r w:rsidRPr="00C75E40">
        <w:rPr>
          <w:rFonts w:ascii="Times New Roman" w:hAnsi="Times New Roman"/>
        </w:rPr>
        <w:t>2017</w:t>
      </w:r>
      <w:r>
        <w:rPr>
          <w:rFonts w:ascii="Times New Roman" w:hAnsi="Times New Roman"/>
        </w:rPr>
        <w:t xml:space="preserve">. La réduction des émissions résultait principalement des efforts observés dans le secteur de l’électricité, celles provenant de l’industrie ayant légèrement diminué. </w:t>
      </w:r>
    </w:p>
    <w:p w14:paraId="4230C1C4" w14:textId="77777777" w:rsidR="006C22B7" w:rsidRDefault="00CE78E6">
      <w:pPr>
        <w:jc w:val="both"/>
        <w:rPr>
          <w:rFonts w:ascii="Times New Roman" w:hAnsi="Times New Roman"/>
          <w:sz w:val="24"/>
          <w:szCs w:val="24"/>
        </w:rPr>
      </w:pPr>
      <w:r>
        <w:rPr>
          <w:rFonts w:ascii="Times New Roman" w:hAnsi="Times New Roman"/>
        </w:rPr>
        <w:t xml:space="preserve">Pour ce qui est de l’évolution du secteur de l’aviation, les émissions vérifiées ont continué d’augmenter pour atteindre </w:t>
      </w:r>
      <w:r w:rsidRPr="00C75E40">
        <w:rPr>
          <w:rFonts w:ascii="Times New Roman" w:hAnsi="Times New Roman"/>
        </w:rPr>
        <w:t>67</w:t>
      </w:r>
      <w:r>
        <w:rPr>
          <w:rFonts w:ascii="Times New Roman" w:hAnsi="Times New Roman"/>
        </w:rPr>
        <w:t> millions de tonnes de CO</w:t>
      </w:r>
      <w:r w:rsidRPr="00C75E40">
        <w:rPr>
          <w:rFonts w:ascii="Times New Roman" w:hAnsi="Times New Roman"/>
          <w:vertAlign w:val="subscript"/>
        </w:rPr>
        <w:t>2</w:t>
      </w:r>
      <w:r>
        <w:rPr>
          <w:rFonts w:ascii="Times New Roman" w:hAnsi="Times New Roman"/>
        </w:rPr>
        <w:t xml:space="preserve"> en </w:t>
      </w:r>
      <w:r w:rsidRPr="00C75E40">
        <w:rPr>
          <w:rFonts w:ascii="Times New Roman" w:hAnsi="Times New Roman"/>
        </w:rPr>
        <w:t>2018</w:t>
      </w:r>
      <w:r>
        <w:rPr>
          <w:rFonts w:ascii="Times New Roman" w:hAnsi="Times New Roman"/>
        </w:rPr>
        <w:t xml:space="preserve">, soit une augmentation de </w:t>
      </w:r>
      <w:r w:rsidRPr="00C75E40">
        <w:rPr>
          <w:rFonts w:ascii="Times New Roman" w:hAnsi="Times New Roman"/>
        </w:rPr>
        <w:t>4</w:t>
      </w:r>
      <w:r>
        <w:rPr>
          <w:rFonts w:ascii="Times New Roman" w:hAnsi="Times New Roman"/>
        </w:rPr>
        <w:t> % par rapport à </w:t>
      </w:r>
      <w:r w:rsidRPr="00C75E40">
        <w:rPr>
          <w:rFonts w:ascii="Times New Roman" w:hAnsi="Times New Roman"/>
        </w:rPr>
        <w:t>2017</w:t>
      </w:r>
      <w:r>
        <w:rPr>
          <w:rFonts w:ascii="Times New Roman" w:hAnsi="Times New Roman"/>
        </w:rPr>
        <w:t>.</w:t>
      </w:r>
    </w:p>
    <w:p w14:paraId="329D014F" w14:textId="22678F8E" w:rsidR="006C22B7" w:rsidRDefault="00CE78E6">
      <w:pPr>
        <w:jc w:val="both"/>
        <w:rPr>
          <w:highlight w:val="yellow"/>
        </w:rPr>
      </w:pPr>
      <w:r>
        <w:rPr>
          <w:rFonts w:ascii="Times New Roman" w:hAnsi="Times New Roman"/>
        </w:rPr>
        <w:t>Le graphique </w:t>
      </w:r>
      <w:r w:rsidRPr="00C75E40">
        <w:rPr>
          <w:rFonts w:ascii="Times New Roman" w:hAnsi="Times New Roman"/>
        </w:rPr>
        <w:t>4</w:t>
      </w:r>
      <w:r>
        <w:rPr>
          <w:rFonts w:ascii="Times New Roman" w:hAnsi="Times New Roman"/>
        </w:rPr>
        <w:t xml:space="preserve"> montre l’évolution passée et prévue des émissions du SEQE ainsi que le plafond et l’excédent cumulé des quotas du SEQE. </w:t>
      </w:r>
    </w:p>
    <w:p w14:paraId="4C48005A" w14:textId="084EB63C" w:rsidR="006C22B7" w:rsidRDefault="00C75E40">
      <w:pPr>
        <w:jc w:val="both"/>
        <w:rPr>
          <w:rFonts w:ascii="Times New Roman" w:hAnsi="Times New Roman"/>
          <w:sz w:val="24"/>
          <w:szCs w:val="24"/>
        </w:rPr>
      </w:pPr>
      <w:r w:rsidRPr="00C75E40">
        <w:rPr>
          <w:rFonts w:ascii="Times New Roman" w:hAnsi="Times New Roman"/>
          <w:noProof/>
          <w:sz w:val="24"/>
          <w:szCs w:val="24"/>
          <w:lang w:val="en-GB" w:eastAsia="en-GB"/>
        </w:rPr>
        <w:drawing>
          <wp:inline distT="0" distB="0" distL="0" distR="0" wp14:anchorId="4EB1D9D6" wp14:editId="54171A9E">
            <wp:extent cx="5731510" cy="3757295"/>
            <wp:effectExtent l="0" t="0" r="2540" b="14605"/>
            <wp:docPr id="5" name="Chart 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424F92" w14:textId="64980470" w:rsidR="006C22B7" w:rsidRDefault="00D25DC5">
      <w:pPr>
        <w:pStyle w:val="Caption"/>
        <w:rPr>
          <w:rFonts w:ascii="Times New Roman" w:hAnsi="Times New Roman"/>
          <w:sz w:val="24"/>
          <w:szCs w:val="24"/>
        </w:rPr>
      </w:pPr>
      <w:r>
        <w:t xml:space="preserve">Graphique </w:t>
      </w:r>
      <w:r w:rsidR="00BD71DF">
        <w:fldChar w:fldCharType="begin"/>
      </w:r>
      <w:r w:rsidR="00BD71DF">
        <w:instrText xml:space="preserve"> SEQ Figure \* ARABIC </w:instrText>
      </w:r>
      <w:r w:rsidR="00BD71DF">
        <w:fldChar w:fldCharType="separate"/>
      </w:r>
      <w:r w:rsidRPr="00C75E40">
        <w:t>4</w:t>
      </w:r>
      <w:r w:rsidR="00BD71DF">
        <w:fldChar w:fldCharType="end"/>
      </w:r>
      <w:r>
        <w:t xml:space="preserve">: émissions du SEQE vérifiées pour </w:t>
      </w:r>
      <w:r w:rsidRPr="00C75E40">
        <w:t>2005</w:t>
      </w:r>
      <w:r>
        <w:t>-</w:t>
      </w:r>
      <w:r w:rsidRPr="00C75E40">
        <w:t>2018</w:t>
      </w:r>
      <w:r>
        <w:t xml:space="preserve">, projections des États membres fondées sur les mesures existantes </w:t>
      </w:r>
      <w:r w:rsidRPr="00C75E40">
        <w:t>2019</w:t>
      </w:r>
      <w:r>
        <w:t>-</w:t>
      </w:r>
      <w:r w:rsidRPr="00C75E40">
        <w:t>2030</w:t>
      </w:r>
      <w:r>
        <w:t>, plafond du SEQE phases </w:t>
      </w:r>
      <w:r w:rsidRPr="00C75E40">
        <w:t>2</w:t>
      </w:r>
      <w:r>
        <w:t xml:space="preserve">, </w:t>
      </w:r>
      <w:r w:rsidRPr="00C75E40">
        <w:t>3</w:t>
      </w:r>
      <w:r>
        <w:t xml:space="preserve"> et </w:t>
      </w:r>
      <w:r w:rsidRPr="00C75E40">
        <w:t>4</w:t>
      </w:r>
      <w:r>
        <w:t xml:space="preserve">, et excédent cumulé des quotas du SEQE </w:t>
      </w:r>
      <w:r w:rsidRPr="00C75E40">
        <w:t>2008</w:t>
      </w:r>
      <w:r>
        <w:t>-</w:t>
      </w:r>
      <w:r w:rsidRPr="00C75E40">
        <w:t>2018</w:t>
      </w:r>
      <w:r>
        <w:t>. Mt éq. CO</w:t>
      </w:r>
      <w:r w:rsidRPr="00C75E40">
        <w:rPr>
          <w:vertAlign w:val="subscript"/>
        </w:rPr>
        <w:t>2</w:t>
      </w:r>
      <w:r>
        <w:rPr>
          <w:rStyle w:val="FootnoteReference"/>
        </w:rPr>
        <w:footnoteReference w:id="8"/>
      </w:r>
    </w:p>
    <w:p w14:paraId="67F34377" w14:textId="3C34F4E1" w:rsidR="006C22B7" w:rsidRDefault="00CE78E6">
      <w:pPr>
        <w:jc w:val="both"/>
        <w:rPr>
          <w:rFonts w:ascii="Times New Roman" w:hAnsi="Times New Roman"/>
          <w:sz w:val="24"/>
          <w:szCs w:val="24"/>
        </w:rPr>
      </w:pPr>
      <w:r>
        <w:rPr>
          <w:rFonts w:ascii="Times New Roman" w:hAnsi="Times New Roman"/>
        </w:rPr>
        <w:t xml:space="preserve">À la fin juin </w:t>
      </w:r>
      <w:r w:rsidRPr="00C75E40">
        <w:rPr>
          <w:rFonts w:ascii="Times New Roman" w:hAnsi="Times New Roman"/>
        </w:rPr>
        <w:t>2019</w:t>
      </w:r>
      <w:r>
        <w:rPr>
          <w:rFonts w:ascii="Times New Roman" w:hAnsi="Times New Roman"/>
        </w:rPr>
        <w:t xml:space="preserve">, le nombre total de crédits internationaux utilisés ou échangés s’élevait à </w:t>
      </w:r>
      <w:r w:rsidRPr="00C75E40">
        <w:rPr>
          <w:rFonts w:ascii="Times New Roman" w:hAnsi="Times New Roman"/>
        </w:rPr>
        <w:t>1</w:t>
      </w:r>
      <w:r>
        <w:rPr>
          <w:rFonts w:ascii="Times New Roman" w:hAnsi="Times New Roman"/>
        </w:rPr>
        <w:t>,</w:t>
      </w:r>
      <w:r w:rsidRPr="00C75E40">
        <w:rPr>
          <w:rFonts w:ascii="Times New Roman" w:hAnsi="Times New Roman"/>
        </w:rPr>
        <w:t>51</w:t>
      </w:r>
      <w:r>
        <w:rPr>
          <w:rFonts w:ascii="Times New Roman" w:hAnsi="Times New Roman"/>
        </w:rPr>
        <w:t xml:space="preserve"> milliard environ, soit plus de </w:t>
      </w:r>
      <w:r w:rsidRPr="00C75E40">
        <w:rPr>
          <w:rFonts w:ascii="Times New Roman" w:hAnsi="Times New Roman"/>
        </w:rPr>
        <w:t>90</w:t>
      </w:r>
      <w:r>
        <w:rPr>
          <w:rFonts w:ascii="Times New Roman" w:hAnsi="Times New Roman"/>
        </w:rPr>
        <w:t xml:space="preserve"> % du maximum autorisé estimé de </w:t>
      </w:r>
      <w:r w:rsidRPr="00C75E40">
        <w:rPr>
          <w:rFonts w:ascii="Times New Roman" w:hAnsi="Times New Roman"/>
        </w:rPr>
        <w:t>1</w:t>
      </w:r>
      <w:r>
        <w:rPr>
          <w:rFonts w:ascii="Times New Roman" w:hAnsi="Times New Roman"/>
        </w:rPr>
        <w:t>,</w:t>
      </w:r>
      <w:r w:rsidRPr="00C75E40">
        <w:rPr>
          <w:rFonts w:ascii="Times New Roman" w:hAnsi="Times New Roman"/>
        </w:rPr>
        <w:t>6</w:t>
      </w:r>
      <w:r>
        <w:rPr>
          <w:rFonts w:ascii="Times New Roman" w:hAnsi="Times New Roman"/>
        </w:rPr>
        <w:t xml:space="preserve"> milliard. Au cours de la seule phase </w:t>
      </w:r>
      <w:r w:rsidRPr="00C75E40">
        <w:rPr>
          <w:rFonts w:ascii="Times New Roman" w:hAnsi="Times New Roman"/>
        </w:rPr>
        <w:t>3</w:t>
      </w:r>
      <w:r>
        <w:rPr>
          <w:rFonts w:ascii="Times New Roman" w:hAnsi="Times New Roman"/>
        </w:rPr>
        <w:t xml:space="preserve"> (</w:t>
      </w:r>
      <w:r w:rsidRPr="00C75E40">
        <w:rPr>
          <w:rFonts w:ascii="Times New Roman" w:hAnsi="Times New Roman"/>
        </w:rPr>
        <w:t>2013</w:t>
      </w:r>
      <w:r>
        <w:rPr>
          <w:rFonts w:ascii="Times New Roman" w:hAnsi="Times New Roman"/>
        </w:rPr>
        <w:t>-</w:t>
      </w:r>
      <w:r w:rsidRPr="00C75E40">
        <w:rPr>
          <w:rFonts w:ascii="Times New Roman" w:hAnsi="Times New Roman"/>
        </w:rPr>
        <w:t>2020</w:t>
      </w:r>
      <w:r>
        <w:rPr>
          <w:rFonts w:ascii="Times New Roman" w:hAnsi="Times New Roman"/>
        </w:rPr>
        <w:t xml:space="preserve">), </w:t>
      </w:r>
      <w:r w:rsidRPr="00C75E40">
        <w:rPr>
          <w:rFonts w:ascii="Times New Roman" w:hAnsi="Times New Roman"/>
        </w:rPr>
        <w:t>453</w:t>
      </w:r>
      <w:r>
        <w:rPr>
          <w:rFonts w:ascii="Times New Roman" w:hAnsi="Times New Roman"/>
        </w:rPr>
        <w:t>,</w:t>
      </w:r>
      <w:r w:rsidRPr="00C75E40">
        <w:rPr>
          <w:rFonts w:ascii="Times New Roman" w:hAnsi="Times New Roman"/>
        </w:rPr>
        <w:t>49</w:t>
      </w:r>
      <w:r>
        <w:rPr>
          <w:rFonts w:ascii="Times New Roman" w:hAnsi="Times New Roman"/>
        </w:rPr>
        <w:t xml:space="preserve"> millions de crédits internationaux ont été échangés jusqu’à la fin du mois de juin </w:t>
      </w:r>
      <w:r w:rsidRPr="00C75E40">
        <w:rPr>
          <w:rFonts w:ascii="Times New Roman" w:hAnsi="Times New Roman"/>
        </w:rPr>
        <w:t>2019</w:t>
      </w:r>
      <w:r>
        <w:rPr>
          <w:rFonts w:ascii="Times New Roman" w:hAnsi="Times New Roman"/>
        </w:rPr>
        <w:t>.</w:t>
      </w:r>
    </w:p>
    <w:p w14:paraId="7A702B9B" w14:textId="15562B4B" w:rsidR="006C22B7" w:rsidRDefault="00CE78E6">
      <w:pPr>
        <w:jc w:val="both"/>
        <w:rPr>
          <w:rFonts w:ascii="Times New Roman" w:hAnsi="Times New Roman"/>
          <w:sz w:val="24"/>
          <w:szCs w:val="24"/>
        </w:rPr>
      </w:pPr>
      <w:r>
        <w:rPr>
          <w:rFonts w:ascii="Times New Roman" w:hAnsi="Times New Roman"/>
        </w:rPr>
        <w:t xml:space="preserve">En préparation de l’activation de la réserve de stabilité du marché en </w:t>
      </w:r>
      <w:r w:rsidRPr="00C75E40">
        <w:rPr>
          <w:rFonts w:ascii="Times New Roman" w:hAnsi="Times New Roman"/>
        </w:rPr>
        <w:t>2019</w:t>
      </w:r>
      <w:r>
        <w:rPr>
          <w:rFonts w:ascii="Times New Roman" w:hAnsi="Times New Roman"/>
        </w:rPr>
        <w:t xml:space="preserve">, la Commission a systématiquement publié, depuis la mi-mai </w:t>
      </w:r>
      <w:r w:rsidRPr="00C75E40">
        <w:rPr>
          <w:rFonts w:ascii="Times New Roman" w:hAnsi="Times New Roman"/>
        </w:rPr>
        <w:t>2017</w:t>
      </w:r>
      <w:r>
        <w:rPr>
          <w:rFonts w:ascii="Times New Roman" w:hAnsi="Times New Roman"/>
        </w:rPr>
        <w:t>, les chiffres relatifs à l’excédent</w:t>
      </w:r>
      <w:r>
        <w:rPr>
          <w:rStyle w:val="FootnoteReference"/>
          <w:rFonts w:ascii="Times New Roman" w:hAnsi="Times New Roman"/>
        </w:rPr>
        <w:footnoteReference w:id="9"/>
      </w:r>
      <w:r>
        <w:rPr>
          <w:rFonts w:ascii="Times New Roman" w:hAnsi="Times New Roman"/>
        </w:rPr>
        <w:t xml:space="preserve"> pour les années précédentes.</w:t>
      </w:r>
      <w:r w:rsidR="00C75E40">
        <w:rPr>
          <w:rFonts w:ascii="Times New Roman" w:hAnsi="Times New Roman"/>
        </w:rPr>
        <w:t xml:space="preserve"> </w:t>
      </w:r>
      <w:r>
        <w:rPr>
          <w:rFonts w:ascii="Times New Roman" w:hAnsi="Times New Roman"/>
        </w:rPr>
        <w:t>En mai </w:t>
      </w:r>
      <w:r w:rsidRPr="00C75E40">
        <w:rPr>
          <w:rFonts w:ascii="Times New Roman" w:hAnsi="Times New Roman"/>
        </w:rPr>
        <w:t>2019</w:t>
      </w:r>
      <w:r>
        <w:rPr>
          <w:rFonts w:ascii="Times New Roman" w:hAnsi="Times New Roman"/>
        </w:rPr>
        <w:t xml:space="preserve">, l’excédent a fait l’objet d’une troisième publication et s’élevait à environ </w:t>
      </w:r>
      <w:r w:rsidRPr="00C75E40">
        <w:rPr>
          <w:rFonts w:ascii="Times New Roman" w:hAnsi="Times New Roman"/>
        </w:rPr>
        <w:t>1</w:t>
      </w:r>
      <w:r>
        <w:rPr>
          <w:rFonts w:ascii="Times New Roman" w:hAnsi="Times New Roman"/>
        </w:rPr>
        <w:t>,</w:t>
      </w:r>
      <w:r w:rsidRPr="00C75E40">
        <w:rPr>
          <w:rFonts w:ascii="Times New Roman" w:hAnsi="Times New Roman"/>
        </w:rPr>
        <w:t>65</w:t>
      </w:r>
      <w:r>
        <w:rPr>
          <w:rFonts w:ascii="Times New Roman" w:hAnsi="Times New Roman"/>
        </w:rPr>
        <w:t> milliard de quotas</w:t>
      </w:r>
      <w:r>
        <w:rPr>
          <w:vertAlign w:val="superscript"/>
        </w:rPr>
        <w:footnoteReference w:id="10"/>
      </w:r>
      <w:r>
        <w:rPr>
          <w:rFonts w:ascii="Times New Roman" w:hAnsi="Times New Roman"/>
        </w:rPr>
        <w:t>. Sur la base de l’excédent de </w:t>
      </w:r>
      <w:r w:rsidRPr="00C75E40">
        <w:rPr>
          <w:rFonts w:ascii="Times New Roman" w:hAnsi="Times New Roman"/>
        </w:rPr>
        <w:t>2018</w:t>
      </w:r>
      <w:r>
        <w:rPr>
          <w:rFonts w:ascii="Times New Roman" w:hAnsi="Times New Roman"/>
        </w:rPr>
        <w:t xml:space="preserve"> et de la législation européenne révisée relative au SEQE pour la quatrième période d’échange du système (</w:t>
      </w:r>
      <w:r w:rsidRPr="00C75E40">
        <w:rPr>
          <w:rFonts w:ascii="Times New Roman" w:hAnsi="Times New Roman"/>
        </w:rPr>
        <w:t>2021</w:t>
      </w:r>
      <w:r>
        <w:rPr>
          <w:rFonts w:ascii="Times New Roman" w:hAnsi="Times New Roman"/>
        </w:rPr>
        <w:t>-</w:t>
      </w:r>
      <w:r w:rsidRPr="00C75E40">
        <w:rPr>
          <w:rFonts w:ascii="Times New Roman" w:hAnsi="Times New Roman"/>
        </w:rPr>
        <w:t>2030</w:t>
      </w:r>
      <w:r>
        <w:rPr>
          <w:rFonts w:ascii="Times New Roman" w:hAnsi="Times New Roman"/>
        </w:rPr>
        <w:t>), les volumes à mettre aux enchères de septembre à décembre </w:t>
      </w:r>
      <w:r w:rsidRPr="00C75E40">
        <w:rPr>
          <w:rFonts w:ascii="Times New Roman" w:hAnsi="Times New Roman"/>
        </w:rPr>
        <w:t>2019</w:t>
      </w:r>
      <w:r>
        <w:rPr>
          <w:rFonts w:ascii="Times New Roman" w:hAnsi="Times New Roman"/>
        </w:rPr>
        <w:t xml:space="preserve"> et de janvier à août </w:t>
      </w:r>
      <w:r w:rsidRPr="00C75E40">
        <w:rPr>
          <w:rFonts w:ascii="Times New Roman" w:hAnsi="Times New Roman"/>
        </w:rPr>
        <w:t>2020</w:t>
      </w:r>
      <w:r>
        <w:rPr>
          <w:rFonts w:ascii="Times New Roman" w:hAnsi="Times New Roman"/>
        </w:rPr>
        <w:t xml:space="preserve"> seront réduits de près de </w:t>
      </w:r>
      <w:r w:rsidRPr="00C75E40">
        <w:rPr>
          <w:rFonts w:ascii="Times New Roman" w:hAnsi="Times New Roman"/>
        </w:rPr>
        <w:t>397</w:t>
      </w:r>
      <w:r>
        <w:rPr>
          <w:rFonts w:ascii="Times New Roman" w:hAnsi="Times New Roman"/>
        </w:rPr>
        <w:t xml:space="preserve"> millions de quotas, soit </w:t>
      </w:r>
      <w:r w:rsidRPr="00C75E40">
        <w:rPr>
          <w:rFonts w:ascii="Times New Roman" w:hAnsi="Times New Roman"/>
        </w:rPr>
        <w:t>24</w:t>
      </w:r>
      <w:r>
        <w:rPr>
          <w:rFonts w:ascii="Times New Roman" w:hAnsi="Times New Roman"/>
        </w:rPr>
        <w:t xml:space="preserve"> % de l’excédent. </w:t>
      </w:r>
    </w:p>
    <w:p w14:paraId="45CB2451" w14:textId="126D1481" w:rsidR="006C22B7" w:rsidRDefault="0030411A">
      <w:pPr>
        <w:jc w:val="both"/>
        <w:rPr>
          <w:rFonts w:ascii="Times New Roman" w:hAnsi="Times New Roman"/>
          <w:sz w:val="24"/>
          <w:szCs w:val="24"/>
        </w:rPr>
      </w:pPr>
      <w:r>
        <w:rPr>
          <w:rFonts w:ascii="Times New Roman" w:hAnsi="Times New Roman"/>
          <w:noProof/>
          <w:lang w:val="en-GB" w:eastAsia="en-GB"/>
        </w:rPr>
        <mc:AlternateContent>
          <mc:Choice Requires="wps">
            <w:drawing>
              <wp:inline distT="0" distB="0" distL="0" distR="0" wp14:anchorId="7DB85AA6" wp14:editId="2EF67092">
                <wp:extent cx="5701145" cy="4595751"/>
                <wp:effectExtent l="0" t="0" r="13970" b="14605"/>
                <wp:docPr id="3" name="Text Box 3"/>
                <wp:cNvGraphicFramePr/>
                <a:graphic xmlns:a="http://schemas.openxmlformats.org/drawingml/2006/main">
                  <a:graphicData uri="http://schemas.microsoft.com/office/word/2010/wordprocessingShape">
                    <wps:wsp>
                      <wps:cNvSpPr txBox="1"/>
                      <wps:spPr>
                        <a:xfrm>
                          <a:off x="0" y="0"/>
                          <a:ext cx="5701145" cy="4595751"/>
                        </a:xfrm>
                        <a:prstGeom prst="rect">
                          <a:avLst/>
                        </a:prstGeom>
                        <a:solidFill>
                          <a:schemeClr val="lt1"/>
                        </a:solidFill>
                        <a:ln w="6350">
                          <a:solidFill>
                            <a:prstClr val="black"/>
                          </a:solidFill>
                        </a:ln>
                      </wps:spPr>
                      <wps:txbx>
                        <w:txbxContent>
                          <w:p w14:paraId="0352D809" w14:textId="7CB379B4" w:rsidR="006C22B7" w:rsidRDefault="0030411A">
                            <w:pPr>
                              <w:spacing w:line="240" w:lineRule="auto"/>
                              <w:rPr>
                                <w:rFonts w:ascii="Times New Roman" w:eastAsia="Times New Roman" w:hAnsi="Times New Roman" w:cs="Times New Roman"/>
                                <w:sz w:val="24"/>
                                <w:szCs w:val="24"/>
                              </w:rPr>
                            </w:pPr>
                            <w:r>
                              <w:rPr>
                                <w:rFonts w:ascii="Times New Roman" w:hAnsi="Times New Roman"/>
                                <w:b/>
                                <w:bCs/>
                              </w:rPr>
                              <w:t>LIFE15 OPTIMELT*</w:t>
                            </w:r>
                            <w:r>
                              <w:rPr>
                                <w:rFonts w:ascii="Times New Roman" w:hAnsi="Times New Roman"/>
                              </w:rPr>
                              <w:t xml:space="preserve"> – Démonstration du reformage thermochimique du gaz naturel visant à réduire les émissions de GES dans les secteurs à haute intensité énergétique – industrie du verre. </w:t>
                            </w:r>
                          </w:p>
                          <w:p w14:paraId="1C367ADB" w14:textId="3EA1C2B0" w:rsidR="006C22B7" w:rsidRDefault="0030411A">
                            <w:pPr>
                              <w:jc w:val="both"/>
                              <w:rPr>
                                <w:rFonts w:ascii="Times New Roman" w:eastAsia="Times New Roman" w:hAnsi="Times New Roman" w:cs="Times New Roman"/>
                                <w:sz w:val="24"/>
                                <w:szCs w:val="24"/>
                              </w:rPr>
                            </w:pPr>
                            <w:r>
                              <w:rPr>
                                <w:rFonts w:ascii="Times New Roman" w:hAnsi="Times New Roman"/>
                              </w:rPr>
                              <w:t>Le projet constitue la première démonstration à grande échelle d’un concept innovant de récupération de la chaleur perdue. La technologie, baptisée OPTIMELT, permet de tirer parti d’une réaction endothermique du gaz naturel avec la vapeur d’eau ou le CO</w:t>
                            </w:r>
                            <w:r>
                              <w:rPr>
                                <w:rFonts w:ascii="Times New Roman" w:hAnsi="Times New Roman"/>
                                <w:vertAlign w:val="subscript"/>
                              </w:rPr>
                              <w:t>2</w:t>
                            </w:r>
                            <w:r>
                              <w:rPr>
                                <w:rFonts w:ascii="Times New Roman" w:hAnsi="Times New Roman"/>
                              </w:rPr>
                              <w:t xml:space="preserve"> dans les gaz de combustion pour récupérer plus de chaleur qu’il n’était auparavant possible dans les procédés de fabrication à haute température.</w:t>
                            </w:r>
                          </w:p>
                          <w:p w14:paraId="7113F621" w14:textId="77777777" w:rsidR="006C22B7" w:rsidRDefault="0030411A">
                            <w:pPr>
                              <w:jc w:val="both"/>
                              <w:rPr>
                                <w:rFonts w:ascii="Times New Roman" w:eastAsia="Times New Roman" w:hAnsi="Times New Roman" w:cs="Times New Roman"/>
                                <w:sz w:val="24"/>
                                <w:szCs w:val="24"/>
                              </w:rPr>
                            </w:pPr>
                            <w:r>
                              <w:rPr>
                                <w:rFonts w:ascii="Times New Roman" w:hAnsi="Times New Roman"/>
                              </w:rPr>
                              <w:t>Le projet s’est vu octroyer 2,2 millions d’euros au titre du programme LIFE, l’instrument de financement de l’Union pour le climat et l’environnement.</w:t>
                            </w:r>
                          </w:p>
                          <w:p w14:paraId="25D64747" w14:textId="77777777" w:rsidR="006C22B7" w:rsidRDefault="0030411A">
                            <w:pPr>
                              <w:jc w:val="both"/>
                              <w:rPr>
                                <w:rFonts w:ascii="Times New Roman" w:eastAsia="Times New Roman" w:hAnsi="Times New Roman" w:cs="Times New Roman"/>
                                <w:sz w:val="24"/>
                                <w:szCs w:val="24"/>
                              </w:rPr>
                            </w:pPr>
                            <w:r>
                              <w:rPr>
                                <w:noProof/>
                                <w:lang w:val="en-GB" w:eastAsia="en-GB"/>
                              </w:rPr>
                              <w:drawing>
                                <wp:inline distT="0" distB="0" distL="0" distR="0" wp14:anchorId="5DECCC6D" wp14:editId="03840FF3">
                                  <wp:extent cx="5493327" cy="239378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14:paraId="287928DD" w14:textId="6AEE9BFB" w:rsidR="006C22B7" w:rsidRDefault="00CE5A68">
                            <w:pPr>
                              <w:rPr>
                                <w:rFonts w:ascii="Times New Roman" w:hAnsi="Times New Roman" w:cs="Times New Roman"/>
                                <w:sz w:val="20"/>
                              </w:rPr>
                            </w:pPr>
                            <w:r>
                              <w:rPr>
                                <w:rFonts w:ascii="Times New Roman" w:hAnsi="Times New Roman"/>
                                <w:sz w:val="20"/>
                              </w:rPr>
                              <w:t>*Le projet constitue un exemple de la manière dont les fonds de l’Union contribuent à l’innovation dans les secteurs couverts par le SEQE.</w:t>
                            </w:r>
                            <w:r w:rsidR="00C75E40">
                              <w:rPr>
                                <w:rFonts w:ascii="Times New Roman" w:hAnsi="Times New Roman"/>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DB85AA6" id="_x0000_t202" coordsize="21600,21600" o:spt="202" path="m,l,21600r21600,l21600,xe">
                <v:stroke joinstyle="miter"/>
                <v:path gradientshapeok="t" o:connecttype="rect"/>
              </v:shapetype>
              <v:shape id="Text Box 3" o:spid="_x0000_s1026" type="#_x0000_t202" style="width:448.9pt;height:36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" fillcolor="white [3201]" strokeweight=".5pt">
                <v:textbox>
                  <w:txbxContent>
                    <w:p w14:paraId="0352D809" w14:textId="7CB379B4" w:rsidR="006C22B7" w:rsidRDefault="0030411A">
                      <w:pPr>
                        <w:spacing w:line="240" w:lineRule="auto"/>
                        <w:rPr>
                          <w:rFonts w:ascii="Times New Roman" w:eastAsia="Times New Roman" w:hAnsi="Times New Roman" w:cs="Times New Roman"/>
                          <w:sz w:val="24"/>
                          <w:szCs w:val="24"/>
                        </w:rPr>
                      </w:pPr>
                      <w:r>
                        <w:rPr>
                          <w:rFonts w:ascii="Times New Roman" w:hAnsi="Times New Roman"/>
                          <w:b/>
                          <w:bCs/>
                        </w:rPr>
                        <w:t>LIFE15 OPTIMELT*</w:t>
                      </w:r>
                      <w:r>
                        <w:rPr>
                          <w:rFonts w:ascii="Times New Roman" w:hAnsi="Times New Roman"/>
                        </w:rPr>
                        <w:t xml:space="preserve"> – Démonstration du reformage thermochimique du gaz naturel visant à réduire les émissions de GES dans les secteurs à haute intensité énergétique – industrie du verre. </w:t>
                      </w:r>
                    </w:p>
                    <w:p w14:paraId="1C367ADB" w14:textId="3EA1C2B0" w:rsidR="006C22B7" w:rsidRDefault="0030411A">
                      <w:pPr>
                        <w:jc w:val="both"/>
                        <w:rPr>
                          <w:rFonts w:ascii="Times New Roman" w:eastAsia="Times New Roman" w:hAnsi="Times New Roman" w:cs="Times New Roman"/>
                          <w:sz w:val="24"/>
                          <w:szCs w:val="24"/>
                        </w:rPr>
                      </w:pPr>
                      <w:r>
                        <w:rPr>
                          <w:rFonts w:ascii="Times New Roman" w:hAnsi="Times New Roman"/>
                        </w:rPr>
                        <w:t>Le projet constitue la première démonstration à grande échelle d’un concept innovant de récupération de la chaleur perdue. La technologie, baptisée OPTIMELT, permet de tirer parti d’une réaction endothermique du gaz naturel avec la vapeur d’eau ou le CO</w:t>
                      </w:r>
                      <w:r>
                        <w:rPr>
                          <w:rFonts w:ascii="Times New Roman" w:hAnsi="Times New Roman"/>
                          <w:vertAlign w:val="subscript"/>
                        </w:rPr>
                        <w:t>2</w:t>
                      </w:r>
                      <w:r>
                        <w:rPr>
                          <w:rFonts w:ascii="Times New Roman" w:hAnsi="Times New Roman"/>
                        </w:rPr>
                        <w:t xml:space="preserve"> dans les gaz de combustion pour récupérer plus de chaleur qu’il n’était auparavant possible dans les procédés de fabrication à haute température.</w:t>
                      </w:r>
                    </w:p>
                    <w:p w14:paraId="7113F621" w14:textId="77777777" w:rsidR="006C22B7" w:rsidRDefault="0030411A">
                      <w:pPr>
                        <w:jc w:val="both"/>
                        <w:rPr>
                          <w:rFonts w:ascii="Times New Roman" w:eastAsia="Times New Roman" w:hAnsi="Times New Roman" w:cs="Times New Roman"/>
                          <w:sz w:val="24"/>
                          <w:szCs w:val="24"/>
                        </w:rPr>
                      </w:pPr>
                      <w:r>
                        <w:rPr>
                          <w:rFonts w:ascii="Times New Roman" w:hAnsi="Times New Roman"/>
                        </w:rPr>
                        <w:t>Le projet s’est vu octroyer 2,2 millions d’euros au titre du programme LIFE, l’instrument de financement de l’Union pour le climat et l’environnement.</w:t>
                      </w:r>
                    </w:p>
                    <w:p w14:paraId="25D64747" w14:textId="77777777" w:rsidR="006C22B7" w:rsidRDefault="0030411A">
                      <w:pPr>
                        <w:jc w:val="both"/>
                        <w:rPr>
                          <w:rFonts w:ascii="Times New Roman" w:eastAsia="Times New Roman" w:hAnsi="Times New Roman" w:cs="Times New Roman"/>
                          <w:sz w:val="24"/>
                          <w:szCs w:val="24"/>
                        </w:rPr>
                      </w:pPr>
                      <w:r>
                        <w:rPr>
                          <w:noProof/>
                          <w:lang w:val="en-GB" w:eastAsia="en-GB"/>
                        </w:rPr>
                        <w:drawing>
                          <wp:inline distT="0" distB="0" distL="0" distR="0" wp14:anchorId="5DECCC6D" wp14:editId="03840FF3">
                            <wp:extent cx="5493327" cy="239378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14:paraId="287928DD" w14:textId="6AEE9BFB" w:rsidR="006C22B7" w:rsidRDefault="00CE5A68">
                      <w:pPr>
                        <w:rPr>
                          <w:rFonts w:ascii="Times New Roman" w:hAnsi="Times New Roman" w:cs="Times New Roman"/>
                          <w:sz w:val="20"/>
                        </w:rPr>
                      </w:pPr>
                      <w:r>
                        <w:rPr>
                          <w:rFonts w:ascii="Times New Roman" w:hAnsi="Times New Roman"/>
                          <w:sz w:val="20"/>
                        </w:rPr>
                        <w:t>*Le projet constitue un exemple de la manière dont les fonds de l’Union contribuent à l’innovation dans les secteurs couverts par le SEQE.</w:t>
                      </w:r>
                      <w:r w:rsidR="00C75E40">
                        <w:rPr>
                          <w:rFonts w:ascii="Times New Roman" w:hAnsi="Times New Roman"/>
                          <w:sz w:val="20"/>
                        </w:rPr>
                        <w:t xml:space="preserve"> </w:t>
                      </w:r>
                    </w:p>
                  </w:txbxContent>
                </v:textbox>
                <w10:anchorlock/>
              </v:shape>
            </w:pict>
          </mc:Fallback>
        </mc:AlternateContent>
      </w:r>
    </w:p>
    <w:p w14:paraId="470D48F4" w14:textId="77777777" w:rsidR="006C22B7" w:rsidRDefault="006C22B7">
      <w:pPr>
        <w:pStyle w:val="Heading1"/>
        <w:numPr>
          <w:ilvl w:val="0"/>
          <w:numId w:val="0"/>
        </w:numPr>
        <w:spacing w:after="240"/>
        <w:ind w:left="714"/>
        <w:jc w:val="both"/>
      </w:pPr>
    </w:p>
    <w:p w14:paraId="5DDC48E9" w14:textId="250B8C2C" w:rsidR="006C22B7" w:rsidRDefault="00E04ACD">
      <w:pPr>
        <w:pStyle w:val="Heading1"/>
        <w:spacing w:after="240"/>
        <w:ind w:left="714" w:hanging="357"/>
        <w:jc w:val="both"/>
      </w:pPr>
      <w:r>
        <w:t>ÉMISSIONS RELEVANT DE LA RÉPARTITION DE L’EFFORT</w:t>
      </w:r>
    </w:p>
    <w:p w14:paraId="66E60702" w14:textId="74208CDD" w:rsidR="006C22B7" w:rsidRDefault="00244111">
      <w:pPr>
        <w:jc w:val="both"/>
        <w:rPr>
          <w:rFonts w:ascii="Times New Roman" w:hAnsi="Times New Roman" w:cs="Times New Roman"/>
          <w:sz w:val="24"/>
          <w:szCs w:val="24"/>
        </w:rPr>
      </w:pPr>
      <w:r>
        <w:rPr>
          <w:rFonts w:ascii="Times New Roman" w:hAnsi="Times New Roman"/>
        </w:rPr>
        <w:t>Les émissions issues de la plupart des secteurs n’étant pas compris</w:t>
      </w:r>
      <w:r w:rsidR="00D26CF5">
        <w:rPr>
          <w:rFonts w:ascii="Times New Roman" w:hAnsi="Times New Roman"/>
        </w:rPr>
        <w:t>es</w:t>
      </w:r>
      <w:r>
        <w:rPr>
          <w:rFonts w:ascii="Times New Roman" w:hAnsi="Times New Roman"/>
        </w:rPr>
        <w:t xml:space="preserve"> dans le SEQE-UE, tels que les transports, les bâtiments, l’agriculture (émissions autres que le CO</w:t>
      </w:r>
      <w:r w:rsidRPr="00C75E40">
        <w:rPr>
          <w:rFonts w:ascii="Times New Roman" w:hAnsi="Times New Roman"/>
          <w:vertAlign w:val="subscript"/>
        </w:rPr>
        <w:t>2</w:t>
      </w:r>
      <w:r>
        <w:rPr>
          <w:rFonts w:ascii="Times New Roman" w:hAnsi="Times New Roman"/>
        </w:rPr>
        <w:t>) et les déchets, sont couvertes par la législation européenne relative à la «répartition de l’effort». La décision relative à la répartition de l’effort (DRE)</w:t>
      </w:r>
      <w:r>
        <w:rPr>
          <w:rStyle w:val="FootnoteReference"/>
          <w:rFonts w:ascii="Times New Roman" w:hAnsi="Times New Roman" w:cs="Times New Roman"/>
        </w:rPr>
        <w:footnoteReference w:id="11"/>
      </w:r>
      <w:r>
        <w:rPr>
          <w:rFonts w:ascii="Times New Roman" w:hAnsi="Times New Roman"/>
        </w:rPr>
        <w:t xml:space="preserve"> fixe des objectifs d’émissions nationaux pour </w:t>
      </w:r>
      <w:r w:rsidRPr="00C75E40">
        <w:rPr>
          <w:rFonts w:ascii="Times New Roman" w:hAnsi="Times New Roman"/>
        </w:rPr>
        <w:t>2020</w:t>
      </w:r>
      <w:r>
        <w:rPr>
          <w:rFonts w:ascii="Times New Roman" w:hAnsi="Times New Roman"/>
        </w:rPr>
        <w:t>, exprimés en pourcentages de variation par rapport aux niveaux de </w:t>
      </w:r>
      <w:r w:rsidRPr="00C75E40">
        <w:rPr>
          <w:rFonts w:ascii="Times New Roman" w:hAnsi="Times New Roman"/>
        </w:rPr>
        <w:t>2005</w:t>
      </w:r>
      <w:r>
        <w:rPr>
          <w:rFonts w:ascii="Times New Roman" w:hAnsi="Times New Roman"/>
        </w:rPr>
        <w:t xml:space="preserve">. Les États membres doivent également respecter les limites d’émissions annuelles pour la période </w:t>
      </w:r>
      <w:r w:rsidRPr="00C75E40">
        <w:rPr>
          <w:rFonts w:ascii="Times New Roman" w:hAnsi="Times New Roman"/>
        </w:rPr>
        <w:t>2013</w:t>
      </w:r>
      <w:r>
        <w:rPr>
          <w:rFonts w:ascii="Times New Roman" w:hAnsi="Times New Roman"/>
        </w:rPr>
        <w:t>-</w:t>
      </w:r>
      <w:r w:rsidRPr="00C75E40">
        <w:rPr>
          <w:rFonts w:ascii="Times New Roman" w:hAnsi="Times New Roman"/>
        </w:rPr>
        <w:t>2020</w:t>
      </w:r>
      <w:r>
        <w:rPr>
          <w:rFonts w:ascii="Times New Roman" w:hAnsi="Times New Roman"/>
        </w:rPr>
        <w:t>. De même, le règlement relatif à la répartition de l’effort (RRE)</w:t>
      </w:r>
      <w:r>
        <w:rPr>
          <w:rStyle w:val="FootnoteReference"/>
          <w:rFonts w:ascii="Times New Roman" w:hAnsi="Times New Roman" w:cs="Times New Roman"/>
        </w:rPr>
        <w:footnoteReference w:id="12"/>
      </w:r>
      <w:r>
        <w:rPr>
          <w:rFonts w:ascii="Times New Roman" w:hAnsi="Times New Roman"/>
        </w:rPr>
        <w:t xml:space="preserve"> détermine des objectifs d’émissions nationaux fixés pour </w:t>
      </w:r>
      <w:r w:rsidRPr="00C75E40">
        <w:rPr>
          <w:rFonts w:ascii="Times New Roman" w:hAnsi="Times New Roman"/>
        </w:rPr>
        <w:t>2030</w:t>
      </w:r>
      <w:r>
        <w:rPr>
          <w:rFonts w:ascii="Times New Roman" w:hAnsi="Times New Roman"/>
        </w:rPr>
        <w:t xml:space="preserve">. </w:t>
      </w:r>
    </w:p>
    <w:p w14:paraId="77D30B90" w14:textId="1E14B043" w:rsidR="006C22B7" w:rsidRDefault="0045741B">
      <w:pPr>
        <w:pStyle w:val="Heading2"/>
        <w:spacing w:after="120"/>
      </w:pPr>
      <w:r>
        <w:t>Progrès vers les objectifs de répartition de l’effort</w:t>
      </w:r>
    </w:p>
    <w:p w14:paraId="56C8AB37" w14:textId="017FCD42" w:rsidR="006C22B7" w:rsidRDefault="0045741B">
      <w:pPr>
        <w:jc w:val="both"/>
        <w:rPr>
          <w:rFonts w:ascii="Times New Roman" w:hAnsi="Times New Roman" w:cs="Times New Roman"/>
          <w:sz w:val="24"/>
        </w:rPr>
      </w:pPr>
      <w:r>
        <w:rPr>
          <w:rFonts w:ascii="Times New Roman" w:hAnsi="Times New Roman"/>
        </w:rPr>
        <w:t>Les États membres prévoient la manière d’atteindre leurs objectifs de répartition de l’effort fixés pour </w:t>
      </w:r>
      <w:r w:rsidRPr="00C75E40">
        <w:rPr>
          <w:rFonts w:ascii="Times New Roman" w:hAnsi="Times New Roman"/>
        </w:rPr>
        <w:t>2030</w:t>
      </w:r>
      <w:r>
        <w:rPr>
          <w:rFonts w:ascii="Times New Roman" w:hAnsi="Times New Roman"/>
        </w:rPr>
        <w:t xml:space="preserve">. Si les politiques prévues sont mises en œuvre, l’Union pourrait réduire ses émissions relevant de la «répartition de l’effort» de </w:t>
      </w:r>
      <w:r w:rsidRPr="00C75E40">
        <w:rPr>
          <w:rFonts w:ascii="Times New Roman" w:hAnsi="Times New Roman"/>
        </w:rPr>
        <w:t>27</w:t>
      </w:r>
      <w:r>
        <w:rPr>
          <w:rFonts w:ascii="Times New Roman" w:hAnsi="Times New Roman"/>
        </w:rPr>
        <w:t xml:space="preserve"> à </w:t>
      </w:r>
      <w:r w:rsidRPr="00C75E40">
        <w:rPr>
          <w:rFonts w:ascii="Times New Roman" w:hAnsi="Times New Roman"/>
        </w:rPr>
        <w:t>28</w:t>
      </w:r>
      <w:r>
        <w:rPr>
          <w:rFonts w:ascii="Times New Roman" w:hAnsi="Times New Roman"/>
        </w:rPr>
        <w:t> % d’ici </w:t>
      </w:r>
      <w:r w:rsidRPr="00C75E40">
        <w:rPr>
          <w:rFonts w:ascii="Times New Roman" w:hAnsi="Times New Roman"/>
        </w:rPr>
        <w:t>2030</w:t>
      </w:r>
      <w:r>
        <w:rPr>
          <w:rStyle w:val="FootnoteReference"/>
          <w:rFonts w:ascii="Times New Roman" w:hAnsi="Times New Roman" w:cs="Times New Roman"/>
        </w:rPr>
        <w:footnoteReference w:id="13"/>
      </w:r>
      <w:r>
        <w:rPr>
          <w:rFonts w:ascii="Times New Roman" w:hAnsi="Times New Roman"/>
        </w:rPr>
        <w:t>, par rapport à </w:t>
      </w:r>
      <w:r w:rsidRPr="00C75E40">
        <w:rPr>
          <w:rFonts w:ascii="Times New Roman" w:hAnsi="Times New Roman"/>
        </w:rPr>
        <w:t>2005</w:t>
      </w:r>
      <w:r>
        <w:rPr>
          <w:rFonts w:ascii="Times New Roman" w:hAnsi="Times New Roman"/>
        </w:rPr>
        <w:t xml:space="preserve">. Il s’agit là d’un progrès évident par rapport aux politiques existantes, qui réduiraient les émissions de </w:t>
      </w:r>
      <w:r w:rsidRPr="00C75E40">
        <w:rPr>
          <w:rFonts w:ascii="Times New Roman" w:hAnsi="Times New Roman"/>
        </w:rPr>
        <w:t>20</w:t>
      </w:r>
      <w:r>
        <w:rPr>
          <w:rFonts w:ascii="Times New Roman" w:hAnsi="Times New Roman"/>
        </w:rPr>
        <w:t> % d’ici </w:t>
      </w:r>
      <w:r w:rsidRPr="00C75E40">
        <w:rPr>
          <w:rFonts w:ascii="Times New Roman" w:hAnsi="Times New Roman"/>
        </w:rPr>
        <w:t>2030</w:t>
      </w:r>
      <w:r>
        <w:rPr>
          <w:rFonts w:ascii="Times New Roman" w:hAnsi="Times New Roman"/>
        </w:rPr>
        <w:t xml:space="preserve">. Toutefois, afin d’atteindre l’objectif de réduction des émissions de </w:t>
      </w:r>
      <w:r w:rsidRPr="00C75E40">
        <w:rPr>
          <w:rFonts w:ascii="Times New Roman" w:hAnsi="Times New Roman"/>
        </w:rPr>
        <w:t>30</w:t>
      </w:r>
      <w:r>
        <w:rPr>
          <w:rFonts w:ascii="Times New Roman" w:hAnsi="Times New Roman"/>
        </w:rPr>
        <w:t> % pour la répartition de l’effort, les États membres devront définir des mesures supplémentaires. La Commission européenne a recommandé à plusieurs États membres de préciser plus avant, dans leurs PNEC finaux, leur stratégie de réalisation de l’objectif dans les secteurs non couverts par le SEQE</w:t>
      </w:r>
      <w:r>
        <w:rPr>
          <w:rStyle w:val="FootnoteReference"/>
          <w:rFonts w:ascii="Times New Roman" w:hAnsi="Times New Roman" w:cs="Times New Roman"/>
        </w:rPr>
        <w:footnoteReference w:id="14"/>
      </w:r>
      <w:r>
        <w:rPr>
          <w:rFonts w:ascii="Times New Roman" w:hAnsi="Times New Roman"/>
        </w:rPr>
        <w:t xml:space="preserve"> pour l’intégralité de la période </w:t>
      </w:r>
      <w:r w:rsidRPr="00C75E40">
        <w:rPr>
          <w:rFonts w:ascii="Times New Roman" w:hAnsi="Times New Roman"/>
        </w:rPr>
        <w:t>2021</w:t>
      </w:r>
      <w:r>
        <w:rPr>
          <w:rFonts w:ascii="Times New Roman" w:hAnsi="Times New Roman"/>
        </w:rPr>
        <w:t>-</w:t>
      </w:r>
      <w:r w:rsidRPr="00C75E40">
        <w:rPr>
          <w:rFonts w:ascii="Times New Roman" w:hAnsi="Times New Roman"/>
        </w:rPr>
        <w:t>2030</w:t>
      </w:r>
      <w:r>
        <w:rPr>
          <w:rFonts w:ascii="Times New Roman" w:hAnsi="Times New Roman"/>
        </w:rPr>
        <w:t xml:space="preserve">. </w:t>
      </w:r>
    </w:p>
    <w:p w14:paraId="1DB03298" w14:textId="36270137" w:rsidR="006C22B7" w:rsidRDefault="0045741B">
      <w:pPr>
        <w:jc w:val="both"/>
        <w:rPr>
          <w:rFonts w:ascii="Times New Roman" w:hAnsi="Times New Roman" w:cs="Times New Roman"/>
          <w:sz w:val="24"/>
        </w:rPr>
      </w:pPr>
      <w:r>
        <w:rPr>
          <w:rFonts w:ascii="Times New Roman" w:hAnsi="Times New Roman"/>
        </w:rPr>
        <w:t>Le graphique </w:t>
      </w:r>
      <w:r w:rsidRPr="00C75E40">
        <w:rPr>
          <w:rFonts w:ascii="Times New Roman" w:hAnsi="Times New Roman"/>
        </w:rPr>
        <w:t>5</w:t>
      </w:r>
      <w:r>
        <w:rPr>
          <w:rFonts w:ascii="Times New Roman" w:hAnsi="Times New Roman"/>
        </w:rPr>
        <w:t xml:space="preserve"> illustre l’écart entre les objectifs des États membres fixés pour </w:t>
      </w:r>
      <w:r w:rsidRPr="00C75E40">
        <w:rPr>
          <w:rFonts w:ascii="Times New Roman" w:hAnsi="Times New Roman"/>
        </w:rPr>
        <w:t>2030</w:t>
      </w:r>
      <w:r>
        <w:rPr>
          <w:rFonts w:ascii="Times New Roman" w:hAnsi="Times New Roman"/>
        </w:rPr>
        <w:t xml:space="preserve"> dans le cadre du RRE et leurs projections fondées sur des mesures existantes ou supplémentaires. </w:t>
      </w:r>
    </w:p>
    <w:p w14:paraId="116672E0" w14:textId="77777777" w:rsidR="006C22B7" w:rsidRDefault="006C22B7">
      <w:pPr>
        <w:jc w:val="both"/>
        <w:rPr>
          <w:rFonts w:ascii="Times New Roman" w:hAnsi="Times New Roman" w:cs="Times New Roman"/>
          <w:sz w:val="24"/>
        </w:rPr>
      </w:pPr>
    </w:p>
    <w:p w14:paraId="29E25862" w14:textId="77777777" w:rsidR="006C22B7" w:rsidRDefault="004C23CE">
      <w:pPr>
        <w:rPr>
          <w:rFonts w:ascii="Calibri" w:eastAsia="Calibri" w:hAnsi="Calibri" w:cs="Times New Roman"/>
          <w:b/>
          <w:bCs/>
          <w:sz w:val="20"/>
          <w:szCs w:val="20"/>
        </w:rPr>
      </w:pPr>
      <w:r>
        <w:br w:type="page"/>
      </w:r>
    </w:p>
    <w:p w14:paraId="451C49E8" w14:textId="4811CDA4" w:rsidR="006C22B7" w:rsidRDefault="00C75E40">
      <w:pPr>
        <w:pStyle w:val="Caption"/>
        <w:jc w:val="both"/>
      </w:pPr>
      <w:r w:rsidRPr="00C75E40">
        <w:rPr>
          <w:noProof/>
          <w:lang w:val="en-GB" w:eastAsia="en-GB"/>
        </w:rPr>
        <w:drawing>
          <wp:inline distT="0" distB="0" distL="0" distR="0" wp14:anchorId="6E0AF0C1" wp14:editId="37ACC306">
            <wp:extent cx="4842344" cy="6806317"/>
            <wp:effectExtent l="0" t="0" r="15875" b="13970"/>
            <wp:docPr id="15" name="Chart 1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1D3181B" w14:textId="5429FF0A" w:rsidR="006C22B7" w:rsidRDefault="0045741B">
      <w:pPr>
        <w:pStyle w:val="Caption"/>
        <w:jc w:val="both"/>
        <w:rPr>
          <w:rFonts w:ascii="Times New Roman" w:hAnsi="Times New Roman"/>
          <w:sz w:val="24"/>
        </w:rPr>
      </w:pPr>
      <w:r>
        <w:t xml:space="preserve">Graphique </w:t>
      </w:r>
      <w:r w:rsidR="00BD71DF">
        <w:fldChar w:fldCharType="begin"/>
      </w:r>
      <w:r w:rsidR="00BD71DF">
        <w:instrText xml:space="preserve"> SEQ Figure \* ARABIC </w:instrText>
      </w:r>
      <w:r w:rsidR="00BD71DF">
        <w:fldChar w:fldCharType="separate"/>
      </w:r>
      <w:r w:rsidRPr="00C75E40">
        <w:t>5</w:t>
      </w:r>
      <w:r w:rsidR="00BD71DF">
        <w:fldChar w:fldCharType="end"/>
      </w:r>
      <w:r>
        <w:t>: écarts entre les objectifs fixés pour </w:t>
      </w:r>
      <w:r w:rsidRPr="00C75E40">
        <w:t>2030</w:t>
      </w:r>
      <w:r>
        <w:t xml:space="preserve"> au titre du RRE et les projections d’émissions avec mesures existantes (AME) et avec mesures supplémentaires (AMS) en pourcentage des émissions de l’année de référence </w:t>
      </w:r>
      <w:r w:rsidRPr="00C75E40">
        <w:t>2005</w:t>
      </w:r>
      <w:r>
        <w:t xml:space="preserve"> Les valeurs négatives indiquent un dépassement des objectifs; les valeurs positives indiquent que les objectifs n’ont pas été atteints. </w:t>
      </w:r>
    </w:p>
    <w:p w14:paraId="3323D597" w14:textId="77777777" w:rsidR="006C22B7" w:rsidRDefault="004D7B88">
      <w:pPr>
        <w:jc w:val="both"/>
        <w:rPr>
          <w:rFonts w:ascii="Times New Roman" w:hAnsi="Times New Roman" w:cs="Times New Roman"/>
          <w:sz w:val="24"/>
        </w:rPr>
      </w:pPr>
      <w:r>
        <w:rPr>
          <w:rFonts w:ascii="Times New Roman" w:hAnsi="Times New Roman"/>
          <w:noProof/>
          <w:lang w:val="en-GB" w:eastAsia="en-GB"/>
        </w:rPr>
        <mc:AlternateContent>
          <mc:Choice Requires="wps">
            <w:drawing>
              <wp:inline distT="0" distB="0" distL="0" distR="0" wp14:anchorId="3DEF56DA" wp14:editId="0A8E221C">
                <wp:extent cx="5731510" cy="3390405"/>
                <wp:effectExtent l="0" t="0" r="21590" b="19685"/>
                <wp:docPr id="9" name="Text Box 9"/>
                <wp:cNvGraphicFramePr/>
                <a:graphic xmlns:a="http://schemas.openxmlformats.org/drawingml/2006/main">
                  <a:graphicData uri="http://schemas.microsoft.com/office/word/2010/wordprocessingShape">
                    <wps:wsp>
                      <wps:cNvSpPr txBox="1"/>
                      <wps:spPr>
                        <a:xfrm>
                          <a:off x="0" y="0"/>
                          <a:ext cx="5731510" cy="3390405"/>
                        </a:xfrm>
                        <a:prstGeom prst="rect">
                          <a:avLst/>
                        </a:prstGeom>
                        <a:solidFill>
                          <a:schemeClr val="lt1"/>
                        </a:solidFill>
                        <a:ln w="6350">
                          <a:solidFill>
                            <a:prstClr val="black"/>
                          </a:solidFill>
                        </a:ln>
                      </wps:spPr>
                      <wps:txbx>
                        <w:txbxContent>
                          <w:p w14:paraId="26CD9A07" w14:textId="432BA283" w:rsidR="006C22B7" w:rsidRDefault="004D7B88">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rPr>
                              <w:t>Recommandations aux États membres concernant leurs projets de PNEC</w:t>
                            </w:r>
                          </w:p>
                          <w:p w14:paraId="389AC9C6" w14:textId="77777777" w:rsidR="006C22B7" w:rsidRDefault="004D7B88">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En juin 2019, la Commission européenne a adressé aux États membres des recommandations fondées sur leurs projets de PNEC. En ce qui concerne les émissions de GES de secteurs non couverts par le SEQE, il a été recommandé à plusieurs États membres ce qui suit:</w:t>
                            </w:r>
                          </w:p>
                          <w:p w14:paraId="253B727E" w14:textId="349E41FD" w:rsidR="006C22B7" w:rsidRDefault="004D7B88">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clarifier la manière dont l’État membre prévoit d’atteindre son objectif de réduction des émissions de GES fixé pour 2030 pour les secteurs non couverts par le SEQE-UE en envisageant de nouvelles politiques rentables pour la période 2021-2030;</w:t>
                            </w:r>
                          </w:p>
                          <w:p w14:paraId="74A42323" w14:textId="4407D890" w:rsidR="006C22B7" w:rsidRDefault="004D7B88">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expliquer la manière dont l’État membre compte tenir son engagement selon lequel les émissions résultant de l’UTCAFT ne dépassent pas les absorptions;</w:t>
                            </w:r>
                          </w:p>
                          <w:p w14:paraId="57E4EDF9" w14:textId="2F399185" w:rsidR="006C22B7" w:rsidRDefault="004D7B88">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envisager également la génération de transferts vers d’autres États membres selon un bon rapport coût-efficacité au titre du RRE en tant que source de financement.</w:t>
                            </w:r>
                          </w:p>
                          <w:p w14:paraId="048A57D5" w14:textId="49915645" w:rsidR="006C22B7" w:rsidRDefault="004D7B88">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Il a également été recommandé à plusieurs États membres de reconsidérer leur niveau d’ambition en ce qui concerne les énergies renouvelables et l’efficacité énergétique afin de réduire les écarts d’ambition à l’échelle de l’Union. Par ailleurs, de nombreux États membres se sont vu recommander d’analyser davantage les interactions entre les politiques et mesures prévues en matière d’énergie et de climat et la pollution atmosphérique.</w:t>
                            </w:r>
                            <w:r w:rsidR="00C75E40">
                              <w:rPr>
                                <w:rFonts w:ascii="Times New Roman" w:hAnsi="Times New Roman"/>
                              </w:rPr>
                              <w:t xml:space="preserve"> </w:t>
                            </w:r>
                          </w:p>
                          <w:p w14:paraId="4A5828D8" w14:textId="77777777" w:rsidR="006C22B7" w:rsidRDefault="006C2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EF56DA" id="Text Box 9" o:spid="_x0000_s1027" type="#_x0000_t202" style="width:451.3pt;height:2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" fillcolor="white [3201]" strokeweight=".5pt">
                <v:textbox>
                  <w:txbxContent>
                    <w:p w14:paraId="26CD9A07" w14:textId="432BA283" w:rsidR="006C22B7" w:rsidRDefault="004D7B88">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rPr>
                        <w:t>Recommandations aux États membres concernant leurs projets de PNEC</w:t>
                      </w:r>
                    </w:p>
                    <w:p w14:paraId="389AC9C6" w14:textId="77777777" w:rsidR="006C22B7" w:rsidRDefault="004D7B88">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En juin 2019, la Commission européenne a adressé aux États membres des recommandations fondées sur leurs projets de PNEC. En ce qui concerne les émissions de GES de secteurs non couverts par le SEQE, il a été recommandé à plusieurs États membres ce qui suit:</w:t>
                      </w:r>
                    </w:p>
                    <w:p w14:paraId="253B727E" w14:textId="349E41FD" w:rsidR="006C22B7" w:rsidRDefault="004D7B88">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clarifier la manière dont l’État membre prévoit d’atteindre son objectif de réduction des émissions de GES fixé pour 2030 pour les secteurs non couverts par le SEQE-UE en envisageant de nouvelles politiques rentables pour la période 2021-2030;</w:t>
                      </w:r>
                    </w:p>
                    <w:p w14:paraId="74A42323" w14:textId="4407D890" w:rsidR="006C22B7" w:rsidRDefault="004D7B88">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expliquer la manière dont l’État membre compte tenir son engagement selon lequel les émissions résultant de l’UTCAFT ne dépassent pas les absorptions;</w:t>
                      </w:r>
                    </w:p>
                    <w:p w14:paraId="57E4EDF9" w14:textId="2F399185" w:rsidR="006C22B7" w:rsidRDefault="004D7B88">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envisager également la génération de transferts vers d’autres États membres selon un bon rapport coût-efficacité au titre du RRE en tant que source de financement.</w:t>
                      </w:r>
                    </w:p>
                    <w:p w14:paraId="048A57D5" w14:textId="49915645" w:rsidR="006C22B7" w:rsidRDefault="004D7B88">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Il a également été recommandé à plusieurs États membres de reconsidérer leur niveau d’ambition en ce qui concerne les énergies renouvelables et l’efficacité énergétique afin de réduire les écarts d’ambition à l’échelle de l’Union. Par ailleurs, de nombreux États membres se sont vu recommander d’analyser davantage les interactions entre les politiques et mesures prévues en matière d’énergie et de climat et la pollution atmosphérique.</w:t>
                      </w:r>
                      <w:r w:rsidR="00C75E40">
                        <w:rPr>
                          <w:rFonts w:ascii="Times New Roman" w:hAnsi="Times New Roman"/>
                        </w:rPr>
                        <w:t xml:space="preserve"> </w:t>
                      </w:r>
                    </w:p>
                    <w:p w14:paraId="4A5828D8" w14:textId="77777777" w:rsidR="006C22B7" w:rsidRDefault="006C22B7"/>
                  </w:txbxContent>
                </v:textbox>
                <w10:anchorlock/>
              </v:shape>
            </w:pict>
          </mc:Fallback>
        </mc:AlternateContent>
      </w:r>
    </w:p>
    <w:p w14:paraId="4326A1CD" w14:textId="398EBAE1" w:rsidR="006C22B7" w:rsidRDefault="00CE0BDE">
      <w:pPr>
        <w:jc w:val="both"/>
        <w:rPr>
          <w:rFonts w:ascii="Times New Roman" w:hAnsi="Times New Roman" w:cs="Times New Roman"/>
          <w:sz w:val="24"/>
        </w:rPr>
      </w:pPr>
      <w:r>
        <w:rPr>
          <w:rFonts w:ascii="Times New Roman" w:hAnsi="Times New Roman"/>
        </w:rPr>
        <w:t xml:space="preserve">En </w:t>
      </w:r>
      <w:r w:rsidRPr="00C75E40">
        <w:rPr>
          <w:rFonts w:ascii="Times New Roman" w:hAnsi="Times New Roman"/>
        </w:rPr>
        <w:t>2005</w:t>
      </w:r>
      <w:r>
        <w:rPr>
          <w:rFonts w:ascii="Times New Roman" w:hAnsi="Times New Roman"/>
        </w:rPr>
        <w:t xml:space="preserve">, les émissions relevant de la DRE ont été inférieures de </w:t>
      </w:r>
      <w:r w:rsidRPr="00C75E40">
        <w:rPr>
          <w:rFonts w:ascii="Times New Roman" w:hAnsi="Times New Roman"/>
        </w:rPr>
        <w:t>11</w:t>
      </w:r>
      <w:r>
        <w:rPr>
          <w:rFonts w:ascii="Times New Roman" w:hAnsi="Times New Roman"/>
        </w:rPr>
        <w:t xml:space="preserve"> % par rapport à </w:t>
      </w:r>
      <w:r w:rsidRPr="00C75E40">
        <w:rPr>
          <w:rFonts w:ascii="Times New Roman" w:hAnsi="Times New Roman"/>
        </w:rPr>
        <w:t>2005</w:t>
      </w:r>
      <w:r>
        <w:rPr>
          <w:rFonts w:ascii="Times New Roman" w:hAnsi="Times New Roman"/>
        </w:rPr>
        <w:t xml:space="preserve">, comme le montre le graphique </w:t>
      </w:r>
      <w:r w:rsidRPr="00C75E40">
        <w:rPr>
          <w:rFonts w:ascii="Times New Roman" w:hAnsi="Times New Roman"/>
        </w:rPr>
        <w:t>6</w:t>
      </w:r>
      <w:r>
        <w:rPr>
          <w:rFonts w:ascii="Times New Roman" w:hAnsi="Times New Roman"/>
        </w:rPr>
        <w:t>.</w:t>
      </w:r>
      <w:r w:rsidR="00C75E40">
        <w:rPr>
          <w:rFonts w:ascii="Times New Roman" w:hAnsi="Times New Roman"/>
        </w:rPr>
        <w:t xml:space="preserve"> </w:t>
      </w:r>
      <w:r>
        <w:rPr>
          <w:rFonts w:ascii="Times New Roman" w:hAnsi="Times New Roman"/>
        </w:rPr>
        <w:t xml:space="preserve">Ainsi, l’objectif intermédiaire d’une réduction de </w:t>
      </w:r>
      <w:r w:rsidRPr="00C75E40">
        <w:rPr>
          <w:rFonts w:ascii="Times New Roman" w:hAnsi="Times New Roman"/>
        </w:rPr>
        <w:t>8</w:t>
      </w:r>
      <w:r>
        <w:rPr>
          <w:rFonts w:ascii="Times New Roman" w:hAnsi="Times New Roman"/>
        </w:rPr>
        <w:t xml:space="preserve"> % a été dépassé de </w:t>
      </w:r>
      <w:r w:rsidRPr="00C75E40">
        <w:rPr>
          <w:rFonts w:ascii="Times New Roman" w:hAnsi="Times New Roman"/>
        </w:rPr>
        <w:t>3</w:t>
      </w:r>
      <w:r>
        <w:rPr>
          <w:rFonts w:ascii="Times New Roman" w:hAnsi="Times New Roman"/>
        </w:rPr>
        <w:t> points de pourcentage. Depuis le lancement du système en </w:t>
      </w:r>
      <w:r w:rsidRPr="00C75E40">
        <w:rPr>
          <w:rFonts w:ascii="Times New Roman" w:hAnsi="Times New Roman"/>
        </w:rPr>
        <w:t>2013</w:t>
      </w:r>
      <w:r>
        <w:rPr>
          <w:rFonts w:ascii="Times New Roman" w:hAnsi="Times New Roman"/>
        </w:rPr>
        <w:t xml:space="preserve">, chaque année, les émissions à l’échelle de l’Union ont été inférieures à la limite totale. Il en a résulté un excédent cumulé de quotas annuels d’émission (QAE) d’environ </w:t>
      </w:r>
      <w:r w:rsidRPr="00C75E40">
        <w:rPr>
          <w:rFonts w:ascii="Times New Roman" w:hAnsi="Times New Roman"/>
        </w:rPr>
        <w:t>1110</w:t>
      </w:r>
      <w:r>
        <w:rPr>
          <w:rFonts w:ascii="Times New Roman" w:hAnsi="Times New Roman"/>
        </w:rPr>
        <w:t xml:space="preserve"> Mt éq.CO</w:t>
      </w:r>
      <w:r w:rsidRPr="00C75E40">
        <w:rPr>
          <w:rFonts w:ascii="Times New Roman" w:hAnsi="Times New Roman"/>
          <w:vertAlign w:val="subscript"/>
        </w:rPr>
        <w:t>2</w:t>
      </w:r>
      <w:r>
        <w:rPr>
          <w:rFonts w:ascii="Times New Roman" w:hAnsi="Times New Roman"/>
        </w:rPr>
        <w:t xml:space="preserve"> en </w:t>
      </w:r>
      <w:r w:rsidRPr="00C75E40">
        <w:rPr>
          <w:rFonts w:ascii="Times New Roman" w:hAnsi="Times New Roman"/>
        </w:rPr>
        <w:t>2013</w:t>
      </w:r>
      <w:r>
        <w:rPr>
          <w:rFonts w:ascii="Times New Roman" w:hAnsi="Times New Roman"/>
        </w:rPr>
        <w:t>-</w:t>
      </w:r>
      <w:r w:rsidRPr="00C75E40">
        <w:rPr>
          <w:rFonts w:ascii="Times New Roman" w:hAnsi="Times New Roman"/>
        </w:rPr>
        <w:t>2018</w:t>
      </w:r>
      <w:r>
        <w:rPr>
          <w:rFonts w:ascii="Times New Roman" w:hAnsi="Times New Roman"/>
        </w:rPr>
        <w:t>.</w:t>
      </w:r>
      <w:r w:rsidR="00C75E40">
        <w:rPr>
          <w:rFonts w:ascii="Times New Roman" w:hAnsi="Times New Roman"/>
        </w:rPr>
        <w:t xml:space="preserve"> </w:t>
      </w:r>
      <w:r>
        <w:rPr>
          <w:rFonts w:ascii="Times New Roman" w:hAnsi="Times New Roman"/>
        </w:rPr>
        <w:t>Selon les projections, les émissions devraient rester en deçà de la limite annuelle jusqu’en </w:t>
      </w:r>
      <w:r w:rsidRPr="00C75E40">
        <w:rPr>
          <w:rFonts w:ascii="Times New Roman" w:hAnsi="Times New Roman"/>
        </w:rPr>
        <w:t>2020</w:t>
      </w:r>
      <w:r>
        <w:rPr>
          <w:rFonts w:ascii="Times New Roman" w:hAnsi="Times New Roman"/>
        </w:rPr>
        <w:t xml:space="preserve"> et l’objectif des émissions relevant de la répartition de l’effort pour </w:t>
      </w:r>
      <w:r w:rsidRPr="00C75E40">
        <w:rPr>
          <w:rFonts w:ascii="Times New Roman" w:hAnsi="Times New Roman"/>
        </w:rPr>
        <w:t>2020</w:t>
      </w:r>
      <w:r>
        <w:rPr>
          <w:rFonts w:ascii="Times New Roman" w:hAnsi="Times New Roman"/>
        </w:rPr>
        <w:t xml:space="preserve"> devrait être dépassé de </w:t>
      </w:r>
      <w:r w:rsidRPr="00C75E40">
        <w:rPr>
          <w:rFonts w:ascii="Times New Roman" w:hAnsi="Times New Roman"/>
        </w:rPr>
        <w:t>3</w:t>
      </w:r>
      <w:r>
        <w:rPr>
          <w:rFonts w:ascii="Times New Roman" w:hAnsi="Times New Roman"/>
        </w:rPr>
        <w:t xml:space="preserve"> points de pourcentage avec les mesures existantes. </w:t>
      </w:r>
    </w:p>
    <w:p w14:paraId="75B2CAB3" w14:textId="390B8BAF" w:rsidR="006C22B7" w:rsidRDefault="00C75E40">
      <w:r w:rsidRPr="00C75E40">
        <w:rPr>
          <w:noProof/>
          <w:lang w:val="en-GB" w:eastAsia="en-GB"/>
        </w:rPr>
        <w:drawing>
          <wp:inline distT="0" distB="0" distL="0" distR="0" wp14:anchorId="0AFA805C" wp14:editId="50A53C8E">
            <wp:extent cx="5731510" cy="3639820"/>
            <wp:effectExtent l="0" t="0" r="2540" b="17780"/>
            <wp:docPr id="17" name="Chart 17">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AC74ED" w14:textId="0DC2932F" w:rsidR="006C22B7" w:rsidRDefault="0045741B">
      <w:pPr>
        <w:pStyle w:val="Caption"/>
        <w:jc w:val="both"/>
      </w:pPr>
      <w:r>
        <w:t xml:space="preserve">Graphique </w:t>
      </w:r>
      <w:r w:rsidR="00BD71DF">
        <w:fldChar w:fldCharType="begin"/>
      </w:r>
      <w:r w:rsidR="00BD71DF">
        <w:instrText xml:space="preserve"> SEQ Figure \* ARABIC </w:instrText>
      </w:r>
      <w:r w:rsidR="00BD71DF">
        <w:fldChar w:fldCharType="separate"/>
      </w:r>
      <w:r w:rsidRPr="00C75E40">
        <w:t>6</w:t>
      </w:r>
      <w:r w:rsidR="00BD71DF">
        <w:fldChar w:fldCharType="end"/>
      </w:r>
      <w:r>
        <w:t xml:space="preserve">: émissions dans les secteurs relevant actuellement de la législation sur la répartition de l’effort </w:t>
      </w:r>
      <w:r w:rsidRPr="00C75E40">
        <w:t>2005</w:t>
      </w:r>
      <w:r>
        <w:t>-</w:t>
      </w:r>
      <w:r w:rsidRPr="00C75E40">
        <w:t>2030</w:t>
      </w:r>
      <w:r>
        <w:t xml:space="preserve"> et QAE (en Mt éq CO</w:t>
      </w:r>
      <w:r w:rsidRPr="00C75E40">
        <w:rPr>
          <w:vertAlign w:val="subscript"/>
        </w:rPr>
        <w:t>2</w:t>
      </w:r>
      <w:r>
        <w:t>)</w:t>
      </w:r>
    </w:p>
    <w:p w14:paraId="36913D88" w14:textId="5F3036B8" w:rsidR="006C22B7" w:rsidRDefault="0045741B">
      <w:pPr>
        <w:jc w:val="both"/>
        <w:rPr>
          <w:rFonts w:ascii="Times New Roman" w:hAnsi="Times New Roman" w:cs="Times New Roman"/>
          <w:sz w:val="24"/>
          <w:szCs w:val="24"/>
        </w:rPr>
      </w:pPr>
      <w:r>
        <w:rPr>
          <w:rFonts w:ascii="Times New Roman" w:hAnsi="Times New Roman"/>
        </w:rPr>
        <w:t xml:space="preserve">Les émissions des secteurs couverts par la législation relative à la répartition de l’effort ont progressivement diminué entre </w:t>
      </w:r>
      <w:r w:rsidRPr="00C75E40">
        <w:rPr>
          <w:rFonts w:ascii="Times New Roman" w:hAnsi="Times New Roman"/>
        </w:rPr>
        <w:t>2005</w:t>
      </w:r>
      <w:r>
        <w:rPr>
          <w:rFonts w:ascii="Times New Roman" w:hAnsi="Times New Roman"/>
        </w:rPr>
        <w:t xml:space="preserve"> et </w:t>
      </w:r>
      <w:r w:rsidRPr="00C75E40">
        <w:rPr>
          <w:rFonts w:ascii="Times New Roman" w:hAnsi="Times New Roman"/>
        </w:rPr>
        <w:t>2014</w:t>
      </w:r>
      <w:r>
        <w:rPr>
          <w:rFonts w:ascii="Times New Roman" w:hAnsi="Times New Roman"/>
        </w:rPr>
        <w:t>. Après </w:t>
      </w:r>
      <w:r w:rsidRPr="00C75E40">
        <w:rPr>
          <w:rFonts w:ascii="Times New Roman" w:hAnsi="Times New Roman"/>
        </w:rPr>
        <w:t>2014</w:t>
      </w:r>
      <w:r>
        <w:rPr>
          <w:rFonts w:ascii="Times New Roman" w:hAnsi="Times New Roman"/>
        </w:rPr>
        <w:t>, les émissions ont augmenté pendant trois années consécutives avant de connaître une baisse en </w:t>
      </w:r>
      <w:r w:rsidRPr="00C75E40">
        <w:rPr>
          <w:rFonts w:ascii="Times New Roman" w:hAnsi="Times New Roman"/>
        </w:rPr>
        <w:t>2018</w:t>
      </w:r>
      <w:r>
        <w:rPr>
          <w:rFonts w:ascii="Times New Roman" w:hAnsi="Times New Roman"/>
        </w:rPr>
        <w:t xml:space="preserve">. </w:t>
      </w:r>
    </w:p>
    <w:p w14:paraId="130C11E0" w14:textId="3AADD9AC" w:rsidR="006C22B7" w:rsidRDefault="00FA1455">
      <w:pPr>
        <w:jc w:val="both"/>
        <w:rPr>
          <w:rFonts w:ascii="Times New Roman" w:hAnsi="Times New Roman" w:cs="Times New Roman"/>
          <w:sz w:val="24"/>
          <w:szCs w:val="24"/>
        </w:rPr>
      </w:pPr>
      <w:r>
        <w:rPr>
          <w:rFonts w:ascii="Times New Roman" w:hAnsi="Times New Roman"/>
        </w:rPr>
        <w:t xml:space="preserve">Plus d’un tiers des émissions relevant de la répartition de l’effort provient des </w:t>
      </w:r>
      <w:r>
        <w:rPr>
          <w:rFonts w:ascii="Times New Roman" w:hAnsi="Times New Roman"/>
          <w:b/>
        </w:rPr>
        <w:t>transports</w:t>
      </w:r>
      <w:r>
        <w:rPr>
          <w:rFonts w:ascii="Times New Roman" w:hAnsi="Times New Roman"/>
        </w:rPr>
        <w:t xml:space="preserve">. Après une diminution des émissions observée entre </w:t>
      </w:r>
      <w:r w:rsidRPr="00C75E40">
        <w:rPr>
          <w:rFonts w:ascii="Times New Roman" w:hAnsi="Times New Roman"/>
        </w:rPr>
        <w:t>2007</w:t>
      </w:r>
      <w:r>
        <w:rPr>
          <w:rFonts w:ascii="Times New Roman" w:hAnsi="Times New Roman"/>
        </w:rPr>
        <w:t xml:space="preserve"> et </w:t>
      </w:r>
      <w:r w:rsidRPr="00C75E40">
        <w:rPr>
          <w:rFonts w:ascii="Times New Roman" w:hAnsi="Times New Roman"/>
        </w:rPr>
        <w:t>2013</w:t>
      </w:r>
      <w:r>
        <w:rPr>
          <w:rFonts w:ascii="Times New Roman" w:hAnsi="Times New Roman"/>
        </w:rPr>
        <w:t xml:space="preserve">, les émissions issues des transports ont augmenté au cours de chacune de ces cinq dernières années et sont aujourd’hui inférieures au niveau de </w:t>
      </w:r>
      <w:r w:rsidRPr="00C75E40">
        <w:rPr>
          <w:rFonts w:ascii="Times New Roman" w:hAnsi="Times New Roman"/>
        </w:rPr>
        <w:t>2005</w:t>
      </w:r>
      <w:r>
        <w:rPr>
          <w:rFonts w:ascii="Times New Roman" w:hAnsi="Times New Roman"/>
        </w:rPr>
        <w:t xml:space="preserve"> de </w:t>
      </w:r>
      <w:r w:rsidRPr="00C75E40">
        <w:rPr>
          <w:rFonts w:ascii="Times New Roman" w:hAnsi="Times New Roman"/>
        </w:rPr>
        <w:t>3</w:t>
      </w:r>
      <w:r>
        <w:rPr>
          <w:rFonts w:ascii="Times New Roman" w:hAnsi="Times New Roman"/>
        </w:rPr>
        <w:t xml:space="preserve"> % seulement.</w:t>
      </w:r>
      <w:r w:rsidR="00C75E40">
        <w:rPr>
          <w:rFonts w:ascii="Times New Roman" w:hAnsi="Times New Roman"/>
        </w:rPr>
        <w:t xml:space="preserve"> </w:t>
      </w:r>
      <w:r>
        <w:rPr>
          <w:rFonts w:ascii="Times New Roman" w:hAnsi="Times New Roman"/>
        </w:rPr>
        <w:t>Pour </w:t>
      </w:r>
      <w:r w:rsidRPr="00C75E40">
        <w:rPr>
          <w:rFonts w:ascii="Times New Roman" w:hAnsi="Times New Roman"/>
        </w:rPr>
        <w:t>2030</w:t>
      </w:r>
      <w:r>
        <w:rPr>
          <w:rFonts w:ascii="Times New Roman" w:hAnsi="Times New Roman"/>
        </w:rPr>
        <w:t>, avec les mesures existantes, les États membres prévoient une faible réduction (</w:t>
      </w:r>
      <w:r w:rsidRPr="00C75E40">
        <w:rPr>
          <w:rFonts w:ascii="Times New Roman" w:hAnsi="Times New Roman"/>
        </w:rPr>
        <w:t>7</w:t>
      </w:r>
      <w:r>
        <w:rPr>
          <w:rFonts w:ascii="Times New Roman" w:hAnsi="Times New Roman"/>
        </w:rPr>
        <w:t xml:space="preserve"> % par rapport à </w:t>
      </w:r>
      <w:r w:rsidRPr="00C75E40">
        <w:rPr>
          <w:rFonts w:ascii="Times New Roman" w:hAnsi="Times New Roman"/>
        </w:rPr>
        <w:t>2005</w:t>
      </w:r>
      <w:r>
        <w:rPr>
          <w:rFonts w:ascii="Times New Roman" w:hAnsi="Times New Roman"/>
        </w:rPr>
        <w:t xml:space="preserve">). Toutefois, avec l’application des politiques et mesures prévues, les émissions résultant du transport devraient être réduites de </w:t>
      </w:r>
      <w:r w:rsidRPr="00C75E40">
        <w:rPr>
          <w:rFonts w:ascii="Times New Roman" w:hAnsi="Times New Roman"/>
        </w:rPr>
        <w:t>18</w:t>
      </w:r>
      <w:r>
        <w:rPr>
          <w:rFonts w:ascii="Times New Roman" w:hAnsi="Times New Roman"/>
        </w:rPr>
        <w:t xml:space="preserve"> % d’ici à </w:t>
      </w:r>
      <w:r w:rsidRPr="00C75E40">
        <w:rPr>
          <w:rFonts w:ascii="Times New Roman" w:hAnsi="Times New Roman"/>
        </w:rPr>
        <w:t>2030</w:t>
      </w:r>
      <w:r>
        <w:rPr>
          <w:rFonts w:ascii="Times New Roman" w:hAnsi="Times New Roman"/>
        </w:rPr>
        <w:t xml:space="preserve"> par rapport à </w:t>
      </w:r>
      <w:r w:rsidRPr="00C75E40">
        <w:rPr>
          <w:rFonts w:ascii="Times New Roman" w:hAnsi="Times New Roman"/>
        </w:rPr>
        <w:t>2005</w:t>
      </w:r>
      <w:r>
        <w:rPr>
          <w:rFonts w:ascii="Times New Roman" w:hAnsi="Times New Roman"/>
        </w:rPr>
        <w:t xml:space="preserve">. </w:t>
      </w:r>
    </w:p>
    <w:p w14:paraId="594ADF04" w14:textId="04B5B86D" w:rsidR="006C22B7" w:rsidRDefault="00DA03BE">
      <w:pPr>
        <w:jc w:val="both"/>
        <w:rPr>
          <w:rFonts w:ascii="Times New Roman" w:hAnsi="Times New Roman" w:cs="Times New Roman"/>
          <w:sz w:val="24"/>
          <w:szCs w:val="24"/>
        </w:rPr>
      </w:pPr>
      <w:r>
        <w:rPr>
          <w:rFonts w:ascii="Times New Roman" w:hAnsi="Times New Roman"/>
        </w:rPr>
        <w:t>Les normes d’émissions de CO</w:t>
      </w:r>
      <w:r w:rsidRPr="00C75E40">
        <w:rPr>
          <w:rFonts w:ascii="Times New Roman" w:hAnsi="Times New Roman"/>
          <w:vertAlign w:val="subscript"/>
        </w:rPr>
        <w:t>2</w:t>
      </w:r>
      <w:r>
        <w:rPr>
          <w:rFonts w:ascii="Times New Roman" w:hAnsi="Times New Roman"/>
        </w:rPr>
        <w:t xml:space="preserve"> qui s’appliquent aux nouvelles voitures et camionnettes sont essentielles à la réduction des émissions générées par le transport routier. Tandis que les moyennes d’émissions de CO</w:t>
      </w:r>
      <w:r w:rsidRPr="00C75E40">
        <w:rPr>
          <w:rFonts w:ascii="Times New Roman" w:hAnsi="Times New Roman"/>
          <w:vertAlign w:val="subscript"/>
        </w:rPr>
        <w:t>2</w:t>
      </w:r>
      <w:r>
        <w:rPr>
          <w:rFonts w:ascii="Times New Roman" w:hAnsi="Times New Roman"/>
        </w:rPr>
        <w:t xml:space="preserve"> par kilomètre pour les nouvelles voitures et camionnettes demeuraient en deçà des objectifs applicables actuels, comme l’illustre le graphique </w:t>
      </w:r>
      <w:r w:rsidRPr="00C75E40">
        <w:rPr>
          <w:rFonts w:ascii="Times New Roman" w:hAnsi="Times New Roman"/>
        </w:rPr>
        <w:t>7</w:t>
      </w:r>
      <w:r>
        <w:rPr>
          <w:rFonts w:ascii="Times New Roman" w:hAnsi="Times New Roman"/>
        </w:rPr>
        <w:t xml:space="preserve"> ci-dessous, les données provisoires pour </w:t>
      </w:r>
      <w:r w:rsidRPr="00C75E40">
        <w:rPr>
          <w:rFonts w:ascii="Times New Roman" w:hAnsi="Times New Roman"/>
        </w:rPr>
        <w:t>2018</w:t>
      </w:r>
      <w:r>
        <w:rPr>
          <w:rFonts w:ascii="Times New Roman" w:hAnsi="Times New Roman"/>
        </w:rPr>
        <w:t xml:space="preserve"> révélaient une augmentation des émissions par rapport à </w:t>
      </w:r>
      <w:r w:rsidRPr="00C75E40">
        <w:rPr>
          <w:rFonts w:ascii="Times New Roman" w:hAnsi="Times New Roman"/>
        </w:rPr>
        <w:t>2017</w:t>
      </w:r>
      <w:r>
        <w:rPr>
          <w:rFonts w:ascii="Times New Roman" w:hAnsi="Times New Roman"/>
        </w:rPr>
        <w:t>.</w:t>
      </w:r>
      <w:r w:rsidR="00C75E40">
        <w:rPr>
          <w:rFonts w:ascii="Times New Roman" w:hAnsi="Times New Roman"/>
        </w:rPr>
        <w:t xml:space="preserve"> </w:t>
      </w:r>
      <w:r>
        <w:rPr>
          <w:rFonts w:ascii="Times New Roman" w:hAnsi="Times New Roman"/>
        </w:rPr>
        <w:t xml:space="preserve">Dès lors, les producteurs de véhicules devront procéder à une réduction significative des émissions de leur parc automobile d’environ </w:t>
      </w:r>
      <w:r w:rsidRPr="00C75E40">
        <w:rPr>
          <w:rFonts w:ascii="Times New Roman" w:hAnsi="Times New Roman"/>
        </w:rPr>
        <w:t>25</w:t>
      </w:r>
      <w:r>
        <w:rPr>
          <w:rFonts w:ascii="Times New Roman" w:hAnsi="Times New Roman"/>
        </w:rPr>
        <w:t> g CO</w:t>
      </w:r>
      <w:r w:rsidRPr="00C75E40">
        <w:rPr>
          <w:rFonts w:ascii="Times New Roman" w:hAnsi="Times New Roman"/>
          <w:vertAlign w:val="subscript"/>
        </w:rPr>
        <w:t>2</w:t>
      </w:r>
      <w:r>
        <w:rPr>
          <w:rFonts w:ascii="Times New Roman" w:hAnsi="Times New Roman"/>
        </w:rPr>
        <w:t xml:space="preserve">/km pour les voitures et </w:t>
      </w:r>
      <w:r w:rsidRPr="00C75E40">
        <w:rPr>
          <w:rFonts w:ascii="Times New Roman" w:hAnsi="Times New Roman"/>
        </w:rPr>
        <w:t>11</w:t>
      </w:r>
      <w:r>
        <w:rPr>
          <w:rFonts w:ascii="Times New Roman" w:hAnsi="Times New Roman"/>
        </w:rPr>
        <w:t> g CO</w:t>
      </w:r>
      <w:r w:rsidRPr="00C75E40">
        <w:rPr>
          <w:rFonts w:ascii="Times New Roman" w:hAnsi="Times New Roman"/>
          <w:vertAlign w:val="subscript"/>
        </w:rPr>
        <w:t>2</w:t>
      </w:r>
      <w:r>
        <w:rPr>
          <w:rFonts w:ascii="Times New Roman" w:hAnsi="Times New Roman"/>
        </w:rPr>
        <w:t>/km pour les camionnettes en moyenne afin d’atteindre les objectifs pour </w:t>
      </w:r>
      <w:r w:rsidRPr="00C75E40">
        <w:rPr>
          <w:rFonts w:ascii="Times New Roman" w:hAnsi="Times New Roman"/>
        </w:rPr>
        <w:t>2020</w:t>
      </w:r>
      <w:r>
        <w:rPr>
          <w:rFonts w:ascii="Times New Roman" w:hAnsi="Times New Roman"/>
        </w:rPr>
        <w:t xml:space="preserve"> et </w:t>
      </w:r>
      <w:r w:rsidRPr="00C75E40">
        <w:rPr>
          <w:rFonts w:ascii="Times New Roman" w:hAnsi="Times New Roman"/>
        </w:rPr>
        <w:t>2021</w:t>
      </w:r>
      <w:r>
        <w:rPr>
          <w:rFonts w:ascii="Times New Roman" w:hAnsi="Times New Roman"/>
        </w:rPr>
        <w:t>.</w:t>
      </w:r>
    </w:p>
    <w:p w14:paraId="285A8DBF" w14:textId="1C7F39D0" w:rsidR="006C22B7" w:rsidRDefault="00C75E40">
      <w:pPr>
        <w:keepNext/>
        <w:jc w:val="both"/>
      </w:pPr>
      <w:r w:rsidRPr="00C75E40">
        <w:rPr>
          <w:noProof/>
          <w:lang w:val="en-GB" w:eastAsia="en-GB"/>
        </w:rPr>
        <w:drawing>
          <wp:inline distT="0" distB="0" distL="0" distR="0" wp14:anchorId="57D9B083" wp14:editId="1870C2CD">
            <wp:extent cx="5820355" cy="3745230"/>
            <wp:effectExtent l="0" t="0" r="9525" b="7620"/>
            <wp:docPr id="19" name="Chart 19">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48EAED" w14:textId="03633607" w:rsidR="006C22B7" w:rsidRDefault="00DA03BE">
      <w:pPr>
        <w:pStyle w:val="Caption"/>
        <w:rPr>
          <w:rFonts w:ascii="Times New Roman" w:hAnsi="Times New Roman"/>
          <w:sz w:val="24"/>
          <w:szCs w:val="24"/>
        </w:rPr>
      </w:pPr>
      <w:r>
        <w:t xml:space="preserve">Graphique </w:t>
      </w:r>
      <w:r w:rsidR="00BD71DF">
        <w:fldChar w:fldCharType="begin"/>
      </w:r>
      <w:r w:rsidR="00BD71DF">
        <w:instrText xml:space="preserve"> SEQ Figure \* ARABIC </w:instrText>
      </w:r>
      <w:r w:rsidR="00BD71DF">
        <w:fldChar w:fldCharType="separate"/>
      </w:r>
      <w:r w:rsidRPr="00C75E40">
        <w:t>7</w:t>
      </w:r>
      <w:r w:rsidR="00BD71DF">
        <w:fldChar w:fldCharType="end"/>
      </w:r>
      <w:r>
        <w:t>: moyennes d’émissions de CO</w:t>
      </w:r>
      <w:r w:rsidRPr="00C75E40">
        <w:rPr>
          <w:vertAlign w:val="subscript"/>
        </w:rPr>
        <w:t>2</w:t>
      </w:r>
      <w:r>
        <w:t xml:space="preserve"> par kilomètre pour les nouvelles voitures et camionnettes </w:t>
      </w:r>
    </w:p>
    <w:p w14:paraId="5B3D4489" w14:textId="670D0C5B" w:rsidR="006C22B7" w:rsidRDefault="00DA03BE">
      <w:pPr>
        <w:jc w:val="both"/>
        <w:rPr>
          <w:rFonts w:ascii="Times New Roman" w:eastAsia="Times New Roman" w:hAnsi="Times New Roman" w:cs="Times New Roman"/>
          <w:sz w:val="24"/>
          <w:szCs w:val="24"/>
        </w:rPr>
      </w:pPr>
      <w:r>
        <w:rPr>
          <w:rFonts w:ascii="Times New Roman" w:hAnsi="Times New Roman"/>
        </w:rPr>
        <w:t xml:space="preserve">La directive sur la qualité des carburants contribue à la réduction des émissions de GES résultant des transports. Elle contraint les États membres à exiger que les fournisseurs de carburants réduisent l’intensité des émissions de GES tout au long du cycle de vie des carburants fournis de </w:t>
      </w:r>
      <w:r w:rsidRPr="00C75E40">
        <w:rPr>
          <w:rFonts w:ascii="Times New Roman" w:hAnsi="Times New Roman"/>
        </w:rPr>
        <w:t>6</w:t>
      </w:r>
      <w:r>
        <w:rPr>
          <w:rFonts w:ascii="Times New Roman" w:hAnsi="Times New Roman"/>
        </w:rPr>
        <w:t xml:space="preserve"> % d’ici </w:t>
      </w:r>
      <w:r w:rsidRPr="00C75E40">
        <w:rPr>
          <w:rFonts w:ascii="Times New Roman" w:hAnsi="Times New Roman"/>
        </w:rPr>
        <w:t>2020</w:t>
      </w:r>
      <w:r>
        <w:rPr>
          <w:rFonts w:ascii="Times New Roman" w:hAnsi="Times New Roman"/>
        </w:rPr>
        <w:t xml:space="preserve"> par rapport à </w:t>
      </w:r>
      <w:r w:rsidRPr="00C75E40">
        <w:rPr>
          <w:rFonts w:ascii="Times New Roman" w:hAnsi="Times New Roman"/>
        </w:rPr>
        <w:t>2010</w:t>
      </w:r>
      <w:r>
        <w:rPr>
          <w:rFonts w:ascii="Times New Roman" w:hAnsi="Times New Roman"/>
        </w:rPr>
        <w:t>. L’intensité moyenne des émissions de GES des carburants fournis en </w:t>
      </w:r>
      <w:r w:rsidRPr="00C75E40">
        <w:rPr>
          <w:rFonts w:ascii="Times New Roman" w:hAnsi="Times New Roman"/>
        </w:rPr>
        <w:t>2017</w:t>
      </w:r>
      <w:r>
        <w:rPr>
          <w:rFonts w:ascii="Times New Roman" w:hAnsi="Times New Roman"/>
        </w:rPr>
        <w:t xml:space="preserve"> était inférieure de </w:t>
      </w:r>
      <w:r w:rsidRPr="00C75E40">
        <w:rPr>
          <w:rFonts w:ascii="Times New Roman" w:hAnsi="Times New Roman"/>
        </w:rPr>
        <w:t>3</w:t>
      </w:r>
      <w:r>
        <w:rPr>
          <w:rFonts w:ascii="Times New Roman" w:hAnsi="Times New Roman"/>
        </w:rPr>
        <w:t>,</w:t>
      </w:r>
      <w:r w:rsidRPr="00C75E40">
        <w:rPr>
          <w:rFonts w:ascii="Times New Roman" w:hAnsi="Times New Roman"/>
        </w:rPr>
        <w:t>4</w:t>
      </w:r>
      <w:r>
        <w:rPr>
          <w:rFonts w:ascii="Times New Roman" w:hAnsi="Times New Roman"/>
        </w:rPr>
        <w:t> % par rapport à </w:t>
      </w:r>
      <w:r w:rsidRPr="00C75E40">
        <w:rPr>
          <w:rFonts w:ascii="Times New Roman" w:hAnsi="Times New Roman"/>
        </w:rPr>
        <w:t>2010</w:t>
      </w:r>
      <w:r>
        <w:rPr>
          <w:rFonts w:ascii="Times New Roman" w:hAnsi="Times New Roman"/>
        </w:rPr>
        <w:t xml:space="preserve"> (d’après les données provenant de </w:t>
      </w:r>
      <w:r w:rsidRPr="00C75E40">
        <w:rPr>
          <w:rFonts w:ascii="Times New Roman" w:hAnsi="Times New Roman"/>
        </w:rPr>
        <w:t>22</w:t>
      </w:r>
      <w:r>
        <w:rPr>
          <w:rFonts w:ascii="Times New Roman" w:hAnsi="Times New Roman"/>
        </w:rPr>
        <w:t> États membres présentées pour la première fois en </w:t>
      </w:r>
      <w:r w:rsidRPr="00C75E40">
        <w:rPr>
          <w:rFonts w:ascii="Times New Roman" w:hAnsi="Times New Roman"/>
        </w:rPr>
        <w:t>2019</w:t>
      </w:r>
      <w:r>
        <w:rPr>
          <w:rFonts w:ascii="Times New Roman" w:hAnsi="Times New Roman"/>
        </w:rPr>
        <w:t xml:space="preserve">). Comme l’illustre le graphique </w:t>
      </w:r>
      <w:r w:rsidRPr="00C75E40">
        <w:rPr>
          <w:rFonts w:ascii="Times New Roman" w:hAnsi="Times New Roman"/>
        </w:rPr>
        <w:t>8</w:t>
      </w:r>
      <w:r>
        <w:rPr>
          <w:rFonts w:ascii="Times New Roman" w:hAnsi="Times New Roman"/>
        </w:rPr>
        <w:t xml:space="preserve">, les progrès réalisés varient de manière significative d’un État membre à l’autre, mais la majorité d’entre eux doivent prendre de nouvelles mesures rapidement afin de s’assurer que l’objectif de </w:t>
      </w:r>
      <w:r w:rsidRPr="00C75E40">
        <w:rPr>
          <w:rFonts w:ascii="Times New Roman" w:hAnsi="Times New Roman"/>
        </w:rPr>
        <w:t>2020</w:t>
      </w:r>
      <w:r>
        <w:rPr>
          <w:rFonts w:ascii="Times New Roman" w:hAnsi="Times New Roman"/>
        </w:rPr>
        <w:t xml:space="preserve"> sera atteint.</w:t>
      </w:r>
      <w:r w:rsidR="00C75E40">
        <w:rPr>
          <w:rFonts w:ascii="Times New Roman" w:hAnsi="Times New Roman"/>
        </w:rPr>
        <w:t xml:space="preserve"> </w:t>
      </w:r>
    </w:p>
    <w:p w14:paraId="587B3288" w14:textId="548265CD" w:rsidR="006C22B7" w:rsidRDefault="006C22B7"/>
    <w:p w14:paraId="182C9527" w14:textId="64E27DD4" w:rsidR="006C22B7" w:rsidRDefault="00C75E40">
      <w:pPr>
        <w:jc w:val="both"/>
        <w:rPr>
          <w:b/>
          <w:sz w:val="20"/>
          <w:szCs w:val="20"/>
        </w:rPr>
      </w:pPr>
      <w:r>
        <w:rPr>
          <w:noProof/>
          <w:lang w:val="en-GB" w:eastAsia="en-GB"/>
        </w:rPr>
        <w:drawing>
          <wp:inline distT="0" distB="0" distL="0" distR="0" wp14:anchorId="60021BDC" wp14:editId="2DC67504">
            <wp:extent cx="5731510" cy="3382010"/>
            <wp:effectExtent l="0" t="0" r="254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382010"/>
                    </a:xfrm>
                    <a:prstGeom prst="rect">
                      <a:avLst/>
                    </a:prstGeom>
                  </pic:spPr>
                </pic:pic>
              </a:graphicData>
            </a:graphic>
          </wp:inline>
        </w:drawing>
      </w:r>
    </w:p>
    <w:p w14:paraId="7DF36E82" w14:textId="703B9407" w:rsidR="006C22B7" w:rsidRDefault="00DA03BE">
      <w:pPr>
        <w:jc w:val="both"/>
        <w:rPr>
          <w:b/>
          <w:sz w:val="20"/>
          <w:szCs w:val="20"/>
        </w:rPr>
      </w:pPr>
      <w:r>
        <w:rPr>
          <w:b/>
          <w:sz w:val="20"/>
          <w:szCs w:val="20"/>
        </w:rPr>
        <w:t xml:space="preserve">Graphique </w:t>
      </w:r>
      <w:r>
        <w:rPr>
          <w:rFonts w:ascii="Calibri" w:eastAsia="Calibri" w:hAnsi="Calibri" w:cs="Times New Roman"/>
          <w:b/>
          <w:sz w:val="20"/>
          <w:szCs w:val="20"/>
        </w:rPr>
        <w:fldChar w:fldCharType="begin"/>
      </w:r>
      <w:r>
        <w:rPr>
          <w:b/>
          <w:sz w:val="20"/>
          <w:szCs w:val="20"/>
        </w:rPr>
        <w:instrText xml:space="preserve"> SEQ Figure \* ARABIC </w:instrText>
      </w:r>
      <w:r>
        <w:rPr>
          <w:rFonts w:ascii="Calibri" w:eastAsia="Calibri" w:hAnsi="Calibri" w:cs="Times New Roman"/>
          <w:b/>
          <w:sz w:val="20"/>
          <w:szCs w:val="20"/>
        </w:rPr>
        <w:fldChar w:fldCharType="separate"/>
      </w:r>
      <w:r w:rsidRPr="00C75E40">
        <w:rPr>
          <w:b/>
          <w:sz w:val="20"/>
          <w:szCs w:val="20"/>
        </w:rPr>
        <w:t>8</w:t>
      </w:r>
      <w:r>
        <w:rPr>
          <w:rFonts w:ascii="Calibri" w:eastAsia="Calibri" w:hAnsi="Calibri" w:cs="Times New Roman"/>
          <w:b/>
          <w:sz w:val="20"/>
          <w:szCs w:val="20"/>
        </w:rPr>
        <w:fldChar w:fldCharType="end"/>
      </w:r>
      <w:r>
        <w:rPr>
          <w:b/>
          <w:sz w:val="20"/>
          <w:szCs w:val="20"/>
        </w:rPr>
        <w:t xml:space="preserve">: réductions de l’intensité de GES des carburants enregistrées par les fournisseurs européens de carburants dans les </w:t>
      </w:r>
      <w:r w:rsidRPr="00C75E40">
        <w:rPr>
          <w:b/>
          <w:sz w:val="20"/>
          <w:szCs w:val="20"/>
        </w:rPr>
        <w:t>22</w:t>
      </w:r>
      <w:r>
        <w:rPr>
          <w:b/>
          <w:sz w:val="20"/>
          <w:szCs w:val="20"/>
        </w:rPr>
        <w:t xml:space="preserve"> États membres déclarants au cours de la période </w:t>
      </w:r>
      <w:r w:rsidRPr="00C75E40">
        <w:rPr>
          <w:b/>
          <w:sz w:val="20"/>
          <w:szCs w:val="20"/>
        </w:rPr>
        <w:t>2010</w:t>
      </w:r>
      <w:r>
        <w:rPr>
          <w:b/>
          <w:sz w:val="20"/>
          <w:szCs w:val="20"/>
        </w:rPr>
        <w:t>-</w:t>
      </w:r>
      <w:r w:rsidRPr="00C75E40">
        <w:rPr>
          <w:b/>
          <w:sz w:val="20"/>
          <w:szCs w:val="20"/>
        </w:rPr>
        <w:t>2017</w:t>
      </w:r>
      <w:r>
        <w:rPr>
          <w:b/>
          <w:sz w:val="20"/>
          <w:szCs w:val="20"/>
        </w:rPr>
        <w:t xml:space="preserve"> </w:t>
      </w:r>
    </w:p>
    <w:p w14:paraId="51166796" w14:textId="5C81E322" w:rsidR="006C22B7" w:rsidRDefault="00211875">
      <w:pPr>
        <w:jc w:val="both"/>
        <w:rPr>
          <w:rFonts w:ascii="Times New Roman" w:hAnsi="Times New Roman" w:cs="Times New Roman"/>
          <w:sz w:val="24"/>
          <w:szCs w:val="24"/>
        </w:rPr>
      </w:pPr>
      <w:r>
        <w:rPr>
          <w:rFonts w:ascii="Times New Roman" w:hAnsi="Times New Roman"/>
        </w:rPr>
        <w:t xml:space="preserve">Les émissions issues de la </w:t>
      </w:r>
      <w:r>
        <w:rPr>
          <w:rFonts w:ascii="Times New Roman" w:hAnsi="Times New Roman"/>
          <w:b/>
        </w:rPr>
        <w:t>consommation d’énergie dans les bâtiments</w:t>
      </w:r>
      <w:r>
        <w:rPr>
          <w:rFonts w:ascii="Times New Roman" w:hAnsi="Times New Roman"/>
        </w:rPr>
        <w:t xml:space="preserve"> affichent certaines variations d’une année à l’autre en raison de changements liés au climat dans la demande de chauffage. Sur le long terme, les émissions ont fait l’objet d’une tendance à la baisse qui devrait se poursuivre jusqu’en </w:t>
      </w:r>
      <w:r w:rsidRPr="00C75E40">
        <w:rPr>
          <w:rFonts w:ascii="Times New Roman" w:hAnsi="Times New Roman"/>
        </w:rPr>
        <w:t>2030</w:t>
      </w:r>
      <w:r>
        <w:rPr>
          <w:rFonts w:ascii="Times New Roman" w:hAnsi="Times New Roman"/>
        </w:rPr>
        <w:t xml:space="preserve">. Les projections de réductions des émissions reflètent la disponibilité de technologies commercialisables qui font chuter la demande d’énergie et l’intégration des énergies renouvelables. Les États membres ont prévu de nouvelles politiques permettant de réduire plus rapidement les émissions. </w:t>
      </w:r>
    </w:p>
    <w:p w14:paraId="6390BB95" w14:textId="7363400B" w:rsidR="006C22B7" w:rsidRDefault="00211875">
      <w:pPr>
        <w:jc w:val="both"/>
        <w:rPr>
          <w:rFonts w:ascii="Times New Roman" w:hAnsi="Times New Roman" w:cs="Times New Roman"/>
          <w:sz w:val="24"/>
          <w:szCs w:val="24"/>
        </w:rPr>
      </w:pPr>
      <w:r>
        <w:rPr>
          <w:rFonts w:ascii="Times New Roman" w:hAnsi="Times New Roman"/>
        </w:rPr>
        <w:t>Les émissions issues de l’</w:t>
      </w:r>
      <w:r>
        <w:rPr>
          <w:rFonts w:ascii="Times New Roman" w:hAnsi="Times New Roman"/>
          <w:b/>
        </w:rPr>
        <w:t>agriculture</w:t>
      </w:r>
      <w:r>
        <w:rPr>
          <w:rFonts w:ascii="Times New Roman" w:hAnsi="Times New Roman"/>
        </w:rPr>
        <w:t xml:space="preserve"> (hors CO</w:t>
      </w:r>
      <w:r w:rsidRPr="00C75E40">
        <w:rPr>
          <w:rFonts w:ascii="Times New Roman" w:hAnsi="Times New Roman"/>
          <w:vertAlign w:val="subscript"/>
        </w:rPr>
        <w:t>2</w:t>
      </w:r>
      <w:r>
        <w:rPr>
          <w:rFonts w:ascii="Times New Roman" w:hAnsi="Times New Roman"/>
        </w:rPr>
        <w:t>) se situaient en </w:t>
      </w:r>
      <w:r w:rsidRPr="00C75E40">
        <w:rPr>
          <w:rFonts w:ascii="Times New Roman" w:hAnsi="Times New Roman"/>
        </w:rPr>
        <w:t>2018</w:t>
      </w:r>
      <w:r>
        <w:rPr>
          <w:rFonts w:ascii="Times New Roman" w:hAnsi="Times New Roman"/>
        </w:rPr>
        <w:t xml:space="preserve"> à un niveau comparable à celui de </w:t>
      </w:r>
      <w:r w:rsidRPr="00C75E40">
        <w:rPr>
          <w:rFonts w:ascii="Times New Roman" w:hAnsi="Times New Roman"/>
        </w:rPr>
        <w:t>2005</w:t>
      </w:r>
      <w:r>
        <w:rPr>
          <w:rFonts w:ascii="Times New Roman" w:hAnsi="Times New Roman"/>
        </w:rPr>
        <w:t xml:space="preserve"> et devraient rester stables jusqu’en </w:t>
      </w:r>
      <w:r w:rsidRPr="00C75E40">
        <w:rPr>
          <w:rFonts w:ascii="Times New Roman" w:hAnsi="Times New Roman"/>
        </w:rPr>
        <w:t>2030</w:t>
      </w:r>
      <w:r>
        <w:rPr>
          <w:rFonts w:ascii="Times New Roman" w:hAnsi="Times New Roman"/>
        </w:rPr>
        <w:t xml:space="preserve"> avec les politiques existantes. Même avec l’application des politiques prévues, seule une réduction mineure est attendue. </w:t>
      </w:r>
    </w:p>
    <w:p w14:paraId="419CDDCF" w14:textId="7644C5A6" w:rsidR="006C22B7" w:rsidRDefault="004C23CE">
      <w:pPr>
        <w:jc w:val="both"/>
        <w:rPr>
          <w:rFonts w:ascii="Times New Roman" w:hAnsi="Times New Roman" w:cs="Times New Roman"/>
          <w:sz w:val="24"/>
          <w:szCs w:val="24"/>
        </w:rPr>
      </w:pPr>
      <w:r>
        <w:rPr>
          <w:noProof/>
          <w:lang w:val="en-GB" w:eastAsia="en-GB"/>
        </w:rPr>
        <mc:AlternateContent>
          <mc:Choice Requires="wps">
            <w:drawing>
              <wp:inline distT="0" distB="0" distL="0" distR="0" wp14:anchorId="475F66F1" wp14:editId="05532316">
                <wp:extent cx="5695950" cy="5729844"/>
                <wp:effectExtent l="0" t="0" r="19050" b="23495"/>
                <wp:docPr id="8" name="Text Box 8"/>
                <wp:cNvGraphicFramePr/>
                <a:graphic xmlns:a="http://schemas.openxmlformats.org/drawingml/2006/main">
                  <a:graphicData uri="http://schemas.microsoft.com/office/word/2010/wordprocessingShape">
                    <wps:wsp>
                      <wps:cNvSpPr txBox="1"/>
                      <wps:spPr>
                        <a:xfrm>
                          <a:off x="0" y="0"/>
                          <a:ext cx="5695950" cy="5729844"/>
                        </a:xfrm>
                        <a:prstGeom prst="rect">
                          <a:avLst/>
                        </a:prstGeom>
                        <a:solidFill>
                          <a:schemeClr val="lt1"/>
                        </a:solidFill>
                        <a:ln w="6350">
                          <a:solidFill>
                            <a:prstClr val="black"/>
                          </a:solidFill>
                        </a:ln>
                      </wps:spPr>
                      <wps:txbx>
                        <w:txbxContent>
                          <w:p w14:paraId="27E75FD2" w14:textId="7FD12C9D" w:rsidR="006C22B7" w:rsidRDefault="004C23CE">
                            <w:pPr>
                              <w:jc w:val="both"/>
                              <w:rPr>
                                <w:rFonts w:ascii="Times New Roman" w:hAnsi="Times New Roman" w:cs="Times New Roman"/>
                                <w:b/>
                              </w:rPr>
                            </w:pPr>
                            <w:r>
                              <w:rPr>
                                <w:rFonts w:ascii="Times New Roman" w:hAnsi="Times New Roman"/>
                                <w:b/>
                              </w:rPr>
                              <w:t>Usine de production de biogaz Verbiostraw*</w:t>
                            </w:r>
                          </w:p>
                          <w:p w14:paraId="7253D1AE" w14:textId="77777777" w:rsidR="006C22B7" w:rsidRDefault="004C23CE">
                            <w:pPr>
                              <w:jc w:val="both"/>
                              <w:rPr>
                                <w:rFonts w:ascii="Times New Roman" w:hAnsi="Times New Roman" w:cs="Times New Roman"/>
                                <w:sz w:val="24"/>
                                <w:szCs w:val="24"/>
                              </w:rPr>
                            </w:pPr>
                            <w:r>
                              <w:rPr>
                                <w:rFonts w:ascii="Times New Roman" w:hAnsi="Times New Roman"/>
                                <w:noProof/>
                                <w:lang w:val="en-GB" w:eastAsia="en-GB"/>
                              </w:rPr>
                              <w:drawing>
                                <wp:inline distT="0" distB="0" distL="0" distR="0" wp14:anchorId="008A7ADD" wp14:editId="5B98215D">
                                  <wp:extent cx="4952390" cy="2823210"/>
                                  <wp:effectExtent l="0" t="0" r="635" b="0"/>
                                  <wp:docPr id="10" name="Content Placeholder 8">
                                    <a:extLst xmlns:a="http://schemas.openxmlformats.org/drawingml/2006/main">
                                      <a:ext uri="{FF2B5EF4-FFF2-40B4-BE49-F238E27FC236}">
                                        <a16:creationId xmlns:a16="http://schemas.microsoft.com/office/drawing/2014/main"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515AF2AC-35A9-427C-B117-848B799863BA}"/>
                                              </a:ext>
                                            </a:extLst>
                                          </pic:cNvPr>
                                          <pic:cNvPicPr>
                                            <a:picLocks noGrp="1" noChangeAspect="1"/>
                                          </pic:cNvPicPr>
                                        </pic:nvPicPr>
                                        <pic:blipFill>
                                          <a:blip r:embed="rId23"/>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14:paraId="149FEA9D" w14:textId="3EC7CF6D" w:rsidR="006C22B7" w:rsidRDefault="004C23CE">
                            <w:pPr>
                              <w:jc w:val="both"/>
                              <w:rPr>
                                <w:rFonts w:ascii="Times New Roman" w:hAnsi="Times New Roman" w:cs="Times New Roman"/>
                                <w:sz w:val="24"/>
                                <w:szCs w:val="24"/>
                              </w:rPr>
                            </w:pPr>
                            <w:r>
                              <w:rPr>
                                <w:rFonts w:ascii="Times New Roman" w:hAnsi="Times New Roman"/>
                              </w:rPr>
                              <w:t>Verbiostraw est une usine de production de biogaz qui transforme la paille en biométhane et alimente le réseau de gaz naturel local. La capacité actuelle de l’usine est de 8 MW et devrait s'élever jusqu’à 16,5 MW, générant jusqu’à 140 GWh de biométhane chaque année.</w:t>
                            </w:r>
                            <w:r w:rsidR="00C75E40">
                              <w:rPr>
                                <w:rFonts w:ascii="Times New Roman" w:hAnsi="Times New Roman"/>
                              </w:rPr>
                              <w:t xml:space="preserve"> </w:t>
                            </w:r>
                          </w:p>
                          <w:p w14:paraId="55F839D0" w14:textId="77777777" w:rsidR="006C22B7" w:rsidRDefault="004C23CE">
                            <w:pPr>
                              <w:jc w:val="both"/>
                              <w:rPr>
                                <w:rFonts w:ascii="Times New Roman" w:hAnsi="Times New Roman" w:cs="Times New Roman"/>
                                <w:sz w:val="24"/>
                                <w:szCs w:val="24"/>
                              </w:rPr>
                            </w:pPr>
                            <w:r>
                              <w:rPr>
                                <w:rFonts w:ascii="Times New Roman" w:hAnsi="Times New Roman"/>
                              </w:rPr>
                              <w:t xml:space="preserve">Verbiostraw est un projet inédit qui recourt à une technologie de biogaz avancée à grande échelle. L’usine utilise une technologie innovante de monofermentation afin de produire du biométhane à partir de paille uniquement. Elle prouve ainsi que non seulement les matières premières alimentaires peuvent être utilisées pour produire des biocarburants, mais également des produits résiduels de l’agriculture. </w:t>
                            </w:r>
                          </w:p>
                          <w:p w14:paraId="2ECEC3EB" w14:textId="2336EE69" w:rsidR="006C22B7" w:rsidRDefault="004C23CE">
                            <w:pPr>
                              <w:jc w:val="both"/>
                              <w:rPr>
                                <w:rFonts w:ascii="Times New Roman" w:hAnsi="Times New Roman" w:cs="Times New Roman"/>
                                <w:sz w:val="24"/>
                                <w:szCs w:val="24"/>
                              </w:rPr>
                            </w:pPr>
                            <w:r>
                              <w:rPr>
                                <w:rFonts w:ascii="Times New Roman" w:hAnsi="Times New Roman"/>
                              </w:rPr>
                              <w:t>Le projet est situé à Schwedt, dans le Brandebourg (Allemagne) et a été financé à hauteur de 22,3 millions d’EUR dans le cadre de l’initiative NER 300 (réserve pour les nouveaux entrants).</w:t>
                            </w:r>
                          </w:p>
                          <w:p w14:paraId="768502AD" w14:textId="0666B6E5" w:rsidR="006C22B7" w:rsidRDefault="00CE5A68">
                            <w:pPr>
                              <w:jc w:val="both"/>
                              <w:rPr>
                                <w:rFonts w:ascii="Times New Roman" w:hAnsi="Times New Roman" w:cs="Times New Roman"/>
                                <w:sz w:val="20"/>
                                <w:szCs w:val="24"/>
                              </w:rPr>
                            </w:pPr>
                            <w:r>
                              <w:rPr>
                                <w:rFonts w:ascii="Times New Roman" w:hAnsi="Times New Roman"/>
                                <w:sz w:val="20"/>
                              </w:rPr>
                              <w:t>*Le projet est un exemple de la manière dont les fonds de l’UE contribuent à l’innovation dans des secteurs couverts par la législation sur la répartition de l’effort.</w:t>
                            </w:r>
                            <w:r w:rsidR="00C75E40">
                              <w:rPr>
                                <w:rFonts w:ascii="Times New Roman" w:hAnsi="Times New Roman"/>
                                <w:sz w:val="20"/>
                              </w:rPr>
                              <w:t xml:space="preserve"> </w:t>
                            </w:r>
                          </w:p>
                          <w:p w14:paraId="4D3EE2AA" w14:textId="77777777" w:rsidR="006C22B7" w:rsidRDefault="006C22B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5F66F1" id="Text Box 8" o:spid="_x0000_s1028" type="#_x0000_t202" style="width:448.5pt;height:4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" fillcolor="white [3201]" strokeweight=".5pt">
                <v:textbox>
                  <w:txbxContent>
                    <w:p w14:paraId="27E75FD2" w14:textId="7FD12C9D" w:rsidR="006C22B7" w:rsidRDefault="004C23CE">
                      <w:pPr>
                        <w:jc w:val="both"/>
                        <w:rPr>
                          <w:rFonts w:ascii="Times New Roman" w:hAnsi="Times New Roman" w:cs="Times New Roman"/>
                          <w:b/>
                        </w:rPr>
                      </w:pPr>
                      <w:r>
                        <w:rPr>
                          <w:rFonts w:ascii="Times New Roman" w:hAnsi="Times New Roman"/>
                          <w:b/>
                        </w:rPr>
                        <w:t>Usine de production de biogaz Verbiostraw*</w:t>
                      </w:r>
                    </w:p>
                    <w:p w14:paraId="7253D1AE" w14:textId="77777777" w:rsidR="006C22B7" w:rsidRDefault="004C23CE">
                      <w:pPr>
                        <w:jc w:val="both"/>
                        <w:rPr>
                          <w:rFonts w:ascii="Times New Roman" w:hAnsi="Times New Roman" w:cs="Times New Roman"/>
                          <w:sz w:val="24"/>
                          <w:szCs w:val="24"/>
                        </w:rPr>
                      </w:pPr>
                      <w:r>
                        <w:rPr>
                          <w:rFonts w:ascii="Times New Roman" w:hAnsi="Times New Roman"/>
                          <w:noProof/>
                          <w:lang w:val="en-GB" w:eastAsia="en-GB"/>
                        </w:rPr>
                        <w:drawing>
                          <wp:inline distT="0" distB="0" distL="0" distR="0" wp14:anchorId="008A7ADD" wp14:editId="5B98215D">
                            <wp:extent cx="4952390" cy="2823210"/>
                            <wp:effectExtent l="0" t="0" r="635" b="0"/>
                            <wp:docPr id="10" name="Content Placeholder 8">
                              <a:extLst xmlns:a="http://schemas.openxmlformats.org/drawingml/2006/main">
                                <a:ext uri="{FF2B5EF4-FFF2-40B4-BE49-F238E27FC236}">
                                  <a16:creationId xmlns:a16="http://schemas.microsoft.com/office/drawing/2014/main"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515AF2AC-35A9-427C-B117-848B799863BA}"/>
                                        </a:ext>
                                      </a:extLst>
                                    </pic:cNvPr>
                                    <pic:cNvPicPr>
                                      <a:picLocks noGrp="1" noChangeAspect="1"/>
                                    </pic:cNvPicPr>
                                  </pic:nvPicPr>
                                  <pic:blipFill>
                                    <a:blip r:embed="rId23"/>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14:paraId="149FEA9D" w14:textId="3EC7CF6D" w:rsidR="006C22B7" w:rsidRDefault="004C23CE">
                      <w:pPr>
                        <w:jc w:val="both"/>
                        <w:rPr>
                          <w:rFonts w:ascii="Times New Roman" w:hAnsi="Times New Roman" w:cs="Times New Roman"/>
                          <w:sz w:val="24"/>
                          <w:szCs w:val="24"/>
                        </w:rPr>
                      </w:pPr>
                      <w:r>
                        <w:rPr>
                          <w:rFonts w:ascii="Times New Roman" w:hAnsi="Times New Roman"/>
                        </w:rPr>
                        <w:t>Verbiostraw est une usine de production de biogaz qui transforme la paille en biométhane et alimente le réseau de gaz naturel local. La capacité actuelle de l’usine est de 8 MW et devrait s'élever jusqu’à 16,5 MW, générant jusqu’à 140 GWh de biométhane chaque année.</w:t>
                      </w:r>
                      <w:r w:rsidR="00C75E40">
                        <w:rPr>
                          <w:rFonts w:ascii="Times New Roman" w:hAnsi="Times New Roman"/>
                        </w:rPr>
                        <w:t xml:space="preserve"> </w:t>
                      </w:r>
                    </w:p>
                    <w:p w14:paraId="55F839D0" w14:textId="77777777" w:rsidR="006C22B7" w:rsidRDefault="004C23CE">
                      <w:pPr>
                        <w:jc w:val="both"/>
                        <w:rPr>
                          <w:rFonts w:ascii="Times New Roman" w:hAnsi="Times New Roman" w:cs="Times New Roman"/>
                          <w:sz w:val="24"/>
                          <w:szCs w:val="24"/>
                        </w:rPr>
                      </w:pPr>
                      <w:r>
                        <w:rPr>
                          <w:rFonts w:ascii="Times New Roman" w:hAnsi="Times New Roman"/>
                        </w:rPr>
                        <w:t xml:space="preserve">Verbiostraw est un projet inédit qui recourt à une technologie de biogaz avancée à grande échelle. L’usine utilise une technologie innovante de monofermentation afin de produire du biométhane à partir de paille uniquement. Elle prouve ainsi que non seulement les matières premières alimentaires peuvent être utilisées pour produire des biocarburants, mais également des produits résiduels de l’agriculture. </w:t>
                      </w:r>
                    </w:p>
                    <w:p w14:paraId="2ECEC3EB" w14:textId="2336EE69" w:rsidR="006C22B7" w:rsidRDefault="004C23CE">
                      <w:pPr>
                        <w:jc w:val="both"/>
                        <w:rPr>
                          <w:rFonts w:ascii="Times New Roman" w:hAnsi="Times New Roman" w:cs="Times New Roman"/>
                          <w:sz w:val="24"/>
                          <w:szCs w:val="24"/>
                        </w:rPr>
                      </w:pPr>
                      <w:r>
                        <w:rPr>
                          <w:rFonts w:ascii="Times New Roman" w:hAnsi="Times New Roman"/>
                        </w:rPr>
                        <w:t>Le projet est situé à Schwedt, dans le Brandebourg (Allemagne) et a été financé à hauteur de 22,3 millions d’EUR dans le cadre de l’initiative NER 300 (réserve pour les nouveaux entrants).</w:t>
                      </w:r>
                    </w:p>
                    <w:p w14:paraId="768502AD" w14:textId="0666B6E5" w:rsidR="006C22B7" w:rsidRDefault="00CE5A68">
                      <w:pPr>
                        <w:jc w:val="both"/>
                        <w:rPr>
                          <w:rFonts w:ascii="Times New Roman" w:hAnsi="Times New Roman" w:cs="Times New Roman"/>
                          <w:sz w:val="20"/>
                          <w:szCs w:val="24"/>
                        </w:rPr>
                      </w:pPr>
                      <w:r>
                        <w:rPr>
                          <w:rFonts w:ascii="Times New Roman" w:hAnsi="Times New Roman"/>
                          <w:sz w:val="20"/>
                        </w:rPr>
                        <w:t>*Le projet est un exemple de la manière dont les fonds de l’UE contribuent à l’innovation dans des secteurs couverts par la législation sur la répartition de l’effort.</w:t>
                      </w:r>
                      <w:r w:rsidR="00C75E40">
                        <w:rPr>
                          <w:rFonts w:ascii="Times New Roman" w:hAnsi="Times New Roman"/>
                          <w:sz w:val="20"/>
                        </w:rPr>
                        <w:t xml:space="preserve"> </w:t>
                      </w:r>
                    </w:p>
                    <w:p w14:paraId="4D3EE2AA" w14:textId="77777777" w:rsidR="006C22B7" w:rsidRDefault="006C22B7">
                      <w:pPr>
                        <w:rPr>
                          <w:sz w:val="20"/>
                        </w:rPr>
                      </w:pPr>
                    </w:p>
                  </w:txbxContent>
                </v:textbox>
                <w10:anchorlock/>
              </v:shape>
            </w:pict>
          </mc:Fallback>
        </mc:AlternateContent>
      </w:r>
    </w:p>
    <w:p w14:paraId="3BE06A1D" w14:textId="02FAC046" w:rsidR="006C22B7" w:rsidRDefault="00211875">
      <w:pPr>
        <w:jc w:val="both"/>
        <w:rPr>
          <w:rFonts w:ascii="Times New Roman" w:hAnsi="Times New Roman" w:cs="Times New Roman"/>
          <w:sz w:val="24"/>
          <w:szCs w:val="24"/>
        </w:rPr>
      </w:pPr>
      <w:r>
        <w:rPr>
          <w:rFonts w:ascii="Times New Roman" w:hAnsi="Times New Roman"/>
        </w:rPr>
        <w:t xml:space="preserve">Les émissions issues de la </w:t>
      </w:r>
      <w:r>
        <w:rPr>
          <w:rFonts w:ascii="Times New Roman" w:hAnsi="Times New Roman"/>
          <w:b/>
          <w:bCs/>
        </w:rPr>
        <w:t>gestion des déchets</w:t>
      </w:r>
      <w:r>
        <w:rPr>
          <w:rFonts w:ascii="Times New Roman" w:hAnsi="Times New Roman"/>
        </w:rPr>
        <w:t xml:space="preserve"> ont diminué de </w:t>
      </w:r>
      <w:r w:rsidRPr="00C75E40">
        <w:rPr>
          <w:rFonts w:ascii="Times New Roman" w:hAnsi="Times New Roman"/>
        </w:rPr>
        <w:t>33</w:t>
      </w:r>
      <w:r>
        <w:rPr>
          <w:rFonts w:ascii="Times New Roman" w:hAnsi="Times New Roman"/>
        </w:rPr>
        <w:t xml:space="preserve"> % entre </w:t>
      </w:r>
      <w:r w:rsidRPr="00C75E40">
        <w:rPr>
          <w:rFonts w:ascii="Times New Roman" w:hAnsi="Times New Roman"/>
        </w:rPr>
        <w:t>2005</w:t>
      </w:r>
      <w:r>
        <w:rPr>
          <w:rFonts w:ascii="Times New Roman" w:hAnsi="Times New Roman"/>
        </w:rPr>
        <w:t xml:space="preserve"> et </w:t>
      </w:r>
      <w:r w:rsidRPr="00C75E40">
        <w:rPr>
          <w:rFonts w:ascii="Times New Roman" w:hAnsi="Times New Roman"/>
        </w:rPr>
        <w:t>2018</w:t>
      </w:r>
      <w:r>
        <w:rPr>
          <w:rFonts w:ascii="Times New Roman" w:hAnsi="Times New Roman"/>
        </w:rPr>
        <w:t xml:space="preserve"> et cette forte tendance à la baisse devrait se poursuivre </w:t>
      </w:r>
    </w:p>
    <w:p w14:paraId="23A5AF52" w14:textId="1C81CD42" w:rsidR="006C22B7" w:rsidRDefault="00211875">
      <w:pPr>
        <w:pStyle w:val="NormalWeb"/>
        <w:spacing w:after="200" w:line="276" w:lineRule="auto"/>
        <w:jc w:val="both"/>
      </w:pPr>
      <w:r>
        <w:t xml:space="preserve">Les émissions couvertes par la DRE issues </w:t>
      </w:r>
      <w:r>
        <w:rPr>
          <w:b/>
        </w:rPr>
        <w:t>de l’industrie et d’autres secteurs</w:t>
      </w:r>
      <w:r>
        <w:t xml:space="preserve"> en </w:t>
      </w:r>
      <w:r w:rsidRPr="00C75E40">
        <w:t>2017</w:t>
      </w:r>
      <w:r>
        <w:t xml:space="preserve"> étaient inférieures de </w:t>
      </w:r>
      <w:r w:rsidRPr="00C75E40">
        <w:t>12</w:t>
      </w:r>
      <w:r>
        <w:t> % à celles de </w:t>
      </w:r>
      <w:r w:rsidRPr="00C75E40">
        <w:t>2005</w:t>
      </w:r>
      <w:r>
        <w:t xml:space="preserve"> et devraient continuer à baisser. En outre, de nombreuses substances appauvrissant la couche d’ozone sont également de puissants gaz à effet de serre. L’UE satisfait déjà à ses obligations internationales en matière d’élimination progressive de la consommation desdites substances d’ici </w:t>
      </w:r>
      <w:r w:rsidRPr="00C75E40">
        <w:t>2020</w:t>
      </w:r>
      <w:r>
        <w:t>, comme l’exige le protocole de Montréal. À l’exception de l’année </w:t>
      </w:r>
      <w:r w:rsidRPr="00C75E40">
        <w:t>2012</w:t>
      </w:r>
      <w:r>
        <w:t>, la consommation de l’Union, calculée selon le protocole de Montréal</w:t>
      </w:r>
      <w:r>
        <w:rPr>
          <w:rStyle w:val="FootnoteReference"/>
        </w:rPr>
        <w:footnoteReference w:id="15"/>
      </w:r>
      <w:r>
        <w:t>, est négative depuis </w:t>
      </w:r>
      <w:r w:rsidRPr="00C75E40">
        <w:t>2010</w:t>
      </w:r>
      <w:r>
        <w:t>. Selon les calculs, la consommation de l’année </w:t>
      </w:r>
      <w:r w:rsidRPr="00C75E40">
        <w:t>2017</w:t>
      </w:r>
      <w:r>
        <w:t xml:space="preserve"> s’élevait à -</w:t>
      </w:r>
      <w:r w:rsidRPr="00C75E40">
        <w:t>4080</w:t>
      </w:r>
      <w:r>
        <w:t xml:space="preserve"> tonnes métriques. Une «consommation négative» signifie qu’un plus grand nombre de substances appauvrissant la couche d’ozone est détruit que produit ou importé. Ces résultats démontrent que lesdites substances ne sont pas réintroduites sous des formes pour lesquelles d’autres solutions plus respectueuses de l’environnement existent. </w:t>
      </w:r>
    </w:p>
    <w:p w14:paraId="2643949D" w14:textId="00FD81AD" w:rsidR="006C22B7" w:rsidRDefault="00CE78E6">
      <w:pPr>
        <w:pStyle w:val="NormalWeb"/>
        <w:spacing w:line="276" w:lineRule="auto"/>
        <w:jc w:val="both"/>
      </w:pPr>
      <w:r>
        <w:t>La Commission a procédé à l’évaluation du règlement sur les substances appauvrissant la couche d’ozone</w:t>
      </w:r>
      <w:r>
        <w:rPr>
          <w:rStyle w:val="FootnoteReference"/>
        </w:rPr>
        <w:footnoteReference w:id="16"/>
      </w:r>
      <w:r>
        <w:t xml:space="preserve"> en </w:t>
      </w:r>
      <w:r w:rsidRPr="00C75E40">
        <w:t>2019</w:t>
      </w:r>
      <w:r>
        <w:t xml:space="preserve">. Il en est ressorti que si le règlement est très efficace en ce qui concerne l’atteinte des objectifs, ces derniers pourraient être réalisés d’une manière plus efficace. </w:t>
      </w:r>
    </w:p>
    <w:p w14:paraId="09A90AE1" w14:textId="66D9E178" w:rsidR="006C22B7" w:rsidRDefault="00CE78E6">
      <w:pPr>
        <w:pStyle w:val="NormalWeb"/>
        <w:spacing w:after="200" w:line="276" w:lineRule="auto"/>
        <w:jc w:val="both"/>
      </w:pPr>
      <w:r>
        <w:t>Les gaz fluorés constituent un groupe de gaz fréquemment utilisés comme substituts aux substances qui appauvrissent la couche d’ozone. Or, il s’agit de gaz à effet de serre puissants. Le règlement relatif aux gaz fluorés</w:t>
      </w:r>
      <w:r>
        <w:rPr>
          <w:rStyle w:val="FootnoteReference"/>
        </w:rPr>
        <w:footnoteReference w:id="17"/>
      </w:r>
      <w:r w:rsidR="00C75E40">
        <w:t xml:space="preserve"> </w:t>
      </w:r>
      <w:r>
        <w:t xml:space="preserve">prévoit une réduction progressive des hydrofluorocarbones (HFC) à l’échelle de l’Union à compter de </w:t>
      </w:r>
      <w:r w:rsidRPr="00C75E40">
        <w:t>2015</w:t>
      </w:r>
      <w:r>
        <w:t xml:space="preserve"> et d’autres mesures ciblant les émissions des gaz fluorés afin de faire chuter les émissions de deux tiers d’ici </w:t>
      </w:r>
      <w:r w:rsidRPr="00C75E40">
        <w:t>2030</w:t>
      </w:r>
      <w:r>
        <w:t xml:space="preserve"> par rapport à </w:t>
      </w:r>
      <w:r w:rsidRPr="00C75E40">
        <w:t>2014</w:t>
      </w:r>
      <w:r>
        <w:t xml:space="preserve">. Les HFC sont également couverts par l’amendement de Kigali au protocole de Montréal, entré en vigueur le </w:t>
      </w:r>
      <w:r w:rsidRPr="00C75E40">
        <w:t>1</w:t>
      </w:r>
      <w:r>
        <w:t xml:space="preserve">er janvier </w:t>
      </w:r>
      <w:r w:rsidRPr="00C75E40">
        <w:t>2019</w:t>
      </w:r>
      <w:r>
        <w:t xml:space="preserve">. </w:t>
      </w:r>
    </w:p>
    <w:p w14:paraId="42793804" w14:textId="2942CBBA" w:rsidR="006C22B7" w:rsidRDefault="00CE78E6">
      <w:pPr>
        <w:jc w:val="both"/>
        <w:rPr>
          <w:rFonts w:ascii="Times New Roman" w:hAnsi="Times New Roman" w:cs="Times New Roman"/>
          <w:sz w:val="24"/>
          <w:szCs w:val="24"/>
        </w:rPr>
      </w:pPr>
      <w:r>
        <w:rPr>
          <w:rFonts w:ascii="Times New Roman" w:hAnsi="Times New Roman"/>
        </w:rPr>
        <w:t xml:space="preserve">Les données relatives à </w:t>
      </w:r>
      <w:r w:rsidRPr="00C75E40">
        <w:rPr>
          <w:rFonts w:ascii="Times New Roman" w:hAnsi="Times New Roman"/>
        </w:rPr>
        <w:t>2017</w:t>
      </w:r>
      <w:r>
        <w:rPr>
          <w:rFonts w:ascii="Times New Roman" w:hAnsi="Times New Roman"/>
        </w:rPr>
        <w:t xml:space="preserve"> font apparaître que la fourniture de gaz fluorés a diminué de </w:t>
      </w:r>
      <w:r w:rsidRPr="00C75E40">
        <w:rPr>
          <w:rFonts w:ascii="Times New Roman" w:hAnsi="Times New Roman"/>
        </w:rPr>
        <w:t>2</w:t>
      </w:r>
      <w:r>
        <w:rPr>
          <w:rFonts w:ascii="Times New Roman" w:hAnsi="Times New Roman"/>
        </w:rPr>
        <w:t xml:space="preserve"> % sur le plan des incidences sur le climat (équivalent CO</w:t>
      </w:r>
      <w:r w:rsidRPr="00C75E40">
        <w:rPr>
          <w:rFonts w:ascii="Times New Roman" w:hAnsi="Times New Roman"/>
        </w:rPr>
        <w:t>2</w:t>
      </w:r>
      <w:r>
        <w:rPr>
          <w:rFonts w:ascii="Times New Roman" w:hAnsi="Times New Roman"/>
        </w:rPr>
        <w:t xml:space="preserve">), mais a augmenté de </w:t>
      </w:r>
      <w:r w:rsidRPr="00C75E40">
        <w:rPr>
          <w:rFonts w:ascii="Times New Roman" w:hAnsi="Times New Roman"/>
        </w:rPr>
        <w:t>3</w:t>
      </w:r>
      <w:r>
        <w:rPr>
          <w:rFonts w:ascii="Times New Roman" w:hAnsi="Times New Roman"/>
        </w:rPr>
        <w:t xml:space="preserve"> % en masse par rapport à </w:t>
      </w:r>
      <w:r w:rsidRPr="00C75E40">
        <w:rPr>
          <w:rFonts w:ascii="Times New Roman" w:hAnsi="Times New Roman"/>
        </w:rPr>
        <w:t>2016</w:t>
      </w:r>
      <w:r>
        <w:rPr>
          <w:rFonts w:ascii="Times New Roman" w:hAnsi="Times New Roman"/>
        </w:rPr>
        <w:t xml:space="preserve">. En </w:t>
      </w:r>
      <w:r w:rsidRPr="00C75E40">
        <w:rPr>
          <w:rFonts w:ascii="Times New Roman" w:hAnsi="Times New Roman"/>
        </w:rPr>
        <w:t>2017</w:t>
      </w:r>
      <w:r>
        <w:rPr>
          <w:rFonts w:ascii="Times New Roman" w:hAnsi="Times New Roman"/>
        </w:rPr>
        <w:t xml:space="preserve">, l’ensemble de la mise sur marché dans le cadre du système de quotas était inférieure à </w:t>
      </w:r>
      <w:r w:rsidRPr="00C75E40">
        <w:rPr>
          <w:rFonts w:ascii="Times New Roman" w:hAnsi="Times New Roman"/>
        </w:rPr>
        <w:t>0</w:t>
      </w:r>
      <w:r>
        <w:rPr>
          <w:rFonts w:ascii="Times New Roman" w:hAnsi="Times New Roman"/>
        </w:rPr>
        <w:t>,</w:t>
      </w:r>
      <w:r w:rsidRPr="00C75E40">
        <w:rPr>
          <w:rFonts w:ascii="Times New Roman" w:hAnsi="Times New Roman"/>
        </w:rPr>
        <w:t>4</w:t>
      </w:r>
      <w:r>
        <w:rPr>
          <w:rFonts w:ascii="Times New Roman" w:hAnsi="Times New Roman"/>
        </w:rPr>
        <w:t xml:space="preserve"> % par rapport à la quantité maximale autorisée</w:t>
      </w:r>
      <w:r>
        <w:rPr>
          <w:rStyle w:val="FootnoteReference"/>
          <w:rFonts w:ascii="Times New Roman" w:hAnsi="Times New Roman" w:cs="Times New Roman"/>
        </w:rPr>
        <w:footnoteReference w:id="18"/>
      </w:r>
      <w:r>
        <w:rPr>
          <w:rFonts w:ascii="Times New Roman" w:hAnsi="Times New Roman"/>
        </w:rPr>
        <w:t>. Cette réussite traduit une transition vers des gaz présentant un potentiel de réchauffement planétaire moins élevé et indique que le règlement s’avère efficace pour réduire les émissions de gaz fluorés.</w:t>
      </w:r>
    </w:p>
    <w:p w14:paraId="67A2B61F" w14:textId="77777777" w:rsidR="006C22B7" w:rsidRDefault="006C22B7">
      <w:pPr>
        <w:pStyle w:val="Heading2"/>
      </w:pPr>
    </w:p>
    <w:p w14:paraId="6831A5A4" w14:textId="028E6887" w:rsidR="006C22B7" w:rsidRDefault="00CE7DFD">
      <w:pPr>
        <w:pStyle w:val="Heading2"/>
        <w:spacing w:after="120"/>
      </w:pPr>
      <w:r>
        <w:t>Respect de la décision relative à la répartition de l’effort par les États membres (DRE)</w:t>
      </w:r>
    </w:p>
    <w:p w14:paraId="53AC7160" w14:textId="179DEB80" w:rsidR="006C22B7" w:rsidRDefault="00CE7DFD">
      <w:pPr>
        <w:spacing w:line="276" w:lineRule="auto"/>
        <w:jc w:val="both"/>
        <w:rPr>
          <w:rFonts w:ascii="Times New Roman" w:hAnsi="Times New Roman" w:cs="Times New Roman"/>
          <w:sz w:val="24"/>
          <w:szCs w:val="24"/>
        </w:rPr>
      </w:pPr>
      <w:r>
        <w:rPr>
          <w:rFonts w:ascii="Times New Roman" w:hAnsi="Times New Roman"/>
        </w:rPr>
        <w:t xml:space="preserve">L’ensemble des </w:t>
      </w:r>
      <w:r w:rsidRPr="00C75E40">
        <w:rPr>
          <w:rFonts w:ascii="Times New Roman" w:hAnsi="Times New Roman"/>
        </w:rPr>
        <w:t>28</w:t>
      </w:r>
      <w:r>
        <w:rPr>
          <w:rFonts w:ascii="Times New Roman" w:hAnsi="Times New Roman"/>
        </w:rPr>
        <w:t xml:space="preserve"> États membres ont respecté leurs obligations au titre de la DRE pour la période </w:t>
      </w:r>
      <w:r w:rsidRPr="00C75E40">
        <w:rPr>
          <w:rFonts w:ascii="Times New Roman" w:hAnsi="Times New Roman"/>
        </w:rPr>
        <w:t>2013</w:t>
      </w:r>
      <w:r>
        <w:rPr>
          <w:rFonts w:ascii="Times New Roman" w:hAnsi="Times New Roman"/>
        </w:rPr>
        <w:t>-</w:t>
      </w:r>
      <w:r w:rsidRPr="00C75E40">
        <w:rPr>
          <w:rFonts w:ascii="Times New Roman" w:hAnsi="Times New Roman"/>
        </w:rPr>
        <w:t>2016</w:t>
      </w:r>
      <w:r>
        <w:rPr>
          <w:rFonts w:ascii="Times New Roman" w:hAnsi="Times New Roman"/>
        </w:rPr>
        <w:t>.</w:t>
      </w:r>
      <w:r>
        <w:t xml:space="preserve"> </w:t>
      </w:r>
      <w:r>
        <w:rPr>
          <w:rFonts w:ascii="Times New Roman" w:hAnsi="Times New Roman"/>
          <w:b/>
        </w:rPr>
        <w:t>Malte</w:t>
      </w:r>
      <w:r>
        <w:rPr>
          <w:rFonts w:ascii="Times New Roman" w:hAnsi="Times New Roman"/>
        </w:rPr>
        <w:t xml:space="preserve"> a dépassé ses quotas d’émissions annuelles (QAE) chaque année durant cette période, mais a couvert ce déficit par l’achat de QAE à la Bulgarie. </w:t>
      </w:r>
      <w:r>
        <w:rPr>
          <w:rFonts w:ascii="Times New Roman" w:hAnsi="Times New Roman"/>
          <w:b/>
        </w:rPr>
        <w:t xml:space="preserve">L’Allemagne, la Belgique, la Finlande, l’Irlande </w:t>
      </w:r>
      <w:r>
        <w:rPr>
          <w:rFonts w:ascii="Times New Roman" w:hAnsi="Times New Roman"/>
        </w:rPr>
        <w:t xml:space="preserve">et </w:t>
      </w:r>
      <w:r>
        <w:rPr>
          <w:rFonts w:ascii="Times New Roman" w:hAnsi="Times New Roman"/>
          <w:b/>
        </w:rPr>
        <w:t>la Pologne</w:t>
      </w:r>
      <w:r>
        <w:rPr>
          <w:rFonts w:ascii="Times New Roman" w:hAnsi="Times New Roman"/>
        </w:rPr>
        <w:t xml:space="preserve"> ont dépassé leurs QAE en </w:t>
      </w:r>
      <w:r w:rsidRPr="00C75E40">
        <w:rPr>
          <w:rFonts w:ascii="Times New Roman" w:hAnsi="Times New Roman"/>
        </w:rPr>
        <w:t>2016</w:t>
      </w:r>
      <w:r>
        <w:rPr>
          <w:rFonts w:ascii="Times New Roman" w:hAnsi="Times New Roman"/>
        </w:rPr>
        <w:t xml:space="preserve">, mais sont parvenues à couvrir le déficit au moyen des QAE excédentaires mis en réserve les années précédentes. La </w:t>
      </w:r>
      <w:r>
        <w:rPr>
          <w:rFonts w:ascii="Times New Roman" w:hAnsi="Times New Roman"/>
          <w:b/>
          <w:bCs/>
        </w:rPr>
        <w:t>Suède</w:t>
      </w:r>
      <w:r>
        <w:rPr>
          <w:rFonts w:ascii="Times New Roman" w:hAnsi="Times New Roman"/>
        </w:rPr>
        <w:t xml:space="preserve"> n’a pas utilisé la totalité de son quota et a annulé les QAE excédentaires de </w:t>
      </w:r>
      <w:r w:rsidRPr="00C75E40">
        <w:rPr>
          <w:rFonts w:ascii="Times New Roman" w:hAnsi="Times New Roman"/>
        </w:rPr>
        <w:t>2013</w:t>
      </w:r>
      <w:r>
        <w:rPr>
          <w:rFonts w:ascii="Times New Roman" w:hAnsi="Times New Roman"/>
        </w:rPr>
        <w:t>-</w:t>
      </w:r>
      <w:r w:rsidRPr="00C75E40">
        <w:rPr>
          <w:rFonts w:ascii="Times New Roman" w:hAnsi="Times New Roman"/>
        </w:rPr>
        <w:t>2016</w:t>
      </w:r>
      <w:r>
        <w:rPr>
          <w:rFonts w:ascii="Times New Roman" w:hAnsi="Times New Roman"/>
        </w:rPr>
        <w:t xml:space="preserve"> afin d’améliorer l’intégrité environnementale du système. Tous les autres États membres ont mis en réserve leurs quotas excédentaires en vue d’une utilisation ultérieure potentielle les années suivantes. Aucun crédit international résultant du mécanisme pour un développement propre (MDP) ou de la mise en œuvre conjointe n’a été utilisé en vue de respecter les obligations au titre de la DRE.</w:t>
      </w:r>
    </w:p>
    <w:p w14:paraId="19863FD3" w14:textId="044B7BEE" w:rsidR="006C22B7" w:rsidRDefault="00DA4895">
      <w:pPr>
        <w:jc w:val="both"/>
        <w:rPr>
          <w:rFonts w:ascii="Times New Roman" w:hAnsi="Times New Roman" w:cs="Times New Roman"/>
          <w:sz w:val="24"/>
          <w:szCs w:val="24"/>
        </w:rPr>
      </w:pPr>
      <w:r>
        <w:rPr>
          <w:rFonts w:ascii="Times New Roman" w:hAnsi="Times New Roman"/>
        </w:rPr>
        <w:t>Le cycle de mise en conformité pour </w:t>
      </w:r>
      <w:r w:rsidRPr="00C75E40">
        <w:rPr>
          <w:rFonts w:ascii="Times New Roman" w:hAnsi="Times New Roman"/>
        </w:rPr>
        <w:t>2017</w:t>
      </w:r>
      <w:r>
        <w:rPr>
          <w:rFonts w:ascii="Times New Roman" w:hAnsi="Times New Roman"/>
        </w:rPr>
        <w:t xml:space="preserve"> est en cours. En </w:t>
      </w:r>
      <w:r w:rsidRPr="00C75E40">
        <w:rPr>
          <w:rFonts w:ascii="Times New Roman" w:hAnsi="Times New Roman"/>
        </w:rPr>
        <w:t>2017</w:t>
      </w:r>
      <w:r>
        <w:rPr>
          <w:rFonts w:ascii="Times New Roman" w:hAnsi="Times New Roman"/>
        </w:rPr>
        <w:t xml:space="preserve">, les émissions de </w:t>
      </w:r>
      <w:r>
        <w:rPr>
          <w:rFonts w:ascii="Times New Roman" w:hAnsi="Times New Roman"/>
          <w:b/>
        </w:rPr>
        <w:t>Malte</w:t>
      </w:r>
      <w:r>
        <w:rPr>
          <w:rFonts w:ascii="Times New Roman" w:hAnsi="Times New Roman"/>
        </w:rPr>
        <w:t xml:space="preserve"> ont dépassé ses QAE de </w:t>
      </w:r>
      <w:r w:rsidRPr="00C75E40">
        <w:rPr>
          <w:rFonts w:ascii="Times New Roman" w:hAnsi="Times New Roman"/>
        </w:rPr>
        <w:t>23</w:t>
      </w:r>
      <w:r>
        <w:rPr>
          <w:rFonts w:ascii="Times New Roman" w:hAnsi="Times New Roman"/>
        </w:rPr>
        <w:t> points de pourcentage. Malte devra donc à nouveau acheter des QAE et/ou des crédits internationaux provenant de projets. Les émissions ont dépassé les QAE de </w:t>
      </w:r>
      <w:r w:rsidRPr="00C75E40">
        <w:rPr>
          <w:rFonts w:ascii="Times New Roman" w:hAnsi="Times New Roman"/>
        </w:rPr>
        <w:t>2017</w:t>
      </w:r>
      <w:r>
        <w:rPr>
          <w:rFonts w:ascii="Times New Roman" w:hAnsi="Times New Roman"/>
        </w:rPr>
        <w:t xml:space="preserve"> de </w:t>
      </w:r>
      <w:r w:rsidRPr="00C75E40">
        <w:rPr>
          <w:rFonts w:ascii="Times New Roman" w:hAnsi="Times New Roman"/>
        </w:rPr>
        <w:t>2</w:t>
      </w:r>
      <w:r>
        <w:rPr>
          <w:rFonts w:ascii="Times New Roman" w:hAnsi="Times New Roman"/>
        </w:rPr>
        <w:t> à </w:t>
      </w:r>
      <w:r w:rsidRPr="00C75E40">
        <w:rPr>
          <w:rFonts w:ascii="Times New Roman" w:hAnsi="Times New Roman"/>
        </w:rPr>
        <w:t>7</w:t>
      </w:r>
      <w:r>
        <w:rPr>
          <w:rFonts w:ascii="Times New Roman" w:hAnsi="Times New Roman"/>
        </w:rPr>
        <w:t xml:space="preserve"> points de pourcentage </w:t>
      </w:r>
      <w:r>
        <w:rPr>
          <w:rFonts w:ascii="Times New Roman" w:hAnsi="Times New Roman"/>
          <w:b/>
        </w:rPr>
        <w:t>en Allemagne, en Autriche, en Bulgarie, à Chypre, en Estonie, en Irlande</w:t>
      </w:r>
      <w:r>
        <w:rPr>
          <w:rFonts w:ascii="Times New Roman" w:hAnsi="Times New Roman"/>
        </w:rPr>
        <w:t xml:space="preserve"> et </w:t>
      </w:r>
      <w:r>
        <w:rPr>
          <w:rFonts w:ascii="Times New Roman" w:hAnsi="Times New Roman"/>
          <w:b/>
        </w:rPr>
        <w:t>en Pologne</w:t>
      </w:r>
      <w:r>
        <w:rPr>
          <w:rFonts w:ascii="Times New Roman" w:hAnsi="Times New Roman"/>
        </w:rPr>
        <w:t>. La Lituanie et le Luxembourg ont également enregistré des émissions dépassant légèrement leurs QAE.</w:t>
      </w:r>
      <w:r w:rsidR="00C75E40">
        <w:rPr>
          <w:rFonts w:ascii="Times New Roman" w:hAnsi="Times New Roman"/>
        </w:rPr>
        <w:t xml:space="preserve"> </w:t>
      </w:r>
      <w:r>
        <w:rPr>
          <w:rFonts w:ascii="Times New Roman" w:hAnsi="Times New Roman"/>
        </w:rPr>
        <w:t xml:space="preserve">Ces États membres ont des quotas excédentaires mis en réserve les années précédentes qui peuvent être utilisés afin de respecter la DRE </w:t>
      </w:r>
    </w:p>
    <w:p w14:paraId="4E4B5439" w14:textId="18647B27" w:rsidR="006C22B7" w:rsidRDefault="001E440B">
      <w:pPr>
        <w:jc w:val="both"/>
        <w:rPr>
          <w:rFonts w:ascii="Times New Roman" w:hAnsi="Times New Roman" w:cs="Times New Roman"/>
          <w:sz w:val="24"/>
          <w:szCs w:val="24"/>
        </w:rPr>
      </w:pPr>
      <w:r>
        <w:rPr>
          <w:rFonts w:ascii="Times New Roman" w:hAnsi="Times New Roman"/>
        </w:rPr>
        <w:t xml:space="preserve">L’excédent cumulé de QAE par État membre pour la période </w:t>
      </w:r>
      <w:r w:rsidRPr="00C75E40">
        <w:rPr>
          <w:rFonts w:ascii="Times New Roman" w:hAnsi="Times New Roman"/>
        </w:rPr>
        <w:t>2013</w:t>
      </w:r>
      <w:r>
        <w:rPr>
          <w:rFonts w:ascii="Times New Roman" w:hAnsi="Times New Roman"/>
        </w:rPr>
        <w:t>-</w:t>
      </w:r>
      <w:r w:rsidRPr="00C75E40">
        <w:rPr>
          <w:rFonts w:ascii="Times New Roman" w:hAnsi="Times New Roman"/>
        </w:rPr>
        <w:t>2017</w:t>
      </w:r>
      <w:r>
        <w:rPr>
          <w:rFonts w:ascii="Times New Roman" w:hAnsi="Times New Roman"/>
        </w:rPr>
        <w:t xml:space="preserve"> est présenté au graphique </w:t>
      </w:r>
      <w:r w:rsidRPr="00C75E40">
        <w:rPr>
          <w:rFonts w:ascii="Times New Roman" w:hAnsi="Times New Roman"/>
        </w:rPr>
        <w:t>9</w:t>
      </w:r>
      <w:r>
        <w:rPr>
          <w:rFonts w:ascii="Times New Roman" w:hAnsi="Times New Roman"/>
        </w:rPr>
        <w:t xml:space="preserve">. </w:t>
      </w:r>
    </w:p>
    <w:p w14:paraId="3AEAEEFE" w14:textId="3065462C" w:rsidR="006C22B7" w:rsidRDefault="006C22B7">
      <w:pPr>
        <w:jc w:val="both"/>
      </w:pPr>
    </w:p>
    <w:p w14:paraId="1A6847E3" w14:textId="215C42BF" w:rsidR="006C22B7" w:rsidRDefault="00C75E40">
      <w:pPr>
        <w:pStyle w:val="Caption"/>
        <w:jc w:val="both"/>
      </w:pPr>
      <w:r w:rsidRPr="00C75E40">
        <w:rPr>
          <w:noProof/>
          <w:lang w:val="en-GB" w:eastAsia="en-GB"/>
        </w:rPr>
        <w:drawing>
          <wp:inline distT="0" distB="0" distL="0" distR="0" wp14:anchorId="6B79613E" wp14:editId="1A8491CE">
            <wp:extent cx="4972050" cy="6150166"/>
            <wp:effectExtent l="0" t="0" r="0" b="3175"/>
            <wp:docPr id="30" name="Chart 3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73AD23" w14:textId="01655246" w:rsidR="006C22B7" w:rsidRDefault="00342FE4">
      <w:pPr>
        <w:pStyle w:val="Caption"/>
        <w:jc w:val="both"/>
      </w:pPr>
      <w:r>
        <w:t xml:space="preserve">Graphique </w:t>
      </w:r>
      <w:r w:rsidR="00BD71DF">
        <w:fldChar w:fldCharType="begin"/>
      </w:r>
      <w:r w:rsidR="00BD71DF">
        <w:instrText xml:space="preserve"> SEQ Figure \* ARABIC </w:instrText>
      </w:r>
      <w:r w:rsidR="00BD71DF">
        <w:fldChar w:fldCharType="separate"/>
      </w:r>
      <w:r w:rsidRPr="00C75E40">
        <w:t>9</w:t>
      </w:r>
      <w:r w:rsidR="00BD71DF">
        <w:fldChar w:fldCharType="end"/>
      </w:r>
      <w:r>
        <w:t xml:space="preserve">: excédent cumulé de QAE en pourcentage du niveau des émissions de l’année de référence </w:t>
      </w:r>
      <w:r w:rsidRPr="00C75E40">
        <w:t>2005</w:t>
      </w:r>
      <w:r>
        <w:t xml:space="preserve">, </w:t>
      </w:r>
      <w:r w:rsidRPr="00C75E40">
        <w:t>2013</w:t>
      </w:r>
      <w:r>
        <w:t>-</w:t>
      </w:r>
      <w:r w:rsidRPr="00C75E40">
        <w:t>2017</w:t>
      </w:r>
      <w:r>
        <w:t>.</w:t>
      </w:r>
    </w:p>
    <w:p w14:paraId="597817C5" w14:textId="092FD304" w:rsidR="006C22B7" w:rsidRDefault="00342FE4">
      <w:pPr>
        <w:jc w:val="both"/>
        <w:rPr>
          <w:rFonts w:ascii="Times New Roman" w:hAnsi="Times New Roman" w:cs="Times New Roman"/>
          <w:sz w:val="24"/>
        </w:rPr>
      </w:pPr>
      <w:r>
        <w:rPr>
          <w:rFonts w:ascii="Times New Roman" w:hAnsi="Times New Roman"/>
        </w:rPr>
        <w:t>Les données préliminaires de </w:t>
      </w:r>
      <w:r w:rsidRPr="00C75E40">
        <w:rPr>
          <w:rFonts w:ascii="Times New Roman" w:hAnsi="Times New Roman"/>
        </w:rPr>
        <w:t>2018</w:t>
      </w:r>
      <w:r>
        <w:rPr>
          <w:rFonts w:ascii="Times New Roman" w:hAnsi="Times New Roman"/>
        </w:rPr>
        <w:t xml:space="preserve"> dressent un tableau similaire pour </w:t>
      </w:r>
      <w:r w:rsidRPr="00C75E40">
        <w:rPr>
          <w:rFonts w:ascii="Times New Roman" w:hAnsi="Times New Roman"/>
        </w:rPr>
        <w:t>2017</w:t>
      </w:r>
      <w:r>
        <w:rPr>
          <w:rFonts w:ascii="Times New Roman" w:hAnsi="Times New Roman"/>
        </w:rPr>
        <w:t xml:space="preserve">. </w:t>
      </w:r>
      <w:r>
        <w:rPr>
          <w:rFonts w:ascii="Times New Roman" w:hAnsi="Times New Roman"/>
          <w:b/>
        </w:rPr>
        <w:t>Malta</w:t>
      </w:r>
      <w:r>
        <w:rPr>
          <w:rFonts w:ascii="Times New Roman" w:hAnsi="Times New Roman"/>
        </w:rPr>
        <w:t xml:space="preserve"> a dépassé ses QAE de </w:t>
      </w:r>
      <w:r w:rsidRPr="00C75E40">
        <w:rPr>
          <w:rFonts w:ascii="Times New Roman" w:hAnsi="Times New Roman"/>
        </w:rPr>
        <w:t>27</w:t>
      </w:r>
      <w:r>
        <w:rPr>
          <w:rFonts w:ascii="Times New Roman" w:hAnsi="Times New Roman"/>
        </w:rPr>
        <w:t xml:space="preserve"> points de pourcentage, </w:t>
      </w:r>
      <w:r>
        <w:rPr>
          <w:rFonts w:ascii="Times New Roman" w:hAnsi="Times New Roman"/>
          <w:b/>
        </w:rPr>
        <w:t>l’Irlande</w:t>
      </w:r>
      <w:r>
        <w:rPr>
          <w:rFonts w:ascii="Times New Roman" w:hAnsi="Times New Roman"/>
        </w:rPr>
        <w:t xml:space="preserve"> de </w:t>
      </w:r>
      <w:r w:rsidRPr="00C75E40">
        <w:rPr>
          <w:rFonts w:ascii="Times New Roman" w:hAnsi="Times New Roman"/>
        </w:rPr>
        <w:t>12</w:t>
      </w:r>
      <w:r>
        <w:rPr>
          <w:rFonts w:ascii="Times New Roman" w:hAnsi="Times New Roman"/>
        </w:rPr>
        <w:t xml:space="preserve"> points de pourcentage et </w:t>
      </w:r>
      <w:r>
        <w:rPr>
          <w:rFonts w:ascii="Times New Roman" w:hAnsi="Times New Roman"/>
          <w:b/>
        </w:rPr>
        <w:t>la Pologne</w:t>
      </w:r>
      <w:r>
        <w:rPr>
          <w:rFonts w:ascii="Times New Roman" w:hAnsi="Times New Roman"/>
        </w:rPr>
        <w:t xml:space="preserve"> de </w:t>
      </w:r>
      <w:r w:rsidRPr="00C75E40">
        <w:rPr>
          <w:rFonts w:ascii="Times New Roman" w:hAnsi="Times New Roman"/>
        </w:rPr>
        <w:t>9</w:t>
      </w:r>
      <w:r>
        <w:rPr>
          <w:rFonts w:ascii="Times New Roman" w:hAnsi="Times New Roman"/>
        </w:rPr>
        <w:t xml:space="preserve"> points de pourcentage. Les émissions </w:t>
      </w:r>
      <w:r>
        <w:rPr>
          <w:rFonts w:ascii="Times New Roman" w:hAnsi="Times New Roman"/>
          <w:b/>
        </w:rPr>
        <w:t>de l’Allemagne, de l’Autriche, de la Belgique, de la Bulgarie, de Chypre, de l’Estonie, de la Finlande</w:t>
      </w:r>
      <w:r>
        <w:rPr>
          <w:rFonts w:ascii="Times New Roman" w:hAnsi="Times New Roman"/>
        </w:rPr>
        <w:t xml:space="preserve"> et</w:t>
      </w:r>
      <w:r>
        <w:rPr>
          <w:rFonts w:ascii="Times New Roman" w:hAnsi="Times New Roman"/>
          <w:b/>
        </w:rPr>
        <w:t xml:space="preserve"> du Luxembourg</w:t>
      </w:r>
      <w:r>
        <w:rPr>
          <w:rFonts w:ascii="Times New Roman" w:hAnsi="Times New Roman"/>
        </w:rPr>
        <w:t xml:space="preserve"> ont également dépassé leurs QAE.</w:t>
      </w:r>
      <w:r w:rsidR="00C75E40">
        <w:rPr>
          <w:rFonts w:ascii="Times New Roman" w:hAnsi="Times New Roman"/>
        </w:rPr>
        <w:t xml:space="preserve"> </w:t>
      </w:r>
      <w:r>
        <w:rPr>
          <w:rFonts w:ascii="Times New Roman" w:hAnsi="Times New Roman"/>
        </w:rPr>
        <w:t xml:space="preserve">Ces États membres présentaient déjà tous des émissions plus élevées que leurs QAE en </w:t>
      </w:r>
      <w:r w:rsidRPr="00C75E40">
        <w:rPr>
          <w:rFonts w:ascii="Times New Roman" w:hAnsi="Times New Roman"/>
        </w:rPr>
        <w:t>2016</w:t>
      </w:r>
      <w:r>
        <w:rPr>
          <w:rFonts w:ascii="Times New Roman" w:hAnsi="Times New Roman"/>
        </w:rPr>
        <w:t xml:space="preserve"> ou en </w:t>
      </w:r>
      <w:r w:rsidRPr="00C75E40">
        <w:rPr>
          <w:rFonts w:ascii="Times New Roman" w:hAnsi="Times New Roman"/>
        </w:rPr>
        <w:t>2017</w:t>
      </w:r>
      <w:r>
        <w:rPr>
          <w:rFonts w:ascii="Times New Roman" w:hAnsi="Times New Roman"/>
        </w:rPr>
        <w:t xml:space="preserve">, voire les deux. </w:t>
      </w:r>
    </w:p>
    <w:p w14:paraId="68CB602A" w14:textId="77777777" w:rsidR="006C22B7" w:rsidRDefault="00083BD6">
      <w:pPr>
        <w:jc w:val="both"/>
        <w:rPr>
          <w:rFonts w:ascii="Times New Roman" w:hAnsi="Times New Roman" w:cs="Times New Roman"/>
          <w:sz w:val="24"/>
        </w:rPr>
      </w:pPr>
      <w:r>
        <w:rPr>
          <w:rFonts w:ascii="Times New Roman" w:hAnsi="Times New Roman"/>
        </w:rPr>
        <w:t>Pour </w:t>
      </w:r>
      <w:r w:rsidRPr="00C75E40">
        <w:rPr>
          <w:rFonts w:ascii="Times New Roman" w:hAnsi="Times New Roman"/>
        </w:rPr>
        <w:t>2018</w:t>
      </w:r>
      <w:r>
        <w:rPr>
          <w:rFonts w:ascii="Times New Roman" w:hAnsi="Times New Roman"/>
        </w:rPr>
        <w:t>, tous les États membres, à l’exception de Malte, sont susceptibles de pouvoir encore satisfaire à leurs obligations en utilisant les QAE mis réserve les années précédentes. Toutefois, en </w:t>
      </w:r>
      <w:r w:rsidRPr="00C75E40">
        <w:rPr>
          <w:rFonts w:ascii="Times New Roman" w:hAnsi="Times New Roman"/>
        </w:rPr>
        <w:t>2019</w:t>
      </w:r>
      <w:r>
        <w:rPr>
          <w:rFonts w:ascii="Times New Roman" w:hAnsi="Times New Roman"/>
        </w:rPr>
        <w:t xml:space="preserve"> et en </w:t>
      </w:r>
      <w:r w:rsidRPr="00C75E40">
        <w:rPr>
          <w:rFonts w:ascii="Times New Roman" w:hAnsi="Times New Roman"/>
        </w:rPr>
        <w:t>2020</w:t>
      </w:r>
      <w:r>
        <w:rPr>
          <w:rFonts w:ascii="Times New Roman" w:hAnsi="Times New Roman"/>
        </w:rPr>
        <w:t xml:space="preserve">, il se peut que certains États membres ne disposent plus d’un montant suffisant de QAE mis en réserve pour couvrir les déficits potentiels. Les projections indiquent que </w:t>
      </w:r>
      <w:r>
        <w:rPr>
          <w:rFonts w:ascii="Times New Roman" w:hAnsi="Times New Roman"/>
          <w:b/>
        </w:rPr>
        <w:t>l’Allemagne, l’Autriche, l’Irlande</w:t>
      </w:r>
      <w:r>
        <w:rPr>
          <w:rFonts w:ascii="Times New Roman" w:hAnsi="Times New Roman"/>
        </w:rPr>
        <w:t xml:space="preserve"> et </w:t>
      </w:r>
      <w:r>
        <w:rPr>
          <w:rFonts w:ascii="Times New Roman" w:hAnsi="Times New Roman"/>
          <w:b/>
        </w:rPr>
        <w:t>Malte</w:t>
      </w:r>
      <w:r>
        <w:rPr>
          <w:rFonts w:ascii="Times New Roman" w:hAnsi="Times New Roman"/>
        </w:rPr>
        <w:t xml:space="preserve"> enregistreront probablement un déficit net des QAE pour la période </w:t>
      </w:r>
      <w:r w:rsidRPr="00C75E40">
        <w:rPr>
          <w:rFonts w:ascii="Times New Roman" w:hAnsi="Times New Roman"/>
        </w:rPr>
        <w:t>2013</w:t>
      </w:r>
      <w:r>
        <w:rPr>
          <w:rFonts w:ascii="Times New Roman" w:hAnsi="Times New Roman"/>
        </w:rPr>
        <w:t>-</w:t>
      </w:r>
      <w:r w:rsidRPr="00C75E40">
        <w:rPr>
          <w:rFonts w:ascii="Times New Roman" w:hAnsi="Times New Roman"/>
        </w:rPr>
        <w:t>2020</w:t>
      </w:r>
      <w:r>
        <w:rPr>
          <w:rFonts w:ascii="Times New Roman" w:hAnsi="Times New Roman"/>
        </w:rPr>
        <w:t>. En cas de déficit net, les États membres devront recourir aux mécanismes de flexibilité définis dans la décision de répartition de l’effort (outre la mise en réserve et l’emprunt de QAE).</w:t>
      </w:r>
    </w:p>
    <w:p w14:paraId="030DC346" w14:textId="2A716162" w:rsidR="006C22B7" w:rsidRDefault="00E04ACD">
      <w:pPr>
        <w:pStyle w:val="Heading1"/>
        <w:spacing w:after="240"/>
        <w:ind w:left="714" w:hanging="357"/>
        <w:jc w:val="both"/>
      </w:pPr>
      <w:r>
        <w:t>UTILISATION DES TERRES, CHANGEMENT D’AFFECTATION DES TERRES ET FORESTERIE</w:t>
      </w:r>
    </w:p>
    <w:p w14:paraId="68C30AB1" w14:textId="25CE1E7B" w:rsidR="006C22B7" w:rsidRDefault="00CA7B35">
      <w:pPr>
        <w:jc w:val="both"/>
        <w:rPr>
          <w:rFonts w:ascii="Times New Roman" w:hAnsi="Times New Roman" w:cs="Times New Roman"/>
          <w:sz w:val="24"/>
        </w:rPr>
      </w:pPr>
      <w:r>
        <w:rPr>
          <w:rFonts w:ascii="Times New Roman" w:hAnsi="Times New Roman"/>
        </w:rPr>
        <w:t>L’utilisation des terres et la foresterie peuvent toutes deux générer des émissions et des absorptions de CO</w:t>
      </w:r>
      <w:r w:rsidRPr="00C75E40">
        <w:rPr>
          <w:rFonts w:ascii="Times New Roman" w:hAnsi="Times New Roman"/>
          <w:vertAlign w:val="subscript"/>
        </w:rPr>
        <w:t>2</w:t>
      </w:r>
      <w:r>
        <w:rPr>
          <w:rFonts w:ascii="Times New Roman" w:hAnsi="Times New Roman"/>
        </w:rPr>
        <w:t xml:space="preserve"> de l’atmosphère. De </w:t>
      </w:r>
      <w:r w:rsidRPr="00C75E40">
        <w:rPr>
          <w:rFonts w:ascii="Times New Roman" w:hAnsi="Times New Roman"/>
        </w:rPr>
        <w:t>2013</w:t>
      </w:r>
      <w:r>
        <w:rPr>
          <w:rFonts w:ascii="Times New Roman" w:hAnsi="Times New Roman"/>
        </w:rPr>
        <w:t xml:space="preserve"> à </w:t>
      </w:r>
      <w:r w:rsidRPr="00C75E40">
        <w:rPr>
          <w:rFonts w:ascii="Times New Roman" w:hAnsi="Times New Roman"/>
        </w:rPr>
        <w:t>2020</w:t>
      </w:r>
      <w:r>
        <w:rPr>
          <w:rFonts w:ascii="Times New Roman" w:hAnsi="Times New Roman"/>
        </w:rPr>
        <w:t xml:space="preserve">, les États membres de l’Union européenne se sont engagés à garantir que les émissions et les absorptions d’actions additionnelles dans ce secteur soient comptabilisées uniquement en fonction de leur objectif de réduction dans le cadre du protocole de Kyoto. Toutefois, ces émissions et absorptions ne sont pas prises en considération dans l’objectif de l’Union de réduction de </w:t>
      </w:r>
      <w:r w:rsidRPr="00C75E40">
        <w:rPr>
          <w:rFonts w:ascii="Times New Roman" w:hAnsi="Times New Roman"/>
        </w:rPr>
        <w:t>20</w:t>
      </w:r>
      <w:r>
        <w:rPr>
          <w:rFonts w:ascii="Times New Roman" w:hAnsi="Times New Roman"/>
        </w:rPr>
        <w:t xml:space="preserve"> % d’ici </w:t>
      </w:r>
      <w:r w:rsidRPr="00C75E40">
        <w:rPr>
          <w:rFonts w:ascii="Times New Roman" w:hAnsi="Times New Roman"/>
        </w:rPr>
        <w:t>2020</w:t>
      </w:r>
      <w:r>
        <w:rPr>
          <w:rFonts w:ascii="Times New Roman" w:hAnsi="Times New Roman"/>
        </w:rPr>
        <w:t>.</w:t>
      </w:r>
    </w:p>
    <w:p w14:paraId="2EC99E76" w14:textId="672F9525" w:rsidR="006C22B7" w:rsidRDefault="00C75E40">
      <w:pPr>
        <w:keepNext/>
        <w:jc w:val="both"/>
      </w:pPr>
      <w:r w:rsidRPr="00C75E40">
        <w:rPr>
          <w:noProof/>
          <w:lang w:val="en-GB" w:eastAsia="en-GB"/>
        </w:rPr>
        <w:drawing>
          <wp:inline distT="0" distB="0" distL="0" distR="0" wp14:anchorId="2779A753" wp14:editId="1B668D31">
            <wp:extent cx="5236286" cy="2719620"/>
            <wp:effectExtent l="0" t="0" r="2540" b="5080"/>
            <wp:docPr id="31" name="Chart 3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D0D7DB" w14:textId="2C74DCA4" w:rsidR="006C22B7" w:rsidRDefault="00D25DC5">
      <w:pPr>
        <w:pStyle w:val="Caption"/>
        <w:rPr>
          <w:rFonts w:ascii="Times New Roman" w:hAnsi="Times New Roman"/>
        </w:rPr>
      </w:pPr>
      <w:r>
        <w:t xml:space="preserve">Graphique </w:t>
      </w:r>
      <w:r w:rsidR="00BD71DF">
        <w:fldChar w:fldCharType="begin"/>
      </w:r>
      <w:r w:rsidR="00BD71DF">
        <w:instrText xml:space="preserve"> SEQ Figure \* ARABIC </w:instrText>
      </w:r>
      <w:r w:rsidR="00BD71DF">
        <w:fldChar w:fldCharType="separate"/>
      </w:r>
      <w:r w:rsidRPr="00C75E40">
        <w:t>10</w:t>
      </w:r>
      <w:r w:rsidR="00BD71DF">
        <w:fldChar w:fldCharType="end"/>
      </w:r>
      <w:r>
        <w:rPr>
          <w:rFonts w:asciiTheme="minorHAnsi" w:hAnsiTheme="minorHAnsi"/>
          <w:szCs w:val="22"/>
        </w:rPr>
        <w:t xml:space="preserve">: émissions et absorptions préliminaires comptabilisées pour les activités déclarées au titre du protocole de Kyoto, deuxième période d’engagement, UE à </w:t>
      </w:r>
      <w:r w:rsidRPr="00C75E40">
        <w:rPr>
          <w:rFonts w:asciiTheme="minorHAnsi" w:hAnsiTheme="minorHAnsi"/>
          <w:szCs w:val="22"/>
        </w:rPr>
        <w:t>28</w:t>
      </w:r>
      <w:r>
        <w:rPr>
          <w:rStyle w:val="FootnoteReference"/>
          <w:rFonts w:asciiTheme="minorHAnsi" w:hAnsiTheme="minorHAnsi" w:cstheme="minorHAnsi"/>
          <w:szCs w:val="22"/>
        </w:rPr>
        <w:footnoteReference w:id="19"/>
      </w:r>
      <w:r>
        <w:rPr>
          <w:rFonts w:asciiTheme="minorHAnsi" w:hAnsiTheme="minorHAnsi"/>
          <w:szCs w:val="22"/>
        </w:rPr>
        <w:t>.</w:t>
      </w:r>
      <w:r>
        <w:rPr>
          <w:rFonts w:ascii="Times New Roman" w:hAnsi="Times New Roman"/>
          <w:szCs w:val="22"/>
        </w:rPr>
        <w:t xml:space="preserve"> </w:t>
      </w:r>
    </w:p>
    <w:p w14:paraId="45556374" w14:textId="74CAEA85" w:rsidR="006C22B7" w:rsidRDefault="0045741B">
      <w:pPr>
        <w:jc w:val="both"/>
        <w:rPr>
          <w:rFonts w:ascii="Times New Roman" w:eastAsia="Times New Roman" w:hAnsi="Times New Roman" w:cs="Times New Roman"/>
          <w:color w:val="000000"/>
          <w:sz w:val="24"/>
          <w:szCs w:val="24"/>
        </w:rPr>
      </w:pPr>
      <w:r>
        <w:rPr>
          <w:rFonts w:ascii="Times New Roman" w:hAnsi="Times New Roman"/>
        </w:rPr>
        <w:t>Ses débits et crédits «comptabilisés», par activité, pour la même période, produisent un puits moyen de -</w:t>
      </w:r>
      <w:r w:rsidRPr="00C75E40">
        <w:rPr>
          <w:rFonts w:ascii="Times New Roman" w:hAnsi="Times New Roman"/>
        </w:rPr>
        <w:t>111</w:t>
      </w:r>
      <w:r>
        <w:rPr>
          <w:rFonts w:ascii="Times New Roman" w:hAnsi="Times New Roman"/>
        </w:rPr>
        <w:t>,</w:t>
      </w:r>
      <w:r w:rsidRPr="00C75E40">
        <w:rPr>
          <w:rFonts w:ascii="Times New Roman" w:hAnsi="Times New Roman"/>
        </w:rPr>
        <w:t>9</w:t>
      </w:r>
      <w:r>
        <w:rPr>
          <w:rFonts w:ascii="Times New Roman" w:hAnsi="Times New Roman"/>
        </w:rPr>
        <w:t xml:space="preserve"> Mt éq. CO</w:t>
      </w:r>
      <w:r w:rsidRPr="00C75E40">
        <w:rPr>
          <w:rFonts w:ascii="Times New Roman" w:hAnsi="Times New Roman"/>
          <w:vertAlign w:val="subscript"/>
        </w:rPr>
        <w:t>2</w:t>
      </w:r>
      <w:r>
        <w:rPr>
          <w:rStyle w:val="FootnoteReference"/>
          <w:rFonts w:ascii="Times New Roman" w:eastAsia="Times New Roman" w:hAnsi="Times New Roman" w:cs="Times New Roman"/>
        </w:rPr>
        <w:footnoteReference w:id="20"/>
      </w:r>
      <w:r>
        <w:rPr>
          <w:rFonts w:ascii="Times New Roman" w:hAnsi="Times New Roman"/>
        </w:rPr>
        <w:t>. Les crédits nets comptabilisés ont chuté de -</w:t>
      </w:r>
      <w:r w:rsidRPr="00C75E40">
        <w:rPr>
          <w:rFonts w:ascii="Times New Roman" w:hAnsi="Times New Roman"/>
        </w:rPr>
        <w:t>133</w:t>
      </w:r>
      <w:r>
        <w:rPr>
          <w:rFonts w:ascii="Times New Roman" w:hAnsi="Times New Roman"/>
        </w:rPr>
        <w:t>,</w:t>
      </w:r>
      <w:r w:rsidRPr="00C75E40">
        <w:rPr>
          <w:rFonts w:ascii="Times New Roman" w:hAnsi="Times New Roman"/>
        </w:rPr>
        <w:t>9</w:t>
      </w:r>
      <w:r>
        <w:rPr>
          <w:rFonts w:ascii="Times New Roman" w:hAnsi="Times New Roman"/>
        </w:rPr>
        <w:t xml:space="preserve"> à -</w:t>
      </w:r>
      <w:r w:rsidRPr="00C75E40">
        <w:rPr>
          <w:rFonts w:ascii="Times New Roman" w:hAnsi="Times New Roman"/>
        </w:rPr>
        <w:t>80</w:t>
      </w:r>
      <w:r>
        <w:rPr>
          <w:rFonts w:ascii="Times New Roman" w:hAnsi="Times New Roman"/>
        </w:rPr>
        <w:t>,</w:t>
      </w:r>
      <w:r w:rsidRPr="00C75E40">
        <w:rPr>
          <w:rFonts w:ascii="Times New Roman" w:hAnsi="Times New Roman"/>
        </w:rPr>
        <w:t>5</w:t>
      </w:r>
      <w:r>
        <w:rPr>
          <w:rFonts w:ascii="Times New Roman" w:hAnsi="Times New Roman"/>
        </w:rPr>
        <w:t xml:space="preserve"> Mt éq. CO</w:t>
      </w:r>
      <w:r w:rsidRPr="00C75E40">
        <w:rPr>
          <w:rFonts w:ascii="Times New Roman" w:hAnsi="Times New Roman"/>
          <w:vertAlign w:val="subscript"/>
        </w:rPr>
        <w:t>2</w:t>
      </w:r>
      <w:r>
        <w:rPr>
          <w:rFonts w:ascii="Times New Roman" w:hAnsi="Times New Roman"/>
        </w:rPr>
        <w:t xml:space="preserve"> de </w:t>
      </w:r>
      <w:r w:rsidRPr="00C75E40">
        <w:rPr>
          <w:rFonts w:ascii="Times New Roman" w:hAnsi="Times New Roman"/>
        </w:rPr>
        <w:t>2013</w:t>
      </w:r>
      <w:r>
        <w:rPr>
          <w:rFonts w:ascii="Times New Roman" w:hAnsi="Times New Roman"/>
        </w:rPr>
        <w:t xml:space="preserve"> à </w:t>
      </w:r>
      <w:r w:rsidRPr="00C75E40">
        <w:rPr>
          <w:rFonts w:ascii="Times New Roman" w:hAnsi="Times New Roman"/>
        </w:rPr>
        <w:t>2017</w:t>
      </w:r>
      <w:r>
        <w:rPr>
          <w:rFonts w:ascii="Times New Roman" w:hAnsi="Times New Roman"/>
        </w:rPr>
        <w:t>. Ces quantités, pour l’Union, comprennent à la fois les activités «obligatoires» (boisement/reboisement, déboisement et gestion des forêts) et les activités «choisies» dans le cadre du protocole de Kyoto</w:t>
      </w:r>
      <w:r>
        <w:rPr>
          <w:rStyle w:val="FootnoteReference"/>
          <w:rFonts w:ascii="Times New Roman" w:eastAsia="Times New Roman" w:hAnsi="Times New Roman" w:cs="Times New Roman"/>
        </w:rPr>
        <w:footnoteReference w:id="21"/>
      </w:r>
      <w:r>
        <w:rPr>
          <w:rFonts w:ascii="Times New Roman" w:hAnsi="Times New Roman"/>
        </w:rPr>
        <w:t xml:space="preserve">. </w:t>
      </w:r>
    </w:p>
    <w:p w14:paraId="5A5043CE" w14:textId="04AE4049" w:rsidR="006C22B7" w:rsidRDefault="00F47D23">
      <w:pPr>
        <w:jc w:val="both"/>
        <w:rPr>
          <w:rFonts w:ascii="Times New Roman" w:eastAsia="Times New Roman" w:hAnsi="Times New Roman" w:cs="Times New Roman"/>
          <w:color w:val="000000"/>
          <w:sz w:val="24"/>
          <w:szCs w:val="24"/>
        </w:rPr>
      </w:pPr>
      <w:r>
        <w:rPr>
          <w:rFonts w:ascii="Times New Roman" w:hAnsi="Times New Roman"/>
        </w:rPr>
        <w:t>La baisse des crédits nets décrite ci-dessus résulte principalement d’une diminution des crédits ou de crédits se transformant en débits pour la gestion des forêts en Croatie, au Danemark, en France, en Italie, en Lituanie, au Portugal, en Tchéquie, en Slovénie et au Royaume-Uni.</w:t>
      </w:r>
      <w:r w:rsidR="00C75E40">
        <w:rPr>
          <w:rFonts w:ascii="Times New Roman" w:hAnsi="Times New Roman"/>
        </w:rPr>
        <w:t xml:space="preserve"> </w:t>
      </w:r>
      <w:r>
        <w:rPr>
          <w:rFonts w:ascii="Times New Roman" w:hAnsi="Times New Roman"/>
        </w:rPr>
        <w:t>Ce phénomène s’explique principalement par l’augmentation des taux de récolte, elle-même due à un accroissement marqué de la demande en bois et à des politiques nationales qui ont optimisé les exploitations et, dans une moindre mesure, à un plus grand nombre de forêts atteignant l’âge mûr, par exemple au Danemark et en France. Les perturbations naturelles ont également contribué à l’augmentation des émissions. Par exemple, les émissions causées en </w:t>
      </w:r>
      <w:r w:rsidRPr="00C75E40">
        <w:rPr>
          <w:rFonts w:ascii="Times New Roman" w:hAnsi="Times New Roman"/>
        </w:rPr>
        <w:t>2017</w:t>
      </w:r>
      <w:r>
        <w:rPr>
          <w:rFonts w:ascii="Times New Roman" w:hAnsi="Times New Roman"/>
        </w:rPr>
        <w:t xml:space="preserve"> par les feux de forêt en Italie et au Portugal font partie des plus élevées jamais enregistrées.</w:t>
      </w:r>
      <w:r w:rsidR="00C75E40">
        <w:rPr>
          <w:rFonts w:ascii="Times New Roman" w:hAnsi="Times New Roman"/>
        </w:rPr>
        <w:t xml:space="preserve"> </w:t>
      </w:r>
      <w:r>
        <w:rPr>
          <w:rFonts w:ascii="Times New Roman" w:hAnsi="Times New Roman"/>
        </w:rPr>
        <w:t xml:space="preserve">Les nuisibles et les tempêtes ont dramatiquement touché les forêts de Lituanie, de Slovénie et de Tchéquie. </w:t>
      </w:r>
    </w:p>
    <w:p w14:paraId="16AFBCAB" w14:textId="1D6282F6" w:rsidR="006C22B7" w:rsidRDefault="00D3588F">
      <w:pPr>
        <w:jc w:val="both"/>
        <w:rPr>
          <w:rFonts w:ascii="Times New Roman" w:eastAsia="Times New Roman" w:hAnsi="Times New Roman" w:cs="Times New Roman"/>
          <w:color w:val="000000"/>
          <w:sz w:val="24"/>
          <w:szCs w:val="24"/>
        </w:rPr>
      </w:pPr>
      <w:r>
        <w:rPr>
          <w:rFonts w:ascii="Times New Roman" w:hAnsi="Times New Roman"/>
        </w:rPr>
        <w:t xml:space="preserve">Nous ignorons encore si cette tendance va se poursuivre. Toutefois, dans le cadre du changement climatique, les phénomènes de perturbations naturelles devraient se multiplier. Les comportements observés sur le marché dépendront principalement de la conjoncture économique. Des initiatives reposant sur le bois comme source d’énergie et le remplacement des matériaux ainsi que des programmes de boisement et de reboisement devraient se multiplier à la faveur de politiques qui entreront en vigueur en </w:t>
      </w:r>
      <w:r w:rsidRPr="00C75E40">
        <w:rPr>
          <w:rFonts w:ascii="Times New Roman" w:hAnsi="Times New Roman"/>
        </w:rPr>
        <w:t>2021</w:t>
      </w:r>
      <w:r>
        <w:rPr>
          <w:rFonts w:ascii="Times New Roman" w:hAnsi="Times New Roman"/>
        </w:rPr>
        <w:t>.</w:t>
      </w:r>
    </w:p>
    <w:p w14:paraId="6CE3D456" w14:textId="2F21D35B" w:rsidR="006C22B7" w:rsidRDefault="0045741B">
      <w:pPr>
        <w:jc w:val="both"/>
        <w:rPr>
          <w:rFonts w:ascii="Times New Roman" w:eastAsia="Times New Roman" w:hAnsi="Times New Roman" w:cs="Times New Roman"/>
          <w:color w:val="000000"/>
          <w:sz w:val="24"/>
          <w:szCs w:val="24"/>
        </w:rPr>
      </w:pPr>
      <w:r>
        <w:rPr>
          <w:rFonts w:ascii="Times New Roman" w:hAnsi="Times New Roman"/>
        </w:rPr>
        <w:t xml:space="preserve">En vertu des règles comptables applicables à la deuxième période d’engagement au titre du protocole de Kyoto, Chypre, la Finlande, la France, l’Italie, la Lettonie, la Lituanie, les Pays-Bas, le Portugal, la Tchéquie et la Slovénie enregistrent des débits nets pour au moins une année au cours de cet exercice comptable préliminaire. </w:t>
      </w:r>
    </w:p>
    <w:p w14:paraId="5AAA81F3" w14:textId="0698847C" w:rsidR="006C22B7" w:rsidRDefault="0045741B">
      <w:pPr>
        <w:jc w:val="both"/>
        <w:rPr>
          <w:rFonts w:ascii="Times New Roman" w:hAnsi="Times New Roman" w:cs="Times New Roman"/>
          <w:sz w:val="24"/>
          <w:szCs w:val="24"/>
        </w:rPr>
      </w:pPr>
      <w:r>
        <w:rPr>
          <w:rFonts w:ascii="Times New Roman" w:hAnsi="Times New Roman"/>
        </w:rPr>
        <w:t xml:space="preserve">Le cadre d’action </w:t>
      </w:r>
      <w:r w:rsidRPr="00C75E40">
        <w:rPr>
          <w:rFonts w:ascii="Times New Roman" w:hAnsi="Times New Roman"/>
        </w:rPr>
        <w:t>2030</w:t>
      </w:r>
      <w:r>
        <w:rPr>
          <w:rFonts w:ascii="Times New Roman" w:hAnsi="Times New Roman"/>
        </w:rPr>
        <w:t xml:space="preserve"> pour le climat et l’énergie inclut, pour la première fois, les émissions et absorptions issues de l’utilisation des terres.</w:t>
      </w:r>
      <w:r w:rsidR="00C75E40">
        <w:rPr>
          <w:rFonts w:ascii="Times New Roman" w:hAnsi="Times New Roman"/>
        </w:rPr>
        <w:t xml:space="preserve"> </w:t>
      </w:r>
      <w:r>
        <w:rPr>
          <w:rFonts w:ascii="Times New Roman" w:hAnsi="Times New Roman"/>
        </w:rPr>
        <w:t>À partir de </w:t>
      </w:r>
      <w:r w:rsidRPr="00C75E40">
        <w:rPr>
          <w:rFonts w:ascii="Times New Roman" w:hAnsi="Times New Roman"/>
        </w:rPr>
        <w:t>2021</w:t>
      </w:r>
      <w:r>
        <w:rPr>
          <w:rFonts w:ascii="Times New Roman" w:hAnsi="Times New Roman"/>
        </w:rPr>
        <w:t>, le règlement UTCATF</w:t>
      </w:r>
      <w:r>
        <w:rPr>
          <w:rStyle w:val="FootnoteReference"/>
          <w:rFonts w:ascii="Times New Roman" w:hAnsi="Times New Roman" w:cs="Times New Roman"/>
        </w:rPr>
        <w:footnoteReference w:id="22"/>
      </w:r>
      <w:r>
        <w:rPr>
          <w:rFonts w:ascii="Times New Roman" w:hAnsi="Times New Roman"/>
        </w:rPr>
        <w:t xml:space="preserve"> imposera à chaque État membre de veiller, grâce à des mesures spécifiques dans le secteur de l’utilisation des terres, à ce que les émissions de CO</w:t>
      </w:r>
      <w:r w:rsidRPr="00C75E40">
        <w:rPr>
          <w:rFonts w:ascii="Times New Roman" w:hAnsi="Times New Roman"/>
          <w:vertAlign w:val="subscript"/>
        </w:rPr>
        <w:t>2</w:t>
      </w:r>
      <w:r>
        <w:rPr>
          <w:rFonts w:ascii="Times New Roman" w:hAnsi="Times New Roman"/>
        </w:rPr>
        <w:t xml:space="preserve"> comptabilisées issues de l’utilisation des terres soient entièrement compensées par des absorptions équivalentes de CO</w:t>
      </w:r>
      <w:r w:rsidRPr="00C75E40">
        <w:rPr>
          <w:rFonts w:ascii="Times New Roman" w:hAnsi="Times New Roman"/>
          <w:vertAlign w:val="subscript"/>
        </w:rPr>
        <w:t>2</w:t>
      </w:r>
      <w:r>
        <w:rPr>
          <w:rFonts w:ascii="Times New Roman" w:hAnsi="Times New Roman"/>
        </w:rPr>
        <w:t xml:space="preserve"> présent dans l’atmosphère. Cette «règle du bilan neutre ou positif» («no debit rule») signifie que les États membres doivent compenser les émissions dues à la déforestation, par exemple en créant des puits de carbone équivalents issus du reboisement ou en améliorant la gestion durable des forêts existantes. </w:t>
      </w:r>
    </w:p>
    <w:p w14:paraId="5A48234A" w14:textId="5F055F78" w:rsidR="006C22B7" w:rsidRDefault="00E809A6">
      <w:pPr>
        <w:jc w:val="both"/>
        <w:rPr>
          <w:rFonts w:ascii="Times New Roman" w:hAnsi="Times New Roman" w:cs="Times New Roman"/>
          <w:sz w:val="24"/>
          <w:szCs w:val="24"/>
        </w:rPr>
      </w:pPr>
      <w:r>
        <w:rPr>
          <w:rFonts w:ascii="Times New Roman" w:hAnsi="Times New Roman"/>
        </w:rPr>
        <w:t>Les États membres ont soumis à la Commission les plans comptables forestiers nationaux incluant des propositions de niveaux de référence pour les forêts. Un groupe d’experts a procédé à une évaluation technique des propositions</w:t>
      </w:r>
      <w:r>
        <w:rPr>
          <w:rStyle w:val="FootnoteReference"/>
          <w:rFonts w:ascii="Times New Roman" w:hAnsi="Times New Roman" w:cs="Times New Roman"/>
        </w:rPr>
        <w:footnoteReference w:id="23"/>
      </w:r>
      <w:r>
        <w:rPr>
          <w:rFonts w:ascii="Times New Roman" w:hAnsi="Times New Roman"/>
        </w:rPr>
        <w:t xml:space="preserve"> et la Commission européenne a émis des recommandations techniques visant à améliorer les plans nationaux</w:t>
      </w:r>
      <w:r>
        <w:rPr>
          <w:rStyle w:val="FootnoteReference"/>
          <w:rFonts w:ascii="Times New Roman" w:hAnsi="Times New Roman" w:cs="Times New Roman"/>
        </w:rPr>
        <w:footnoteReference w:id="24"/>
      </w:r>
      <w:r>
        <w:rPr>
          <w:rFonts w:ascii="Times New Roman" w:hAnsi="Times New Roman"/>
        </w:rPr>
        <w:t>.</w:t>
      </w:r>
      <w:r w:rsidR="00C75E40">
        <w:rPr>
          <w:rFonts w:ascii="Times New Roman" w:hAnsi="Times New Roman"/>
        </w:rPr>
        <w:t xml:space="preserve"> </w:t>
      </w:r>
      <w:r>
        <w:rPr>
          <w:rFonts w:ascii="Times New Roman" w:hAnsi="Times New Roman"/>
        </w:rPr>
        <w:t xml:space="preserve">Sur cette base, les États membres devraient réviser leurs plans pour le </w:t>
      </w:r>
      <w:r w:rsidRPr="00C75E40">
        <w:rPr>
          <w:rFonts w:ascii="Times New Roman" w:hAnsi="Times New Roman"/>
        </w:rPr>
        <w:t>31</w:t>
      </w:r>
      <w:r>
        <w:rPr>
          <w:rFonts w:ascii="Times New Roman" w:hAnsi="Times New Roman"/>
        </w:rPr>
        <w:t xml:space="preserve"> décembre </w:t>
      </w:r>
      <w:r w:rsidRPr="00C75E40">
        <w:rPr>
          <w:rFonts w:ascii="Times New Roman" w:hAnsi="Times New Roman"/>
        </w:rPr>
        <w:t>2019</w:t>
      </w:r>
      <w:r>
        <w:rPr>
          <w:rFonts w:ascii="Times New Roman" w:hAnsi="Times New Roman"/>
        </w:rPr>
        <w:t>.</w:t>
      </w:r>
    </w:p>
    <w:p w14:paraId="245413F3" w14:textId="7E09D7D1" w:rsidR="006C22B7" w:rsidRDefault="00F47D23">
      <w:pPr>
        <w:jc w:val="both"/>
        <w:rPr>
          <w:rFonts w:ascii="Times New Roman" w:hAnsi="Times New Roman" w:cs="Times New Roman"/>
          <w:sz w:val="24"/>
          <w:szCs w:val="24"/>
        </w:rPr>
      </w:pPr>
      <w:r>
        <w:rPr>
          <w:rFonts w:ascii="Times New Roman" w:hAnsi="Times New Roman"/>
        </w:rPr>
        <w:t>La communication de la Commission intitulée «Une planète propre pour tous»</w:t>
      </w:r>
      <w:r>
        <w:rPr>
          <w:rStyle w:val="FootnoteReference"/>
          <w:rFonts w:ascii="Times New Roman" w:hAnsi="Times New Roman" w:cs="Times New Roman"/>
        </w:rPr>
        <w:footnoteReference w:id="25"/>
      </w:r>
      <w:r w:rsidR="00C75E40">
        <w:rPr>
          <w:rFonts w:ascii="Times New Roman" w:hAnsi="Times New Roman"/>
        </w:rPr>
        <w:t xml:space="preserve"> </w:t>
      </w:r>
      <w:r>
        <w:rPr>
          <w:rFonts w:ascii="Times New Roman" w:hAnsi="Times New Roman"/>
        </w:rPr>
        <w:t>comprenait également les émissions et les absorptions de l’UTCAFT. À l’heure actuelle, les terres de l’Union stockent plus d’émissions qu’elles n’en émettent. Bien que, selon les projections, ce puits devrait connaître une diminution, il devra jouer un rôle plus important, accompagné d’autres solutions technologiques, afin de compenser les émissions restantes des autres secteurs et d’atteindre un bilan d’émissions neutre d’ici </w:t>
      </w:r>
      <w:r w:rsidRPr="00C75E40">
        <w:rPr>
          <w:rFonts w:ascii="Times New Roman" w:hAnsi="Times New Roman"/>
        </w:rPr>
        <w:t>2050</w:t>
      </w:r>
      <w:r>
        <w:rPr>
          <w:rFonts w:ascii="Times New Roman" w:hAnsi="Times New Roman"/>
        </w:rPr>
        <w:t>, comme l’illustre le graphique </w:t>
      </w:r>
      <w:r w:rsidRPr="00C75E40">
        <w:rPr>
          <w:rFonts w:ascii="Times New Roman" w:hAnsi="Times New Roman"/>
        </w:rPr>
        <w:t>1</w:t>
      </w:r>
      <w:r>
        <w:rPr>
          <w:rFonts w:ascii="Times New Roman" w:hAnsi="Times New Roman"/>
        </w:rPr>
        <w:t xml:space="preserve">. </w:t>
      </w:r>
    </w:p>
    <w:p w14:paraId="3AA111AB" w14:textId="77777777" w:rsidR="006C22B7" w:rsidRDefault="006C22B7">
      <w:pPr>
        <w:jc w:val="both"/>
        <w:rPr>
          <w:rFonts w:ascii="Times New Roman" w:hAnsi="Times New Roman"/>
          <w:sz w:val="24"/>
          <w:szCs w:val="24"/>
        </w:rPr>
      </w:pPr>
    </w:p>
    <w:p w14:paraId="2F88EAE6" w14:textId="70E9DDF3" w:rsidR="006C22B7" w:rsidRDefault="00E04ACD">
      <w:pPr>
        <w:pStyle w:val="Heading1"/>
        <w:spacing w:after="240"/>
        <w:ind w:left="714" w:hanging="357"/>
        <w:jc w:val="both"/>
      </w:pPr>
      <w:r>
        <w:t>ÉVOLUTION DES POLITIQUES DEPUIS OCTOBRE </w:t>
      </w:r>
      <w:r w:rsidRPr="00C75E40">
        <w:t>2018</w:t>
      </w:r>
    </w:p>
    <w:p w14:paraId="32A83772" w14:textId="083D50E9" w:rsidR="006C22B7" w:rsidRDefault="00210000">
      <w:pPr>
        <w:jc w:val="both"/>
        <w:rPr>
          <w:rFonts w:ascii="Times New Roman" w:hAnsi="Times New Roman" w:cs="Times New Roman"/>
          <w:sz w:val="24"/>
        </w:rPr>
      </w:pPr>
      <w:r>
        <w:rPr>
          <w:rFonts w:ascii="Times New Roman" w:hAnsi="Times New Roman"/>
        </w:rPr>
        <w:t xml:space="preserve">L’Union européenne poursuit l’élaboration de ses politiques en vue de réduire les émissions de GES et de s’adapter au changement climatique. Des progrès considérables ont été réalisés l'année dernière en matière de réduction des émissions dues au transport routier et de promotion d’un financement durable. </w:t>
      </w:r>
    </w:p>
    <w:p w14:paraId="24143A86" w14:textId="77777777" w:rsidR="006C22B7" w:rsidRDefault="001D33E9">
      <w:pPr>
        <w:pStyle w:val="Heading2"/>
        <w:spacing w:after="120"/>
      </w:pPr>
      <w:r>
        <w:t xml:space="preserve">Transport routier </w:t>
      </w:r>
    </w:p>
    <w:p w14:paraId="5C48033C" w14:textId="4EFEE08D" w:rsidR="006C22B7" w:rsidRDefault="005D7B8B">
      <w:pPr>
        <w:jc w:val="both"/>
        <w:rPr>
          <w:rFonts w:ascii="Times New Roman" w:hAnsi="Times New Roman" w:cs="Times New Roman"/>
          <w:sz w:val="24"/>
          <w:szCs w:val="24"/>
        </w:rPr>
      </w:pPr>
      <w:r>
        <w:rPr>
          <w:rFonts w:ascii="Times New Roman" w:hAnsi="Times New Roman"/>
        </w:rPr>
        <w:t>Un règlement</w:t>
      </w:r>
      <w:r>
        <w:rPr>
          <w:rStyle w:val="FootnoteReference"/>
          <w:rFonts w:ascii="Times New Roman" w:hAnsi="Times New Roman" w:cs="Times New Roman"/>
        </w:rPr>
        <w:footnoteReference w:id="26"/>
      </w:r>
      <w:r>
        <w:rPr>
          <w:rFonts w:ascii="Times New Roman" w:hAnsi="Times New Roman"/>
        </w:rPr>
        <w:t xml:space="preserve"> adopté le </w:t>
      </w:r>
      <w:r w:rsidRPr="00C75E40">
        <w:rPr>
          <w:rFonts w:ascii="Times New Roman" w:hAnsi="Times New Roman"/>
        </w:rPr>
        <w:t>17</w:t>
      </w:r>
      <w:r>
        <w:rPr>
          <w:rFonts w:ascii="Times New Roman" w:hAnsi="Times New Roman"/>
        </w:rPr>
        <w:t> avril </w:t>
      </w:r>
      <w:r w:rsidRPr="00C75E40">
        <w:rPr>
          <w:rFonts w:ascii="Times New Roman" w:hAnsi="Times New Roman"/>
        </w:rPr>
        <w:t>2019</w:t>
      </w:r>
      <w:r>
        <w:rPr>
          <w:rFonts w:ascii="Times New Roman" w:hAnsi="Times New Roman"/>
        </w:rPr>
        <w:t xml:space="preserve"> fixe de nouvelles normes en matière d’émissions pour les passagers de voitures et de camionnettes à compter de </w:t>
      </w:r>
      <w:r w:rsidRPr="00C75E40">
        <w:rPr>
          <w:rFonts w:ascii="Times New Roman" w:hAnsi="Times New Roman"/>
        </w:rPr>
        <w:t>2020</w:t>
      </w:r>
      <w:r>
        <w:rPr>
          <w:rFonts w:ascii="Times New Roman" w:hAnsi="Times New Roman"/>
        </w:rPr>
        <w:t>. D’ici </w:t>
      </w:r>
      <w:r w:rsidRPr="00C75E40">
        <w:rPr>
          <w:rFonts w:ascii="Times New Roman" w:hAnsi="Times New Roman"/>
        </w:rPr>
        <w:t>2025</w:t>
      </w:r>
      <w:r>
        <w:rPr>
          <w:rFonts w:ascii="Times New Roman" w:hAnsi="Times New Roman"/>
        </w:rPr>
        <w:t xml:space="preserve"> et </w:t>
      </w:r>
      <w:r w:rsidRPr="00C75E40">
        <w:rPr>
          <w:rFonts w:ascii="Times New Roman" w:hAnsi="Times New Roman"/>
        </w:rPr>
        <w:t>2030</w:t>
      </w:r>
      <w:r>
        <w:rPr>
          <w:rFonts w:ascii="Times New Roman" w:hAnsi="Times New Roman"/>
        </w:rPr>
        <w:t xml:space="preserve"> respectivement, les émissions moyennes des nouvelles voitures devront être inférieures de </w:t>
      </w:r>
      <w:r w:rsidRPr="00C75E40">
        <w:rPr>
          <w:rFonts w:ascii="Times New Roman" w:hAnsi="Times New Roman"/>
        </w:rPr>
        <w:t>15</w:t>
      </w:r>
      <w:r>
        <w:rPr>
          <w:rFonts w:ascii="Times New Roman" w:hAnsi="Times New Roman"/>
        </w:rPr>
        <w:t xml:space="preserve"> % et </w:t>
      </w:r>
      <w:r w:rsidRPr="00C75E40">
        <w:rPr>
          <w:rFonts w:ascii="Times New Roman" w:hAnsi="Times New Roman"/>
        </w:rPr>
        <w:t>37</w:t>
      </w:r>
      <w:r>
        <w:rPr>
          <w:rFonts w:ascii="Times New Roman" w:hAnsi="Times New Roman"/>
        </w:rPr>
        <w:t>,</w:t>
      </w:r>
      <w:r w:rsidRPr="00C75E40">
        <w:rPr>
          <w:rFonts w:ascii="Times New Roman" w:hAnsi="Times New Roman"/>
        </w:rPr>
        <w:t>5</w:t>
      </w:r>
      <w:r>
        <w:rPr>
          <w:rFonts w:ascii="Times New Roman" w:hAnsi="Times New Roman"/>
        </w:rPr>
        <w:t> % à celles de </w:t>
      </w:r>
      <w:r w:rsidRPr="00C75E40">
        <w:rPr>
          <w:rFonts w:ascii="Times New Roman" w:hAnsi="Times New Roman"/>
        </w:rPr>
        <w:t>2021</w:t>
      </w:r>
      <w:r>
        <w:rPr>
          <w:rFonts w:ascii="Times New Roman" w:hAnsi="Times New Roman"/>
        </w:rPr>
        <w:t xml:space="preserve"> et celles des camionnettes inférieures de </w:t>
      </w:r>
      <w:r w:rsidRPr="00C75E40">
        <w:rPr>
          <w:rFonts w:ascii="Times New Roman" w:hAnsi="Times New Roman"/>
        </w:rPr>
        <w:t>15</w:t>
      </w:r>
      <w:r>
        <w:rPr>
          <w:rFonts w:ascii="Times New Roman" w:hAnsi="Times New Roman"/>
        </w:rPr>
        <w:t xml:space="preserve"> % et </w:t>
      </w:r>
      <w:r w:rsidRPr="00C75E40">
        <w:rPr>
          <w:rFonts w:ascii="Times New Roman" w:hAnsi="Times New Roman"/>
        </w:rPr>
        <w:t>31</w:t>
      </w:r>
      <w:r>
        <w:rPr>
          <w:rFonts w:ascii="Times New Roman" w:hAnsi="Times New Roman"/>
        </w:rPr>
        <w:t> % à celles de </w:t>
      </w:r>
      <w:r w:rsidRPr="00C75E40">
        <w:rPr>
          <w:rFonts w:ascii="Times New Roman" w:hAnsi="Times New Roman"/>
        </w:rPr>
        <w:t>2021</w:t>
      </w:r>
      <w:r>
        <w:rPr>
          <w:rFonts w:ascii="Times New Roman" w:hAnsi="Times New Roman"/>
        </w:rPr>
        <w:t>.</w:t>
      </w:r>
    </w:p>
    <w:p w14:paraId="51B10F27" w14:textId="32254D38" w:rsidR="006C22B7" w:rsidRDefault="001D33E9">
      <w:pPr>
        <w:jc w:val="both"/>
        <w:rPr>
          <w:rFonts w:ascii="Times New Roman" w:hAnsi="Times New Roman" w:cs="Times New Roman"/>
          <w:sz w:val="24"/>
          <w:szCs w:val="24"/>
        </w:rPr>
      </w:pPr>
      <w:r>
        <w:rPr>
          <w:rFonts w:ascii="Times New Roman" w:hAnsi="Times New Roman"/>
        </w:rPr>
        <w:t>Pour les véhicules utilitaires lourds, un règlement</w:t>
      </w:r>
      <w:r>
        <w:rPr>
          <w:rStyle w:val="FootnoteReference"/>
          <w:rFonts w:ascii="Times New Roman" w:hAnsi="Times New Roman" w:cs="Times New Roman"/>
        </w:rPr>
        <w:footnoteReference w:id="27"/>
      </w:r>
      <w:r>
        <w:rPr>
          <w:rFonts w:ascii="Times New Roman" w:hAnsi="Times New Roman"/>
        </w:rPr>
        <w:t xml:space="preserve"> adopté le </w:t>
      </w:r>
      <w:r w:rsidRPr="00C75E40">
        <w:rPr>
          <w:rFonts w:ascii="Times New Roman" w:hAnsi="Times New Roman"/>
        </w:rPr>
        <w:t>20</w:t>
      </w:r>
      <w:r>
        <w:rPr>
          <w:rFonts w:ascii="Times New Roman" w:hAnsi="Times New Roman"/>
        </w:rPr>
        <w:t> juin </w:t>
      </w:r>
      <w:r w:rsidRPr="00C75E40">
        <w:rPr>
          <w:rFonts w:ascii="Times New Roman" w:hAnsi="Times New Roman"/>
        </w:rPr>
        <w:t>2019</w:t>
      </w:r>
      <w:r>
        <w:rPr>
          <w:rFonts w:ascii="Times New Roman" w:hAnsi="Times New Roman"/>
        </w:rPr>
        <w:t xml:space="preserve"> fixe pour la première fois les normes en matière d’émissions de CO</w:t>
      </w:r>
      <w:r w:rsidRPr="00C75E40">
        <w:rPr>
          <w:rFonts w:ascii="Times New Roman" w:hAnsi="Times New Roman"/>
          <w:vertAlign w:val="subscript"/>
        </w:rPr>
        <w:t>2</w:t>
      </w:r>
      <w:r>
        <w:rPr>
          <w:rFonts w:ascii="Times New Roman" w:hAnsi="Times New Roman"/>
        </w:rPr>
        <w:t xml:space="preserve"> au sein de l’Union</w:t>
      </w:r>
      <w:r w:rsidR="00C75E40">
        <w:rPr>
          <w:rFonts w:ascii="Times New Roman" w:hAnsi="Times New Roman"/>
        </w:rPr>
        <w:t xml:space="preserve"> </w:t>
      </w:r>
      <w:r>
        <w:rPr>
          <w:rFonts w:ascii="Times New Roman" w:hAnsi="Times New Roman"/>
        </w:rPr>
        <w:t>Les émissions de camions nouvellement mis sur le marché de l’Union devront d’ici </w:t>
      </w:r>
      <w:r w:rsidRPr="00C75E40">
        <w:rPr>
          <w:rFonts w:ascii="Times New Roman" w:hAnsi="Times New Roman"/>
        </w:rPr>
        <w:t>2025</w:t>
      </w:r>
      <w:r>
        <w:rPr>
          <w:rFonts w:ascii="Times New Roman" w:hAnsi="Times New Roman"/>
        </w:rPr>
        <w:t xml:space="preserve"> être inférieures en moyenne de </w:t>
      </w:r>
      <w:r w:rsidRPr="00C75E40">
        <w:rPr>
          <w:rFonts w:ascii="Times New Roman" w:hAnsi="Times New Roman"/>
        </w:rPr>
        <w:t>15</w:t>
      </w:r>
      <w:r>
        <w:rPr>
          <w:rFonts w:ascii="Times New Roman" w:hAnsi="Times New Roman"/>
        </w:rPr>
        <w:t> % à celles de </w:t>
      </w:r>
      <w:r w:rsidRPr="00C75E40">
        <w:rPr>
          <w:rFonts w:ascii="Times New Roman" w:hAnsi="Times New Roman"/>
        </w:rPr>
        <w:t>2019</w:t>
      </w:r>
      <w:r>
        <w:rPr>
          <w:rFonts w:ascii="Times New Roman" w:hAnsi="Times New Roman"/>
        </w:rPr>
        <w:t xml:space="preserve"> et de </w:t>
      </w:r>
      <w:r w:rsidRPr="00C75E40">
        <w:rPr>
          <w:rFonts w:ascii="Times New Roman" w:hAnsi="Times New Roman"/>
        </w:rPr>
        <w:t>30</w:t>
      </w:r>
      <w:r>
        <w:rPr>
          <w:rFonts w:ascii="Times New Roman" w:hAnsi="Times New Roman"/>
        </w:rPr>
        <w:t> % à celles de </w:t>
      </w:r>
      <w:r w:rsidRPr="00C75E40">
        <w:rPr>
          <w:rFonts w:ascii="Times New Roman" w:hAnsi="Times New Roman"/>
        </w:rPr>
        <w:t>2030</w:t>
      </w:r>
      <w:r>
        <w:rPr>
          <w:rFonts w:ascii="Times New Roman" w:hAnsi="Times New Roman"/>
        </w:rPr>
        <w:t xml:space="preserve">. </w:t>
      </w:r>
    </w:p>
    <w:p w14:paraId="109F3CC3" w14:textId="3355AA13" w:rsidR="006C22B7" w:rsidRDefault="001D33E9">
      <w:pPr>
        <w:jc w:val="both"/>
        <w:rPr>
          <w:rFonts w:ascii="Times New Roman" w:hAnsi="Times New Roman" w:cs="Times New Roman"/>
          <w:sz w:val="24"/>
          <w:szCs w:val="24"/>
        </w:rPr>
      </w:pPr>
      <w:r>
        <w:rPr>
          <w:rFonts w:ascii="Times New Roman" w:hAnsi="Times New Roman"/>
        </w:rPr>
        <w:t xml:space="preserve">Les deux règlements comprennent un mécanisme visant à encourager l’adoption de véhicules à émissions nulles ou faibles en fonction des valeurs de référence dès </w:t>
      </w:r>
      <w:r w:rsidRPr="00C75E40">
        <w:rPr>
          <w:rFonts w:ascii="Times New Roman" w:hAnsi="Times New Roman"/>
        </w:rPr>
        <w:t>2025</w:t>
      </w:r>
      <w:r>
        <w:rPr>
          <w:rFonts w:ascii="Times New Roman" w:hAnsi="Times New Roman"/>
        </w:rPr>
        <w:t xml:space="preserve">. Ils présentent également de nouvelles dispositions afin de garantir la représentativité réelle des émissions enregistrées. </w:t>
      </w:r>
    </w:p>
    <w:p w14:paraId="47EAC667" w14:textId="3ED4D4B7" w:rsidR="006C22B7" w:rsidRDefault="001D33E9">
      <w:pPr>
        <w:jc w:val="both"/>
        <w:rPr>
          <w:rFonts w:ascii="Times New Roman" w:hAnsi="Times New Roman" w:cs="Times New Roman"/>
          <w:sz w:val="24"/>
          <w:szCs w:val="24"/>
        </w:rPr>
      </w:pPr>
      <w:r>
        <w:rPr>
          <w:rFonts w:ascii="Times New Roman" w:hAnsi="Times New Roman"/>
        </w:rPr>
        <w:t>En outre, la révision de la directive sur les véhicules propres</w:t>
      </w:r>
      <w:r>
        <w:rPr>
          <w:rStyle w:val="FootnoteReference"/>
          <w:rFonts w:ascii="Times New Roman" w:hAnsi="Times New Roman" w:cs="Times New Roman"/>
        </w:rPr>
        <w:footnoteReference w:id="28"/>
      </w:r>
      <w:r>
        <w:rPr>
          <w:rFonts w:ascii="Times New Roman" w:hAnsi="Times New Roman"/>
        </w:rPr>
        <w:t xml:space="preserve"> a été adoptée le </w:t>
      </w:r>
      <w:r w:rsidRPr="00C75E40">
        <w:rPr>
          <w:rFonts w:ascii="Times New Roman" w:hAnsi="Times New Roman"/>
        </w:rPr>
        <w:t>20</w:t>
      </w:r>
      <w:r>
        <w:rPr>
          <w:rFonts w:ascii="Times New Roman" w:hAnsi="Times New Roman"/>
        </w:rPr>
        <w:t> juin </w:t>
      </w:r>
      <w:r w:rsidRPr="00C75E40">
        <w:rPr>
          <w:rFonts w:ascii="Times New Roman" w:hAnsi="Times New Roman"/>
        </w:rPr>
        <w:t>2019</w:t>
      </w:r>
      <w:r>
        <w:rPr>
          <w:rFonts w:ascii="Times New Roman" w:hAnsi="Times New Roman"/>
        </w:rPr>
        <w:t xml:space="preserve"> dans l’objectif de promouvoir des solutions de mobilité propres dans le cadre des appels d’offres publics. </w:t>
      </w:r>
    </w:p>
    <w:p w14:paraId="2C57D4EB" w14:textId="70FD2777" w:rsidR="006C22B7" w:rsidRDefault="001D33E9">
      <w:pPr>
        <w:jc w:val="both"/>
        <w:rPr>
          <w:rFonts w:ascii="Times New Roman" w:hAnsi="Times New Roman" w:cs="Times New Roman"/>
          <w:sz w:val="24"/>
          <w:szCs w:val="24"/>
        </w:rPr>
      </w:pPr>
      <w:r>
        <w:rPr>
          <w:rFonts w:ascii="Times New Roman" w:hAnsi="Times New Roman"/>
        </w:rPr>
        <w:t>Enfin, des négociations sont en cours entre le Parlement européen et le Conseil concernant la révision</w:t>
      </w:r>
      <w:r w:rsidR="00C75E40">
        <w:rPr>
          <w:rFonts w:ascii="Times New Roman" w:hAnsi="Times New Roman"/>
        </w:rPr>
        <w:t xml:space="preserve"> </w:t>
      </w:r>
      <w:r>
        <w:rPr>
          <w:rFonts w:ascii="Times New Roman" w:hAnsi="Times New Roman"/>
        </w:rPr>
        <w:t>i) de la directive Eurovignette</w:t>
      </w:r>
      <w:r>
        <w:rPr>
          <w:rStyle w:val="FootnoteReference"/>
          <w:rFonts w:ascii="Times New Roman" w:hAnsi="Times New Roman" w:cs="Times New Roman"/>
        </w:rPr>
        <w:footnoteReference w:id="29"/>
      </w:r>
      <w:r>
        <w:rPr>
          <w:rFonts w:ascii="Times New Roman" w:hAnsi="Times New Roman"/>
        </w:rPr>
        <w:t xml:space="preserve"> afin de promouvoir une tarification plus intelligente des infrastructures routières, et ii) de la directive sur le transport combiné</w:t>
      </w:r>
      <w:r>
        <w:rPr>
          <w:rStyle w:val="FootnoteReference"/>
          <w:rFonts w:ascii="Times New Roman" w:hAnsi="Times New Roman" w:cs="Times New Roman"/>
        </w:rPr>
        <w:footnoteReference w:id="30"/>
      </w:r>
      <w:r>
        <w:rPr>
          <w:rFonts w:ascii="Times New Roman" w:hAnsi="Times New Roman"/>
        </w:rPr>
        <w:t xml:space="preserve"> afin de promouvoir l’utilisation combinée de différents modes (par exemple, les camions et les trains) pour le transport de marchandises.</w:t>
      </w:r>
    </w:p>
    <w:p w14:paraId="4090034D" w14:textId="77777777" w:rsidR="006C22B7" w:rsidRDefault="000B795E">
      <w:pPr>
        <w:pStyle w:val="Heading2"/>
        <w:spacing w:after="120"/>
      </w:pPr>
      <w:r>
        <w:t>Finance durable</w:t>
      </w:r>
    </w:p>
    <w:p w14:paraId="6FDB8932" w14:textId="786A73EA" w:rsidR="006C22B7" w:rsidRDefault="000B795E">
      <w:pPr>
        <w:spacing w:line="276" w:lineRule="auto"/>
        <w:jc w:val="both"/>
        <w:rPr>
          <w:rFonts w:ascii="Times New Roman" w:eastAsia="Times New Roman" w:hAnsi="Times New Roman" w:cs="Times New Roman"/>
          <w:sz w:val="24"/>
          <w:szCs w:val="24"/>
        </w:rPr>
      </w:pPr>
      <w:r>
        <w:rPr>
          <w:rFonts w:ascii="Times New Roman" w:hAnsi="Times New Roman"/>
        </w:rPr>
        <w:t>Il est nécessaire de changer de modèles d’investissement afin d’atteindre les objectifs climatiques européens. Dans le cadre de l’environnement législatif, l’Union européenne procède à l’alignement de son cadre de marchés financiers et de marchés des capitaux sur les défis climatiques. En mars </w:t>
      </w:r>
      <w:r w:rsidRPr="00C75E40">
        <w:rPr>
          <w:rFonts w:ascii="Times New Roman" w:hAnsi="Times New Roman"/>
        </w:rPr>
        <w:t>2018</w:t>
      </w:r>
      <w:r>
        <w:rPr>
          <w:rFonts w:ascii="Times New Roman" w:hAnsi="Times New Roman"/>
        </w:rPr>
        <w:t>, la Commission a proposé un plan d’action global afin d’intégrer la durabilité dans les marchés des capitaux</w:t>
      </w:r>
      <w:r>
        <w:rPr>
          <w:rStyle w:val="FootnoteReference"/>
          <w:rFonts w:ascii="Times New Roman" w:eastAsia="Times New Roman" w:hAnsi="Times New Roman" w:cs="Times New Roman"/>
        </w:rPr>
        <w:footnoteReference w:id="31"/>
      </w:r>
      <w:r>
        <w:rPr>
          <w:rFonts w:ascii="Times New Roman" w:hAnsi="Times New Roman"/>
        </w:rPr>
        <w:t xml:space="preserve"> avec trois objectifs principaux: réorienter les flux de capitaux vers des investissements durables, gérer les risques financiers induits par le changement climatique, la dégradation de l’environnement et les problématiques sociales, et favoriser la transparence et une vision de long terme dans les activités économiques et financières. </w:t>
      </w:r>
    </w:p>
    <w:p w14:paraId="581B9D23" w14:textId="048F9772" w:rsidR="006C22B7" w:rsidRDefault="000B795E">
      <w:pPr>
        <w:pStyle w:val="NormalWeb"/>
        <w:spacing w:line="276" w:lineRule="auto"/>
        <w:jc w:val="both"/>
      </w:pPr>
      <w:r>
        <w:t>En mai </w:t>
      </w:r>
      <w:r w:rsidRPr="00C75E40">
        <w:t>2018</w:t>
      </w:r>
      <w:r>
        <w:t>, la Commission européenne a proposé un premier train de mesures législatives</w:t>
      </w:r>
      <w:r>
        <w:rPr>
          <w:rStyle w:val="FootnoteReference"/>
        </w:rPr>
        <w:footnoteReference w:id="32"/>
      </w:r>
      <w:r>
        <w:t xml:space="preserve"> afin de mettre en œuvre le plan d’action. Les colégislateurs se sont mis d’accord sur le règlement relatif à la publication d’informations relatives aux investissements durables et aux risques en matière de durabilité ainsi que sur le règlement sur les indices de référence correspondant à une faible intensité de carbone et les indices de référence correspondant à un bilan carbone positif. La Commission a émis des lignes directrices sur la déclaration par les entreprises d’informations relatives au climat au titre de la directive sur l’information non financière</w:t>
      </w:r>
      <w:r>
        <w:rPr>
          <w:rStyle w:val="FootnoteReference"/>
        </w:rPr>
        <w:footnoteReference w:id="33"/>
      </w:r>
      <w:r>
        <w:t>. Des négociations sont en cours concernant la proposition de règlement sur l’établissement d’un cadre pour favoriser les investissements durables (au moyen d’une «taxonomie»). Les travaux préparatoires et non législatifs connaissent également des avancées en ce qui concerne d’autres points du plan d’action.</w:t>
      </w:r>
    </w:p>
    <w:p w14:paraId="56EFB2D2" w14:textId="4B1035DA" w:rsidR="006C22B7" w:rsidRDefault="00E04ACD">
      <w:pPr>
        <w:pStyle w:val="Heading1"/>
        <w:spacing w:after="240"/>
        <w:ind w:left="714" w:hanging="357"/>
        <w:jc w:val="both"/>
      </w:pPr>
      <w:r>
        <w:t>FINANCEMENT DE L’ACTION POUR LE CLIMAT</w:t>
      </w:r>
    </w:p>
    <w:p w14:paraId="44AC1168" w14:textId="77777777" w:rsidR="006C22B7" w:rsidRDefault="001848EE">
      <w:pPr>
        <w:pStyle w:val="Heading2"/>
        <w:spacing w:after="120"/>
      </w:pPr>
      <w:r>
        <w:t xml:space="preserve">Intégration des politiques relatives au climat dans le budget de l’Union </w:t>
      </w:r>
    </w:p>
    <w:p w14:paraId="1824AAEF" w14:textId="243A126C" w:rsidR="006C22B7" w:rsidRDefault="001848EE">
      <w:pPr>
        <w:jc w:val="both"/>
        <w:rPr>
          <w:rFonts w:ascii="Times New Roman" w:hAnsi="Times New Roman" w:cs="Times New Roman"/>
          <w:sz w:val="24"/>
          <w:szCs w:val="24"/>
        </w:rPr>
      </w:pPr>
      <w:r>
        <w:rPr>
          <w:rFonts w:ascii="Times New Roman" w:hAnsi="Times New Roman"/>
        </w:rPr>
        <w:t xml:space="preserve">L’Union a décidé de consacrer en moyenne au moins </w:t>
      </w:r>
      <w:r w:rsidRPr="00C75E40">
        <w:rPr>
          <w:rFonts w:ascii="Times New Roman" w:hAnsi="Times New Roman"/>
        </w:rPr>
        <w:t>20</w:t>
      </w:r>
      <w:r>
        <w:rPr>
          <w:rFonts w:ascii="Times New Roman" w:hAnsi="Times New Roman"/>
        </w:rPr>
        <w:t xml:space="preserve"> % de son budget à des dépenses liées au climat pendant la période </w:t>
      </w:r>
      <w:r w:rsidRPr="00C75E40">
        <w:rPr>
          <w:rFonts w:ascii="Times New Roman" w:hAnsi="Times New Roman"/>
        </w:rPr>
        <w:t>2014</w:t>
      </w:r>
      <w:r>
        <w:rPr>
          <w:rFonts w:ascii="Times New Roman" w:hAnsi="Times New Roman"/>
        </w:rPr>
        <w:t>-</w:t>
      </w:r>
      <w:r w:rsidRPr="00C75E40">
        <w:rPr>
          <w:rFonts w:ascii="Times New Roman" w:hAnsi="Times New Roman"/>
        </w:rPr>
        <w:t>2020</w:t>
      </w:r>
      <w:r>
        <w:rPr>
          <w:rFonts w:ascii="Times New Roman" w:hAnsi="Times New Roman"/>
        </w:rPr>
        <w:t xml:space="preserve">. Selon les dernières données disponibles, ces dépenses ont représenté </w:t>
      </w:r>
      <w:r w:rsidRPr="00C75E40">
        <w:rPr>
          <w:rFonts w:ascii="Times New Roman" w:hAnsi="Times New Roman"/>
        </w:rPr>
        <w:t>20</w:t>
      </w:r>
      <w:r>
        <w:rPr>
          <w:rFonts w:ascii="Times New Roman" w:hAnsi="Times New Roman"/>
        </w:rPr>
        <w:t>,</w:t>
      </w:r>
      <w:r w:rsidRPr="00C75E40">
        <w:rPr>
          <w:rFonts w:ascii="Times New Roman" w:hAnsi="Times New Roman"/>
        </w:rPr>
        <w:t>7</w:t>
      </w:r>
      <w:r>
        <w:rPr>
          <w:rFonts w:ascii="Times New Roman" w:hAnsi="Times New Roman"/>
        </w:rPr>
        <w:t> % du budget en </w:t>
      </w:r>
      <w:r w:rsidRPr="00C75E40">
        <w:rPr>
          <w:rFonts w:ascii="Times New Roman" w:hAnsi="Times New Roman"/>
        </w:rPr>
        <w:t>2018</w:t>
      </w:r>
      <w:r>
        <w:rPr>
          <w:rFonts w:ascii="Times New Roman" w:hAnsi="Times New Roman" w:cs="Times New Roman"/>
          <w:vertAlign w:val="superscript"/>
        </w:rPr>
        <w:footnoteReference w:id="34"/>
      </w:r>
      <w:r>
        <w:rPr>
          <w:rFonts w:ascii="Times New Roman" w:hAnsi="Times New Roman"/>
        </w:rPr>
        <w:t xml:space="preserve">. En moyenne, dans le budget, ces dépenses atteindraient </w:t>
      </w:r>
      <w:r w:rsidRPr="00C75E40">
        <w:rPr>
          <w:rFonts w:ascii="Times New Roman" w:hAnsi="Times New Roman"/>
        </w:rPr>
        <w:t>209</w:t>
      </w:r>
      <w:r>
        <w:rPr>
          <w:rFonts w:ascii="Times New Roman" w:hAnsi="Times New Roman"/>
        </w:rPr>
        <w:t xml:space="preserve"> milliards d’EUR (soit </w:t>
      </w:r>
      <w:r w:rsidRPr="00C75E40">
        <w:rPr>
          <w:rFonts w:ascii="Times New Roman" w:hAnsi="Times New Roman"/>
        </w:rPr>
        <w:t>19</w:t>
      </w:r>
      <w:r>
        <w:rPr>
          <w:rFonts w:ascii="Times New Roman" w:hAnsi="Times New Roman"/>
        </w:rPr>
        <w:t>,</w:t>
      </w:r>
      <w:r w:rsidRPr="00C75E40">
        <w:rPr>
          <w:rFonts w:ascii="Times New Roman" w:hAnsi="Times New Roman"/>
        </w:rPr>
        <w:t>7</w:t>
      </w:r>
      <w:r>
        <w:rPr>
          <w:rFonts w:ascii="Times New Roman" w:hAnsi="Times New Roman"/>
        </w:rPr>
        <w:t xml:space="preserve"> % du budget) au titre de l’actuel cadre financier pluriannuel (CFP). </w:t>
      </w:r>
    </w:p>
    <w:p w14:paraId="51BE58BB" w14:textId="0055EE4A" w:rsidR="006C22B7" w:rsidRDefault="001848EE">
      <w:pPr>
        <w:jc w:val="both"/>
        <w:rPr>
          <w:rFonts w:ascii="Times New Roman" w:hAnsi="Times New Roman" w:cs="Times New Roman"/>
          <w:sz w:val="24"/>
          <w:szCs w:val="24"/>
          <w:vertAlign w:val="superscript"/>
        </w:rPr>
      </w:pPr>
      <w:r>
        <w:rPr>
          <w:rFonts w:ascii="Times New Roman" w:hAnsi="Times New Roman"/>
        </w:rPr>
        <w:t xml:space="preserve">S’appuyant sur ces résultats, la Commission a proposé le </w:t>
      </w:r>
      <w:r w:rsidRPr="00C75E40">
        <w:rPr>
          <w:rFonts w:ascii="Times New Roman" w:hAnsi="Times New Roman"/>
        </w:rPr>
        <w:t>2</w:t>
      </w:r>
      <w:r>
        <w:rPr>
          <w:rFonts w:ascii="Times New Roman" w:hAnsi="Times New Roman"/>
        </w:rPr>
        <w:t> mai </w:t>
      </w:r>
      <w:r w:rsidRPr="00C75E40">
        <w:rPr>
          <w:rFonts w:ascii="Times New Roman" w:hAnsi="Times New Roman"/>
        </w:rPr>
        <w:t>2018</w:t>
      </w:r>
      <w:r>
        <w:rPr>
          <w:rFonts w:ascii="Times New Roman" w:hAnsi="Times New Roman"/>
        </w:rPr>
        <w:t xml:space="preserve"> un objectif plus ambitieux de </w:t>
      </w:r>
      <w:r w:rsidRPr="00C75E40">
        <w:rPr>
          <w:rFonts w:ascii="Times New Roman" w:hAnsi="Times New Roman"/>
        </w:rPr>
        <w:t>25</w:t>
      </w:r>
      <w:r>
        <w:rPr>
          <w:rFonts w:ascii="Times New Roman" w:hAnsi="Times New Roman"/>
        </w:rPr>
        <w:t> % de dépenses contribuant à la réalisation des objectifs en matière de climat dans le cadre du prochain CFP (</w:t>
      </w:r>
      <w:r w:rsidRPr="00C75E40">
        <w:rPr>
          <w:rFonts w:ascii="Times New Roman" w:hAnsi="Times New Roman"/>
        </w:rPr>
        <w:t>2021</w:t>
      </w:r>
      <w:r>
        <w:rPr>
          <w:rFonts w:ascii="Times New Roman" w:hAnsi="Times New Roman"/>
        </w:rPr>
        <w:t>-</w:t>
      </w:r>
      <w:r w:rsidRPr="00C75E40">
        <w:rPr>
          <w:rFonts w:ascii="Times New Roman" w:hAnsi="Times New Roman"/>
        </w:rPr>
        <w:t>2027</w:t>
      </w:r>
      <w:r>
        <w:rPr>
          <w:rFonts w:ascii="Times New Roman" w:hAnsi="Times New Roman"/>
        </w:rPr>
        <w:t>).</w:t>
      </w:r>
      <w:r>
        <w:rPr>
          <w:rFonts w:ascii="Times New Roman" w:hAnsi="Times New Roman"/>
          <w:vertAlign w:val="superscript"/>
        </w:rPr>
        <w:t xml:space="preserve"> </w:t>
      </w:r>
      <w:r>
        <w:rPr>
          <w:rFonts w:ascii="Times New Roman" w:hAnsi="Times New Roman" w:cs="Times New Roman"/>
          <w:vertAlign w:val="superscript"/>
        </w:rPr>
        <w:footnoteReference w:id="35"/>
      </w:r>
    </w:p>
    <w:p w14:paraId="0E5EE9D5" w14:textId="7F6C1AC9" w:rsidR="006C22B7" w:rsidRDefault="006C22B7">
      <w:pPr>
        <w:jc w:val="both"/>
        <w:rPr>
          <w:rFonts w:ascii="Times New Roman" w:hAnsi="Times New Roman" w:cs="Times New Roman"/>
          <w:sz w:val="24"/>
          <w:szCs w:val="24"/>
          <w:vertAlign w:val="superscript"/>
        </w:rPr>
      </w:pPr>
    </w:p>
    <w:p w14:paraId="6A3D596F" w14:textId="398D9069" w:rsidR="006C22B7" w:rsidRDefault="00C75E40">
      <w:pPr>
        <w:jc w:val="both"/>
        <w:rPr>
          <w:rFonts w:ascii="Times New Roman" w:hAnsi="Times New Roman" w:cs="Times New Roman"/>
          <w:sz w:val="24"/>
          <w:szCs w:val="24"/>
        </w:rPr>
      </w:pPr>
      <w:r w:rsidRPr="00C75E40">
        <w:rPr>
          <w:rFonts w:ascii="Times New Roman" w:hAnsi="Times New Roman" w:cs="Times New Roman"/>
          <w:noProof/>
          <w:sz w:val="24"/>
          <w:szCs w:val="24"/>
          <w:lang w:val="en-GB" w:eastAsia="en-GB"/>
        </w:rPr>
        <w:drawing>
          <wp:inline distT="0" distB="0" distL="0" distR="0" wp14:anchorId="06E9CEFC" wp14:editId="0370B307">
            <wp:extent cx="5731510" cy="4016375"/>
            <wp:effectExtent l="0" t="0" r="2540" b="3175"/>
            <wp:docPr id="32" name="Chart 32">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A342D1" w14:textId="50C4B64D" w:rsidR="006C22B7" w:rsidRDefault="00962211">
      <w:pPr>
        <w:pStyle w:val="Caption"/>
        <w:rPr>
          <w:rFonts w:ascii="Times New Roman" w:hAnsi="Times New Roman"/>
          <w:sz w:val="22"/>
          <w:szCs w:val="24"/>
        </w:rPr>
      </w:pPr>
      <w:r>
        <w:t xml:space="preserve">Graphique </w:t>
      </w:r>
      <w:r w:rsidR="00BD71DF">
        <w:fldChar w:fldCharType="begin"/>
      </w:r>
      <w:r w:rsidR="00BD71DF">
        <w:instrText xml:space="preserve"> SEQ Figure \* AR</w:instrText>
      </w:r>
      <w:r w:rsidR="00BD71DF">
        <w:instrText xml:space="preserve">ABIC </w:instrText>
      </w:r>
      <w:r w:rsidR="00BD71DF">
        <w:fldChar w:fldCharType="separate"/>
      </w:r>
      <w:r w:rsidRPr="00C75E40">
        <w:t>11</w:t>
      </w:r>
      <w:r w:rsidR="00BD71DF">
        <w:fldChar w:fldCharType="end"/>
      </w:r>
      <w:r>
        <w:t xml:space="preserve">: dépenses liées au climat dans le budget de l’UE, </w:t>
      </w:r>
      <w:r w:rsidRPr="00C75E40">
        <w:t>2014</w:t>
      </w:r>
      <w:r>
        <w:t>-</w:t>
      </w:r>
      <w:r w:rsidRPr="00C75E40">
        <w:t>2020</w:t>
      </w:r>
      <w:r>
        <w:t xml:space="preserve"> (en millions d’EUR et en pourcentage du budget de l’Union)</w:t>
      </w:r>
    </w:p>
    <w:p w14:paraId="71A3A355" w14:textId="77777777" w:rsidR="006C22B7" w:rsidRDefault="006C22B7">
      <w:pPr>
        <w:pStyle w:val="Heading2"/>
      </w:pPr>
    </w:p>
    <w:p w14:paraId="2DBDE147" w14:textId="77777777" w:rsidR="006C22B7" w:rsidRDefault="004F5428">
      <w:pPr>
        <w:pStyle w:val="Heading2"/>
        <w:spacing w:after="120"/>
      </w:pPr>
      <w:r>
        <w:t>Utilisation des recettes provenant de la mise aux enchères des quotas du SEQE-UE</w:t>
      </w:r>
    </w:p>
    <w:p w14:paraId="68781BC2" w14:textId="3C586CB3" w:rsidR="006C22B7" w:rsidRDefault="004F5428">
      <w:pPr>
        <w:jc w:val="both"/>
        <w:rPr>
          <w:rFonts w:ascii="Times New Roman" w:hAnsi="Times New Roman" w:cs="Times New Roman"/>
          <w:sz w:val="24"/>
        </w:rPr>
      </w:pPr>
      <w:r>
        <w:rPr>
          <w:rFonts w:ascii="Times New Roman" w:hAnsi="Times New Roman"/>
        </w:rPr>
        <w:t>En </w:t>
      </w:r>
      <w:r w:rsidRPr="00C75E40">
        <w:rPr>
          <w:rFonts w:ascii="Times New Roman" w:hAnsi="Times New Roman"/>
        </w:rPr>
        <w:t>2018</w:t>
      </w:r>
      <w:r>
        <w:rPr>
          <w:rFonts w:ascii="Times New Roman" w:hAnsi="Times New Roman"/>
        </w:rPr>
        <w:t xml:space="preserve">, les États membres ont retiré </w:t>
      </w:r>
      <w:r w:rsidRPr="00C75E40">
        <w:rPr>
          <w:rFonts w:ascii="Times New Roman" w:hAnsi="Times New Roman"/>
        </w:rPr>
        <w:t>13</w:t>
      </w:r>
      <w:r>
        <w:rPr>
          <w:rFonts w:ascii="Times New Roman" w:hAnsi="Times New Roman"/>
        </w:rPr>
        <w:t>,</w:t>
      </w:r>
      <w:r w:rsidRPr="00C75E40">
        <w:rPr>
          <w:rFonts w:ascii="Times New Roman" w:hAnsi="Times New Roman"/>
        </w:rPr>
        <w:t>6</w:t>
      </w:r>
      <w:r>
        <w:rPr>
          <w:rFonts w:ascii="Times New Roman" w:hAnsi="Times New Roman"/>
        </w:rPr>
        <w:t xml:space="preserve"> milliards d’EUR de la mise aux enchères des quotas du SEQE-UE, soit </w:t>
      </w:r>
      <w:r w:rsidRPr="00C75E40">
        <w:rPr>
          <w:rFonts w:ascii="Times New Roman" w:hAnsi="Times New Roman"/>
        </w:rPr>
        <w:t>8</w:t>
      </w:r>
      <w:r>
        <w:rPr>
          <w:rFonts w:ascii="Times New Roman" w:hAnsi="Times New Roman"/>
        </w:rPr>
        <w:t> milliards d’EUR de plus qu’en </w:t>
      </w:r>
      <w:r w:rsidRPr="00C75E40">
        <w:rPr>
          <w:rFonts w:ascii="Times New Roman" w:hAnsi="Times New Roman"/>
        </w:rPr>
        <w:t>2017</w:t>
      </w:r>
      <w:r>
        <w:rPr>
          <w:rFonts w:ascii="Times New Roman" w:hAnsi="Times New Roman"/>
        </w:rPr>
        <w:t xml:space="preserve"> en raison de l’augmentation des prix du carbone. En </w:t>
      </w:r>
      <w:r w:rsidRPr="00C75E40">
        <w:rPr>
          <w:rFonts w:ascii="Times New Roman" w:hAnsi="Times New Roman"/>
        </w:rPr>
        <w:t>2018</w:t>
      </w:r>
      <w:r>
        <w:rPr>
          <w:rFonts w:ascii="Times New Roman" w:hAnsi="Times New Roman"/>
        </w:rPr>
        <w:t xml:space="preserve">, près de </w:t>
      </w:r>
      <w:r w:rsidRPr="00C75E40">
        <w:rPr>
          <w:rFonts w:ascii="Times New Roman" w:hAnsi="Times New Roman"/>
        </w:rPr>
        <w:t>70</w:t>
      </w:r>
      <w:r>
        <w:rPr>
          <w:rFonts w:ascii="Times New Roman" w:hAnsi="Times New Roman"/>
        </w:rPr>
        <w:t xml:space="preserve"> % des recettes ont été utilisés à des fins climatiques et énergétiques ou devaient l’être.</w:t>
      </w:r>
      <w:r w:rsidR="00C75E40">
        <w:rPr>
          <w:rFonts w:ascii="Times New Roman" w:hAnsi="Times New Roman"/>
        </w:rPr>
        <w:t xml:space="preserve"> </w:t>
      </w:r>
      <w:r>
        <w:rPr>
          <w:rFonts w:ascii="Times New Roman" w:hAnsi="Times New Roman"/>
        </w:rPr>
        <w:t xml:space="preserve">Durant la période </w:t>
      </w:r>
      <w:r w:rsidRPr="00C75E40">
        <w:rPr>
          <w:rFonts w:ascii="Times New Roman" w:hAnsi="Times New Roman"/>
        </w:rPr>
        <w:t>2013</w:t>
      </w:r>
      <w:r>
        <w:rPr>
          <w:rFonts w:ascii="Times New Roman" w:hAnsi="Times New Roman"/>
        </w:rPr>
        <w:t>-</w:t>
      </w:r>
      <w:r w:rsidRPr="00C75E40">
        <w:rPr>
          <w:rFonts w:ascii="Times New Roman" w:hAnsi="Times New Roman"/>
        </w:rPr>
        <w:t>2018</w:t>
      </w:r>
      <w:r>
        <w:rPr>
          <w:rFonts w:ascii="Times New Roman" w:hAnsi="Times New Roman"/>
        </w:rPr>
        <w:t xml:space="preserve">, près de </w:t>
      </w:r>
      <w:r w:rsidRPr="00C75E40">
        <w:rPr>
          <w:rFonts w:ascii="Times New Roman" w:hAnsi="Times New Roman"/>
        </w:rPr>
        <w:t>80</w:t>
      </w:r>
      <w:r>
        <w:rPr>
          <w:rFonts w:ascii="Times New Roman" w:hAnsi="Times New Roman"/>
        </w:rPr>
        <w:t xml:space="preserve"> % des recettes ont été utilisés ou devaient l’être à des fins climatiques et énergétiques. La plupart des recettes sont affectées à des objectifs nationaux et européens, une plus petite part étant utilisée à des fins climatiques et énergétiques internationales. Le graphique </w:t>
      </w:r>
      <w:r w:rsidRPr="00C75E40">
        <w:rPr>
          <w:rFonts w:ascii="Times New Roman" w:hAnsi="Times New Roman"/>
        </w:rPr>
        <w:t>12</w:t>
      </w:r>
      <w:r>
        <w:rPr>
          <w:rFonts w:ascii="Times New Roman" w:hAnsi="Times New Roman"/>
        </w:rPr>
        <w:t xml:space="preserve"> illustre le total des recettes du SEQE-UE et leur utilisation à des fins climatiques et énergétiques. </w:t>
      </w:r>
    </w:p>
    <w:p w14:paraId="25FF0553" w14:textId="4B97C0BE" w:rsidR="006C22B7" w:rsidRDefault="006C22B7">
      <w:pPr>
        <w:jc w:val="both"/>
        <w:rPr>
          <w:rFonts w:ascii="Times New Roman" w:hAnsi="Times New Roman" w:cs="Times New Roman"/>
          <w:sz w:val="24"/>
        </w:rPr>
      </w:pPr>
    </w:p>
    <w:p w14:paraId="766C9790" w14:textId="5B664827" w:rsidR="006C22B7" w:rsidRDefault="00D26CF5">
      <w:pPr>
        <w:pStyle w:val="Caption"/>
      </w:pPr>
      <w:r w:rsidRPr="00D26CF5">
        <w:rPr>
          <w:noProof/>
          <w:lang w:val="en-GB" w:eastAsia="en-GB"/>
        </w:rPr>
        <w:drawing>
          <wp:inline distT="0" distB="0" distL="0" distR="0" wp14:anchorId="7DEAE47E" wp14:editId="35C2782A">
            <wp:extent cx="5731510" cy="3140075"/>
            <wp:effectExtent l="0" t="0" r="2540" b="3175"/>
            <wp:docPr id="33" name="Chart 33">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2AE45F" w14:textId="77D1F6F3" w:rsidR="006C22B7" w:rsidRDefault="00791B41">
      <w:pPr>
        <w:pStyle w:val="Caption"/>
        <w:rPr>
          <w:rFonts w:ascii="Times New Roman" w:hAnsi="Times New Roman"/>
          <w:sz w:val="24"/>
        </w:rPr>
      </w:pPr>
      <w:r>
        <w:t xml:space="preserve">Graphique </w:t>
      </w:r>
      <w:r w:rsidR="00BD71DF">
        <w:fldChar w:fldCharType="begin"/>
      </w:r>
      <w:r w:rsidR="00BD71DF">
        <w:instrText xml:space="preserve"> SEQ Figure \* ARABIC </w:instrText>
      </w:r>
      <w:r w:rsidR="00BD71DF">
        <w:fldChar w:fldCharType="separate"/>
      </w:r>
      <w:r w:rsidRPr="00C75E40">
        <w:t>12</w:t>
      </w:r>
      <w:r w:rsidR="00BD71DF">
        <w:fldChar w:fldCharType="end"/>
      </w:r>
      <w:r>
        <w:t xml:space="preserve">: utilisation des recettes provenant de la mise aux enchères des quotas du SEQE, </w:t>
      </w:r>
      <w:r w:rsidRPr="00C75E40">
        <w:t>2013</w:t>
      </w:r>
      <w:r>
        <w:t>-</w:t>
      </w:r>
      <w:r w:rsidRPr="00C75E40">
        <w:t>2018</w:t>
      </w:r>
      <w:r>
        <w:t xml:space="preserve"> (en millions d’EUR)</w:t>
      </w:r>
    </w:p>
    <w:p w14:paraId="0F0FC51F" w14:textId="19E02B75" w:rsidR="006C22B7" w:rsidRDefault="004F5428">
      <w:pPr>
        <w:jc w:val="both"/>
        <w:rPr>
          <w:rFonts w:ascii="Times New Roman" w:hAnsi="Times New Roman" w:cs="Times New Roman"/>
          <w:sz w:val="24"/>
        </w:rPr>
      </w:pPr>
      <w:r>
        <w:rPr>
          <w:rFonts w:ascii="Times New Roman" w:hAnsi="Times New Roman"/>
        </w:rPr>
        <w:t>Sur les recettes utilisées au niveau national, les plus gros montants ont été consacrés aux énergies renouvelables, à l’efficacité énergétique et aux transports durables. Le graphique </w:t>
      </w:r>
      <w:r w:rsidRPr="00C75E40">
        <w:rPr>
          <w:rFonts w:ascii="Times New Roman" w:hAnsi="Times New Roman"/>
        </w:rPr>
        <w:t>13</w:t>
      </w:r>
      <w:r>
        <w:rPr>
          <w:rFonts w:ascii="Times New Roman" w:hAnsi="Times New Roman"/>
        </w:rPr>
        <w:t xml:space="preserve"> illustre l’utilisation à l’échelle nationale des recettes provenant de la mise aux enchères. </w:t>
      </w:r>
    </w:p>
    <w:p w14:paraId="592BC451" w14:textId="5BD78257" w:rsidR="006C22B7" w:rsidRDefault="00D26CF5">
      <w:pPr>
        <w:jc w:val="both"/>
        <w:rPr>
          <w:rFonts w:ascii="Times New Roman" w:hAnsi="Times New Roman" w:cs="Times New Roman"/>
          <w:sz w:val="24"/>
        </w:rPr>
      </w:pPr>
      <w:r w:rsidRPr="00D26CF5">
        <w:rPr>
          <w:rFonts w:ascii="Times New Roman" w:hAnsi="Times New Roman" w:cs="Times New Roman"/>
          <w:noProof/>
          <w:sz w:val="24"/>
          <w:lang w:val="en-GB" w:eastAsia="en-GB"/>
        </w:rPr>
        <w:drawing>
          <wp:inline distT="0" distB="0" distL="0" distR="0" wp14:anchorId="75B018B9" wp14:editId="5192C658">
            <wp:extent cx="4184073" cy="2732809"/>
            <wp:effectExtent l="0" t="0" r="6985" b="10795"/>
            <wp:docPr id="34" name="Chart 34">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4A492A" w14:textId="65448A94" w:rsidR="006C22B7" w:rsidRDefault="00791B41">
      <w:pPr>
        <w:pStyle w:val="Caption"/>
        <w:rPr>
          <w:rFonts w:ascii="Times New Roman" w:hAnsi="Times New Roman"/>
          <w:sz w:val="24"/>
        </w:rPr>
      </w:pPr>
      <w:r>
        <w:t xml:space="preserve">Graphique </w:t>
      </w:r>
      <w:r w:rsidR="00BD71DF">
        <w:fldChar w:fldCharType="begin"/>
      </w:r>
      <w:r w:rsidR="00BD71DF">
        <w:instrText xml:space="preserve"> SEQ Figure \* ARABIC </w:instrText>
      </w:r>
      <w:r w:rsidR="00BD71DF">
        <w:fldChar w:fldCharType="separate"/>
      </w:r>
      <w:r w:rsidRPr="00C75E40">
        <w:t>13</w:t>
      </w:r>
      <w:r w:rsidR="00BD71DF">
        <w:fldChar w:fldCharType="end"/>
      </w:r>
      <w:r>
        <w:t xml:space="preserve">: utilisation à l’échelle nationale des recettes provenant de la mise aux enchères des quotas du SEQE, </w:t>
      </w:r>
      <w:r w:rsidRPr="00C75E40">
        <w:t>2013</w:t>
      </w:r>
      <w:r>
        <w:t>-</w:t>
      </w:r>
      <w:r w:rsidRPr="00C75E40">
        <w:t>2018</w:t>
      </w:r>
      <w:r>
        <w:t xml:space="preserve"> (en millions d’EUR)</w:t>
      </w:r>
    </w:p>
    <w:p w14:paraId="5741879A" w14:textId="77777777" w:rsidR="006C22B7" w:rsidRDefault="006C22B7">
      <w:pPr>
        <w:spacing w:after="120"/>
        <w:ind w:right="57"/>
        <w:jc w:val="both"/>
        <w:rPr>
          <w:b/>
          <w:color w:val="000000" w:themeColor="text1"/>
          <w:szCs w:val="24"/>
        </w:rPr>
      </w:pPr>
    </w:p>
    <w:p w14:paraId="07FC0261" w14:textId="06B422C7" w:rsidR="006C22B7" w:rsidRDefault="000B6609">
      <w:pPr>
        <w:pStyle w:val="Heading2"/>
        <w:spacing w:after="120"/>
      </w:pPr>
      <w:r>
        <w:t xml:space="preserve">Réserve pour les nouveaux entrants (NER) </w:t>
      </w:r>
      <w:r w:rsidRPr="00C75E40">
        <w:t>300</w:t>
      </w:r>
    </w:p>
    <w:p w14:paraId="69F3F823" w14:textId="0C05C1A7" w:rsidR="006C22B7" w:rsidRDefault="000B6609">
      <w:pPr>
        <w:spacing w:after="120" w:line="276" w:lineRule="auto"/>
        <w:ind w:right="57"/>
        <w:jc w:val="both"/>
        <w:rPr>
          <w:rFonts w:ascii="Times New Roman" w:hAnsi="Times New Roman" w:cs="Times New Roman"/>
          <w:color w:val="000000" w:themeColor="text1"/>
          <w:sz w:val="24"/>
          <w:szCs w:val="24"/>
        </w:rPr>
      </w:pPr>
      <w:r>
        <w:rPr>
          <w:rFonts w:ascii="Times New Roman" w:hAnsi="Times New Roman"/>
        </w:rPr>
        <w:t>NER </w:t>
      </w:r>
      <w:r w:rsidRPr="00C75E40">
        <w:rPr>
          <w:rFonts w:ascii="Times New Roman" w:hAnsi="Times New Roman"/>
        </w:rPr>
        <w:t>300</w:t>
      </w:r>
      <w:r>
        <w:rPr>
          <w:rFonts w:ascii="Times New Roman" w:hAnsi="Times New Roman"/>
        </w:rPr>
        <w:t xml:space="preserve"> est, au niveau mondial, l’un des plus importants programmes de financement de projets de démonstration innovants dans le domaine des énergies à faibles émissions de carbone. Il est financé par la monétisation de </w:t>
      </w:r>
      <w:r w:rsidRPr="00C75E40">
        <w:rPr>
          <w:rFonts w:ascii="Times New Roman" w:hAnsi="Times New Roman"/>
        </w:rPr>
        <w:t>300</w:t>
      </w:r>
      <w:r>
        <w:rPr>
          <w:rFonts w:ascii="Times New Roman" w:hAnsi="Times New Roman"/>
        </w:rPr>
        <w:t xml:space="preserve"> millions de quotas d’émission du SEQE-UE. </w:t>
      </w:r>
    </w:p>
    <w:p w14:paraId="13AEFA8A" w14:textId="58E3F50E" w:rsidR="006C22B7" w:rsidRDefault="00712EF5">
      <w:pPr>
        <w:spacing w:after="120" w:line="276" w:lineRule="auto"/>
        <w:ind w:right="57"/>
        <w:jc w:val="both"/>
        <w:rPr>
          <w:rFonts w:ascii="Times New Roman" w:hAnsi="Times New Roman" w:cs="Times New Roman"/>
          <w:color w:val="000000" w:themeColor="text1"/>
          <w:sz w:val="24"/>
          <w:szCs w:val="24"/>
        </w:rPr>
      </w:pPr>
      <w:r>
        <w:rPr>
          <w:rFonts w:ascii="Times New Roman" w:hAnsi="Times New Roman"/>
        </w:rPr>
        <w:t xml:space="preserve">À la suite de deux appels à propositions, </w:t>
      </w:r>
      <w:r w:rsidRPr="00C75E40">
        <w:rPr>
          <w:rFonts w:ascii="Times New Roman" w:hAnsi="Times New Roman"/>
        </w:rPr>
        <w:t>38</w:t>
      </w:r>
      <w:r>
        <w:rPr>
          <w:rFonts w:ascii="Times New Roman" w:hAnsi="Times New Roman"/>
        </w:rPr>
        <w:t xml:space="preserve"> projets d’énergies renouvelables ainsi qu’un projet de captage et de stockage du carbone dans </w:t>
      </w:r>
      <w:r w:rsidRPr="00C75E40">
        <w:rPr>
          <w:rFonts w:ascii="Times New Roman" w:hAnsi="Times New Roman"/>
        </w:rPr>
        <w:t>20</w:t>
      </w:r>
      <w:r>
        <w:rPr>
          <w:rFonts w:ascii="Times New Roman" w:hAnsi="Times New Roman"/>
        </w:rPr>
        <w:t xml:space="preserve"> États membres de l’Union se sont vu octroyer des fonds pour un montant de </w:t>
      </w:r>
      <w:r w:rsidRPr="00C75E40">
        <w:rPr>
          <w:rFonts w:ascii="Times New Roman" w:hAnsi="Times New Roman"/>
        </w:rPr>
        <w:t>2</w:t>
      </w:r>
      <w:r>
        <w:rPr>
          <w:rFonts w:ascii="Times New Roman" w:hAnsi="Times New Roman"/>
        </w:rPr>
        <w:t>,</w:t>
      </w:r>
      <w:r w:rsidRPr="00C75E40">
        <w:rPr>
          <w:rFonts w:ascii="Times New Roman" w:hAnsi="Times New Roman"/>
        </w:rPr>
        <w:t>1</w:t>
      </w:r>
      <w:r>
        <w:rPr>
          <w:rFonts w:ascii="Times New Roman" w:hAnsi="Times New Roman"/>
        </w:rPr>
        <w:t xml:space="preserve"> milliards d’EUR. Sept projets sont opérationnels et cinq autres devraient être lancés d’ici la fin de </w:t>
      </w:r>
      <w:r w:rsidRPr="00C75E40">
        <w:rPr>
          <w:rFonts w:ascii="Times New Roman" w:hAnsi="Times New Roman"/>
        </w:rPr>
        <w:t>2019</w:t>
      </w:r>
      <w:r>
        <w:rPr>
          <w:rFonts w:ascii="Times New Roman" w:hAnsi="Times New Roman"/>
        </w:rPr>
        <w:t xml:space="preserve">. En outre, quatre projets voient leur préparation progresser et seront lancés d’ici le </w:t>
      </w:r>
      <w:r w:rsidRPr="00C75E40">
        <w:rPr>
          <w:rFonts w:ascii="Times New Roman" w:hAnsi="Times New Roman"/>
        </w:rPr>
        <w:t>30</w:t>
      </w:r>
      <w:r>
        <w:rPr>
          <w:rFonts w:ascii="Times New Roman" w:hAnsi="Times New Roman"/>
        </w:rPr>
        <w:t xml:space="preserve"> juin </w:t>
      </w:r>
      <w:r w:rsidRPr="00C75E40">
        <w:rPr>
          <w:rFonts w:ascii="Times New Roman" w:hAnsi="Times New Roman"/>
        </w:rPr>
        <w:t>2021</w:t>
      </w:r>
      <w:r>
        <w:rPr>
          <w:rFonts w:ascii="Times New Roman" w:hAnsi="Times New Roman"/>
        </w:rPr>
        <w:t xml:space="preserve"> au plus tard. </w:t>
      </w:r>
    </w:p>
    <w:p w14:paraId="3ACE4CA3" w14:textId="7B148B89" w:rsidR="006C22B7" w:rsidRDefault="00712EF5">
      <w:pPr>
        <w:spacing w:after="120" w:line="276" w:lineRule="auto"/>
        <w:ind w:right="57"/>
        <w:jc w:val="both"/>
        <w:rPr>
          <w:rFonts w:ascii="Times New Roman" w:hAnsi="Times New Roman" w:cs="Times New Roman"/>
          <w:color w:val="000000" w:themeColor="text1"/>
          <w:sz w:val="24"/>
          <w:szCs w:val="24"/>
        </w:rPr>
      </w:pPr>
      <w:r>
        <w:rPr>
          <w:rFonts w:ascii="Times New Roman" w:hAnsi="Times New Roman"/>
        </w:rPr>
        <w:t xml:space="preserve">Compte tenu du contexte économique et politique complexe depuis l’élaboration du programme NER </w:t>
      </w:r>
      <w:r w:rsidRPr="00C75E40">
        <w:rPr>
          <w:rFonts w:ascii="Times New Roman" w:hAnsi="Times New Roman"/>
        </w:rPr>
        <w:t>300</w:t>
      </w:r>
      <w:r>
        <w:rPr>
          <w:rFonts w:ascii="Times New Roman" w:hAnsi="Times New Roman"/>
        </w:rPr>
        <w:t xml:space="preserve">, </w:t>
      </w:r>
      <w:r w:rsidRPr="00C75E40">
        <w:rPr>
          <w:rFonts w:ascii="Times New Roman" w:hAnsi="Times New Roman"/>
        </w:rPr>
        <w:t>19</w:t>
      </w:r>
      <w:r>
        <w:rPr>
          <w:rFonts w:ascii="Times New Roman" w:hAnsi="Times New Roman"/>
        </w:rPr>
        <w:t xml:space="preserve"> projets qui avaient été sélectionnés pour obtenir un financement n’ont pas recueilli suffisamment d’aides financières supplémentaires et ont été retirés avant juillet </w:t>
      </w:r>
      <w:r w:rsidRPr="00C75E40">
        <w:rPr>
          <w:rFonts w:ascii="Times New Roman" w:hAnsi="Times New Roman"/>
        </w:rPr>
        <w:t>2019</w:t>
      </w:r>
      <w:r>
        <w:rPr>
          <w:rFonts w:ascii="Times New Roman" w:hAnsi="Times New Roman"/>
        </w:rPr>
        <w:t>.</w:t>
      </w:r>
      <w:r>
        <w:t xml:space="preserve"> </w:t>
      </w:r>
      <w:r>
        <w:rPr>
          <w:rFonts w:ascii="Times New Roman" w:hAnsi="Times New Roman"/>
        </w:rPr>
        <w:t xml:space="preserve">Quatre autres en sont à divers stades de développement. Les retraits des deux appels à propositions ont libéré un total de </w:t>
      </w:r>
      <w:r w:rsidRPr="00C75E40">
        <w:rPr>
          <w:rFonts w:ascii="Times New Roman" w:hAnsi="Times New Roman"/>
        </w:rPr>
        <w:t>1</w:t>
      </w:r>
      <w:r>
        <w:rPr>
          <w:rFonts w:ascii="Times New Roman" w:hAnsi="Times New Roman"/>
        </w:rPr>
        <w:t xml:space="preserve"> </w:t>
      </w:r>
      <w:r w:rsidRPr="00C75E40">
        <w:rPr>
          <w:rFonts w:ascii="Times New Roman" w:hAnsi="Times New Roman"/>
        </w:rPr>
        <w:t>358</w:t>
      </w:r>
      <w:r>
        <w:rPr>
          <w:rFonts w:ascii="Times New Roman" w:hAnsi="Times New Roman"/>
        </w:rPr>
        <w:t xml:space="preserve"> millions d’euros à réinvestir dans les instruments financiers existants (</w:t>
      </w:r>
      <w:r w:rsidRPr="00C75E40">
        <w:rPr>
          <w:rFonts w:ascii="Times New Roman" w:hAnsi="Times New Roman"/>
        </w:rPr>
        <w:t>623</w:t>
      </w:r>
      <w:r>
        <w:rPr>
          <w:rFonts w:ascii="Times New Roman" w:hAnsi="Times New Roman"/>
        </w:rPr>
        <w:t xml:space="preserve"> millions d’euros tirés des projets retirés du premier appel à propositions) et dans le Fonds pour l’innovation (</w:t>
      </w:r>
      <w:r w:rsidRPr="00C75E40">
        <w:rPr>
          <w:rFonts w:ascii="Times New Roman" w:hAnsi="Times New Roman"/>
        </w:rPr>
        <w:t>735</w:t>
      </w:r>
      <w:r>
        <w:rPr>
          <w:rFonts w:ascii="Times New Roman" w:hAnsi="Times New Roman"/>
        </w:rPr>
        <w:t>,</w:t>
      </w:r>
      <w:r w:rsidRPr="00C75E40">
        <w:rPr>
          <w:rFonts w:ascii="Times New Roman" w:hAnsi="Times New Roman"/>
        </w:rPr>
        <w:t>5</w:t>
      </w:r>
      <w:r>
        <w:rPr>
          <w:rFonts w:ascii="Times New Roman" w:hAnsi="Times New Roman"/>
        </w:rPr>
        <w:t xml:space="preserve"> millions d’euros tirés des projets retirés du deuxième appel) (voir encadré). </w:t>
      </w:r>
    </w:p>
    <w:p w14:paraId="175ECE27" w14:textId="77777777" w:rsidR="006C22B7" w:rsidRDefault="00712EF5">
      <w:pPr>
        <w:spacing w:after="120" w:line="276" w:lineRule="auto"/>
        <w:ind w:right="57"/>
        <w:jc w:val="both"/>
        <w:rPr>
          <w:rFonts w:ascii="Times New Roman" w:hAnsi="Times New Roman" w:cs="Times New Roman"/>
          <w:color w:val="000000" w:themeColor="text1"/>
          <w:sz w:val="24"/>
          <w:szCs w:val="24"/>
        </w:rPr>
      </w:pPr>
      <w:r>
        <w:rPr>
          <w:rFonts w:ascii="Times New Roman" w:hAnsi="Times New Roman"/>
          <w:noProof/>
          <w:lang w:val="en-GB" w:eastAsia="en-GB"/>
        </w:rPr>
        <mc:AlternateContent>
          <mc:Choice Requires="wps">
            <w:drawing>
              <wp:inline distT="0" distB="0" distL="0" distR="0" wp14:anchorId="29038612" wp14:editId="602780E0">
                <wp:extent cx="5759533" cy="6893626"/>
                <wp:effectExtent l="0" t="0" r="12700" b="21590"/>
                <wp:docPr id="25" name="Text Box 25"/>
                <wp:cNvGraphicFramePr/>
                <a:graphic xmlns:a="http://schemas.openxmlformats.org/drawingml/2006/main">
                  <a:graphicData uri="http://schemas.microsoft.com/office/word/2010/wordprocessingShape">
                    <wps:wsp>
                      <wps:cNvSpPr txBox="1"/>
                      <wps:spPr>
                        <a:xfrm>
                          <a:off x="0" y="0"/>
                          <a:ext cx="5759533" cy="6893626"/>
                        </a:xfrm>
                        <a:prstGeom prst="rect">
                          <a:avLst/>
                        </a:prstGeom>
                        <a:solidFill>
                          <a:schemeClr val="lt1"/>
                        </a:solidFill>
                        <a:ln w="6350">
                          <a:solidFill>
                            <a:prstClr val="black"/>
                          </a:solidFill>
                        </a:ln>
                      </wps:spPr>
                      <wps:txbx>
                        <w:txbxContent>
                          <w:p w14:paraId="301DF83E" w14:textId="77777777" w:rsidR="006C22B7" w:rsidRDefault="00712EF5">
                            <w:pPr>
                              <w:spacing w:after="120" w:line="276" w:lineRule="auto"/>
                              <w:ind w:right="57"/>
                              <w:rPr>
                                <w:rFonts w:ascii="Times New Roman" w:hAnsi="Times New Roman" w:cs="Times New Roman"/>
                                <w:b/>
                                <w:color w:val="000000" w:themeColor="text1"/>
                                <w:sz w:val="24"/>
                                <w:szCs w:val="24"/>
                              </w:rPr>
                            </w:pPr>
                            <w:r>
                              <w:rPr>
                                <w:rFonts w:ascii="Times New Roman" w:hAnsi="Times New Roman"/>
                                <w:b/>
                              </w:rPr>
                              <w:t>Projets de démonstration liés à l’énergie InnovFin</w:t>
                            </w:r>
                          </w:p>
                          <w:p w14:paraId="08C94163" w14:textId="3AE190C4" w:rsidR="006C22B7" w:rsidRDefault="00712EF5">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Les fonds libérés grâce aux projets annulés du premier appel à propositions (623 millions d’euros jusqu’à présent) sont réinvestis dans des projets de démonstration liés à l’énergie InnovFin et dans l’instrument de prêt du mécanisme pour l’interconnexion en Europe, tous deux gérés par la Banque européenne d’investissement. </w:t>
                            </w:r>
                          </w:p>
                          <w:p w14:paraId="2BDE24CB" w14:textId="7A7B799B" w:rsidR="006C22B7" w:rsidRDefault="00712EF5">
                            <w:pPr>
                              <w:spacing w:after="120" w:line="276" w:lineRule="auto"/>
                              <w:ind w:right="57"/>
                              <w:rPr>
                                <w:rFonts w:ascii="Times New Roman" w:hAnsi="Times New Roman" w:cs="Times New Roman"/>
                                <w:color w:val="000000" w:themeColor="text1"/>
                                <w:sz w:val="24"/>
                                <w:szCs w:val="24"/>
                              </w:rPr>
                            </w:pPr>
                            <w:r>
                              <w:rPr>
                                <w:rFonts w:ascii="Times New Roman" w:hAnsi="Times New Roman"/>
                              </w:rPr>
                              <w:t>À l’heure actuelle, trois projets ont été sélectionnés afin de bénéficier des fonds non utilisés de NER 300 dans le cadre des projets de démonstration liés à l’énergie InnovFin, à hauteur d’environ 73 millions d’euros:</w:t>
                            </w:r>
                          </w:p>
                          <w:p w14:paraId="04365192" w14:textId="6DF5174E" w:rsidR="006C22B7" w:rsidRDefault="00712EF5">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Wave Roller: la contribution de NER 300 s’élèvera à 10 millions d’euros.</w:t>
                            </w:r>
                          </w:p>
                          <w:p w14:paraId="32E40F01" w14:textId="6E8C1008" w:rsidR="006C22B7" w:rsidRDefault="00712EF5">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WindFloat: le projet est soutenu par un financement des projets de démonstration liés à l’énergie InnovFin d’un montant de 60 millions provenant des fonds non utilisés de NER 300. WindFloat bénéficie également d’une subvention dans le cadre du programme initial NER 300 d’un montant de près de 30 millions d’euros.</w:t>
                            </w:r>
                          </w:p>
                          <w:p w14:paraId="72205F58" w14:textId="4DACC8E3" w:rsidR="006C22B7" w:rsidRDefault="00712EF5">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Greenway EV Charging Network: le projet s’est vu attribuer un financement de la Banque européenne d’investissement dans le cadre des projets de démonstration liés à l’énergie InnovFin d’un montant de 17 millions d’euros, dont près de trois millions proviennent des fonds non utilisés de NER 300.</w:t>
                            </w:r>
                          </w:p>
                          <w:p w14:paraId="64AFF5C0" w14:textId="77777777" w:rsidR="006C22B7" w:rsidRDefault="006C22B7">
                            <w:pPr>
                              <w:spacing w:after="0" w:line="276" w:lineRule="auto"/>
                              <w:ind w:left="720"/>
                              <w:rPr>
                                <w:rFonts w:ascii="Times New Roman" w:eastAsia="Calibri" w:hAnsi="Times New Roman" w:cs="Times New Roman"/>
                                <w:color w:val="000000" w:themeColor="text1"/>
                                <w:sz w:val="24"/>
                                <w:szCs w:val="24"/>
                              </w:rPr>
                            </w:pPr>
                          </w:p>
                          <w:p w14:paraId="4D73C142" w14:textId="0E4FF720" w:rsidR="006C22B7" w:rsidRDefault="00712EF5">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En outre, quatre projets ont bénéficié d’une aide au développement de projets financés par les fonds non utilisés de NER 300. </w:t>
                            </w:r>
                          </w:p>
                          <w:p w14:paraId="6CC9DA24" w14:textId="77777777" w:rsidR="006C22B7" w:rsidRDefault="00712EF5">
                            <w:r>
                              <w:rPr>
                                <w:noProof/>
                                <w:lang w:val="en-GB" w:eastAsia="en-GB"/>
                              </w:rPr>
                              <w:drawing>
                                <wp:inline distT="0" distB="0" distL="0" distR="0" wp14:anchorId="31A8D7BB" wp14:editId="3568E1E6">
                                  <wp:extent cx="4785995" cy="2737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14:paraId="16C276C4" w14:textId="26A02F6D" w:rsidR="006C22B7" w:rsidRDefault="00712EF5">
                            <w:pPr>
                              <w:rPr>
                                <w:b/>
                                <w:sz w:val="20"/>
                              </w:rPr>
                            </w:pPr>
                            <w:r>
                              <w:rPr>
                                <w:b/>
                                <w:sz w:val="20"/>
                              </w:rPr>
                              <w:t>Le projet Windfloat, Portugal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038612" id="Text Box 25" o:spid="_x0000_s1029" type="#_x0000_t202" style="width:453.5pt;height:5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" fillcolor="white [3201]" strokeweight=".5pt">
                <v:textbox>
                  <w:txbxContent>
                    <w:p w14:paraId="301DF83E" w14:textId="77777777" w:rsidR="006C22B7" w:rsidRDefault="00712EF5">
                      <w:pPr>
                        <w:spacing w:after="120" w:line="276" w:lineRule="auto"/>
                        <w:ind w:right="57"/>
                        <w:rPr>
                          <w:rFonts w:ascii="Times New Roman" w:hAnsi="Times New Roman" w:cs="Times New Roman"/>
                          <w:b/>
                          <w:color w:val="000000" w:themeColor="text1"/>
                          <w:sz w:val="24"/>
                          <w:szCs w:val="24"/>
                        </w:rPr>
                      </w:pPr>
                      <w:r>
                        <w:rPr>
                          <w:rFonts w:ascii="Times New Roman" w:hAnsi="Times New Roman"/>
                          <w:b/>
                        </w:rPr>
                        <w:t>Projets de démonstration liés à l’énergie InnovFin</w:t>
                      </w:r>
                    </w:p>
                    <w:p w14:paraId="08C94163" w14:textId="3AE190C4" w:rsidR="006C22B7" w:rsidRDefault="00712EF5">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Les fonds libérés grâce aux projets annulés du premier appel à propositions (623 millions d’euros jusqu’à présent) sont réinvestis dans des projets de démonstration liés à l’énergie InnovFin et dans l’instrument de prêt du mécanisme pour l’interconnexion en Europe, tous deux gérés par la Banque européenne d’investissement. </w:t>
                      </w:r>
                    </w:p>
                    <w:p w14:paraId="2BDE24CB" w14:textId="7A7B799B" w:rsidR="006C22B7" w:rsidRDefault="00712EF5">
                      <w:pPr>
                        <w:spacing w:after="120" w:line="276" w:lineRule="auto"/>
                        <w:ind w:right="57"/>
                        <w:rPr>
                          <w:rFonts w:ascii="Times New Roman" w:hAnsi="Times New Roman" w:cs="Times New Roman"/>
                          <w:color w:val="000000" w:themeColor="text1"/>
                          <w:sz w:val="24"/>
                          <w:szCs w:val="24"/>
                        </w:rPr>
                      </w:pPr>
                      <w:r>
                        <w:rPr>
                          <w:rFonts w:ascii="Times New Roman" w:hAnsi="Times New Roman"/>
                        </w:rPr>
                        <w:t>À l’heure actuelle, trois projets ont été sélectionnés afin de bénéficier des fonds non utilisés de NER 300 dans le cadre des projets de démonstration liés à l’énergie InnovFin, à hauteur d’environ 73 millions d’euros:</w:t>
                      </w:r>
                    </w:p>
                    <w:p w14:paraId="04365192" w14:textId="6DF5174E" w:rsidR="006C22B7" w:rsidRDefault="00712EF5">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Wave Roller: la contribution de NER 300 s’élèvera à 10 millions d’euros.</w:t>
                      </w:r>
                    </w:p>
                    <w:p w14:paraId="32E40F01" w14:textId="6E8C1008" w:rsidR="006C22B7" w:rsidRDefault="00712EF5">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WindFloat: le projet est soutenu par un financement des projets de démonstration liés à l’énergie InnovFin d’un montant de 60 millions provenant des fonds non utilisés de NER 300. WindFloat bénéficie également d’une subvention dans le cadre du programme initial NER 300 d’un montant de près de 30 millions d’euros.</w:t>
                      </w:r>
                    </w:p>
                    <w:p w14:paraId="72205F58" w14:textId="4DACC8E3" w:rsidR="006C22B7" w:rsidRDefault="00712EF5">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Greenway EV Charging Network: le projet s’est vu attribuer un financement de la Banque européenne d’investissement dans le cadre des projets de démonstration liés à l’énergie InnovFin d’un montant de 17 millions d’euros, dont près de trois millions proviennent des fonds non utilisés de NER 300.</w:t>
                      </w:r>
                    </w:p>
                    <w:p w14:paraId="64AFF5C0" w14:textId="77777777" w:rsidR="006C22B7" w:rsidRDefault="006C22B7">
                      <w:pPr>
                        <w:spacing w:after="0" w:line="276" w:lineRule="auto"/>
                        <w:ind w:left="720"/>
                        <w:rPr>
                          <w:rFonts w:ascii="Times New Roman" w:eastAsia="Calibri" w:hAnsi="Times New Roman" w:cs="Times New Roman"/>
                          <w:color w:val="000000" w:themeColor="text1"/>
                          <w:sz w:val="24"/>
                          <w:szCs w:val="24"/>
                        </w:rPr>
                      </w:pPr>
                    </w:p>
                    <w:p w14:paraId="4D73C142" w14:textId="0E4FF720" w:rsidR="006C22B7" w:rsidRDefault="00712EF5">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En outre, quatre projets ont bénéficié d’une aide au développement de projets financés par les fonds non utilisés de NER 300. </w:t>
                      </w:r>
                    </w:p>
                    <w:p w14:paraId="6CC9DA24" w14:textId="77777777" w:rsidR="006C22B7" w:rsidRDefault="00712EF5">
                      <w:r>
                        <w:rPr>
                          <w:noProof/>
                          <w:lang w:val="en-GB" w:eastAsia="en-GB"/>
                        </w:rPr>
                        <w:drawing>
                          <wp:inline distT="0" distB="0" distL="0" distR="0" wp14:anchorId="31A8D7BB" wp14:editId="3568E1E6">
                            <wp:extent cx="4785995" cy="2737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14:paraId="16C276C4" w14:textId="26A02F6D" w:rsidR="006C22B7" w:rsidRDefault="00712EF5">
                      <w:pPr>
                        <w:rPr>
                          <w:b/>
                          <w:sz w:val="20"/>
                        </w:rPr>
                      </w:pPr>
                      <w:r>
                        <w:rPr>
                          <w:b/>
                          <w:sz w:val="20"/>
                        </w:rPr>
                        <w:t>Le projet Windfloat, Portugal</w:t>
                      </w:r>
                    </w:p>
                  </w:txbxContent>
                </v:textbox>
                <w10:anchorlock/>
              </v:shape>
            </w:pict>
          </mc:Fallback>
        </mc:AlternateContent>
      </w:r>
    </w:p>
    <w:p w14:paraId="2B1765D7" w14:textId="77777777" w:rsidR="006C22B7" w:rsidRDefault="00712EF5">
      <w:pPr>
        <w:pStyle w:val="Heading2"/>
        <w:spacing w:after="120"/>
      </w:pPr>
      <w:r>
        <w:t>Fonds pour l’innovation</w:t>
      </w:r>
    </w:p>
    <w:p w14:paraId="3BAAC15F" w14:textId="16711F0B" w:rsidR="006C22B7" w:rsidRDefault="00712EF5">
      <w:pPr>
        <w:spacing w:line="276" w:lineRule="auto"/>
        <w:jc w:val="both"/>
        <w:rPr>
          <w:rFonts w:ascii="Times New Roman" w:hAnsi="Times New Roman" w:cs="Times New Roman"/>
          <w:color w:val="000000" w:themeColor="text1"/>
          <w:sz w:val="24"/>
          <w:szCs w:val="24"/>
        </w:rPr>
      </w:pPr>
      <w:r>
        <w:rPr>
          <w:rFonts w:ascii="Times New Roman" w:hAnsi="Times New Roman"/>
        </w:rPr>
        <w:t>Le Fonds pour l’innovation a été établi par la directive révisée sur le SEQE</w:t>
      </w:r>
      <w:r>
        <w:rPr>
          <w:rStyle w:val="FootnoteReference"/>
          <w:rFonts w:ascii="Times New Roman" w:hAnsi="Times New Roman" w:cs="Times New Roman"/>
        </w:rPr>
        <w:footnoteReference w:id="36"/>
      </w:r>
      <w:r>
        <w:rPr>
          <w:rFonts w:ascii="Times New Roman" w:hAnsi="Times New Roman"/>
        </w:rPr>
        <w:t xml:space="preserve">. À un prix du carbone de </w:t>
      </w:r>
      <w:r w:rsidRPr="00C75E40">
        <w:rPr>
          <w:rFonts w:ascii="Times New Roman" w:hAnsi="Times New Roman"/>
        </w:rPr>
        <w:t>20</w:t>
      </w:r>
      <w:r>
        <w:rPr>
          <w:rFonts w:ascii="Times New Roman" w:hAnsi="Times New Roman"/>
        </w:rPr>
        <w:t> EUR/tCO</w:t>
      </w:r>
      <w:r w:rsidRPr="00C75E40">
        <w:rPr>
          <w:rFonts w:ascii="Times New Roman" w:hAnsi="Times New Roman"/>
          <w:vertAlign w:val="subscript"/>
        </w:rPr>
        <w:t>2</w:t>
      </w:r>
      <w:r>
        <w:rPr>
          <w:rFonts w:ascii="Times New Roman" w:hAnsi="Times New Roman"/>
        </w:rPr>
        <w:t xml:space="preserve">, </w:t>
      </w:r>
      <w:r w:rsidRPr="00C75E40">
        <w:rPr>
          <w:rFonts w:ascii="Times New Roman" w:hAnsi="Times New Roman"/>
        </w:rPr>
        <w:t>10</w:t>
      </w:r>
      <w:r>
        <w:rPr>
          <w:rFonts w:ascii="Times New Roman" w:hAnsi="Times New Roman"/>
        </w:rPr>
        <w:t xml:space="preserve"> milliards d’euros seraient mobilisés pour soutenir la démonstration de technologies innovantes et d’innovations révolutionnaires dans des secteurs couverts par le SEQE-UE sur une base concurrentielle. Le règlement délégué sur les modalités de fonctionnement du Fonds pour l’innovation est entré en vigueur en mai </w:t>
      </w:r>
      <w:r w:rsidRPr="00C75E40">
        <w:rPr>
          <w:rFonts w:ascii="Times New Roman" w:hAnsi="Times New Roman"/>
        </w:rPr>
        <w:t>2019</w:t>
      </w:r>
      <w:r>
        <w:rPr>
          <w:rStyle w:val="FootnoteReference"/>
          <w:rFonts w:ascii="Times New Roman" w:hAnsi="Times New Roman" w:cs="Times New Roman"/>
        </w:rPr>
        <w:footnoteReference w:id="37"/>
      </w:r>
      <w:r>
        <w:rPr>
          <w:rFonts w:ascii="Times New Roman" w:hAnsi="Times New Roman"/>
        </w:rPr>
        <w:t>.</w:t>
      </w:r>
      <w:r w:rsidR="00C75E40">
        <w:rPr>
          <w:rFonts w:ascii="Times New Roman" w:hAnsi="Times New Roman"/>
        </w:rPr>
        <w:t xml:space="preserve"> </w:t>
      </w:r>
      <w:r>
        <w:rPr>
          <w:rFonts w:ascii="Times New Roman" w:hAnsi="Times New Roman"/>
        </w:rPr>
        <w:t xml:space="preserve">Au cours de l’année </w:t>
      </w:r>
      <w:r w:rsidRPr="00C75E40">
        <w:rPr>
          <w:rFonts w:ascii="Times New Roman" w:hAnsi="Times New Roman"/>
        </w:rPr>
        <w:t>2019</w:t>
      </w:r>
      <w:r>
        <w:rPr>
          <w:rFonts w:ascii="Times New Roman" w:hAnsi="Times New Roman"/>
        </w:rPr>
        <w:t>, la Commission s’est engagée activement dans des activités de sensibilisation avec l’industrie et les États membres afin de mieux faire connaître le Fonds d’innovation et de discuter des principaux problèmes rencontrés par chaque secteur en ce qui concerne la sélection et la mise en œuvre de projets. Le premier appel à propositions devrait être lancé à la mi-</w:t>
      </w:r>
      <w:r w:rsidRPr="00C75E40">
        <w:rPr>
          <w:rFonts w:ascii="Times New Roman" w:hAnsi="Times New Roman"/>
        </w:rPr>
        <w:t>2020</w:t>
      </w:r>
      <w:r>
        <w:rPr>
          <w:rFonts w:ascii="Times New Roman" w:hAnsi="Times New Roman"/>
        </w:rPr>
        <w:t>, suivi d’appels à propositions réguliers jusqu’en </w:t>
      </w:r>
      <w:r w:rsidRPr="00C75E40">
        <w:rPr>
          <w:rFonts w:ascii="Times New Roman" w:hAnsi="Times New Roman"/>
        </w:rPr>
        <w:t>2030</w:t>
      </w:r>
      <w:r>
        <w:rPr>
          <w:rStyle w:val="FootnoteReference"/>
          <w:rFonts w:ascii="Times New Roman" w:hAnsi="Times New Roman" w:cs="Times New Roman"/>
        </w:rPr>
        <w:footnoteReference w:id="38"/>
      </w:r>
      <w:r>
        <w:rPr>
          <w:rFonts w:ascii="Times New Roman" w:hAnsi="Times New Roman"/>
        </w:rPr>
        <w:t xml:space="preserve">. </w:t>
      </w:r>
    </w:p>
    <w:p w14:paraId="20C9324E" w14:textId="77777777" w:rsidR="006C22B7" w:rsidRDefault="00712EF5">
      <w:pPr>
        <w:pStyle w:val="Heading2"/>
        <w:spacing w:after="120"/>
      </w:pPr>
      <w:r>
        <w:t>Fonds pour la modernisation</w:t>
      </w:r>
    </w:p>
    <w:p w14:paraId="619B972D" w14:textId="3BC7E412" w:rsidR="006C22B7" w:rsidRDefault="00712EF5">
      <w:pPr>
        <w:spacing w:line="276" w:lineRule="auto"/>
        <w:jc w:val="both"/>
        <w:rPr>
          <w:rFonts w:ascii="Times New Roman" w:hAnsi="Times New Roman" w:cs="Times New Roman"/>
          <w:b/>
          <w:sz w:val="24"/>
          <w:szCs w:val="24"/>
        </w:rPr>
      </w:pPr>
      <w:r>
        <w:rPr>
          <w:rFonts w:ascii="Times New Roman" w:hAnsi="Times New Roman"/>
        </w:rPr>
        <w:t xml:space="preserve">Le Fonds pour la modernisation soutiendra les investissements à faible intensité de carbone dans les systèmes énergétiques de </w:t>
      </w:r>
      <w:r w:rsidRPr="00C75E40">
        <w:rPr>
          <w:rFonts w:ascii="Times New Roman" w:hAnsi="Times New Roman"/>
        </w:rPr>
        <w:t>10</w:t>
      </w:r>
      <w:r>
        <w:rPr>
          <w:rFonts w:ascii="Times New Roman" w:hAnsi="Times New Roman"/>
        </w:rPr>
        <w:t xml:space="preserve"> États membres</w:t>
      </w:r>
      <w:r>
        <w:rPr>
          <w:rStyle w:val="FootnoteReference"/>
          <w:rFonts w:ascii="Times New Roman" w:hAnsi="Times New Roman" w:cs="Times New Roman"/>
        </w:rPr>
        <w:footnoteReference w:id="39"/>
      </w:r>
      <w:r>
        <w:rPr>
          <w:rFonts w:ascii="Times New Roman" w:hAnsi="Times New Roman"/>
        </w:rPr>
        <w:t xml:space="preserve"> à bas revenus</w:t>
      </w:r>
      <w:r w:rsidR="00C75E40">
        <w:rPr>
          <w:rFonts w:ascii="Times New Roman" w:hAnsi="Times New Roman"/>
        </w:rPr>
        <w:t xml:space="preserve"> </w:t>
      </w:r>
      <w:r>
        <w:rPr>
          <w:rFonts w:ascii="Times New Roman" w:hAnsi="Times New Roman"/>
        </w:rPr>
        <w:t xml:space="preserve">dans des proportions prédéfinies par la directive SEQE. À un prix du carbone de </w:t>
      </w:r>
      <w:r w:rsidRPr="00C75E40">
        <w:rPr>
          <w:rFonts w:ascii="Times New Roman" w:hAnsi="Times New Roman"/>
        </w:rPr>
        <w:t>20</w:t>
      </w:r>
      <w:r>
        <w:rPr>
          <w:rFonts w:ascii="Times New Roman" w:hAnsi="Times New Roman"/>
        </w:rPr>
        <w:t> EUR/tCO</w:t>
      </w:r>
      <w:r w:rsidRPr="00C75E40">
        <w:rPr>
          <w:rFonts w:ascii="Times New Roman" w:hAnsi="Times New Roman"/>
          <w:vertAlign w:val="subscript"/>
        </w:rPr>
        <w:t>2</w:t>
      </w:r>
      <w:r>
        <w:rPr>
          <w:rFonts w:ascii="Times New Roman" w:hAnsi="Times New Roman"/>
        </w:rPr>
        <w:t xml:space="preserve">, quelque </w:t>
      </w:r>
      <w:r w:rsidRPr="00C75E40">
        <w:rPr>
          <w:rFonts w:ascii="Times New Roman" w:hAnsi="Times New Roman"/>
        </w:rPr>
        <w:t>14</w:t>
      </w:r>
      <w:r>
        <w:rPr>
          <w:rFonts w:ascii="Times New Roman" w:hAnsi="Times New Roman"/>
        </w:rPr>
        <w:t> milliards d’euros seront générés au cours de la prochaine décennie. La taille du Fonds a plus que doublé à la suite de la décision de cinq États membres de transférer une partie de leurs allocations de solidarité et/ou de leurs allocations transitoires de quotas gratuits.</w:t>
      </w:r>
      <w:r>
        <w:rPr>
          <w:rFonts w:ascii="Times New Roman" w:hAnsi="Times New Roman"/>
          <w:i/>
        </w:rPr>
        <w:t xml:space="preserve"> </w:t>
      </w:r>
      <w:r>
        <w:rPr>
          <w:rFonts w:ascii="Times New Roman" w:hAnsi="Times New Roman"/>
        </w:rPr>
        <w:t xml:space="preserve">Les travaux de la Commission européenne sur l’établissement d’un Fonds pour la modernisation ont débuté par une série d’ateliers techniques dans tous les États membres bénéficiaires de septembre </w:t>
      </w:r>
      <w:r w:rsidRPr="00C75E40">
        <w:rPr>
          <w:rFonts w:ascii="Times New Roman" w:hAnsi="Times New Roman"/>
        </w:rPr>
        <w:t>2018</w:t>
      </w:r>
      <w:r>
        <w:rPr>
          <w:rFonts w:ascii="Times New Roman" w:hAnsi="Times New Roman"/>
        </w:rPr>
        <w:t xml:space="preserve"> à janvier </w:t>
      </w:r>
      <w:r w:rsidRPr="00C75E40">
        <w:rPr>
          <w:rFonts w:ascii="Times New Roman" w:hAnsi="Times New Roman"/>
        </w:rPr>
        <w:t>2019</w:t>
      </w:r>
      <w:r>
        <w:rPr>
          <w:rFonts w:ascii="Times New Roman" w:hAnsi="Times New Roman"/>
        </w:rPr>
        <w:t>.</w:t>
      </w:r>
      <w:r w:rsidR="00C75E40">
        <w:rPr>
          <w:rFonts w:ascii="Times New Roman" w:hAnsi="Times New Roman"/>
        </w:rPr>
        <w:t xml:space="preserve"> </w:t>
      </w:r>
      <w:r>
        <w:rPr>
          <w:rFonts w:ascii="Times New Roman" w:hAnsi="Times New Roman"/>
        </w:rPr>
        <w:t xml:space="preserve">Des travaux préparatoires supplémentaires sont en cours en vue de l’adoption d’un acte d’exécution au premier semestre </w:t>
      </w:r>
      <w:r w:rsidRPr="00C75E40">
        <w:rPr>
          <w:rFonts w:ascii="Times New Roman" w:hAnsi="Times New Roman"/>
        </w:rPr>
        <w:t>2020</w:t>
      </w:r>
      <w:r>
        <w:rPr>
          <w:rFonts w:ascii="Times New Roman" w:hAnsi="Times New Roman"/>
        </w:rPr>
        <w:t>.</w:t>
      </w:r>
      <w:r w:rsidR="00C75E40">
        <w:rPr>
          <w:rFonts w:ascii="Times New Roman" w:hAnsi="Times New Roman"/>
        </w:rPr>
        <w:t xml:space="preserve"> </w:t>
      </w:r>
    </w:p>
    <w:p w14:paraId="2CC83B0B" w14:textId="4B92F978" w:rsidR="006C22B7" w:rsidRDefault="000B795E">
      <w:pPr>
        <w:pStyle w:val="Heading2"/>
        <w:spacing w:after="120"/>
      </w:pPr>
      <w:r>
        <w:t>LIFE – Action pour le climat</w:t>
      </w:r>
    </w:p>
    <w:p w14:paraId="188DE3F9" w14:textId="13EA5CBF" w:rsidR="006C22B7" w:rsidRDefault="000B795E">
      <w:pPr>
        <w:jc w:val="both"/>
        <w:rPr>
          <w:rFonts w:ascii="Times New Roman" w:hAnsi="Times New Roman" w:cs="Times New Roman"/>
          <w:sz w:val="24"/>
          <w:szCs w:val="24"/>
        </w:rPr>
      </w:pPr>
      <w:r>
        <w:rPr>
          <w:rFonts w:ascii="Times New Roman" w:hAnsi="Times New Roman"/>
        </w:rPr>
        <w:t xml:space="preserve">Le programme LIFE est l’instrument européen de financement pour l’environnement et l’action pour le climat; il cofinance des projets présentant une valeur ajoutée européenne. Le budget total alloué au financement de projets pour la période </w:t>
      </w:r>
      <w:r w:rsidRPr="00C75E40">
        <w:rPr>
          <w:rFonts w:ascii="Times New Roman" w:hAnsi="Times New Roman"/>
        </w:rPr>
        <w:t>2014</w:t>
      </w:r>
      <w:r>
        <w:rPr>
          <w:rFonts w:ascii="Times New Roman" w:hAnsi="Times New Roman"/>
        </w:rPr>
        <w:t>-</w:t>
      </w:r>
      <w:r w:rsidRPr="00C75E40">
        <w:rPr>
          <w:rFonts w:ascii="Times New Roman" w:hAnsi="Times New Roman"/>
        </w:rPr>
        <w:t>2020</w:t>
      </w:r>
      <w:r>
        <w:rPr>
          <w:rFonts w:ascii="Times New Roman" w:hAnsi="Times New Roman"/>
        </w:rPr>
        <w:t xml:space="preserve"> s’élève à </w:t>
      </w:r>
      <w:r w:rsidRPr="00C75E40">
        <w:rPr>
          <w:rFonts w:ascii="Times New Roman" w:hAnsi="Times New Roman"/>
        </w:rPr>
        <w:t>2</w:t>
      </w:r>
      <w:r>
        <w:rPr>
          <w:rFonts w:ascii="Times New Roman" w:hAnsi="Times New Roman"/>
        </w:rPr>
        <w:t>,</w:t>
      </w:r>
      <w:r w:rsidRPr="00C75E40">
        <w:rPr>
          <w:rFonts w:ascii="Times New Roman" w:hAnsi="Times New Roman"/>
        </w:rPr>
        <w:t>5</w:t>
      </w:r>
      <w:r>
        <w:rPr>
          <w:rFonts w:ascii="Times New Roman" w:hAnsi="Times New Roman"/>
        </w:rPr>
        <w:t xml:space="preserve"> milliards d’EUR au titre du sous-programme pour l’environnement et à </w:t>
      </w:r>
      <w:r w:rsidRPr="00C75E40">
        <w:rPr>
          <w:rFonts w:ascii="Times New Roman" w:hAnsi="Times New Roman"/>
        </w:rPr>
        <w:t>0</w:t>
      </w:r>
      <w:r>
        <w:rPr>
          <w:rFonts w:ascii="Times New Roman" w:hAnsi="Times New Roman"/>
        </w:rPr>
        <w:t>,</w:t>
      </w:r>
      <w:r w:rsidRPr="00C75E40">
        <w:rPr>
          <w:rFonts w:ascii="Times New Roman" w:hAnsi="Times New Roman"/>
        </w:rPr>
        <w:t>86</w:t>
      </w:r>
      <w:r>
        <w:rPr>
          <w:rFonts w:ascii="Times New Roman" w:hAnsi="Times New Roman"/>
        </w:rPr>
        <w:t> milliard d’EUR au titre du sous-programme «Action pour le climat». La plupart des projets environnementaux LIFE apportent également des avantages connexes sur le plan climatique.</w:t>
      </w:r>
    </w:p>
    <w:p w14:paraId="166F8C2B" w14:textId="77777777" w:rsidR="006C22B7" w:rsidRDefault="000B795E">
      <w:pPr>
        <w:jc w:val="both"/>
        <w:rPr>
          <w:rFonts w:ascii="Times New Roman" w:hAnsi="Times New Roman" w:cs="Times New Roman"/>
          <w:sz w:val="24"/>
          <w:szCs w:val="24"/>
        </w:rPr>
      </w:pPr>
      <w:r>
        <w:rPr>
          <w:rFonts w:ascii="Times New Roman" w:hAnsi="Times New Roman"/>
        </w:rPr>
        <w:t>Le sous-programme «Action pour le climat» du programme LIFE soutient des projets en matière d’atténuation du changement climatique et d’adaptation à ses effets, ainsi que la gouvernance et l’information en matière de climat. Dans l’appel à propositions LIFE </w:t>
      </w:r>
      <w:r w:rsidRPr="00C75E40">
        <w:rPr>
          <w:rFonts w:ascii="Times New Roman" w:hAnsi="Times New Roman"/>
        </w:rPr>
        <w:t>2018</w:t>
      </w:r>
      <w:r>
        <w:rPr>
          <w:rFonts w:ascii="Times New Roman" w:hAnsi="Times New Roman"/>
        </w:rPr>
        <w:t xml:space="preserve">, des propositions faisant intervenir des bénéficiaires en provenance de </w:t>
      </w:r>
      <w:r w:rsidRPr="00C75E40">
        <w:rPr>
          <w:rFonts w:ascii="Times New Roman" w:hAnsi="Times New Roman"/>
        </w:rPr>
        <w:t>21</w:t>
      </w:r>
      <w:r>
        <w:rPr>
          <w:rFonts w:ascii="Times New Roman" w:hAnsi="Times New Roman"/>
        </w:rPr>
        <w:t> États membres ont été recommandées en vue d’un financement, l’Espagne, l’Italie et l’Allemagne étant les principaux récipiendaires.</w:t>
      </w:r>
    </w:p>
    <w:p w14:paraId="506116C0" w14:textId="6C5EE03E" w:rsidR="006C22B7" w:rsidRDefault="000B795E">
      <w:pPr>
        <w:jc w:val="both"/>
        <w:rPr>
          <w:rFonts w:ascii="Times New Roman" w:eastAsia="Times New Roman" w:hAnsi="Times New Roman" w:cs="Times New Roman"/>
          <w:sz w:val="24"/>
          <w:szCs w:val="24"/>
        </w:rPr>
      </w:pPr>
      <w:r>
        <w:rPr>
          <w:rFonts w:ascii="Times New Roman" w:hAnsi="Times New Roman"/>
        </w:rPr>
        <w:t xml:space="preserve">Le cadre financier pluriannuel pour la période allant de </w:t>
      </w:r>
      <w:r w:rsidRPr="00C75E40">
        <w:rPr>
          <w:rFonts w:ascii="Times New Roman" w:hAnsi="Times New Roman"/>
        </w:rPr>
        <w:t>2021</w:t>
      </w:r>
      <w:r>
        <w:rPr>
          <w:rFonts w:ascii="Times New Roman" w:hAnsi="Times New Roman"/>
        </w:rPr>
        <w:t xml:space="preserve"> à </w:t>
      </w:r>
      <w:r w:rsidRPr="00C75E40">
        <w:rPr>
          <w:rFonts w:ascii="Times New Roman" w:hAnsi="Times New Roman"/>
        </w:rPr>
        <w:t>2027</w:t>
      </w:r>
      <w:r>
        <w:rPr>
          <w:rFonts w:ascii="Times New Roman" w:hAnsi="Times New Roman"/>
        </w:rPr>
        <w:t xml:space="preserve"> comprend un budget accru de </w:t>
      </w:r>
      <w:r w:rsidRPr="00C75E40">
        <w:rPr>
          <w:rFonts w:ascii="Times New Roman" w:hAnsi="Times New Roman"/>
        </w:rPr>
        <w:t>5</w:t>
      </w:r>
      <w:r>
        <w:rPr>
          <w:rFonts w:ascii="Times New Roman" w:hAnsi="Times New Roman"/>
        </w:rPr>
        <w:t>,</w:t>
      </w:r>
      <w:r w:rsidRPr="00C75E40">
        <w:rPr>
          <w:rFonts w:ascii="Times New Roman" w:hAnsi="Times New Roman"/>
        </w:rPr>
        <w:t>45</w:t>
      </w:r>
      <w:r>
        <w:rPr>
          <w:rFonts w:ascii="Times New Roman" w:hAnsi="Times New Roman"/>
        </w:rPr>
        <w:t xml:space="preserve"> milliards d’EUR pour le programme LIFE pour l’environnement et l’action pour le climat.</w:t>
      </w:r>
    </w:p>
    <w:p w14:paraId="5BF268E7" w14:textId="6EF5BDE3" w:rsidR="006C22B7" w:rsidRDefault="000B795E">
      <w:pPr>
        <w:jc w:val="both"/>
        <w:rPr>
          <w:rFonts w:ascii="Times New Roman" w:eastAsia="Times New Roman" w:hAnsi="Times New Roman" w:cs="Times New Roman"/>
        </w:rPr>
      </w:pPr>
      <w:r>
        <w:rPr>
          <w:rFonts w:ascii="Times New Roman" w:hAnsi="Times New Roman"/>
        </w:rPr>
        <w:t xml:space="preserve">Deux sous-programmes verront le jour dans le domaine de l’action climatique: «Atténuation du changement climatique et adaptation à celui-ci» et «Transition vers une énergie propre». Le montant du budget pour l’action climatique durant la période allant de </w:t>
      </w:r>
      <w:r w:rsidRPr="00C75E40">
        <w:rPr>
          <w:rFonts w:ascii="Times New Roman" w:hAnsi="Times New Roman"/>
        </w:rPr>
        <w:t>2021</w:t>
      </w:r>
      <w:r>
        <w:rPr>
          <w:rFonts w:ascii="Times New Roman" w:hAnsi="Times New Roman"/>
        </w:rPr>
        <w:t xml:space="preserve"> à </w:t>
      </w:r>
      <w:r w:rsidRPr="00C75E40">
        <w:rPr>
          <w:rFonts w:ascii="Times New Roman" w:hAnsi="Times New Roman"/>
        </w:rPr>
        <w:t>2027</w:t>
      </w:r>
      <w:r>
        <w:rPr>
          <w:rFonts w:ascii="Times New Roman" w:hAnsi="Times New Roman"/>
        </w:rPr>
        <w:t xml:space="preserve"> devrait s’élever à environ </w:t>
      </w:r>
      <w:r w:rsidRPr="00C75E40">
        <w:rPr>
          <w:rFonts w:ascii="Times New Roman" w:hAnsi="Times New Roman"/>
        </w:rPr>
        <w:t>1</w:t>
      </w:r>
      <w:r>
        <w:rPr>
          <w:rFonts w:ascii="Times New Roman" w:hAnsi="Times New Roman"/>
        </w:rPr>
        <w:t xml:space="preserve"> milliard d’EUR. Les activités du sous-programme «Transition vers une énergie propre» font actuellement l’objet d’un financement au titre d’Horizon </w:t>
      </w:r>
      <w:r w:rsidRPr="00C75E40">
        <w:rPr>
          <w:rFonts w:ascii="Times New Roman" w:hAnsi="Times New Roman"/>
        </w:rPr>
        <w:t>2020</w:t>
      </w:r>
      <w:r>
        <w:rPr>
          <w:rFonts w:ascii="Times New Roman" w:hAnsi="Times New Roman"/>
        </w:rPr>
        <w:t xml:space="preserve"> et se verront accorder un budget similaire. </w:t>
      </w:r>
    </w:p>
    <w:p w14:paraId="2427B830" w14:textId="4EC9E5FD" w:rsidR="006C22B7" w:rsidRDefault="00D26CF5">
      <w:pPr>
        <w:jc w:val="both"/>
        <w:rPr>
          <w:rFonts w:ascii="Times New Roman" w:eastAsia="Times New Roman" w:hAnsi="Times New Roman" w:cs="Times New Roman"/>
        </w:rPr>
      </w:pPr>
      <w:r w:rsidRPr="00D26CF5">
        <w:rPr>
          <w:rFonts w:ascii="Times New Roman" w:eastAsia="Times New Roman" w:hAnsi="Times New Roman" w:cs="Times New Roman"/>
          <w:noProof/>
          <w:lang w:val="en-GB" w:eastAsia="en-GB"/>
        </w:rPr>
        <w:drawing>
          <wp:inline distT="0" distB="0" distL="0" distR="0" wp14:anchorId="3288EDB5" wp14:editId="7D7395E6">
            <wp:extent cx="5286895" cy="2733502"/>
            <wp:effectExtent l="0" t="0" r="9525" b="10160"/>
            <wp:docPr id="35" name="Chart 35">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67DD1C" w14:textId="45A95B89" w:rsidR="006C22B7" w:rsidRDefault="003F37D2">
      <w:pPr>
        <w:pStyle w:val="Caption"/>
        <w:jc w:val="both"/>
      </w:pPr>
      <w:r>
        <w:t xml:space="preserve">Graphique </w:t>
      </w:r>
      <w:r w:rsidR="00BD71DF">
        <w:fldChar w:fldCharType="begin"/>
      </w:r>
      <w:r w:rsidR="00BD71DF">
        <w:instrText xml:space="preserve"> SEQ Figure \* ARABIC </w:instrText>
      </w:r>
      <w:r w:rsidR="00BD71DF">
        <w:fldChar w:fldCharType="separate"/>
      </w:r>
      <w:r w:rsidRPr="00C75E40">
        <w:t>14</w:t>
      </w:r>
      <w:r w:rsidR="00BD71DF">
        <w:fldChar w:fldCharType="end"/>
      </w:r>
      <w:r>
        <w:t xml:space="preserve">: DOTATION BUDGÉTAIRE PROPOSÉE POUR </w:t>
      </w:r>
      <w:r w:rsidRPr="00C75E40">
        <w:t>2021</w:t>
      </w:r>
      <w:r>
        <w:t>-</w:t>
      </w:r>
      <w:r w:rsidRPr="00C75E40">
        <w:t>2027</w:t>
      </w:r>
    </w:p>
    <w:p w14:paraId="469A6053" w14:textId="3435B1A4" w:rsidR="006C22B7" w:rsidRDefault="006C22B7">
      <w:pPr>
        <w:spacing w:after="0"/>
        <w:rPr>
          <w:rFonts w:asciiTheme="majorHAnsi" w:eastAsiaTheme="majorEastAsia" w:hAnsiTheme="majorHAnsi" w:cstheme="majorBidi"/>
          <w:color w:val="2E74B5" w:themeColor="accent1" w:themeShade="BF"/>
          <w:sz w:val="32"/>
          <w:szCs w:val="32"/>
        </w:rPr>
      </w:pPr>
    </w:p>
    <w:p w14:paraId="2B6E323C" w14:textId="7C47A006" w:rsidR="006C22B7" w:rsidRDefault="00E04ACD">
      <w:pPr>
        <w:pStyle w:val="Heading1"/>
        <w:spacing w:before="0" w:after="240"/>
        <w:ind w:left="714" w:hanging="357"/>
        <w:jc w:val="both"/>
      </w:pPr>
      <w:r>
        <w:t xml:space="preserve">ADAPTATION AU CHANGEMENT CLIMATIQUE </w:t>
      </w:r>
    </w:p>
    <w:p w14:paraId="44FDECCC" w14:textId="04A386FE" w:rsidR="006C22B7" w:rsidRDefault="00F47D23">
      <w:pPr>
        <w:spacing w:after="120"/>
        <w:jc w:val="both"/>
        <w:rPr>
          <w:rFonts w:ascii="Times New Roman" w:hAnsi="Times New Roman" w:cs="Times New Roman"/>
          <w:sz w:val="24"/>
          <w:szCs w:val="24"/>
        </w:rPr>
      </w:pPr>
      <w:r>
        <w:rPr>
          <w:rFonts w:ascii="Times New Roman" w:hAnsi="Times New Roman"/>
        </w:rPr>
        <w:t xml:space="preserve">L’année dernière, de nouveaux progrès ont été accomplis dans le cadre de la stratégie d’adaptation de l’Union, adoptée en </w:t>
      </w:r>
      <w:r w:rsidRPr="00C75E40">
        <w:rPr>
          <w:rFonts w:ascii="Times New Roman" w:hAnsi="Times New Roman"/>
        </w:rPr>
        <w:t>2013</w:t>
      </w:r>
      <w:r>
        <w:rPr>
          <w:rFonts w:ascii="Times New Roman" w:hAnsi="Times New Roman"/>
        </w:rPr>
        <w:t xml:space="preserve"> en vue de préparer les États membres aux effets actuels et futurs du changement climatique: </w:t>
      </w:r>
    </w:p>
    <w:p w14:paraId="5C72161D" w14:textId="5FBAC4CB" w:rsidR="006C22B7" w:rsidRDefault="00F47D23">
      <w:pPr>
        <w:pStyle w:val="ListParagraph"/>
        <w:numPr>
          <w:ilvl w:val="0"/>
          <w:numId w:val="3"/>
        </w:numPr>
        <w:spacing w:after="120" w:line="276" w:lineRule="auto"/>
        <w:ind w:left="850" w:hanging="425"/>
        <w:contextualSpacing w:val="0"/>
        <w:jc w:val="both"/>
        <w:rPr>
          <w:rFonts w:ascii="Times New Roman" w:hAnsi="Times New Roman" w:cs="Times New Roman"/>
          <w:sz w:val="24"/>
          <w:szCs w:val="24"/>
        </w:rPr>
      </w:pPr>
      <w:r w:rsidRPr="00C75E40">
        <w:rPr>
          <w:rFonts w:ascii="Times New Roman" w:hAnsi="Times New Roman"/>
        </w:rPr>
        <w:t>26</w:t>
      </w:r>
      <w:r>
        <w:rPr>
          <w:rFonts w:ascii="Times New Roman" w:hAnsi="Times New Roman"/>
        </w:rPr>
        <w:t xml:space="preserve"> États membres disposent désormais d’une stratégie nationale d’adaptation, tandis que les autres États membres sont en passe de finaliser leurs stratégies</w:t>
      </w:r>
      <w:r>
        <w:rPr>
          <w:rFonts w:ascii="Times New Roman" w:hAnsi="Times New Roman" w:cs="Times New Roman"/>
          <w:vertAlign w:val="superscript"/>
        </w:rPr>
        <w:footnoteReference w:id="40"/>
      </w:r>
      <w:r>
        <w:rPr>
          <w:rFonts w:ascii="Times New Roman" w:hAnsi="Times New Roman"/>
        </w:rPr>
        <w:t>;</w:t>
      </w:r>
      <w:r w:rsidR="00C75E40">
        <w:rPr>
          <w:rFonts w:ascii="Times New Roman" w:hAnsi="Times New Roman"/>
        </w:rPr>
        <w:t xml:space="preserve"> </w:t>
      </w:r>
    </w:p>
    <w:p w14:paraId="1FC745BB" w14:textId="1BD8EE74" w:rsidR="006C22B7" w:rsidRDefault="00F47D23">
      <w:pPr>
        <w:pStyle w:val="ListParagraph"/>
        <w:numPr>
          <w:ilvl w:val="0"/>
          <w:numId w:val="3"/>
        </w:numPr>
        <w:spacing w:after="200" w:line="276" w:lineRule="auto"/>
        <w:ind w:left="850" w:hanging="425"/>
        <w:contextualSpacing w:val="0"/>
        <w:jc w:val="both"/>
        <w:rPr>
          <w:rFonts w:ascii="Times New Roman" w:hAnsi="Times New Roman" w:cs="Times New Roman"/>
          <w:sz w:val="24"/>
          <w:szCs w:val="24"/>
        </w:rPr>
      </w:pPr>
      <w:r>
        <w:rPr>
          <w:rFonts w:ascii="Times New Roman" w:hAnsi="Times New Roman"/>
        </w:rPr>
        <w:t xml:space="preserve">plus de </w:t>
      </w:r>
      <w:r w:rsidRPr="00C75E40">
        <w:rPr>
          <w:rFonts w:ascii="Times New Roman" w:hAnsi="Times New Roman"/>
        </w:rPr>
        <w:t>1</w:t>
      </w:r>
      <w:r>
        <w:rPr>
          <w:rFonts w:ascii="Times New Roman" w:hAnsi="Times New Roman"/>
        </w:rPr>
        <w:t xml:space="preserve"> </w:t>
      </w:r>
      <w:r w:rsidRPr="00C75E40">
        <w:rPr>
          <w:rFonts w:ascii="Times New Roman" w:hAnsi="Times New Roman"/>
        </w:rPr>
        <w:t>900</w:t>
      </w:r>
      <w:r>
        <w:rPr>
          <w:rFonts w:ascii="Times New Roman" w:hAnsi="Times New Roman"/>
        </w:rPr>
        <w:t xml:space="preserve"> villes d’Europe se sont engagées dans le cadre de la convention des maires à renforcer leur résilience au changement climatique (augmentation de quelques </w:t>
      </w:r>
      <w:r w:rsidRPr="00C75E40">
        <w:rPr>
          <w:rFonts w:ascii="Times New Roman" w:hAnsi="Times New Roman"/>
        </w:rPr>
        <w:t>900</w:t>
      </w:r>
      <w:r>
        <w:rPr>
          <w:rFonts w:ascii="Times New Roman" w:hAnsi="Times New Roman"/>
        </w:rPr>
        <w:t xml:space="preserve"> villes par rapport à </w:t>
      </w:r>
      <w:r w:rsidRPr="00C75E40">
        <w:rPr>
          <w:rFonts w:ascii="Times New Roman" w:hAnsi="Times New Roman"/>
        </w:rPr>
        <w:t>2018</w:t>
      </w:r>
      <w:r>
        <w:rPr>
          <w:rFonts w:ascii="Times New Roman" w:hAnsi="Times New Roman"/>
        </w:rPr>
        <w:t>);</w:t>
      </w:r>
    </w:p>
    <w:p w14:paraId="3ACADFB1" w14:textId="3203580A" w:rsidR="006C22B7" w:rsidRDefault="00F47D23">
      <w:pPr>
        <w:pStyle w:val="ListParagraph"/>
        <w:numPr>
          <w:ilvl w:val="0"/>
          <w:numId w:val="3"/>
        </w:numPr>
        <w:spacing w:after="200" w:line="276" w:lineRule="auto"/>
        <w:ind w:left="850" w:hanging="425"/>
        <w:contextualSpacing w:val="0"/>
        <w:jc w:val="both"/>
        <w:rPr>
          <w:sz w:val="24"/>
          <w:szCs w:val="24"/>
        </w:rPr>
      </w:pPr>
      <w:r>
        <w:rPr>
          <w:rFonts w:ascii="Times New Roman" w:hAnsi="Times New Roman"/>
        </w:rPr>
        <w:t>plusieurs projets de plans nationaux en matière d’énergie et de climat disposent d’objectifs d’adaptation;</w:t>
      </w:r>
      <w:r w:rsidR="00C75E40">
        <w:rPr>
          <w:rFonts w:ascii="Times New Roman" w:hAnsi="Times New Roman"/>
        </w:rPr>
        <w:t xml:space="preserve"> </w:t>
      </w:r>
    </w:p>
    <w:p w14:paraId="13F44B17" w14:textId="40499BD8" w:rsidR="006C22B7" w:rsidRDefault="0030411A">
      <w:pPr>
        <w:pStyle w:val="ListParagraph"/>
        <w:numPr>
          <w:ilvl w:val="0"/>
          <w:numId w:val="3"/>
        </w:numPr>
        <w:spacing w:after="200" w:line="276" w:lineRule="auto"/>
        <w:ind w:left="850" w:hanging="425"/>
        <w:contextualSpacing w:val="0"/>
        <w:jc w:val="both"/>
        <w:rPr>
          <w:sz w:val="24"/>
          <w:szCs w:val="24"/>
        </w:rPr>
      </w:pPr>
      <w:r>
        <w:rPr>
          <w:rFonts w:ascii="Times New Roman" w:hAnsi="Times New Roman"/>
        </w:rPr>
        <w:t>la plate-forme CLIMATE-Adapt a été améliorée;</w:t>
      </w:r>
    </w:p>
    <w:p w14:paraId="1DF17744" w14:textId="74266C02" w:rsidR="006C22B7" w:rsidRDefault="00F47D23">
      <w:pPr>
        <w:pStyle w:val="ListParagraph"/>
        <w:numPr>
          <w:ilvl w:val="0"/>
          <w:numId w:val="3"/>
        </w:numPr>
        <w:spacing w:after="200" w:line="276" w:lineRule="auto"/>
        <w:ind w:left="850" w:hanging="425"/>
        <w:contextualSpacing w:val="0"/>
        <w:jc w:val="both"/>
        <w:rPr>
          <w:sz w:val="24"/>
          <w:szCs w:val="24"/>
        </w:rPr>
      </w:pPr>
      <w:r>
        <w:rPr>
          <w:rFonts w:ascii="Times New Roman" w:hAnsi="Times New Roman"/>
        </w:rPr>
        <w:t>la Commission européenne a publié une mise à jour de l’étude PESETA</w:t>
      </w:r>
      <w:r>
        <w:rPr>
          <w:rStyle w:val="FootnoteReference"/>
          <w:rFonts w:ascii="Times New Roman" w:hAnsi="Times New Roman" w:cs="Times New Roman"/>
        </w:rPr>
        <w:footnoteReference w:id="41"/>
      </w:r>
      <w:r w:rsidR="00C75E40">
        <w:rPr>
          <w:rFonts w:ascii="Times New Roman" w:hAnsi="Times New Roman"/>
        </w:rPr>
        <w:t xml:space="preserve"> </w:t>
      </w:r>
      <w:r>
        <w:rPr>
          <w:rFonts w:ascii="Times New Roman" w:hAnsi="Times New Roman"/>
        </w:rPr>
        <w:t>sur une variété de conséquences climatiques, dont une évaluation économique;</w:t>
      </w:r>
    </w:p>
    <w:p w14:paraId="5379313C" w14:textId="69DF87FB" w:rsidR="006C22B7" w:rsidRDefault="00F47D23">
      <w:pPr>
        <w:pStyle w:val="ListParagraph"/>
        <w:numPr>
          <w:ilvl w:val="0"/>
          <w:numId w:val="3"/>
        </w:numPr>
        <w:spacing w:after="200" w:line="276" w:lineRule="auto"/>
        <w:ind w:left="850" w:hanging="425"/>
        <w:contextualSpacing w:val="0"/>
        <w:jc w:val="both"/>
        <w:rPr>
          <w:rFonts w:ascii="Times New Roman" w:hAnsi="Times New Roman" w:cs="Times New Roman"/>
          <w:sz w:val="24"/>
          <w:szCs w:val="24"/>
        </w:rPr>
      </w:pPr>
      <w:r>
        <w:rPr>
          <w:rFonts w:ascii="Times New Roman" w:hAnsi="Times New Roman"/>
        </w:rPr>
        <w:t xml:space="preserve">le programme LIFE finance des projets d’adaptation dans des domaines primordiaux comme les ressources en eau. </w:t>
      </w:r>
    </w:p>
    <w:p w14:paraId="3F7084F2" w14:textId="77777777" w:rsidR="006C22B7" w:rsidRDefault="004C23CE">
      <w:pPr>
        <w:rPr>
          <w:rFonts w:ascii="Times New Roman" w:hAnsi="Times New Roman" w:cs="Times New Roman"/>
          <w:sz w:val="24"/>
          <w:szCs w:val="24"/>
        </w:rPr>
      </w:pPr>
      <w:r>
        <w:br w:type="page"/>
      </w:r>
    </w:p>
    <w:p w14:paraId="5D96072E" w14:textId="08FDC933" w:rsidR="006C22B7" w:rsidRDefault="00F47D23">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sz w:val="24"/>
          <w:szCs w:val="24"/>
        </w:rPr>
      </w:pPr>
      <w:r>
        <w:rPr>
          <w:rFonts w:ascii="Times New Roman" w:hAnsi="Times New Roman"/>
        </w:rPr>
        <w:t>Le projet AgroClimaWater</w:t>
      </w:r>
      <w:r>
        <w:rPr>
          <w:rStyle w:val="FootnoteReference"/>
          <w:rFonts w:ascii="Times New Roman" w:hAnsi="Times New Roman" w:cs="Times New Roman"/>
        </w:rPr>
        <w:footnoteReference w:id="42"/>
      </w:r>
      <w:r w:rsidR="00C75E40">
        <w:rPr>
          <w:rFonts w:ascii="Times New Roman" w:hAnsi="Times New Roman"/>
        </w:rPr>
        <w:t xml:space="preserve"> </w:t>
      </w:r>
      <w:r>
        <w:rPr>
          <w:rFonts w:ascii="Times New Roman" w:hAnsi="Times New Roman"/>
        </w:rPr>
        <w:t xml:space="preserve">promeut l’utilisation rationnelle de l’eau et soutient une transition vers une agriculture plus résistante au changement climatique dans les pays méditerranéens Le programme LIFE lui apporte un soutien de </w:t>
      </w:r>
      <w:r w:rsidRPr="00C75E40">
        <w:rPr>
          <w:rFonts w:ascii="Times New Roman" w:hAnsi="Times New Roman"/>
        </w:rPr>
        <w:t>1</w:t>
      </w:r>
      <w:r>
        <w:rPr>
          <w:rFonts w:ascii="Times New Roman" w:hAnsi="Times New Roman"/>
        </w:rPr>
        <w:t>,</w:t>
      </w:r>
      <w:r w:rsidRPr="00C75E40">
        <w:rPr>
          <w:rFonts w:ascii="Times New Roman" w:hAnsi="Times New Roman"/>
        </w:rPr>
        <w:t>4</w:t>
      </w:r>
      <w:r>
        <w:rPr>
          <w:rFonts w:ascii="Times New Roman" w:hAnsi="Times New Roman"/>
        </w:rPr>
        <w:t xml:space="preserve"> million d’euros. </w:t>
      </w:r>
    </w:p>
    <w:p w14:paraId="6B62BA37" w14:textId="5BC1767A" w:rsidR="006C22B7" w:rsidRDefault="00F47D23">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sz w:val="24"/>
          <w:szCs w:val="24"/>
        </w:rPr>
      </w:pPr>
      <w:r>
        <w:rPr>
          <w:rFonts w:ascii="Times New Roman" w:hAnsi="Times New Roman"/>
        </w:rPr>
        <w:t xml:space="preserve">Les actions pilotes du projet portent principalement sur les vergers d’olives, d’agrumes et de pêches. Les agriculteurs participants ont adapté leurs méthodes afin d’atteindre les rendements les plus élevés possible en dépit d’une disponibilité de l’eau faible ou irrégulière. Après seulement deux années de mise en œuvre, le projet AgroClimaWater a obtenu des résultats impressionnants, notamment une réduction de </w:t>
      </w:r>
      <w:r w:rsidRPr="00C75E40">
        <w:rPr>
          <w:rFonts w:ascii="Times New Roman" w:hAnsi="Times New Roman"/>
        </w:rPr>
        <w:t>15</w:t>
      </w:r>
      <w:r>
        <w:rPr>
          <w:rFonts w:ascii="Times New Roman" w:hAnsi="Times New Roman"/>
        </w:rPr>
        <w:t xml:space="preserve"> % de la consommation d’eau et une diminution de </w:t>
      </w:r>
      <w:r w:rsidRPr="00C75E40">
        <w:rPr>
          <w:rFonts w:ascii="Times New Roman" w:hAnsi="Times New Roman"/>
        </w:rPr>
        <w:t>50</w:t>
      </w:r>
      <w:r>
        <w:rPr>
          <w:rFonts w:ascii="Times New Roman" w:hAnsi="Times New Roman"/>
        </w:rPr>
        <w:t xml:space="preserve"> % de l’utilisation de fertilisants en Italie ainsi qu’une augmentation de </w:t>
      </w:r>
      <w:r w:rsidRPr="00C75E40">
        <w:rPr>
          <w:rFonts w:ascii="Times New Roman" w:hAnsi="Times New Roman"/>
        </w:rPr>
        <w:t>26</w:t>
      </w:r>
      <w:r>
        <w:rPr>
          <w:rFonts w:ascii="Times New Roman" w:hAnsi="Times New Roman"/>
        </w:rPr>
        <w:t> % du rendement des parcelles agricoles pilotes grecques malgré des conditions climatiques extrêmes en </w:t>
      </w:r>
      <w:r w:rsidRPr="00C75E40">
        <w:rPr>
          <w:rFonts w:ascii="Times New Roman" w:hAnsi="Times New Roman"/>
        </w:rPr>
        <w:t>2018</w:t>
      </w:r>
      <w:r>
        <w:rPr>
          <w:rFonts w:ascii="Times New Roman" w:hAnsi="Times New Roman"/>
        </w:rPr>
        <w:t>.</w:t>
      </w:r>
    </w:p>
    <w:p w14:paraId="458EADA4" w14:textId="7861A328" w:rsidR="006C22B7" w:rsidRDefault="00F47D23">
      <w:pPr>
        <w:jc w:val="both"/>
        <w:rPr>
          <w:rFonts w:ascii="Times New Roman" w:hAnsi="Times New Roman" w:cs="Times New Roman"/>
          <w:sz w:val="24"/>
          <w:szCs w:val="24"/>
        </w:rPr>
      </w:pPr>
      <w:r>
        <w:rPr>
          <w:rFonts w:ascii="Times New Roman" w:hAnsi="Times New Roman"/>
        </w:rPr>
        <w:t xml:space="preserve">La stratégie d’adaptation de l’UE a été évaluée comme étant positive en </w:t>
      </w:r>
      <w:r w:rsidRPr="00C75E40">
        <w:rPr>
          <w:rFonts w:ascii="Times New Roman" w:hAnsi="Times New Roman"/>
        </w:rPr>
        <w:t>2018</w:t>
      </w:r>
      <w:r>
        <w:rPr>
          <w:rStyle w:val="FootnoteReference"/>
          <w:rFonts w:ascii="Times New Roman" w:hAnsi="Times New Roman" w:cs="Times New Roman"/>
        </w:rPr>
        <w:footnoteReference w:id="43"/>
      </w:r>
      <w:r>
        <w:rPr>
          <w:rFonts w:ascii="Times New Roman" w:hAnsi="Times New Roman"/>
        </w:rPr>
        <w:t xml:space="preserve">. Certains </w:t>
      </w:r>
      <w:r>
        <w:rPr>
          <w:rFonts w:ascii="Times New Roman" w:hAnsi="Times New Roman"/>
          <w:b/>
          <w:bCs/>
        </w:rPr>
        <w:t>enseignements</w:t>
      </w:r>
      <w:r>
        <w:rPr>
          <w:rFonts w:ascii="Times New Roman" w:hAnsi="Times New Roman"/>
        </w:rPr>
        <w:t xml:space="preserve"> pourraient aider à définir l’avenir de l’action d’adaptation en Europe. Par exemple:</w:t>
      </w:r>
    </w:p>
    <w:p w14:paraId="0DA84885" w14:textId="3675782C" w:rsidR="006C22B7" w:rsidRDefault="00F47D23">
      <w:pPr>
        <w:pStyle w:val="ListParagraph"/>
        <w:numPr>
          <w:ilvl w:val="0"/>
          <w:numId w:val="4"/>
        </w:numPr>
        <w:spacing w:after="200" w:line="276" w:lineRule="auto"/>
        <w:jc w:val="both"/>
        <w:rPr>
          <w:rFonts w:ascii="Times New Roman" w:hAnsi="Times New Roman" w:cs="Times New Roman"/>
          <w:sz w:val="24"/>
          <w:szCs w:val="24"/>
        </w:rPr>
      </w:pPr>
      <w:r>
        <w:rPr>
          <w:rFonts w:ascii="Times New Roman" w:hAnsi="Times New Roman"/>
        </w:rPr>
        <w:t>Les évolutions à l’échelle internationale ont révélé la nécessité pour l’Union d’aligner son action en matière d’adaptation sur l’accord de Paris, le cadre Sendai pour la réduction des risques de catastrophe et les objectifs de développement durable.</w:t>
      </w:r>
    </w:p>
    <w:p w14:paraId="0BF2C4ED" w14:textId="57F833C5" w:rsidR="006C22B7" w:rsidRDefault="00F47D23">
      <w:pPr>
        <w:pStyle w:val="ListParagraph"/>
        <w:numPr>
          <w:ilvl w:val="0"/>
          <w:numId w:val="4"/>
        </w:numPr>
        <w:spacing w:after="200" w:line="276" w:lineRule="auto"/>
        <w:jc w:val="both"/>
        <w:rPr>
          <w:rFonts w:ascii="Times New Roman" w:hAnsi="Times New Roman" w:cs="Times New Roman"/>
          <w:sz w:val="24"/>
          <w:szCs w:val="24"/>
        </w:rPr>
      </w:pPr>
      <w:r>
        <w:rPr>
          <w:rFonts w:ascii="Times New Roman" w:hAnsi="Times New Roman"/>
        </w:rPr>
        <w:t xml:space="preserve">La nécessité de s’adapter aux changements rapides est encore bien plus grande qu’au moment de l’adoption de la stratégie: il est important de mieux renforcer l’infrastructure contre les conséquences des événements météorologiques extrêmes et du changement climatique. </w:t>
      </w:r>
    </w:p>
    <w:p w14:paraId="7B796AD2" w14:textId="24270728" w:rsidR="006C22B7" w:rsidRDefault="0030411A">
      <w:pPr>
        <w:pStyle w:val="ListParagraph"/>
        <w:numPr>
          <w:ilvl w:val="0"/>
          <w:numId w:val="4"/>
        </w:numPr>
        <w:spacing w:after="200" w:line="276" w:lineRule="auto"/>
        <w:jc w:val="both"/>
        <w:rPr>
          <w:rFonts w:ascii="Times New Roman" w:hAnsi="Times New Roman" w:cs="Times New Roman"/>
          <w:sz w:val="24"/>
          <w:szCs w:val="24"/>
        </w:rPr>
      </w:pPr>
      <w:r>
        <w:rPr>
          <w:rFonts w:ascii="Times New Roman" w:hAnsi="Times New Roman"/>
        </w:rPr>
        <w:t xml:space="preserve">Les </w:t>
      </w:r>
      <w:r>
        <w:rPr>
          <w:rFonts w:ascii="Times New Roman" w:hAnsi="Times New Roman"/>
          <w:b/>
          <w:bCs/>
        </w:rPr>
        <w:t xml:space="preserve">approches fondées sur l’écosystème </w:t>
      </w:r>
      <w:r>
        <w:rPr>
          <w:rFonts w:ascii="Times New Roman" w:hAnsi="Times New Roman"/>
        </w:rPr>
        <w:t>doivent être mieux intégrées dans l’évaluation et le choix des options d’adaptation.</w:t>
      </w:r>
    </w:p>
    <w:p w14:paraId="7C03F95D" w14:textId="70DE750F" w:rsidR="006C22B7" w:rsidRDefault="00F47D23">
      <w:pPr>
        <w:pStyle w:val="ListParagraph"/>
        <w:numPr>
          <w:ilvl w:val="0"/>
          <w:numId w:val="4"/>
        </w:numPr>
        <w:spacing w:after="200" w:line="276" w:lineRule="auto"/>
        <w:jc w:val="both"/>
        <w:rPr>
          <w:rFonts w:ascii="Times New Roman" w:hAnsi="Times New Roman" w:cs="Times New Roman"/>
          <w:sz w:val="24"/>
          <w:szCs w:val="24"/>
        </w:rPr>
      </w:pPr>
      <w:r>
        <w:rPr>
          <w:rFonts w:ascii="Times New Roman" w:hAnsi="Times New Roman"/>
        </w:rPr>
        <w:t xml:space="preserve">Les questions de </w:t>
      </w:r>
      <w:r>
        <w:rPr>
          <w:rFonts w:ascii="Times New Roman" w:hAnsi="Times New Roman"/>
          <w:b/>
          <w:bCs/>
        </w:rPr>
        <w:t>santé publique</w:t>
      </w:r>
      <w:r>
        <w:rPr>
          <w:rFonts w:ascii="Times New Roman" w:hAnsi="Times New Roman"/>
        </w:rPr>
        <w:t xml:space="preserve"> devrai</w:t>
      </w:r>
      <w:r w:rsidR="00D26CF5">
        <w:rPr>
          <w:rFonts w:ascii="Times New Roman" w:hAnsi="Times New Roman"/>
        </w:rPr>
        <w:t>en</w:t>
      </w:r>
      <w:r>
        <w:rPr>
          <w:rFonts w:ascii="Times New Roman" w:hAnsi="Times New Roman"/>
        </w:rPr>
        <w:t xml:space="preserve">t faire l’objet d’une attention accrue en ce qui concerne les politiques et les programmes d’adaptation. </w:t>
      </w:r>
    </w:p>
    <w:p w14:paraId="35446B66" w14:textId="0656CA55" w:rsidR="006C22B7" w:rsidRDefault="00583B27">
      <w:pPr>
        <w:jc w:val="both"/>
        <w:rPr>
          <w:rFonts w:ascii="Times New Roman" w:hAnsi="Times New Roman" w:cs="Times New Roman"/>
          <w:sz w:val="24"/>
          <w:szCs w:val="24"/>
        </w:rPr>
      </w:pPr>
      <w:r>
        <w:rPr>
          <w:rFonts w:ascii="Times New Roman" w:hAnsi="Times New Roman"/>
        </w:rPr>
        <w:t xml:space="preserve">Une </w:t>
      </w:r>
      <w:r>
        <w:rPr>
          <w:rFonts w:ascii="Times New Roman" w:hAnsi="Times New Roman"/>
          <w:b/>
          <w:bCs/>
        </w:rPr>
        <w:t xml:space="preserve">mission sur l’adaptation et la transformation de la société </w:t>
      </w:r>
      <w:r>
        <w:rPr>
          <w:rFonts w:ascii="Times New Roman" w:hAnsi="Times New Roman"/>
        </w:rPr>
        <w:t>a été lancée dans le cadre d’Horizon Europe. Le comité de cette mission est présidé par M</w:t>
      </w:r>
      <w:r>
        <w:rPr>
          <w:rFonts w:ascii="Times New Roman" w:hAnsi="Times New Roman"/>
          <w:vertAlign w:val="superscript"/>
        </w:rPr>
        <w:t xml:space="preserve">me </w:t>
      </w:r>
      <w:r>
        <w:rPr>
          <w:rFonts w:ascii="Times New Roman" w:hAnsi="Times New Roman"/>
        </w:rPr>
        <w:t>Connie Hedegaard. Les missions d’Horizon Europe sécuriseront et orienteront la recherche et l’innovation et impliqueront l’industrie et le grand public au moyen d’étapes ambitieuses et communicables</w:t>
      </w:r>
    </w:p>
    <w:p w14:paraId="31E676D3" w14:textId="77777777" w:rsidR="006C22B7" w:rsidRDefault="006C22B7">
      <w:pPr>
        <w:jc w:val="both"/>
        <w:rPr>
          <w:rFonts w:ascii="Times New Roman" w:hAnsi="Times New Roman" w:cs="Times New Roman"/>
          <w:sz w:val="24"/>
          <w:szCs w:val="24"/>
        </w:rPr>
      </w:pPr>
    </w:p>
    <w:p w14:paraId="123CE24D" w14:textId="1CEECE02" w:rsidR="006C22B7" w:rsidRDefault="00E04ACD">
      <w:pPr>
        <w:pStyle w:val="Heading1"/>
        <w:spacing w:before="360" w:after="240"/>
        <w:ind w:left="714" w:hanging="357"/>
        <w:jc w:val="both"/>
      </w:pPr>
      <w:r>
        <w:t>COOPÉRATION INTERNATIONALE EN MATIÈRE DE CLIMAT</w:t>
      </w:r>
    </w:p>
    <w:p w14:paraId="44C257F9" w14:textId="77777777" w:rsidR="006C22B7" w:rsidRDefault="002C5B81">
      <w:pPr>
        <w:pStyle w:val="Heading2"/>
        <w:spacing w:after="120"/>
      </w:pPr>
      <w:r>
        <w:t>Aviation</w:t>
      </w:r>
    </w:p>
    <w:p w14:paraId="6EB5C78B" w14:textId="366DB202" w:rsidR="006C22B7" w:rsidRDefault="000124D4">
      <w:pPr>
        <w:spacing w:line="240" w:lineRule="auto"/>
        <w:jc w:val="both"/>
        <w:rPr>
          <w:rFonts w:ascii="Times New Roman" w:hAnsi="Times New Roman" w:cs="Times New Roman"/>
          <w:sz w:val="24"/>
          <w:szCs w:val="24"/>
        </w:rPr>
      </w:pPr>
      <w:r>
        <w:rPr>
          <w:rFonts w:ascii="Times New Roman" w:hAnsi="Times New Roman"/>
        </w:rPr>
        <w:t>En </w:t>
      </w:r>
      <w:r w:rsidRPr="00C75E40">
        <w:rPr>
          <w:rFonts w:ascii="Times New Roman" w:hAnsi="Times New Roman"/>
        </w:rPr>
        <w:t>2018</w:t>
      </w:r>
      <w:r>
        <w:rPr>
          <w:rFonts w:ascii="Times New Roman" w:hAnsi="Times New Roman"/>
        </w:rPr>
        <w:t xml:space="preserve">, le Conseil de l’Organisation de l’aviation civile internationale (OACI) a adopté des normes et pratiques recommandées dans le cadre de son régime de compensation et de réduction de carbone pour l’aviation internationale (CORSIA). L’objectif du régime CORSIA est de stabiliser les conséquences des émissions produites par l’aviation internationale aux niveaux de </w:t>
      </w:r>
      <w:r w:rsidRPr="00C75E40">
        <w:rPr>
          <w:rFonts w:ascii="Times New Roman" w:hAnsi="Times New Roman"/>
        </w:rPr>
        <w:t>2020</w:t>
      </w:r>
      <w:r>
        <w:rPr>
          <w:rFonts w:ascii="Times New Roman" w:hAnsi="Times New Roman"/>
        </w:rPr>
        <w:t xml:space="preserve"> au moyen de mesures de compensation. </w:t>
      </w:r>
    </w:p>
    <w:p w14:paraId="3F62FB00" w14:textId="1FA0BFB3" w:rsidR="006C22B7" w:rsidRDefault="00791B41">
      <w:pPr>
        <w:jc w:val="both"/>
        <w:rPr>
          <w:rFonts w:ascii="Times New Roman" w:hAnsi="Times New Roman" w:cs="Times New Roman"/>
          <w:sz w:val="24"/>
          <w:szCs w:val="24"/>
        </w:rPr>
      </w:pPr>
      <w:r>
        <w:rPr>
          <w:rFonts w:ascii="Times New Roman" w:hAnsi="Times New Roman"/>
        </w:rPr>
        <w:t xml:space="preserve">Au niveau de l’OACI, la mise en œuvre est en cours mais demeure incomplète. Les premières obligations en matière de contrôle ont débuté en </w:t>
      </w:r>
      <w:r w:rsidRPr="00C75E40">
        <w:rPr>
          <w:rFonts w:ascii="Times New Roman" w:hAnsi="Times New Roman"/>
        </w:rPr>
        <w:t>2019</w:t>
      </w:r>
      <w:r>
        <w:rPr>
          <w:rFonts w:ascii="Times New Roman" w:hAnsi="Times New Roman"/>
        </w:rPr>
        <w:t xml:space="preserve"> et une phase pilote sera lancée en </w:t>
      </w:r>
      <w:r w:rsidRPr="00C75E40">
        <w:rPr>
          <w:rFonts w:ascii="Times New Roman" w:hAnsi="Times New Roman"/>
        </w:rPr>
        <w:t>2021</w:t>
      </w:r>
      <w:r>
        <w:rPr>
          <w:rFonts w:ascii="Times New Roman" w:hAnsi="Times New Roman"/>
        </w:rPr>
        <w:t xml:space="preserve"> Si </w:t>
      </w:r>
      <w:r w:rsidRPr="00C75E40">
        <w:rPr>
          <w:rFonts w:ascii="Times New Roman" w:hAnsi="Times New Roman"/>
        </w:rPr>
        <w:t>81</w:t>
      </w:r>
      <w:r>
        <w:rPr>
          <w:rFonts w:ascii="Times New Roman" w:hAnsi="Times New Roman"/>
        </w:rPr>
        <w:t xml:space="preserve"> pays représentant </w:t>
      </w:r>
      <w:r w:rsidRPr="00C75E40">
        <w:rPr>
          <w:rFonts w:ascii="Times New Roman" w:hAnsi="Times New Roman"/>
        </w:rPr>
        <w:t>76</w:t>
      </w:r>
      <w:r>
        <w:rPr>
          <w:rFonts w:ascii="Times New Roman" w:hAnsi="Times New Roman"/>
        </w:rPr>
        <w:t>,</w:t>
      </w:r>
      <w:r w:rsidRPr="00C75E40">
        <w:rPr>
          <w:rFonts w:ascii="Times New Roman" w:hAnsi="Times New Roman"/>
        </w:rPr>
        <w:t>6</w:t>
      </w:r>
      <w:r>
        <w:rPr>
          <w:rFonts w:ascii="Times New Roman" w:hAnsi="Times New Roman"/>
        </w:rPr>
        <w:t> % des émissions globales se sont déjà proposés de participer à partir de </w:t>
      </w:r>
      <w:r w:rsidRPr="00C75E40">
        <w:rPr>
          <w:rFonts w:ascii="Times New Roman" w:hAnsi="Times New Roman"/>
        </w:rPr>
        <w:t>2021</w:t>
      </w:r>
      <w:r>
        <w:rPr>
          <w:rFonts w:ascii="Times New Roman" w:hAnsi="Times New Roman"/>
        </w:rPr>
        <w:t>, il existe toujours des incertitudes quant à la couverture et à la fiabilité finale du système en raison de l’absence de participation de pays à l’activité aérienne importante et de décisions restant à prendre en ce qui concerne les unités d’émission pouvant faire l’objet d’une compensation.</w:t>
      </w:r>
    </w:p>
    <w:p w14:paraId="72AF8D46" w14:textId="598AB3A6" w:rsidR="006C22B7" w:rsidRDefault="00791B41">
      <w:pPr>
        <w:jc w:val="both"/>
        <w:rPr>
          <w:rFonts w:ascii="Times New Roman" w:hAnsi="Times New Roman" w:cs="Times New Roman"/>
          <w:sz w:val="24"/>
          <w:szCs w:val="24"/>
        </w:rPr>
      </w:pPr>
      <w:r>
        <w:rPr>
          <w:rFonts w:ascii="Times New Roman" w:hAnsi="Times New Roman"/>
        </w:rPr>
        <w:t>Les États membres ont informé</w:t>
      </w:r>
      <w:r>
        <w:rPr>
          <w:rStyle w:val="FootnoteReference"/>
          <w:rFonts w:ascii="Times New Roman" w:hAnsi="Times New Roman" w:cs="Times New Roman"/>
        </w:rPr>
        <w:footnoteReference w:id="44"/>
      </w:r>
      <w:r>
        <w:rPr>
          <w:rFonts w:ascii="Times New Roman" w:hAnsi="Times New Roman"/>
        </w:rPr>
        <w:t xml:space="preserve"> l’OACI des différences existantes entre les caractéristiques du SEQE-UE pour l’aviation et les caractéristiques juridiquement contraignantes du régime CORSIA comprises dans les normes et pratiques recommandées afin de protéger la manœuvre politique de l’Union.</w:t>
      </w:r>
      <w:r w:rsidR="00C75E40">
        <w:rPr>
          <w:rFonts w:ascii="Times New Roman" w:hAnsi="Times New Roman"/>
        </w:rPr>
        <w:t xml:space="preserve"> </w:t>
      </w:r>
    </w:p>
    <w:p w14:paraId="0A48E2DB" w14:textId="77777777" w:rsidR="006C22B7" w:rsidRDefault="00FC7587">
      <w:pPr>
        <w:pStyle w:val="Heading2"/>
        <w:spacing w:after="120"/>
        <w:rPr>
          <w:rFonts w:eastAsia="Times New Roman"/>
          <w:u w:color="000000"/>
          <w:bdr w:val="nil"/>
        </w:rPr>
      </w:pPr>
      <w:r>
        <w:rPr>
          <w:u w:color="000000"/>
          <w:bdr w:val="nil"/>
        </w:rPr>
        <w:t xml:space="preserve">Transport maritime </w:t>
      </w:r>
    </w:p>
    <w:p w14:paraId="29339A77" w14:textId="74E6FE68" w:rsidR="006C22B7" w:rsidRDefault="00FC7587">
      <w:pPr>
        <w:jc w:val="both"/>
        <w:rPr>
          <w:rFonts w:ascii="Times New Roman" w:hAnsi="Times New Roman" w:cs="Times New Roman"/>
          <w:sz w:val="24"/>
          <w:szCs w:val="24"/>
        </w:rPr>
      </w:pPr>
      <w:r>
        <w:rPr>
          <w:rFonts w:ascii="Times New Roman" w:hAnsi="Times New Roman"/>
        </w:rPr>
        <w:t>En </w:t>
      </w:r>
      <w:r w:rsidRPr="00C75E40">
        <w:rPr>
          <w:rFonts w:ascii="Times New Roman" w:hAnsi="Times New Roman"/>
        </w:rPr>
        <w:t>2018</w:t>
      </w:r>
      <w:r>
        <w:rPr>
          <w:rFonts w:ascii="Times New Roman" w:hAnsi="Times New Roman"/>
        </w:rPr>
        <w:t xml:space="preserve">, l’Organisation maritime internationale (OMI) a adopté sa stratégie relative à la réduction des émissions de GES issues des navires, notamment par un engagement international à réduire les émissions d’au moins </w:t>
      </w:r>
      <w:r w:rsidRPr="00C75E40">
        <w:rPr>
          <w:rFonts w:ascii="Times New Roman" w:hAnsi="Times New Roman"/>
        </w:rPr>
        <w:t>50</w:t>
      </w:r>
      <w:r>
        <w:rPr>
          <w:rFonts w:ascii="Times New Roman" w:hAnsi="Times New Roman"/>
        </w:rPr>
        <w:t> % d’ici </w:t>
      </w:r>
      <w:r w:rsidRPr="00C75E40">
        <w:rPr>
          <w:rFonts w:ascii="Times New Roman" w:hAnsi="Times New Roman"/>
        </w:rPr>
        <w:t>2050</w:t>
      </w:r>
      <w:r>
        <w:rPr>
          <w:rFonts w:ascii="Times New Roman" w:hAnsi="Times New Roman"/>
        </w:rPr>
        <w:t xml:space="preserve"> par rapport à </w:t>
      </w:r>
      <w:r w:rsidRPr="00C75E40">
        <w:rPr>
          <w:rFonts w:ascii="Times New Roman" w:hAnsi="Times New Roman"/>
        </w:rPr>
        <w:t>2008</w:t>
      </w:r>
      <w:r>
        <w:rPr>
          <w:rFonts w:ascii="Times New Roman" w:hAnsi="Times New Roman"/>
        </w:rPr>
        <w:t xml:space="preserve"> (y compris des objectifs d’intensité carbone intermédiaires). En tant que membres de l’Organisation maritime internationale, les États membres de l’Union européenne doivent agir en ce qui concerne cet engagement. </w:t>
      </w:r>
    </w:p>
    <w:p w14:paraId="3BB995D5" w14:textId="540A17A5" w:rsidR="006C22B7" w:rsidRDefault="00FC7587">
      <w:pPr>
        <w:jc w:val="both"/>
        <w:rPr>
          <w:rFonts w:ascii="Times New Roman" w:hAnsi="Times New Roman" w:cs="Times New Roman"/>
          <w:sz w:val="24"/>
          <w:szCs w:val="24"/>
        </w:rPr>
      </w:pPr>
      <w:r>
        <w:rPr>
          <w:rFonts w:ascii="Times New Roman" w:hAnsi="Times New Roman"/>
        </w:rPr>
        <w:t xml:space="preserve">La stratégie de l’OMI comprend une liste de mesures potentielles sur le court, moyen et long terme afin d’atteindre les objectifs de la stratégie, donnant ainsi la priorité aux mesures permettant de nouvelles réductions des émissions avant </w:t>
      </w:r>
      <w:r w:rsidRPr="00C75E40">
        <w:rPr>
          <w:rFonts w:ascii="Times New Roman" w:hAnsi="Times New Roman"/>
        </w:rPr>
        <w:t>2023</w:t>
      </w:r>
      <w:r>
        <w:rPr>
          <w:rFonts w:ascii="Times New Roman" w:hAnsi="Times New Roman"/>
        </w:rPr>
        <w:t xml:space="preserve"> et reposant sur les mesures existantes de l’OMI, telles que l’indice nominal de rendement énergétique et le plan de gestion du rendement énergétique des navires.</w:t>
      </w:r>
      <w:r w:rsidR="00C75E40">
        <w:rPr>
          <w:rFonts w:ascii="Times New Roman" w:hAnsi="Times New Roman"/>
        </w:rPr>
        <w:t xml:space="preserve"> </w:t>
      </w:r>
      <w:r>
        <w:rPr>
          <w:rFonts w:ascii="Times New Roman" w:hAnsi="Times New Roman"/>
        </w:rPr>
        <w:t>La Commission européenne participe étroitement aux négociations en cours portant sur les mesures concrètes à l’OMI, notamment les propositions soumises par les États membres de l’Union.</w:t>
      </w:r>
      <w:r>
        <w:t xml:space="preserve"> </w:t>
      </w:r>
    </w:p>
    <w:p w14:paraId="2FAA4269" w14:textId="0C0A1889" w:rsidR="006C22B7" w:rsidRDefault="00FC7587">
      <w:pPr>
        <w:jc w:val="both"/>
        <w:rPr>
          <w:rFonts w:ascii="Times New Roman" w:hAnsi="Times New Roman" w:cs="Times New Roman"/>
          <w:sz w:val="24"/>
          <w:szCs w:val="24"/>
        </w:rPr>
      </w:pPr>
      <w:r>
        <w:rPr>
          <w:rFonts w:ascii="Times New Roman" w:hAnsi="Times New Roman"/>
        </w:rPr>
        <w:t>En </w:t>
      </w:r>
      <w:r w:rsidRPr="00C75E40">
        <w:rPr>
          <w:rFonts w:ascii="Times New Roman" w:hAnsi="Times New Roman"/>
        </w:rPr>
        <w:t>2018</w:t>
      </w:r>
      <w:r>
        <w:rPr>
          <w:rFonts w:ascii="Times New Roman" w:hAnsi="Times New Roman"/>
        </w:rPr>
        <w:t xml:space="preserve">, les navires faisant escale dans les ports de l’Espace économique européen ont commencé à surveiller et à déclarer leurs émissions. Les premières données relatives aux émissions ont été publiées le </w:t>
      </w:r>
      <w:r w:rsidRPr="00C75E40">
        <w:rPr>
          <w:rFonts w:ascii="Times New Roman" w:hAnsi="Times New Roman"/>
        </w:rPr>
        <w:t>30</w:t>
      </w:r>
      <w:r>
        <w:rPr>
          <w:rFonts w:ascii="Times New Roman" w:hAnsi="Times New Roman"/>
        </w:rPr>
        <w:t> juin </w:t>
      </w:r>
      <w:r w:rsidRPr="00C75E40">
        <w:rPr>
          <w:rFonts w:ascii="Times New Roman" w:hAnsi="Times New Roman"/>
        </w:rPr>
        <w:t>2019</w:t>
      </w:r>
      <w:r>
        <w:rPr>
          <w:rStyle w:val="FootnoteReference"/>
          <w:rFonts w:ascii="Times New Roman" w:hAnsi="Times New Roman" w:cs="Times New Roman"/>
        </w:rPr>
        <w:footnoteReference w:id="45"/>
      </w:r>
      <w:r>
        <w:rPr>
          <w:rFonts w:ascii="Times New Roman" w:hAnsi="Times New Roman"/>
        </w:rPr>
        <w:t>. Ce système vise à fournir des informations solides à l’appui des décisions politiques et de la transparence nécessaire pour stimuler l’adoption de technologies et de comportements permettant d’améliorer l’efficacité énergétique. D’ici la fin de l’année </w:t>
      </w:r>
      <w:r w:rsidRPr="00C75E40">
        <w:rPr>
          <w:rFonts w:ascii="Times New Roman" w:hAnsi="Times New Roman"/>
        </w:rPr>
        <w:t>2019</w:t>
      </w:r>
      <w:r>
        <w:rPr>
          <w:rFonts w:ascii="Times New Roman" w:hAnsi="Times New Roman"/>
        </w:rPr>
        <w:t>, la Commission européenne finalisera un rapport sur la première année de fonctionnement du système.</w:t>
      </w:r>
    </w:p>
    <w:p w14:paraId="31C2728A" w14:textId="4DA73087" w:rsidR="006C22B7" w:rsidRDefault="00FC7587">
      <w:pPr>
        <w:jc w:val="both"/>
        <w:rPr>
          <w:rFonts w:ascii="Times New Roman" w:hAnsi="Times New Roman" w:cs="Times New Roman"/>
          <w:sz w:val="24"/>
          <w:szCs w:val="24"/>
        </w:rPr>
      </w:pPr>
      <w:r>
        <w:rPr>
          <w:rFonts w:ascii="Times New Roman" w:hAnsi="Times New Roman"/>
        </w:rPr>
        <w:t xml:space="preserve">Sous le contrôle de l’OMI, les activités de surveillance de la consommation de combustibles des navires ont débuté le </w:t>
      </w:r>
      <w:r w:rsidRPr="00C75E40">
        <w:rPr>
          <w:rFonts w:ascii="Times New Roman" w:hAnsi="Times New Roman"/>
        </w:rPr>
        <w:t>1</w:t>
      </w:r>
      <w:r>
        <w:rPr>
          <w:rFonts w:ascii="Times New Roman" w:hAnsi="Times New Roman"/>
          <w:vertAlign w:val="superscript"/>
        </w:rPr>
        <w:t>er</w:t>
      </w:r>
      <w:r>
        <w:rPr>
          <w:rFonts w:ascii="Times New Roman" w:hAnsi="Times New Roman"/>
        </w:rPr>
        <w:t xml:space="preserve"> janvier </w:t>
      </w:r>
      <w:r w:rsidRPr="00C75E40">
        <w:rPr>
          <w:rFonts w:ascii="Times New Roman" w:hAnsi="Times New Roman"/>
        </w:rPr>
        <w:t>2019</w:t>
      </w:r>
      <w:r>
        <w:rPr>
          <w:rFonts w:ascii="Times New Roman" w:hAnsi="Times New Roman"/>
        </w:rPr>
        <w:t xml:space="preserve"> et les premières déclarations sont attendues pour </w:t>
      </w:r>
      <w:r w:rsidRPr="00C75E40">
        <w:rPr>
          <w:rFonts w:ascii="Times New Roman" w:hAnsi="Times New Roman"/>
        </w:rPr>
        <w:t>2020</w:t>
      </w:r>
      <w:r>
        <w:rPr>
          <w:rFonts w:ascii="Times New Roman" w:hAnsi="Times New Roman"/>
        </w:rPr>
        <w:t>. Ainsi, les navires faisant escale dans les ports européens doivent émettre une déclaration au titre du règlement européen concernant la surveillance, la déclaration et la vérification des émissions de dioxyde de carbone du secteur du transport maritime et du système de collecte de données de l’OMI.</w:t>
      </w:r>
    </w:p>
    <w:p w14:paraId="3D0AC10C" w14:textId="77777777" w:rsidR="006C22B7" w:rsidRDefault="000B795E">
      <w:pPr>
        <w:pStyle w:val="Heading2"/>
        <w:spacing w:after="120"/>
      </w:pPr>
      <w:r>
        <w:t xml:space="preserve">Soutien des pays en développement </w:t>
      </w:r>
    </w:p>
    <w:p w14:paraId="609CC931" w14:textId="292CB438" w:rsidR="006C22B7" w:rsidRDefault="000B795E">
      <w:pPr>
        <w:jc w:val="both"/>
      </w:pPr>
      <w:r>
        <w:rPr>
          <w:rFonts w:ascii="Times New Roman" w:hAnsi="Times New Roman"/>
        </w:rPr>
        <w:t xml:space="preserve">L’Union et ses États membres restent, au niveau mondial, les principaux bailleurs de fonds d’aide publique en faveur des pays en développement, avec </w:t>
      </w:r>
      <w:r w:rsidRPr="00C75E40">
        <w:rPr>
          <w:rFonts w:ascii="Times New Roman" w:hAnsi="Times New Roman"/>
        </w:rPr>
        <w:t>74</w:t>
      </w:r>
      <w:r>
        <w:rPr>
          <w:rFonts w:ascii="Times New Roman" w:hAnsi="Times New Roman"/>
        </w:rPr>
        <w:t>,</w:t>
      </w:r>
      <w:r w:rsidRPr="00C75E40">
        <w:rPr>
          <w:rFonts w:ascii="Times New Roman" w:hAnsi="Times New Roman"/>
        </w:rPr>
        <w:t>4</w:t>
      </w:r>
      <w:r>
        <w:rPr>
          <w:rFonts w:ascii="Times New Roman" w:hAnsi="Times New Roman"/>
        </w:rPr>
        <w:t> milliards d’euros en </w:t>
      </w:r>
      <w:r w:rsidRPr="00C75E40">
        <w:rPr>
          <w:rFonts w:ascii="Times New Roman" w:hAnsi="Times New Roman"/>
        </w:rPr>
        <w:t>2018</w:t>
      </w:r>
      <w:r>
        <w:rPr>
          <w:rFonts w:ascii="Times New Roman" w:hAnsi="Times New Roman"/>
        </w:rPr>
        <w:t xml:space="preserve">. L’Union, ses États membres et la Banque européenne d’investissement sont également les principaux bailleurs de fonds publics destinés à la lutte contre le changement climatique, avec une contribution de </w:t>
      </w:r>
      <w:r w:rsidRPr="00C75E40">
        <w:rPr>
          <w:rFonts w:ascii="Times New Roman" w:hAnsi="Times New Roman"/>
        </w:rPr>
        <w:t>20</w:t>
      </w:r>
      <w:r>
        <w:rPr>
          <w:rFonts w:ascii="Times New Roman" w:hAnsi="Times New Roman"/>
        </w:rPr>
        <w:t>,</w:t>
      </w:r>
      <w:r w:rsidRPr="00C75E40">
        <w:rPr>
          <w:rFonts w:ascii="Times New Roman" w:hAnsi="Times New Roman"/>
        </w:rPr>
        <w:t>4</w:t>
      </w:r>
      <w:r>
        <w:rPr>
          <w:rFonts w:ascii="Times New Roman" w:hAnsi="Times New Roman"/>
        </w:rPr>
        <w:t> milliards d’euros en </w:t>
      </w:r>
      <w:r w:rsidRPr="00C75E40">
        <w:rPr>
          <w:rFonts w:ascii="Times New Roman" w:hAnsi="Times New Roman"/>
        </w:rPr>
        <w:t>2017</w:t>
      </w:r>
      <w:r>
        <w:rPr>
          <w:rFonts w:ascii="Times New Roman" w:hAnsi="Times New Roman"/>
        </w:rPr>
        <w:t xml:space="preserve"> (derniers chiffres disponibles)</w:t>
      </w:r>
      <w:r>
        <w:rPr>
          <w:rStyle w:val="FootnoteReference"/>
          <w:rFonts w:ascii="Times New Roman" w:eastAsia="Times New Roman" w:hAnsi="Times New Roman" w:cs="Times New Roman"/>
        </w:rPr>
        <w:footnoteReference w:id="46"/>
      </w:r>
      <w:r>
        <w:rPr>
          <w:rFonts w:ascii="Times New Roman" w:hAnsi="Times New Roman"/>
        </w:rPr>
        <w:t xml:space="preserve">. </w:t>
      </w:r>
    </w:p>
    <w:p w14:paraId="79DF42DA" w14:textId="14EBD1E9" w:rsidR="006C22B7" w:rsidRDefault="000B795E">
      <w:pPr>
        <w:jc w:val="both"/>
        <w:rPr>
          <w:rFonts w:ascii="Times New Roman" w:eastAsia="Times New Roman" w:hAnsi="Times New Roman" w:cs="Times New Roman"/>
          <w:sz w:val="24"/>
          <w:szCs w:val="24"/>
        </w:rPr>
      </w:pPr>
      <w:r>
        <w:rPr>
          <w:rFonts w:ascii="Times New Roman" w:hAnsi="Times New Roman"/>
        </w:rPr>
        <w:t xml:space="preserve">Pour le Fonds vert pour le climat, des États membres de l’Union ont engagé un total de </w:t>
      </w:r>
      <w:r w:rsidRPr="00C75E40">
        <w:rPr>
          <w:rFonts w:ascii="Times New Roman" w:hAnsi="Times New Roman"/>
        </w:rPr>
        <w:t>4</w:t>
      </w:r>
      <w:r>
        <w:rPr>
          <w:rFonts w:ascii="Times New Roman" w:hAnsi="Times New Roman"/>
        </w:rPr>
        <w:t>,</w:t>
      </w:r>
      <w:r w:rsidRPr="00C75E40">
        <w:rPr>
          <w:rFonts w:ascii="Times New Roman" w:hAnsi="Times New Roman"/>
        </w:rPr>
        <w:t>7</w:t>
      </w:r>
      <w:r>
        <w:rPr>
          <w:rFonts w:ascii="Times New Roman" w:hAnsi="Times New Roman"/>
        </w:rPr>
        <w:t xml:space="preserve"> milliards USD au cours de la première mobilisation de ressources du Fonds, ce qui représente près de la moitié des </w:t>
      </w:r>
      <w:r w:rsidRPr="00C75E40">
        <w:rPr>
          <w:rFonts w:ascii="Times New Roman" w:hAnsi="Times New Roman"/>
        </w:rPr>
        <w:t>10</w:t>
      </w:r>
      <w:r>
        <w:rPr>
          <w:rFonts w:ascii="Times New Roman" w:hAnsi="Times New Roman"/>
        </w:rPr>
        <w:t>,</w:t>
      </w:r>
      <w:r w:rsidRPr="00C75E40">
        <w:rPr>
          <w:rFonts w:ascii="Times New Roman" w:hAnsi="Times New Roman"/>
        </w:rPr>
        <w:t>3</w:t>
      </w:r>
      <w:r>
        <w:rPr>
          <w:rFonts w:ascii="Times New Roman" w:hAnsi="Times New Roman"/>
        </w:rPr>
        <w:t xml:space="preserve"> milliards USD de l’ensemble des promesses. Le rôle de l’Europe s’élargira probablement davantage à l’avenir. L’Allemagne et la Norvège sont les premiers pays à avoir annoncé doubler leurs contributions à la session actuelle de refinancement du Fonds vert pour le climat.</w:t>
      </w:r>
      <w:r w:rsidR="00C75E40">
        <w:rPr>
          <w:rFonts w:ascii="Times New Roman" w:hAnsi="Times New Roman"/>
        </w:rPr>
        <w:t xml:space="preserve">   </w:t>
      </w:r>
    </w:p>
    <w:p w14:paraId="05148E2C" w14:textId="0CA2816D" w:rsidR="006C22B7" w:rsidRDefault="000B795E">
      <w:pPr>
        <w:jc w:val="both"/>
      </w:pPr>
      <w:r>
        <w:rPr>
          <w:rFonts w:ascii="Times New Roman" w:hAnsi="Times New Roman"/>
        </w:rPr>
        <w:t>L’Alliance mondiale contre le changement climatique+ (AMCC+) est une initiative phare de l’Union en matière de climat. Au cours de la période </w:t>
      </w:r>
      <w:r w:rsidRPr="00C75E40">
        <w:rPr>
          <w:rFonts w:ascii="Times New Roman" w:hAnsi="Times New Roman"/>
        </w:rPr>
        <w:t>2007</w:t>
      </w:r>
      <w:r>
        <w:rPr>
          <w:rFonts w:ascii="Times New Roman" w:hAnsi="Times New Roman"/>
        </w:rPr>
        <w:t>-</w:t>
      </w:r>
      <w:r w:rsidRPr="00C75E40">
        <w:rPr>
          <w:rFonts w:ascii="Times New Roman" w:hAnsi="Times New Roman"/>
        </w:rPr>
        <w:t>2020</w:t>
      </w:r>
      <w:r>
        <w:rPr>
          <w:rFonts w:ascii="Times New Roman" w:hAnsi="Times New Roman"/>
        </w:rPr>
        <w:t xml:space="preserve">, elle fournit des subventions de </w:t>
      </w:r>
      <w:r w:rsidRPr="00C75E40">
        <w:rPr>
          <w:rFonts w:ascii="Times New Roman" w:hAnsi="Times New Roman"/>
        </w:rPr>
        <w:t>750</w:t>
      </w:r>
      <w:r>
        <w:rPr>
          <w:rFonts w:ascii="Times New Roman" w:hAnsi="Times New Roman"/>
        </w:rPr>
        <w:t xml:space="preserve"> millions d’euros pour l’action pour le climat et le renforcement des capacités dans les pays en développement, principalement les pays les moins avancés et les petits États insulaires en développement. Dans le cadre de la mise à jour actuelle des contributions déterminées au niveau national à l’accord de Paris, l’AMCC+ soutient les partenaires dans l’élaboration de leurs politiques climatiques ainsi que dans la planification d’ambitieuses mesures d’atténuation des changements climatiques et d’adaptation à ceux-ci. </w:t>
      </w:r>
    </w:p>
    <w:p w14:paraId="009EF3E6" w14:textId="01DE7A98" w:rsidR="006C22B7" w:rsidRDefault="000B795E">
      <w:pPr>
        <w:jc w:val="both"/>
      </w:pPr>
      <w:r>
        <w:rPr>
          <w:rFonts w:ascii="Times New Roman" w:hAnsi="Times New Roman"/>
        </w:rPr>
        <w:t xml:space="preserve">Le plan d’investissement extérieur de l’UE encourage les investissements dans les pays en développement d’Afrique et du voisinage de l’UE. Jusqu’à présent, huit garanties contribueront à la création de projets d’énergies renouvelables et de connectivité et à leur élargissement à des millions de personnes dans les pays partenaires. Par exemple, la garantie européenne pour les énergies renouvelables, dirigée par quatre institutions financières européennes, mobilisera jusqu’à </w:t>
      </w:r>
      <w:r w:rsidRPr="00C75E40">
        <w:rPr>
          <w:rFonts w:ascii="Times New Roman" w:hAnsi="Times New Roman"/>
        </w:rPr>
        <w:t>3</w:t>
      </w:r>
      <w:r>
        <w:rPr>
          <w:rFonts w:ascii="Times New Roman" w:hAnsi="Times New Roman"/>
        </w:rPr>
        <w:t>,</w:t>
      </w:r>
      <w:r w:rsidRPr="00C75E40">
        <w:rPr>
          <w:rFonts w:ascii="Times New Roman" w:hAnsi="Times New Roman"/>
        </w:rPr>
        <w:t>4</w:t>
      </w:r>
      <w:r>
        <w:rPr>
          <w:rFonts w:ascii="Times New Roman" w:hAnsi="Times New Roman"/>
        </w:rPr>
        <w:t xml:space="preserve"> milliards d’EUR pour des projets menés en Afrique subsaharienne. Les projets réduiront les émissions de carbone, diminueront les coupures de courant, généreront jusqu’à </w:t>
      </w:r>
      <w:r w:rsidRPr="00C75E40">
        <w:rPr>
          <w:rFonts w:ascii="Times New Roman" w:hAnsi="Times New Roman"/>
        </w:rPr>
        <w:t>12</w:t>
      </w:r>
      <w:r>
        <w:rPr>
          <w:rFonts w:ascii="Times New Roman" w:hAnsi="Times New Roman"/>
        </w:rPr>
        <w:t> </w:t>
      </w:r>
      <w:r w:rsidRPr="00C75E40">
        <w:rPr>
          <w:rFonts w:ascii="Times New Roman" w:hAnsi="Times New Roman"/>
        </w:rPr>
        <w:t>000</w:t>
      </w:r>
      <w:r>
        <w:rPr>
          <w:rFonts w:ascii="Times New Roman" w:hAnsi="Times New Roman"/>
        </w:rPr>
        <w:t xml:space="preserve"> emplois et ajouteront près de </w:t>
      </w:r>
      <w:r w:rsidRPr="00C75E40">
        <w:rPr>
          <w:rFonts w:ascii="Times New Roman" w:hAnsi="Times New Roman"/>
        </w:rPr>
        <w:t>2</w:t>
      </w:r>
      <w:r>
        <w:rPr>
          <w:rFonts w:ascii="Times New Roman" w:hAnsi="Times New Roman"/>
        </w:rPr>
        <w:t> GW de capacité de production d’énergies renouvelables.</w:t>
      </w:r>
      <w:r w:rsidR="00C75E40">
        <w:rPr>
          <w:rFonts w:ascii="Times New Roman" w:hAnsi="Times New Roman"/>
        </w:rPr>
        <w:t xml:space="preserve"> </w:t>
      </w:r>
    </w:p>
    <w:p w14:paraId="6CFF5DB9" w14:textId="2138DA51" w:rsidR="006C22B7" w:rsidRDefault="000B795E">
      <w:pPr>
        <w:jc w:val="both"/>
        <w:rPr>
          <w:rFonts w:ascii="Times New Roman" w:eastAsia="Times New Roman" w:hAnsi="Times New Roman" w:cs="Times New Roman"/>
          <w:sz w:val="24"/>
          <w:szCs w:val="24"/>
        </w:rPr>
      </w:pPr>
      <w:r>
        <w:rPr>
          <w:rFonts w:ascii="Times New Roman" w:hAnsi="Times New Roman"/>
        </w:rPr>
        <w:t>Les négociations portant sur l’établissement d’un nouveau partenariat entre l’UE et les pays ACP (Afrique, Caraïbes et Pacifique) après </w:t>
      </w:r>
      <w:r w:rsidRPr="00C75E40">
        <w:rPr>
          <w:rFonts w:ascii="Times New Roman" w:hAnsi="Times New Roman"/>
        </w:rPr>
        <w:t>2020</w:t>
      </w:r>
      <w:r>
        <w:rPr>
          <w:rFonts w:ascii="Times New Roman" w:hAnsi="Times New Roman"/>
        </w:rPr>
        <w:t xml:space="preserve"> ont débuté le </w:t>
      </w:r>
      <w:r w:rsidRPr="00C75E40">
        <w:rPr>
          <w:rFonts w:ascii="Times New Roman" w:hAnsi="Times New Roman"/>
        </w:rPr>
        <w:t>28</w:t>
      </w:r>
      <w:r>
        <w:rPr>
          <w:rFonts w:ascii="Times New Roman" w:hAnsi="Times New Roman"/>
        </w:rPr>
        <w:t> septembre </w:t>
      </w:r>
      <w:r w:rsidRPr="00C75E40">
        <w:rPr>
          <w:rFonts w:ascii="Times New Roman" w:hAnsi="Times New Roman"/>
        </w:rPr>
        <w:t>2018</w:t>
      </w:r>
      <w:r>
        <w:rPr>
          <w:rFonts w:ascii="Times New Roman" w:hAnsi="Times New Roman"/>
        </w:rPr>
        <w:t>. L’accord post-Cotonou prévu</w:t>
      </w:r>
      <w:r>
        <w:rPr>
          <w:rStyle w:val="FootnoteReference"/>
        </w:rPr>
        <w:footnoteReference w:id="47"/>
      </w:r>
      <w:r>
        <w:rPr>
          <w:rFonts w:ascii="Calibri" w:hAnsi="Calibri"/>
        </w:rPr>
        <w:t xml:space="preserve"> </w:t>
      </w:r>
      <w:r>
        <w:rPr>
          <w:rFonts w:ascii="Times New Roman" w:hAnsi="Times New Roman"/>
        </w:rPr>
        <w:t>inclura un engagement commun fort envers l’action climatique. En outre, une nouvelle alliance Afrique-Europe pour des emplois et des investissements durables a été lancée en </w:t>
      </w:r>
      <w:r w:rsidRPr="00C75E40">
        <w:rPr>
          <w:rFonts w:ascii="Times New Roman" w:hAnsi="Times New Roman"/>
        </w:rPr>
        <w:t>2018</w:t>
      </w:r>
      <w:r>
        <w:rPr>
          <w:rFonts w:ascii="Times New Roman" w:hAnsi="Times New Roman"/>
        </w:rPr>
        <w:t xml:space="preserve"> et vise notamment à renforcer la protection de l’environnement et du travail. </w:t>
      </w:r>
    </w:p>
    <w:p w14:paraId="19E75EC8" w14:textId="77777777" w:rsidR="006C22B7" w:rsidRDefault="00FC7587">
      <w:pPr>
        <w:jc w:val="both"/>
        <w:rPr>
          <w:rFonts w:ascii="Times New Roman" w:hAnsi="Times New Roman" w:cs="Times New Roman"/>
          <w:b/>
          <w:i/>
          <w:sz w:val="24"/>
        </w:rPr>
      </w:pPr>
      <w:r>
        <w:rPr>
          <w:rFonts w:ascii="Times New Roman" w:hAnsi="Times New Roman"/>
          <w:b/>
          <w:i/>
        </w:rPr>
        <w:t xml:space="preserve">Couplage du SEQE avec la Suisse </w:t>
      </w:r>
    </w:p>
    <w:p w14:paraId="5C2BD281" w14:textId="1256A94C" w:rsidR="006C22B7" w:rsidRDefault="00FC7587">
      <w:pPr>
        <w:jc w:val="both"/>
        <w:rPr>
          <w:rFonts w:ascii="Times New Roman" w:hAnsi="Times New Roman" w:cs="Times New Roman"/>
          <w:sz w:val="24"/>
        </w:rPr>
      </w:pPr>
      <w:r>
        <w:rPr>
          <w:rFonts w:ascii="Times New Roman" w:hAnsi="Times New Roman"/>
        </w:rPr>
        <w:t>Après la signature d’un accord en novembre </w:t>
      </w:r>
      <w:r w:rsidRPr="00C75E40">
        <w:rPr>
          <w:rFonts w:ascii="Times New Roman" w:hAnsi="Times New Roman"/>
        </w:rPr>
        <w:t>2017</w:t>
      </w:r>
      <w:r>
        <w:rPr>
          <w:rFonts w:ascii="Times New Roman" w:hAnsi="Times New Roman"/>
        </w:rPr>
        <w:t xml:space="preserve"> afin de coupler leurs systèmes d’échange d’émissions, les parlements de l’Union européenne et de la Suisse ont désormais approuvé l’accord. La prochaine étape consistera à ratifier l’accord de couplage afin qu’il devienne opérationnel à compter du </w:t>
      </w:r>
      <w:r w:rsidRPr="00C75E40">
        <w:rPr>
          <w:rFonts w:ascii="Times New Roman" w:hAnsi="Times New Roman"/>
        </w:rPr>
        <w:t>1</w:t>
      </w:r>
      <w:r>
        <w:rPr>
          <w:rFonts w:ascii="Times New Roman" w:hAnsi="Times New Roman"/>
          <w:vertAlign w:val="superscript"/>
        </w:rPr>
        <w:t>er</w:t>
      </w:r>
      <w:r>
        <w:rPr>
          <w:rFonts w:ascii="Times New Roman" w:hAnsi="Times New Roman"/>
        </w:rPr>
        <w:t> janvier </w:t>
      </w:r>
      <w:r w:rsidRPr="00C75E40">
        <w:rPr>
          <w:rFonts w:ascii="Times New Roman" w:hAnsi="Times New Roman"/>
        </w:rPr>
        <w:t>2020</w:t>
      </w:r>
      <w:r>
        <w:rPr>
          <w:rFonts w:ascii="Times New Roman" w:hAnsi="Times New Roman"/>
        </w:rPr>
        <w:t>.</w:t>
      </w:r>
    </w:p>
    <w:p w14:paraId="1D1C1B7C" w14:textId="77777777" w:rsidR="006C22B7" w:rsidRDefault="006C22B7">
      <w:pPr>
        <w:jc w:val="both"/>
      </w:pPr>
    </w:p>
    <w:p w14:paraId="1BBB71A1" w14:textId="77777777" w:rsidR="006C22B7" w:rsidRDefault="006C22B7">
      <w:pPr>
        <w:jc w:val="both"/>
      </w:pPr>
    </w:p>
    <w:sectPr w:rsidR="006C22B7" w:rsidSect="00ED1184">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9E4D0" w14:textId="77777777" w:rsidR="006C22B7" w:rsidRDefault="00DE60AF">
      <w:pPr>
        <w:spacing w:after="0" w:line="240" w:lineRule="auto"/>
      </w:pPr>
      <w:r>
        <w:separator/>
      </w:r>
    </w:p>
  </w:endnote>
  <w:endnote w:type="continuationSeparator" w:id="0">
    <w:p w14:paraId="0B536C31" w14:textId="77777777" w:rsidR="006C22B7" w:rsidRDefault="00DE6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EC Square Sans Pro Medium">
    <w:panose1 w:val="020B0500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B8331" w14:textId="77777777" w:rsidR="00BD71DF" w:rsidRPr="00BD71DF" w:rsidRDefault="00BD71DF" w:rsidP="00BD7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50E3A" w14:textId="016803BE" w:rsidR="00BD71DF" w:rsidRPr="00BD71DF" w:rsidRDefault="00BD71DF" w:rsidP="00BD71DF">
    <w:pPr>
      <w:pStyle w:val="FooterCoverPage"/>
      <w:rPr>
        <w:rFonts w:ascii="Arial" w:hAnsi="Arial" w:cs="Arial"/>
        <w:b/>
        <w:sz w:val="48"/>
      </w:rPr>
    </w:pPr>
    <w:r w:rsidRPr="00BD71DF">
      <w:rPr>
        <w:rFonts w:ascii="Arial" w:hAnsi="Arial" w:cs="Arial"/>
        <w:b/>
        <w:sz w:val="48"/>
      </w:rPr>
      <w:t>FR</w:t>
    </w:r>
    <w:r w:rsidRPr="00BD71DF">
      <w:rPr>
        <w:rFonts w:ascii="Arial" w:hAnsi="Arial" w:cs="Arial"/>
        <w:b/>
        <w:sz w:val="48"/>
      </w:rPr>
      <w:tab/>
    </w:r>
    <w:r w:rsidRPr="00BD71DF">
      <w:rPr>
        <w:rFonts w:ascii="Arial" w:hAnsi="Arial" w:cs="Arial"/>
        <w:b/>
        <w:sz w:val="48"/>
      </w:rPr>
      <w:tab/>
    </w:r>
    <w:r w:rsidRPr="00BD71DF">
      <w:tab/>
    </w:r>
    <w:r w:rsidRPr="00BD71DF">
      <w:rPr>
        <w:rFonts w:ascii="Arial" w:hAnsi="Arial" w:cs="Arial"/>
        <w:b/>
        <w:sz w:val="48"/>
      </w:rPr>
      <w:t>FR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D3357" w14:textId="77777777" w:rsidR="00BD71DF" w:rsidRPr="00BD71DF" w:rsidRDefault="00BD71DF" w:rsidP="00BD71DF">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F8116" w14:textId="77777777" w:rsidR="00ED1184" w:rsidRDefault="00ED11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900640"/>
      <w:docPartObj>
        <w:docPartGallery w:val="Page Numbers (Bottom of Page)"/>
        <w:docPartUnique/>
      </w:docPartObj>
    </w:sdtPr>
    <w:sdtEndPr>
      <w:rPr>
        <w:noProof/>
      </w:rPr>
    </w:sdtEndPr>
    <w:sdtContent>
      <w:p w14:paraId="733D6CE6" w14:textId="31A9FE2B" w:rsidR="00ED1184" w:rsidRDefault="00ED1184">
        <w:pPr>
          <w:pStyle w:val="Footer"/>
          <w:jc w:val="center"/>
        </w:pPr>
        <w:r>
          <w:fldChar w:fldCharType="begin"/>
        </w:r>
        <w:r>
          <w:instrText xml:space="preserve"> PAGE   \* MERGEFORMAT </w:instrText>
        </w:r>
        <w:r>
          <w:fldChar w:fldCharType="separate"/>
        </w:r>
        <w:r w:rsidR="00BD71DF">
          <w:rPr>
            <w:noProof/>
          </w:rPr>
          <w:t>1</w:t>
        </w:r>
        <w:r>
          <w:fldChar w:fldCharType="end"/>
        </w:r>
      </w:p>
    </w:sdtContent>
  </w:sdt>
  <w:p w14:paraId="1687AD64" w14:textId="77777777" w:rsidR="00ED1184" w:rsidRDefault="00ED11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CD714" w14:textId="77777777" w:rsidR="00ED1184" w:rsidRDefault="00ED11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9B4C5" w14:textId="77777777" w:rsidR="006C22B7" w:rsidRDefault="00DE60AF">
      <w:pPr>
        <w:spacing w:after="0" w:line="240" w:lineRule="auto"/>
      </w:pPr>
      <w:r>
        <w:separator/>
      </w:r>
    </w:p>
  </w:footnote>
  <w:footnote w:type="continuationSeparator" w:id="0">
    <w:p w14:paraId="48AD80AB" w14:textId="77777777" w:rsidR="006C22B7" w:rsidRDefault="00DE60AF">
      <w:pPr>
        <w:spacing w:after="0" w:line="240" w:lineRule="auto"/>
      </w:pPr>
      <w:r>
        <w:continuationSeparator/>
      </w:r>
    </w:p>
  </w:footnote>
  <w:footnote w:id="1">
    <w:p w14:paraId="1AE5DD6A" w14:textId="1697710F" w:rsidR="006C22B7" w:rsidRDefault="0011373B">
      <w:pPr>
        <w:pStyle w:val="FootnoteText"/>
      </w:pPr>
      <w:r>
        <w:rPr>
          <w:rStyle w:val="FootnoteReference"/>
        </w:rPr>
        <w:footnoteRef/>
      </w:r>
      <w:r>
        <w:t xml:space="preserve"> COM(</w:t>
      </w:r>
      <w:r w:rsidRPr="00C75E40">
        <w:t>2018</w:t>
      </w:r>
      <w:r>
        <w:t>) </w:t>
      </w:r>
      <w:r w:rsidRPr="00C75E40">
        <w:t>773</w:t>
      </w:r>
      <w:r>
        <w:t xml:space="preserve"> final: Une planète propre pour tous. Une vision européenne stratégique à long terme pour une économie prospère, moderne, compétitive et neutre pour le climat.</w:t>
      </w:r>
    </w:p>
  </w:footnote>
  <w:footnote w:id="2">
    <w:p w14:paraId="7FCFCEAD" w14:textId="5322BD0E" w:rsidR="006C22B7" w:rsidRDefault="0011373B">
      <w:pPr>
        <w:pStyle w:val="FootnoteText"/>
      </w:pPr>
      <w:r>
        <w:rPr>
          <w:rStyle w:val="FootnoteReference"/>
        </w:rPr>
        <w:footnoteRef/>
      </w:r>
      <w:r>
        <w:t xml:space="preserve"> Source: COM(</w:t>
      </w:r>
      <w:r w:rsidRPr="00C75E40">
        <w:t>2018</w:t>
      </w:r>
      <w:r>
        <w:t>) </w:t>
      </w:r>
      <w:r w:rsidRPr="00C75E40">
        <w:t>773</w:t>
      </w:r>
      <w:r>
        <w:t xml:space="preserve"> final. </w:t>
      </w:r>
    </w:p>
  </w:footnote>
  <w:footnote w:id="3">
    <w:p w14:paraId="1701A3BD" w14:textId="18F001A7" w:rsidR="006C22B7" w:rsidRDefault="00CE78E6">
      <w:pPr>
        <w:pStyle w:val="FootnoteText"/>
      </w:pPr>
      <w:r>
        <w:rPr>
          <w:rStyle w:val="FootnoteReference"/>
        </w:rPr>
        <w:footnoteRef/>
      </w:r>
      <w:r>
        <w:t xml:space="preserve"> Outre son objectif fixé au titre de la CCNUCC, l’Union s’est engagée, avec l'Islande, à une réduction contraignante des émissions pour la deuxième période d’engagement du protocole de Kyoto (</w:t>
      </w:r>
      <w:r w:rsidRPr="00C75E40">
        <w:t>2013</w:t>
      </w:r>
      <w:r>
        <w:t>-</w:t>
      </w:r>
      <w:r w:rsidRPr="00C75E40">
        <w:t>2020</w:t>
      </w:r>
      <w:r>
        <w:t xml:space="preserve">). Il s’agit de réduire les émissions de </w:t>
      </w:r>
      <w:r w:rsidRPr="00C75E40">
        <w:t>20</w:t>
      </w:r>
      <w:r>
        <w:t> % par rapport aux émissions de l’année de référence (principalement </w:t>
      </w:r>
      <w:r w:rsidRPr="00C75E40">
        <w:t>1990</w:t>
      </w:r>
      <w:r>
        <w:t>). Le champ d’application diffère légèrement de celui de l’objectif de la CCNUCC. En </w:t>
      </w:r>
      <w:r w:rsidRPr="00C75E40">
        <w:t>2017</w:t>
      </w:r>
      <w:r>
        <w:t>, l’Union européenne et l’Islande avaient réduit leurs émissions de </w:t>
      </w:r>
      <w:r w:rsidRPr="00C75E40">
        <w:t>26</w:t>
      </w:r>
      <w:r>
        <w:t> % par rapport à l’année de référence.</w:t>
      </w:r>
      <w:r w:rsidR="00C75E40">
        <w:t xml:space="preserve"> </w:t>
      </w:r>
    </w:p>
  </w:footnote>
  <w:footnote w:id="4">
    <w:p w14:paraId="1E5A2991" w14:textId="16628EAD" w:rsidR="006C22B7" w:rsidRDefault="0030411A">
      <w:pPr>
        <w:pStyle w:val="FootnoteText"/>
      </w:pPr>
      <w:r>
        <w:rPr>
          <w:rStyle w:val="FootnoteReference"/>
        </w:rPr>
        <w:footnoteRef/>
      </w:r>
      <w:r>
        <w:t xml:space="preserve"> Somme des projections des États membres. On entend par «mesures existantes» les mesures que les États membres ont déjà appliquées. On entend par «mesures supplémentaires» celles que les États membres ont prévu d’appliquer.</w:t>
      </w:r>
      <w:r w:rsidR="00C75E40">
        <w:t xml:space="preserve"> </w:t>
      </w:r>
    </w:p>
  </w:footnote>
  <w:footnote w:id="5">
    <w:p w14:paraId="0B234FB7" w14:textId="2FE272D7" w:rsidR="006C22B7" w:rsidRDefault="00CE78E6">
      <w:pPr>
        <w:pStyle w:val="FootnoteText"/>
      </w:pPr>
      <w:r>
        <w:rPr>
          <w:rStyle w:val="FootnoteReference"/>
        </w:rPr>
        <w:footnoteRef/>
      </w:r>
      <w:r>
        <w:t xml:space="preserve"> Le graphique comprend l’ensemble des </w:t>
      </w:r>
      <w:r w:rsidRPr="00C75E40">
        <w:t>31</w:t>
      </w:r>
      <w:r>
        <w:t xml:space="preserve"> pays participants au SEQE-UE. </w:t>
      </w:r>
    </w:p>
  </w:footnote>
  <w:footnote w:id="6">
    <w:p w14:paraId="124F87FD" w14:textId="036C228A" w:rsidR="006C22B7" w:rsidRDefault="0045741B">
      <w:pPr>
        <w:pStyle w:val="FootnoteText"/>
      </w:pPr>
      <w:r>
        <w:rPr>
          <w:rStyle w:val="FootnoteReference"/>
        </w:rPr>
        <w:footnoteRef/>
      </w:r>
      <w:r>
        <w:t xml:space="preserve"> Comme l’exige le règlement (UE) </w:t>
      </w:r>
      <w:r w:rsidRPr="00C75E40">
        <w:t>2018</w:t>
      </w:r>
      <w:r>
        <w:t>/</w:t>
      </w:r>
      <w:r w:rsidRPr="00C75E40">
        <w:t>1999</w:t>
      </w:r>
      <w:r>
        <w:t xml:space="preserve"> sur la gouvernance de l’union de l’énergie et de l’action pour le climat. </w:t>
      </w:r>
    </w:p>
  </w:footnote>
  <w:footnote w:id="7">
    <w:p w14:paraId="6AEB8CE6" w14:textId="77777777" w:rsidR="006C22B7" w:rsidRDefault="003A2C80">
      <w:pPr>
        <w:pStyle w:val="FootnoteText"/>
      </w:pPr>
      <w:r>
        <w:rPr>
          <w:rStyle w:val="FootnoteReference"/>
        </w:rPr>
        <w:footnoteRef/>
      </w:r>
      <w:r>
        <w:t xml:space="preserve"> </w:t>
      </w:r>
      <w:hyperlink r:id="rId1" w:history="1">
        <w:r>
          <w:rPr>
            <w:rStyle w:val="Hyperlink"/>
          </w:rPr>
          <w:t>https://ec.europa.eu/energy/en/topics/energy-strategy-and-energy-union/governance-energy-union/national-energy-climate-plans</w:t>
        </w:r>
      </w:hyperlink>
      <w:r>
        <w:t xml:space="preserve"> </w:t>
      </w:r>
    </w:p>
  </w:footnote>
  <w:footnote w:id="8">
    <w:p w14:paraId="745FA8CE" w14:textId="1D5C7F9F" w:rsidR="006C22B7" w:rsidRDefault="00CE78E6">
      <w:pPr>
        <w:pStyle w:val="FootnoteText"/>
      </w:pPr>
      <w:r>
        <w:rPr>
          <w:rStyle w:val="FootnoteReference"/>
        </w:rPr>
        <w:footnoteRef/>
      </w:r>
      <w:r>
        <w:t xml:space="preserve"> Le graphique montre les émissions du SEQE vérifiées et la portée sectorielle et géographique du SEQE au cours de l’année concernée, et ne peut donc pas être lu comme une série chronologique avant </w:t>
      </w:r>
      <w:r w:rsidRPr="00C75E40">
        <w:t>2013</w:t>
      </w:r>
      <w:r>
        <w:t xml:space="preserve">. Les activités aériennes sont incluses dans le plafond pour la période </w:t>
      </w:r>
      <w:r w:rsidRPr="00C75E40">
        <w:t>2012</w:t>
      </w:r>
      <w:r>
        <w:t>-</w:t>
      </w:r>
      <w:r w:rsidRPr="00C75E40">
        <w:t>2018</w:t>
      </w:r>
      <w:r>
        <w:t>.</w:t>
      </w:r>
    </w:p>
  </w:footnote>
  <w:footnote w:id="9">
    <w:p w14:paraId="09A10AFF" w14:textId="5460E5AE" w:rsidR="006C22B7" w:rsidRDefault="008C7B9C">
      <w:pPr>
        <w:pStyle w:val="FootnoteText"/>
      </w:pPr>
      <w:r>
        <w:rPr>
          <w:rStyle w:val="FootnoteReference"/>
        </w:rPr>
        <w:footnoteRef/>
      </w:r>
      <w:r>
        <w:t xml:space="preserve"> L’excédent correspond au «nombre total de quotas en circulation» défini dans la décision établissant la réserve de stabilité du marché.</w:t>
      </w:r>
    </w:p>
  </w:footnote>
  <w:footnote w:id="10">
    <w:p w14:paraId="2A0321C7" w14:textId="77777777" w:rsidR="006C22B7" w:rsidRDefault="00CE78E6">
      <w:pPr>
        <w:pStyle w:val="FootnoteText"/>
      </w:pPr>
      <w:r>
        <w:rPr>
          <w:rStyle w:val="FootnoteReference"/>
        </w:rPr>
        <w:footnoteRef/>
      </w:r>
      <w:r>
        <w:t xml:space="preserve"> C(</w:t>
      </w:r>
      <w:r w:rsidRPr="00C75E40">
        <w:t>2019</w:t>
      </w:r>
      <w:r>
        <w:t>) </w:t>
      </w:r>
      <w:r w:rsidRPr="00C75E40">
        <w:t>3288</w:t>
      </w:r>
      <w:r>
        <w:t xml:space="preserve"> final: Publication du nombre total de quotas en circulation en </w:t>
      </w:r>
      <w:r w:rsidRPr="00C75E40">
        <w:t>2018</w:t>
      </w:r>
      <w:r>
        <w:t xml:space="preserve"> aux fins de </w:t>
      </w:r>
    </w:p>
    <w:p w14:paraId="54047353" w14:textId="0A530DB3" w:rsidR="006C22B7" w:rsidRDefault="00E809A6">
      <w:pPr>
        <w:pStyle w:val="FootnoteText"/>
      </w:pPr>
      <w:r>
        <w:t xml:space="preserve">la réserve de stabilité du marché dans le cadre du système d’échange de quotas d’émission de l’UE </w:t>
      </w:r>
    </w:p>
  </w:footnote>
  <w:footnote w:id="11">
    <w:p w14:paraId="6989455E" w14:textId="7CF0761F" w:rsidR="006C22B7" w:rsidRDefault="00244111">
      <w:pPr>
        <w:pStyle w:val="FootnoteText"/>
        <w:rPr>
          <w:rFonts w:cstheme="minorHAnsi"/>
        </w:rPr>
      </w:pPr>
      <w:r>
        <w:rPr>
          <w:rStyle w:val="FootnoteReference"/>
          <w:rFonts w:ascii="Times New Roman" w:hAnsi="Times New Roman" w:cs="Times New Roman"/>
        </w:rPr>
        <w:footnoteRef/>
      </w:r>
      <w:r w:rsidR="00C75E40">
        <w:rPr>
          <w:rFonts w:ascii="Times New Roman" w:hAnsi="Times New Roman"/>
        </w:rPr>
        <w:t xml:space="preserve"> </w:t>
      </w:r>
      <w:r>
        <w:t>Décision nº </w:t>
      </w:r>
      <w:r w:rsidRPr="00C75E40">
        <w:t>406</w:t>
      </w:r>
      <w:r>
        <w:t>/</w:t>
      </w:r>
      <w:r w:rsidRPr="00C75E40">
        <w:t>2009</w:t>
      </w:r>
      <w:r>
        <w:t xml:space="preserve">/CE du Parlement européen et du Conseil du </w:t>
      </w:r>
      <w:r w:rsidRPr="00C75E40">
        <w:t>23</w:t>
      </w:r>
      <w:r>
        <w:t> avril </w:t>
      </w:r>
      <w:r w:rsidRPr="00C75E40">
        <w:t>2009</w:t>
      </w:r>
      <w:r>
        <w:t xml:space="preserve"> relative à l’effort à fournir par les États membres pour réduire leurs émissions de gaz à effet de serre afin de respecter les engagements de la Communauté en matière de réduction de ces émissions jusqu’en </w:t>
      </w:r>
      <w:r w:rsidRPr="00C75E40">
        <w:t>2020</w:t>
      </w:r>
      <w:r>
        <w:t xml:space="preserve"> (JO L </w:t>
      </w:r>
      <w:r w:rsidRPr="00C75E40">
        <w:t>140</w:t>
      </w:r>
      <w:r>
        <w:t xml:space="preserve"> du </w:t>
      </w:r>
      <w:r w:rsidRPr="00C75E40">
        <w:t>5</w:t>
      </w:r>
      <w:r>
        <w:t>.</w:t>
      </w:r>
      <w:r w:rsidRPr="00C75E40">
        <w:t>6</w:t>
      </w:r>
      <w:r>
        <w:t>.</w:t>
      </w:r>
      <w:r w:rsidRPr="00C75E40">
        <w:t>2009</w:t>
      </w:r>
      <w:r>
        <w:t>, p. </w:t>
      </w:r>
      <w:r w:rsidRPr="00C75E40">
        <w:t>136</w:t>
      </w:r>
      <w:r>
        <w:t>).</w:t>
      </w:r>
    </w:p>
  </w:footnote>
  <w:footnote w:id="12">
    <w:p w14:paraId="5237240E" w14:textId="5AB28FEA" w:rsidR="006C22B7" w:rsidRDefault="00244111">
      <w:pPr>
        <w:pStyle w:val="FootnoteText"/>
        <w:spacing w:after="120"/>
        <w:ind w:left="426" w:hanging="426"/>
        <w:jc w:val="both"/>
        <w:rPr>
          <w:rFonts w:cstheme="minorHAnsi"/>
        </w:rPr>
      </w:pPr>
      <w:r>
        <w:rPr>
          <w:rStyle w:val="FootnoteReference"/>
          <w:rFonts w:cstheme="minorHAnsi"/>
        </w:rPr>
        <w:footnoteRef/>
      </w:r>
      <w:r>
        <w:t xml:space="preserve"> Règlement (UE) </w:t>
      </w:r>
      <w:r w:rsidRPr="00C75E40">
        <w:t>2018</w:t>
      </w:r>
      <w:r>
        <w:t>/</w:t>
      </w:r>
      <w:r w:rsidRPr="00C75E40">
        <w:t>842</w:t>
      </w:r>
      <w:r>
        <w:t xml:space="preserve"> du Parlement européen et du Conseil du </w:t>
      </w:r>
      <w:r w:rsidRPr="00C75E40">
        <w:t>30</w:t>
      </w:r>
      <w:r>
        <w:t> mai </w:t>
      </w:r>
      <w:r w:rsidRPr="00C75E40">
        <w:t>2018</w:t>
      </w:r>
      <w:r>
        <w:t xml:space="preserve"> relatif aux réductions annuelles contraignantes des émissions de gaz à effet de serre par les États membres de </w:t>
      </w:r>
      <w:r w:rsidRPr="00C75E40">
        <w:t>2021</w:t>
      </w:r>
      <w:r>
        <w:t xml:space="preserve"> à </w:t>
      </w:r>
      <w:r w:rsidRPr="00C75E40">
        <w:t>2030</w:t>
      </w:r>
      <w:r>
        <w:t xml:space="preserve"> contribuant à l’action pour le climat afin de respecter les engagements pris dans le cadre de l’accord de Paris et modifiant le règlement (UE) nº </w:t>
      </w:r>
      <w:r w:rsidRPr="00C75E40">
        <w:t>525</w:t>
      </w:r>
      <w:r>
        <w:t>/</w:t>
      </w:r>
      <w:r w:rsidRPr="00C75E40">
        <w:t>2013</w:t>
      </w:r>
      <w:r>
        <w:t xml:space="preserve"> (JO L </w:t>
      </w:r>
      <w:r w:rsidRPr="00C75E40">
        <w:t>156</w:t>
      </w:r>
      <w:r>
        <w:t xml:space="preserve"> du </w:t>
      </w:r>
      <w:r w:rsidRPr="00C75E40">
        <w:t>19</w:t>
      </w:r>
      <w:r>
        <w:t>.</w:t>
      </w:r>
      <w:r w:rsidRPr="00C75E40">
        <w:t>6</w:t>
      </w:r>
      <w:r>
        <w:t>.</w:t>
      </w:r>
      <w:r w:rsidRPr="00C75E40">
        <w:t>2018</w:t>
      </w:r>
      <w:r>
        <w:t>, p. </w:t>
      </w:r>
      <w:r w:rsidRPr="00C75E40">
        <w:t>26</w:t>
      </w:r>
      <w:r>
        <w:t>).</w:t>
      </w:r>
    </w:p>
  </w:footnote>
  <w:footnote w:id="13">
    <w:p w14:paraId="01C7D695" w14:textId="2E694F9F" w:rsidR="006C22B7" w:rsidRDefault="00A72AEB">
      <w:pPr>
        <w:pStyle w:val="FootnoteText"/>
      </w:pPr>
      <w:r>
        <w:rPr>
          <w:rStyle w:val="FootnoteReference"/>
        </w:rPr>
        <w:footnoteRef/>
      </w:r>
      <w:r>
        <w:t xml:space="preserve"> Les projections des États membres «fondées sur des mesures supplémentaires» soumises en mars </w:t>
      </w:r>
      <w:r w:rsidRPr="00C75E40">
        <w:t>2019</w:t>
      </w:r>
      <w:r>
        <w:t xml:space="preserve"> indiquent une réduction de </w:t>
      </w:r>
      <w:r w:rsidRPr="00C75E40">
        <w:t>27</w:t>
      </w:r>
      <w:r>
        <w:t xml:space="preserve"> %, tandis que l’évaluation des scénarios avec mesures supplémentaires dans les projets de PNEC indique une réduction de </w:t>
      </w:r>
      <w:r w:rsidRPr="00C75E40">
        <w:t>28</w:t>
      </w:r>
      <w:r>
        <w:t xml:space="preserve"> %. </w:t>
      </w:r>
    </w:p>
  </w:footnote>
  <w:footnote w:id="14">
    <w:p w14:paraId="5907B2AE" w14:textId="388BA26E" w:rsidR="006C22B7" w:rsidRDefault="00A72AEB">
      <w:pPr>
        <w:pStyle w:val="FootnoteText"/>
      </w:pPr>
      <w:r>
        <w:rPr>
          <w:rStyle w:val="FootnoteReference"/>
        </w:rPr>
        <w:footnoteRef/>
      </w:r>
      <w:r>
        <w:t xml:space="preserve"> Les objectifs dans les secteurs non couverts par le SEQE comprennent les objectifs nationaux fixés par le règlement sur la répartition de l’effort ainsi que le respect de la règle du bilan neutre ou positif au titre du règlement UTCATF (voir chapitre </w:t>
      </w:r>
      <w:r w:rsidRPr="00C75E40">
        <w:t>4</w:t>
      </w:r>
      <w:r>
        <w:t>).</w:t>
      </w:r>
      <w:r w:rsidR="00C75E40">
        <w:t xml:space="preserve"> </w:t>
      </w:r>
    </w:p>
  </w:footnote>
  <w:footnote w:id="15">
    <w:p w14:paraId="17793D9E" w14:textId="623A0F5D" w:rsidR="006C22B7" w:rsidRDefault="00CE78E6">
      <w:pPr>
        <w:pStyle w:val="FootnoteText"/>
      </w:pPr>
      <w:r>
        <w:rPr>
          <w:rStyle w:val="FootnoteReference"/>
        </w:rPr>
        <w:footnoteRef/>
      </w:r>
      <w:r>
        <w:t xml:space="preserve"> Un paramètre agrégé qui intègre les importations, les exportations, la production et la destruction des substances appauvrissant la couche d’ozone, à l’exception de celles utilisées comme matières premières.</w:t>
      </w:r>
    </w:p>
  </w:footnote>
  <w:footnote w:id="16">
    <w:p w14:paraId="213D9C89" w14:textId="0E5BC5E8" w:rsidR="006C22B7" w:rsidRDefault="00CE78E6">
      <w:pPr>
        <w:pStyle w:val="FootnoteText"/>
        <w:jc w:val="both"/>
      </w:pPr>
      <w:r>
        <w:rPr>
          <w:rStyle w:val="FootnoteReference"/>
        </w:rPr>
        <w:footnoteRef/>
      </w:r>
      <w:r>
        <w:t xml:space="preserve"> Règlement (CE) nº </w:t>
      </w:r>
      <w:r w:rsidRPr="00C75E40">
        <w:t>1005</w:t>
      </w:r>
      <w:r>
        <w:t>/</w:t>
      </w:r>
      <w:r w:rsidRPr="00C75E40">
        <w:t>2009</w:t>
      </w:r>
      <w:r>
        <w:t xml:space="preserve"> relatif à des substances qui appauvrissent la couche d’ozone.</w:t>
      </w:r>
    </w:p>
  </w:footnote>
  <w:footnote w:id="17">
    <w:p w14:paraId="53AAE7D8" w14:textId="1F69763B" w:rsidR="006C22B7" w:rsidRDefault="00CE78E6">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Règlement (UE) nº </w:t>
      </w:r>
      <w:r w:rsidRPr="00C75E40">
        <w:t>517</w:t>
      </w:r>
      <w:r>
        <w:t>/</w:t>
      </w:r>
      <w:r w:rsidRPr="00C75E40">
        <w:t>2014</w:t>
      </w:r>
      <w:r>
        <w:t xml:space="preserve"> relatif aux gaz à effet de serre fluorés. </w:t>
      </w:r>
    </w:p>
  </w:footnote>
  <w:footnote w:id="18">
    <w:p w14:paraId="5E8D2C86" w14:textId="2BE96A42" w:rsidR="006C22B7" w:rsidRPr="00C75E40" w:rsidRDefault="00CE78E6">
      <w:pPr>
        <w:pStyle w:val="FootnoteText"/>
        <w:spacing w:after="120"/>
        <w:ind w:left="426" w:hanging="426"/>
        <w:jc w:val="both"/>
        <w:rPr>
          <w:rFonts w:ascii="Times New Roman" w:hAnsi="Times New Roman" w:cs="Times New Roman"/>
          <w:lang w:val="en-US"/>
        </w:rPr>
      </w:pPr>
      <w:r>
        <w:rPr>
          <w:rStyle w:val="FootnoteReference"/>
          <w:rFonts w:ascii="Times New Roman" w:hAnsi="Times New Roman" w:cs="Times New Roman"/>
        </w:rPr>
        <w:footnoteRef/>
      </w:r>
      <w:r w:rsidRPr="00C75E40">
        <w:rPr>
          <w:rFonts w:ascii="Times New Roman" w:hAnsi="Times New Roman"/>
          <w:lang w:val="en-US"/>
        </w:rPr>
        <w:t xml:space="preserve"> </w:t>
      </w:r>
      <w:r w:rsidRPr="00C75E40">
        <w:rPr>
          <w:rFonts w:ascii="Times New Roman" w:hAnsi="Times New Roman"/>
          <w:i/>
          <w:iCs/>
          <w:lang w:val="en-US"/>
        </w:rPr>
        <w:t>Fluorinated greenhouse gases 2018 – data reported by companies on the production, import, export and destruction of fluorinated greenhouse gases in the European Union</w:t>
      </w:r>
      <w:r w:rsidRPr="00C75E40">
        <w:rPr>
          <w:rFonts w:ascii="Times New Roman" w:hAnsi="Times New Roman"/>
          <w:lang w:val="en-US"/>
        </w:rPr>
        <w:t>, 2007-2016, Agence européenne pour l’environnement.</w:t>
      </w:r>
    </w:p>
  </w:footnote>
  <w:footnote w:id="19">
    <w:p w14:paraId="6D078F5F" w14:textId="10521BCC" w:rsidR="006C22B7" w:rsidRDefault="004D7B88">
      <w:pPr>
        <w:pStyle w:val="FootnoteText"/>
      </w:pPr>
      <w:r>
        <w:rPr>
          <w:rStyle w:val="FootnoteReference"/>
        </w:rPr>
        <w:footnoteRef/>
      </w:r>
      <w:r>
        <w:t xml:space="preserve"> </w:t>
      </w:r>
      <w:r>
        <w:rPr>
          <w:rFonts w:ascii="Times New Roman" w:hAnsi="Times New Roman"/>
        </w:rPr>
        <w:t>Les crédits provenant de la gestion forestière sont plafonnés et présentés en moyennes annuelles lorsque leur total dépasse, pour la période considérée, le plafond simulé sur la même période.</w:t>
      </w:r>
    </w:p>
  </w:footnote>
  <w:footnote w:id="20">
    <w:p w14:paraId="036F6B7D" w14:textId="7AD0A086" w:rsidR="006C22B7" w:rsidRDefault="00F03FA4">
      <w:pPr>
        <w:pStyle w:val="FootnoteText"/>
      </w:pPr>
      <w:r>
        <w:rPr>
          <w:rStyle w:val="FootnoteReference"/>
        </w:rPr>
        <w:footnoteRef/>
      </w:r>
      <w:r>
        <w:t xml:space="preserve"> </w:t>
      </w:r>
      <w:r>
        <w:rPr>
          <w:rFonts w:ascii="Times New Roman" w:hAnsi="Times New Roman"/>
        </w:rPr>
        <w:t>La comptabilisation constitue un moyen d’évaluer les politiques et de rehausser le niveau d’ambition concernant le renforcement des actions en matière de réduction des émissions et d’augmentation des absorptions. Il convient de souligner que les débits et crédits comptabilisés sont préliminaires et simulés car les comptabilités définitives ne seront disponibles qu’après la fin de la période d’engagement (décembre </w:t>
      </w:r>
      <w:r w:rsidRPr="00C75E40">
        <w:rPr>
          <w:rFonts w:ascii="Times New Roman" w:hAnsi="Times New Roman"/>
        </w:rPr>
        <w:t>2020</w:t>
      </w:r>
      <w:r>
        <w:rPr>
          <w:rFonts w:ascii="Times New Roman" w:hAnsi="Times New Roman"/>
        </w:rPr>
        <w:t xml:space="preserve">). Diverses règles de comptabilisation s’appliquent en fonction de l’activité: brut-net avec </w:t>
      </w:r>
      <w:r w:rsidRPr="00C75E40">
        <w:rPr>
          <w:rFonts w:ascii="Times New Roman" w:hAnsi="Times New Roman"/>
        </w:rPr>
        <w:t>0</w:t>
      </w:r>
      <w:r>
        <w:rPr>
          <w:rFonts w:ascii="Times New Roman" w:hAnsi="Times New Roman"/>
        </w:rPr>
        <w:t xml:space="preserve"> comme niveau de référence pour le boisement/reboisement et le déboisement, net-net par rapport au niveau de référence (principalement des émissions et des absorptions pour l’année </w:t>
      </w:r>
      <w:r w:rsidRPr="00C75E40">
        <w:rPr>
          <w:rFonts w:ascii="Times New Roman" w:hAnsi="Times New Roman"/>
        </w:rPr>
        <w:t>1990</w:t>
      </w:r>
      <w:r>
        <w:rPr>
          <w:rFonts w:ascii="Times New Roman" w:hAnsi="Times New Roman"/>
        </w:rPr>
        <w:t>) pour la gestion des pâturages, la gestion des terres cultivées et la restauration du couvert végétal, et la différence par rapport au niveau de référence pour la gestion des forêts.</w:t>
      </w:r>
    </w:p>
  </w:footnote>
  <w:footnote w:id="21">
    <w:p w14:paraId="490BD91D" w14:textId="44CF2CEC" w:rsidR="006C22B7" w:rsidRDefault="00F47D23">
      <w:pPr>
        <w:pStyle w:val="FootnoteText"/>
      </w:pPr>
      <w:r>
        <w:rPr>
          <w:rStyle w:val="FootnoteReference"/>
        </w:rPr>
        <w:footnoteRef/>
      </w:r>
      <w:r>
        <w:t xml:space="preserve"> </w:t>
      </w:r>
      <w:r>
        <w:rPr>
          <w:rFonts w:ascii="Times New Roman" w:hAnsi="Times New Roman"/>
        </w:rPr>
        <w:t>Sept États membres ont opté pour la gestion des terres cultivées, six pour la gestion des pâturages, un a choisi la restauration du couvert végétal et un autre le drainage et la réhumidification des zones humides, mais il doit encore fournir des données chiffrées.</w:t>
      </w:r>
      <w:r>
        <w:t xml:space="preserve"> </w:t>
      </w:r>
    </w:p>
  </w:footnote>
  <w:footnote w:id="22">
    <w:p w14:paraId="4EB018B3" w14:textId="09CF177C" w:rsidR="006C22B7" w:rsidRDefault="0045741B">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Règlement (UE) </w:t>
      </w:r>
      <w:r w:rsidRPr="00C75E40">
        <w:rPr>
          <w:rFonts w:ascii="Times New Roman" w:hAnsi="Times New Roman"/>
        </w:rPr>
        <w:t>2018</w:t>
      </w:r>
      <w:r>
        <w:rPr>
          <w:rFonts w:ascii="Times New Roman" w:hAnsi="Times New Roman"/>
        </w:rPr>
        <w:t>/</w:t>
      </w:r>
      <w:r w:rsidRPr="00C75E40">
        <w:rPr>
          <w:rFonts w:ascii="Times New Roman" w:hAnsi="Times New Roman"/>
        </w:rPr>
        <w:t>841</w:t>
      </w:r>
      <w:r>
        <w:rPr>
          <w:rFonts w:ascii="Times New Roman" w:hAnsi="Times New Roman"/>
        </w:rPr>
        <w:t xml:space="preserve"> relatif à la prise en compte des émissions et des absorptions de gaz à effet de serre résultant de l’utilisation des terres, du changement d’affectation des terres et de la foresterie dans le cadre d’action en matière de climat et d’énergie à l’horizon </w:t>
      </w:r>
      <w:r w:rsidRPr="00C75E40">
        <w:rPr>
          <w:rFonts w:ascii="Times New Roman" w:hAnsi="Times New Roman"/>
        </w:rPr>
        <w:t>2030</w:t>
      </w:r>
      <w:r>
        <w:rPr>
          <w:rFonts w:ascii="Times New Roman" w:hAnsi="Times New Roman"/>
        </w:rPr>
        <w:t>.</w:t>
      </w:r>
    </w:p>
  </w:footnote>
  <w:footnote w:id="23">
    <w:p w14:paraId="54B071C1" w14:textId="77777777" w:rsidR="006C22B7" w:rsidRDefault="0045741B">
      <w:pPr>
        <w:pStyle w:val="FootnoteText"/>
      </w:pPr>
      <w:r>
        <w:rPr>
          <w:rStyle w:val="FootnoteReference"/>
        </w:rPr>
        <w:footnoteRef/>
      </w:r>
      <w:r>
        <w:t xml:space="preserve"> https://ec.europa.eu/transparency/regexpert/index.cfm?do=groupDetail.groupDetail&amp;groupID=</w:t>
      </w:r>
      <w:r w:rsidRPr="00C75E40">
        <w:t>3638</w:t>
      </w:r>
      <w:r>
        <w:t>&amp;news%</w:t>
      </w:r>
      <w:r w:rsidRPr="00C75E40">
        <w:t>20</w:t>
      </w:r>
      <w:r>
        <w:t>=</w:t>
      </w:r>
      <w:r w:rsidRPr="00C75E40">
        <w:t>1</w:t>
      </w:r>
      <w:r>
        <w:t>&amp;Lang=FR</w:t>
      </w:r>
    </w:p>
  </w:footnote>
  <w:footnote w:id="24">
    <w:p w14:paraId="1008D414" w14:textId="77777777" w:rsidR="006C22B7" w:rsidRDefault="0045741B">
      <w:pPr>
        <w:pStyle w:val="FootnoteText"/>
      </w:pPr>
      <w:r>
        <w:rPr>
          <w:rStyle w:val="FootnoteReference"/>
        </w:rPr>
        <w:footnoteRef/>
      </w:r>
      <w:r>
        <w:t xml:space="preserve"> SDW(</w:t>
      </w:r>
      <w:r w:rsidRPr="00C75E40">
        <w:t>2019</w:t>
      </w:r>
      <w:r>
        <w:t>) </w:t>
      </w:r>
      <w:r w:rsidRPr="00C75E40">
        <w:t>213</w:t>
      </w:r>
      <w:r>
        <w:t xml:space="preserve"> final.</w:t>
      </w:r>
    </w:p>
  </w:footnote>
  <w:footnote w:id="25">
    <w:p w14:paraId="488E1FF4" w14:textId="77777777" w:rsidR="006C22B7" w:rsidRDefault="00F47D23">
      <w:pPr>
        <w:pStyle w:val="FootnoteText"/>
      </w:pPr>
      <w:r>
        <w:rPr>
          <w:rStyle w:val="FootnoteReference"/>
        </w:rPr>
        <w:footnoteRef/>
      </w:r>
      <w:r>
        <w:t xml:space="preserve"> COM(</w:t>
      </w:r>
      <w:r w:rsidRPr="00C75E40">
        <w:t>2018</w:t>
      </w:r>
      <w:r>
        <w:t>) </w:t>
      </w:r>
      <w:r w:rsidRPr="00C75E40">
        <w:t>773</w:t>
      </w:r>
      <w:r>
        <w:t> final.</w:t>
      </w:r>
    </w:p>
  </w:footnote>
  <w:footnote w:id="26">
    <w:p w14:paraId="495A332D" w14:textId="283ACDD4" w:rsidR="006C22B7" w:rsidRDefault="001D33E9">
      <w:pPr>
        <w:pStyle w:val="FootnoteText"/>
      </w:pPr>
      <w:r>
        <w:rPr>
          <w:rStyle w:val="FootnoteReference"/>
        </w:rPr>
        <w:footnoteRef/>
      </w:r>
      <w:r>
        <w:t xml:space="preserve"> Règlement (UE) </w:t>
      </w:r>
      <w:r w:rsidRPr="00C75E40">
        <w:t>2019</w:t>
      </w:r>
      <w:r>
        <w:t>/</w:t>
      </w:r>
      <w:r w:rsidRPr="00C75E40">
        <w:t>631</w:t>
      </w:r>
      <w:r w:rsidR="00C75E40">
        <w:t xml:space="preserve"> </w:t>
      </w:r>
      <w:r>
        <w:t>établissant des normes de performance en matière d’émissions de CO</w:t>
      </w:r>
      <w:r w:rsidRPr="00C75E40">
        <w:rPr>
          <w:vertAlign w:val="subscript"/>
        </w:rPr>
        <w:t>2</w:t>
      </w:r>
      <w:r>
        <w:t xml:space="preserve"> pour les voitures particulières neuves et pour les véhicules utilitaires légers neufs.</w:t>
      </w:r>
    </w:p>
  </w:footnote>
  <w:footnote w:id="27">
    <w:p w14:paraId="77195DD6" w14:textId="010207CE" w:rsidR="006C22B7" w:rsidRDefault="005D7B8B">
      <w:pPr>
        <w:pStyle w:val="FootnoteText"/>
      </w:pPr>
      <w:r>
        <w:rPr>
          <w:rStyle w:val="FootnoteReference"/>
        </w:rPr>
        <w:footnoteRef/>
      </w:r>
      <w:r>
        <w:t xml:space="preserve"> Règlement (UE) </w:t>
      </w:r>
      <w:r w:rsidRPr="00C75E40">
        <w:t>2019</w:t>
      </w:r>
      <w:r>
        <w:t>/</w:t>
      </w:r>
      <w:r w:rsidRPr="00C75E40">
        <w:t>1242</w:t>
      </w:r>
      <w:r>
        <w:t xml:space="preserve"> établissant des normes de performance en matière d’émissions de CO</w:t>
      </w:r>
      <w:r w:rsidRPr="00C75E40">
        <w:rPr>
          <w:vertAlign w:val="subscript"/>
        </w:rPr>
        <w:t>2</w:t>
      </w:r>
      <w:r>
        <w:t xml:space="preserve"> pour les véhicules utilitaires lourds neufs.</w:t>
      </w:r>
    </w:p>
  </w:footnote>
  <w:footnote w:id="28">
    <w:p w14:paraId="137CC066" w14:textId="04DD4BD4" w:rsidR="006C22B7" w:rsidRDefault="005D7B8B">
      <w:pPr>
        <w:pStyle w:val="FootnoteText"/>
      </w:pPr>
      <w:r>
        <w:rPr>
          <w:rStyle w:val="FootnoteReference"/>
        </w:rPr>
        <w:footnoteRef/>
      </w:r>
      <w:r>
        <w:t xml:space="preserve"> Directive (UE) </w:t>
      </w:r>
      <w:r w:rsidRPr="00C75E40">
        <w:t>2019</w:t>
      </w:r>
      <w:r>
        <w:t>/</w:t>
      </w:r>
      <w:r w:rsidRPr="00C75E40">
        <w:t>1161</w:t>
      </w:r>
      <w:r>
        <w:t>relative à la promotion de véhicules de transport routier propres et économes en énergie.</w:t>
      </w:r>
    </w:p>
  </w:footnote>
  <w:footnote w:id="29">
    <w:p w14:paraId="04E3C4F3" w14:textId="64DA53C7" w:rsidR="006C22B7" w:rsidRDefault="005D7B8B">
      <w:pPr>
        <w:pStyle w:val="FootnoteText"/>
      </w:pPr>
      <w:r>
        <w:rPr>
          <w:rStyle w:val="FootnoteReference"/>
        </w:rPr>
        <w:footnoteRef/>
      </w:r>
      <w:r>
        <w:t xml:space="preserve"> https://ec.europa.eu/transport/modes/road/news/</w:t>
      </w:r>
      <w:r w:rsidRPr="00C75E40">
        <w:t>2017</w:t>
      </w:r>
      <w:r>
        <w:t>-</w:t>
      </w:r>
      <w:r w:rsidRPr="00C75E40">
        <w:t>05</w:t>
      </w:r>
      <w:r>
        <w:t>-</w:t>
      </w:r>
      <w:r w:rsidRPr="00C75E40">
        <w:t>31</w:t>
      </w:r>
      <w:r>
        <w:t>-europe-on-the-move_fr</w:t>
      </w:r>
    </w:p>
  </w:footnote>
  <w:footnote w:id="30">
    <w:p w14:paraId="42926ED2" w14:textId="4C4B0ED1" w:rsidR="006C22B7" w:rsidRDefault="005D7B8B">
      <w:pPr>
        <w:pStyle w:val="FootnoteText"/>
      </w:pPr>
      <w:r>
        <w:rPr>
          <w:rStyle w:val="FootnoteReference"/>
        </w:rPr>
        <w:footnoteRef/>
      </w:r>
      <w:r>
        <w:t xml:space="preserve"> https://europa.eu/rapid/press-release_IP-</w:t>
      </w:r>
      <w:r w:rsidRPr="00C75E40">
        <w:t>17</w:t>
      </w:r>
      <w:r>
        <w:t>-</w:t>
      </w:r>
      <w:r w:rsidRPr="00C75E40">
        <w:t>4242</w:t>
      </w:r>
      <w:r>
        <w:t>_fr.htm</w:t>
      </w:r>
    </w:p>
  </w:footnote>
  <w:footnote w:id="31">
    <w:p w14:paraId="225D8B04" w14:textId="77777777" w:rsidR="006C22B7" w:rsidRPr="00C75E40" w:rsidRDefault="000B795E">
      <w:pPr>
        <w:pStyle w:val="FootnoteText"/>
        <w:rPr>
          <w:lang w:val="en-US"/>
        </w:rPr>
      </w:pPr>
      <w:r>
        <w:rPr>
          <w:rStyle w:val="FootnoteReference"/>
        </w:rPr>
        <w:footnoteRef/>
      </w:r>
      <w:r w:rsidRPr="00C75E40">
        <w:rPr>
          <w:lang w:val="en-US"/>
        </w:rPr>
        <w:t xml:space="preserve"> COM(2018) 097 final.</w:t>
      </w:r>
    </w:p>
  </w:footnote>
  <w:footnote w:id="32">
    <w:p w14:paraId="79AAE88C" w14:textId="77777777" w:rsidR="006C22B7" w:rsidRPr="00C75E40" w:rsidRDefault="000B795E">
      <w:pPr>
        <w:pStyle w:val="FootnoteText"/>
        <w:rPr>
          <w:lang w:val="en-US"/>
        </w:rPr>
      </w:pPr>
      <w:r>
        <w:rPr>
          <w:rStyle w:val="FootnoteReference"/>
        </w:rPr>
        <w:footnoteRef/>
      </w:r>
      <w:r w:rsidRPr="00C75E40">
        <w:rPr>
          <w:lang w:val="en-US"/>
        </w:rPr>
        <w:t xml:space="preserve"> </w:t>
      </w:r>
      <w:hyperlink r:id="rId2" w:history="1">
        <w:r w:rsidRPr="00C75E40">
          <w:rPr>
            <w:rStyle w:val="Hyperlink"/>
            <w:lang w:val="en-US"/>
          </w:rPr>
          <w:t>https://ec.europa.eu/info/publications/180524-proposal-sustainable-finance_fr</w:t>
        </w:r>
      </w:hyperlink>
      <w:r w:rsidRPr="00C75E40">
        <w:rPr>
          <w:lang w:val="en-US"/>
        </w:rPr>
        <w:t xml:space="preserve"> </w:t>
      </w:r>
    </w:p>
  </w:footnote>
  <w:footnote w:id="33">
    <w:p w14:paraId="2CA849BB" w14:textId="77777777" w:rsidR="006C22B7" w:rsidRPr="00C75E40" w:rsidRDefault="000B795E">
      <w:pPr>
        <w:pStyle w:val="FootnoteText"/>
        <w:rPr>
          <w:lang w:val="en-US"/>
        </w:rPr>
      </w:pPr>
      <w:r>
        <w:rPr>
          <w:rStyle w:val="FootnoteReference"/>
        </w:rPr>
        <w:footnoteRef/>
      </w:r>
      <w:r w:rsidRPr="00C75E40">
        <w:rPr>
          <w:lang w:val="en-US"/>
        </w:rPr>
        <w:t xml:space="preserve"> </w:t>
      </w:r>
      <w:hyperlink r:id="rId3" w:anchor="climate" w:history="1">
        <w:r w:rsidRPr="00C75E40">
          <w:rPr>
            <w:rStyle w:val="Hyperlink"/>
            <w:lang w:val="en-US"/>
          </w:rPr>
          <w:t>https://ec.europa.eu/info/publications/non-financial-reporting-guidelines_fr#climate</w:t>
        </w:r>
      </w:hyperlink>
      <w:r w:rsidRPr="00C75E40">
        <w:rPr>
          <w:lang w:val="en-US"/>
        </w:rPr>
        <w:t xml:space="preserve"> </w:t>
      </w:r>
    </w:p>
  </w:footnote>
  <w:footnote w:id="34">
    <w:p w14:paraId="4F2162F9" w14:textId="77777777" w:rsidR="006C22B7" w:rsidRPr="00C75E40" w:rsidRDefault="001848EE">
      <w:pPr>
        <w:pStyle w:val="FootnoteText"/>
        <w:spacing w:after="120"/>
        <w:ind w:left="426" w:hanging="426"/>
        <w:jc w:val="both"/>
        <w:rPr>
          <w:rFonts w:ascii="Times New Roman" w:hAnsi="Times New Roman" w:cs="Times New Roman"/>
          <w:lang w:val="en-US"/>
        </w:rPr>
      </w:pPr>
      <w:r>
        <w:rPr>
          <w:rStyle w:val="FootnoteReference"/>
          <w:rFonts w:ascii="Times New Roman" w:hAnsi="Times New Roman" w:cs="Times New Roman"/>
        </w:rPr>
        <w:footnoteRef/>
      </w:r>
      <w:r w:rsidRPr="00C75E40">
        <w:rPr>
          <w:rFonts w:ascii="Times New Roman" w:hAnsi="Times New Roman"/>
          <w:lang w:val="en-US"/>
        </w:rPr>
        <w:t xml:space="preserve"> </w:t>
      </w:r>
      <w:r w:rsidRPr="00C75E40">
        <w:rPr>
          <w:rFonts w:ascii="Times New Roman" w:hAnsi="Times New Roman"/>
          <w:lang w:val="en-US"/>
        </w:rPr>
        <w:tab/>
        <w:t>https://ec.europa.eu/info/sites/info/files/about_the_european_commission/eu_budget/draft-budget-2020-wd-13-web-1.4_soe.pdf</w:t>
      </w:r>
    </w:p>
  </w:footnote>
  <w:footnote w:id="35">
    <w:p w14:paraId="4EDED4B4" w14:textId="77777777" w:rsidR="006C22B7" w:rsidRPr="00C75E40" w:rsidRDefault="001848EE">
      <w:pPr>
        <w:pStyle w:val="FootnoteText"/>
        <w:spacing w:after="120"/>
        <w:ind w:left="426" w:hanging="426"/>
        <w:jc w:val="both"/>
        <w:rPr>
          <w:rFonts w:ascii="Times New Roman" w:hAnsi="Times New Roman" w:cs="Times New Roman"/>
          <w:b/>
          <w:lang w:val="en-US"/>
        </w:rPr>
      </w:pPr>
      <w:r>
        <w:rPr>
          <w:rStyle w:val="FootnoteReference"/>
          <w:rFonts w:ascii="Times New Roman" w:hAnsi="Times New Roman" w:cs="Times New Roman"/>
        </w:rPr>
        <w:footnoteRef/>
      </w:r>
      <w:r w:rsidRPr="00C75E40">
        <w:rPr>
          <w:rFonts w:ascii="Times New Roman" w:hAnsi="Times New Roman"/>
          <w:lang w:val="en-US"/>
        </w:rPr>
        <w:t xml:space="preserve"> </w:t>
      </w:r>
      <w:r w:rsidRPr="00C75E40">
        <w:rPr>
          <w:rFonts w:ascii="Times New Roman" w:hAnsi="Times New Roman"/>
          <w:lang w:val="en-US"/>
        </w:rPr>
        <w:tab/>
      </w:r>
      <w:hyperlink r:id="rId4" w:history="1">
        <w:r w:rsidRPr="00C75E40">
          <w:rPr>
            <w:rStyle w:val="Hyperlink"/>
            <w:rFonts w:ascii="Times New Roman" w:hAnsi="Times New Roman"/>
            <w:lang w:val="en-US"/>
          </w:rPr>
          <w:t>https://ec.europa.eu/commission/publications/factsheets-long-term-budget-proposals_fr</w:t>
        </w:r>
      </w:hyperlink>
      <w:r w:rsidRPr="00C75E40">
        <w:rPr>
          <w:rFonts w:ascii="Times New Roman" w:hAnsi="Times New Roman"/>
          <w:b/>
          <w:lang w:val="en-US"/>
        </w:rPr>
        <w:t xml:space="preserve"> </w:t>
      </w:r>
    </w:p>
  </w:footnote>
  <w:footnote w:id="36">
    <w:p w14:paraId="149F5AFF" w14:textId="631D1DE8" w:rsidR="006C22B7" w:rsidRDefault="00712EF5">
      <w:pPr>
        <w:pStyle w:val="FootnoteText"/>
      </w:pPr>
      <w:r>
        <w:rPr>
          <w:rStyle w:val="FootnoteReference"/>
        </w:rPr>
        <w:footnoteRef/>
      </w:r>
      <w:r>
        <w:t xml:space="preserve"> Directive (UE) </w:t>
      </w:r>
      <w:r w:rsidRPr="00C75E40">
        <w:t>2018</w:t>
      </w:r>
      <w:r>
        <w:t>/</w:t>
      </w:r>
      <w:r w:rsidRPr="00C75E40">
        <w:t>410</w:t>
      </w:r>
      <w:r>
        <w:t xml:space="preserve"> du Parlement européen et du Conseil du </w:t>
      </w:r>
      <w:r w:rsidRPr="00C75E40">
        <w:t>14</w:t>
      </w:r>
      <w:r>
        <w:t> mars </w:t>
      </w:r>
      <w:r w:rsidRPr="00C75E40">
        <w:t>2018</w:t>
      </w:r>
      <w:r>
        <w:t xml:space="preserve"> modifiant la directive </w:t>
      </w:r>
      <w:r w:rsidRPr="00C75E40">
        <w:t>2003</w:t>
      </w:r>
      <w:r>
        <w:t>/</w:t>
      </w:r>
      <w:r w:rsidRPr="00C75E40">
        <w:t>87</w:t>
      </w:r>
      <w:r>
        <w:t xml:space="preserve">/CE établissant un système d’échange de quotas d’émission de gaz à effet de serre dans l'Union, article </w:t>
      </w:r>
      <w:r w:rsidRPr="00C75E40">
        <w:t>10</w:t>
      </w:r>
      <w:r>
        <w:t xml:space="preserve"> </w:t>
      </w:r>
      <w:r>
        <w:rPr>
          <w:i/>
        </w:rPr>
        <w:t>bis</w:t>
      </w:r>
      <w:r>
        <w:t xml:space="preserve">, paragraphe </w:t>
      </w:r>
      <w:r w:rsidRPr="00C75E40">
        <w:t>8</w:t>
      </w:r>
      <w:r>
        <w:t>.</w:t>
      </w:r>
    </w:p>
  </w:footnote>
  <w:footnote w:id="37">
    <w:p w14:paraId="40729705" w14:textId="426BBDCA" w:rsidR="006C22B7" w:rsidRDefault="00712EF5">
      <w:pPr>
        <w:pStyle w:val="FootnoteText"/>
      </w:pPr>
      <w:r>
        <w:rPr>
          <w:rStyle w:val="FootnoteReference"/>
        </w:rPr>
        <w:footnoteRef/>
      </w:r>
      <w:r w:rsidR="00D26CF5">
        <w:t xml:space="preserve"> </w:t>
      </w:r>
      <w:r w:rsidRPr="00C75E40">
        <w:t>28</w:t>
      </w:r>
      <w:r>
        <w:t>/</w:t>
      </w:r>
      <w:r w:rsidRPr="00C75E40">
        <w:t>05</w:t>
      </w:r>
      <w:r>
        <w:t>/</w:t>
      </w:r>
      <w:r w:rsidRPr="00C75E40">
        <w:t>2019</w:t>
      </w:r>
      <w:r>
        <w:t xml:space="preserve"> - C(</w:t>
      </w:r>
      <w:r w:rsidRPr="00C75E40">
        <w:t>2019</w:t>
      </w:r>
      <w:r>
        <w:t xml:space="preserve">) </w:t>
      </w:r>
      <w:r w:rsidRPr="00C75E40">
        <w:t>1492</w:t>
      </w:r>
      <w:r>
        <w:t xml:space="preserve"> - </w:t>
      </w:r>
      <w:hyperlink r:id="rId5" w:history="1">
        <w:r>
          <w:rPr>
            <w:rStyle w:val="Hyperlink"/>
          </w:rPr>
          <w:t xml:space="preserve">Règlement délégué (UE) </w:t>
        </w:r>
        <w:r w:rsidRPr="00C75E40">
          <w:rPr>
            <w:rStyle w:val="Hyperlink"/>
          </w:rPr>
          <w:t>2019</w:t>
        </w:r>
        <w:r>
          <w:rPr>
            <w:rStyle w:val="Hyperlink"/>
          </w:rPr>
          <w:t>/</w:t>
        </w:r>
        <w:r w:rsidRPr="00C75E40">
          <w:rPr>
            <w:rStyle w:val="Hyperlink"/>
          </w:rPr>
          <w:t>856</w:t>
        </w:r>
        <w:r>
          <w:rPr>
            <w:rStyle w:val="Hyperlink"/>
          </w:rPr>
          <w:t xml:space="preserve"> de la Commission complétant la directive </w:t>
        </w:r>
        <w:r w:rsidRPr="00C75E40">
          <w:rPr>
            <w:rStyle w:val="Hyperlink"/>
          </w:rPr>
          <w:t>2003</w:t>
        </w:r>
        <w:r>
          <w:rPr>
            <w:rStyle w:val="Hyperlink"/>
          </w:rPr>
          <w:t>/</w:t>
        </w:r>
        <w:r w:rsidRPr="00C75E40">
          <w:rPr>
            <w:rStyle w:val="Hyperlink"/>
          </w:rPr>
          <w:t>87</w:t>
        </w:r>
        <w:r>
          <w:rPr>
            <w:rStyle w:val="Hyperlink"/>
          </w:rPr>
          <w:t>/CE en ce qui concerne les modalités de fonctionnement du Fonds pour l’innovation.</w:t>
        </w:r>
      </w:hyperlink>
      <w:r w:rsidR="00C75E40">
        <w:t xml:space="preserve"> </w:t>
      </w:r>
    </w:p>
  </w:footnote>
  <w:footnote w:id="38">
    <w:p w14:paraId="07185F01" w14:textId="77777777" w:rsidR="006C22B7" w:rsidRDefault="00712EF5">
      <w:pPr>
        <w:pStyle w:val="FootnoteText"/>
      </w:pPr>
      <w:r>
        <w:rPr>
          <w:rStyle w:val="FootnoteReference"/>
        </w:rPr>
        <w:footnoteRef/>
      </w:r>
      <w:r>
        <w:t xml:space="preserve"> https://ec.europa.eu/clima/policies/innovation-fund_fr</w:t>
      </w:r>
    </w:p>
  </w:footnote>
  <w:footnote w:id="39">
    <w:p w14:paraId="4D016814" w14:textId="77777777" w:rsidR="006C22B7" w:rsidRDefault="00712EF5">
      <w:pPr>
        <w:pStyle w:val="FootnoteText"/>
      </w:pPr>
      <w:r>
        <w:rPr>
          <w:rStyle w:val="FootnoteReference"/>
        </w:rPr>
        <w:footnoteRef/>
      </w:r>
      <w:r>
        <w:t xml:space="preserve"> </w:t>
      </w:r>
      <w:r>
        <w:tab/>
        <w:t>BG, CZ, EE, HR, LV, LT, HU, PL, RO et SK.</w:t>
      </w:r>
    </w:p>
  </w:footnote>
  <w:footnote w:id="40">
    <w:p w14:paraId="62F64CEB" w14:textId="77777777" w:rsidR="006C22B7" w:rsidRDefault="00F47D23">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La Croatie et la Bulgarie sont encore en train d’élaborer leurs stratégies nationales. </w:t>
      </w:r>
    </w:p>
  </w:footnote>
  <w:footnote w:id="41">
    <w:p w14:paraId="1DF1C843" w14:textId="77777777" w:rsidR="006C22B7" w:rsidRDefault="00F47D23">
      <w:pPr>
        <w:pStyle w:val="FootnoteText"/>
      </w:pPr>
      <w:r>
        <w:rPr>
          <w:rStyle w:val="FootnoteReference"/>
        </w:rPr>
        <w:footnoteRef/>
      </w:r>
      <w:r>
        <w:t xml:space="preserve"> </w:t>
      </w:r>
      <w:hyperlink r:id="rId6" w:history="1">
        <w:r>
          <w:rPr>
            <w:rStyle w:val="Hyperlink"/>
          </w:rPr>
          <w:t>https://ec.europa.eu/jrc/en/peseta-iii</w:t>
        </w:r>
      </w:hyperlink>
      <w:r>
        <w:t xml:space="preserve"> </w:t>
      </w:r>
    </w:p>
  </w:footnote>
  <w:footnote w:id="42">
    <w:p w14:paraId="5F9C739A" w14:textId="77777777" w:rsidR="006C22B7" w:rsidRDefault="00F47D23">
      <w:pPr>
        <w:pStyle w:val="FootnoteText"/>
      </w:pPr>
      <w:r>
        <w:rPr>
          <w:rStyle w:val="FootnoteReference"/>
        </w:rPr>
        <w:footnoteRef/>
      </w:r>
      <w:r>
        <w:t xml:space="preserve"> </w:t>
      </w:r>
      <w:hyperlink r:id="rId7" w:history="1">
        <w:r>
          <w:rPr>
            <w:rStyle w:val="Hyperlink"/>
          </w:rPr>
          <w:t>http://www.lifeagroclimawater.eu/</w:t>
        </w:r>
      </w:hyperlink>
      <w:r>
        <w:t xml:space="preserve"> </w:t>
      </w:r>
    </w:p>
  </w:footnote>
  <w:footnote w:id="43">
    <w:p w14:paraId="100BBCCE" w14:textId="77777777" w:rsidR="006C22B7" w:rsidRDefault="00F47D23">
      <w:pPr>
        <w:pStyle w:val="FootnoteText"/>
      </w:pPr>
      <w:r>
        <w:rPr>
          <w:rStyle w:val="FootnoteReference"/>
        </w:rPr>
        <w:footnoteRef/>
      </w:r>
      <w:r>
        <w:t xml:space="preserve"> </w:t>
      </w:r>
      <w:hyperlink r:id="rId8" w:history="1">
        <w:r>
          <w:rPr>
            <w:rStyle w:val="Hyperlink"/>
          </w:rPr>
          <w:t>https://ec.europa.eu/clima/policies/adaptation/what_fr</w:t>
        </w:r>
      </w:hyperlink>
    </w:p>
  </w:footnote>
  <w:footnote w:id="44">
    <w:p w14:paraId="441D2AE3" w14:textId="77777777" w:rsidR="006C22B7" w:rsidRDefault="00791B41">
      <w:pPr>
        <w:pStyle w:val="FootnoteText"/>
        <w:ind w:left="284" w:hanging="284"/>
        <w:jc w:val="both"/>
      </w:pPr>
      <w:r>
        <w:rPr>
          <w:rStyle w:val="FootnoteReference"/>
        </w:rPr>
        <w:footnoteRef/>
      </w:r>
      <w:r>
        <w:t xml:space="preserve"> </w:t>
      </w:r>
      <w:r>
        <w:tab/>
      </w:r>
      <w:hyperlink r:id="rId9" w:history="1">
        <w:r>
          <w:rPr>
            <w:rStyle w:val="Hyperlink"/>
            <w:rFonts w:ascii="Times New Roman" w:hAnsi="Times New Roman"/>
          </w:rPr>
          <w:t>https://eur-lex.europa.eu/legal-content/fr/TXT/?uri=CELEX:</w:t>
        </w:r>
        <w:r w:rsidRPr="00C75E40">
          <w:rPr>
            <w:rStyle w:val="Hyperlink"/>
            <w:rFonts w:ascii="Times New Roman" w:hAnsi="Times New Roman"/>
          </w:rPr>
          <w:t>32018</w:t>
        </w:r>
        <w:r>
          <w:rPr>
            <w:rStyle w:val="Hyperlink"/>
            <w:rFonts w:ascii="Times New Roman" w:hAnsi="Times New Roman"/>
          </w:rPr>
          <w:t>D</w:t>
        </w:r>
        <w:r w:rsidRPr="00C75E40">
          <w:rPr>
            <w:rStyle w:val="Hyperlink"/>
            <w:rFonts w:ascii="Times New Roman" w:hAnsi="Times New Roman"/>
          </w:rPr>
          <w:t>2027</w:t>
        </w:r>
      </w:hyperlink>
      <w:r>
        <w:rPr>
          <w:rFonts w:ascii="Times New Roman" w:hAnsi="Times New Roman"/>
        </w:rPr>
        <w:t xml:space="preserve"> </w:t>
      </w:r>
    </w:p>
  </w:footnote>
  <w:footnote w:id="45">
    <w:p w14:paraId="7D299540" w14:textId="77777777" w:rsidR="006C22B7" w:rsidRDefault="00FC7587">
      <w:pPr>
        <w:pStyle w:val="FootnoteText"/>
      </w:pPr>
      <w:r>
        <w:rPr>
          <w:rStyle w:val="FootnoteReference"/>
        </w:rPr>
        <w:footnoteRef/>
      </w:r>
      <w:r>
        <w:t xml:space="preserve"> Règlement (UE) </w:t>
      </w:r>
      <w:r w:rsidRPr="00C75E40">
        <w:t>2015</w:t>
      </w:r>
      <w:r>
        <w:t>/</w:t>
      </w:r>
      <w:r w:rsidRPr="00C75E40">
        <w:t>757</w:t>
      </w:r>
      <w:r>
        <w:t xml:space="preserve"> concernant la surveillance, la déclaration et la vérification des émissions de dioxyde de carbone du secteur du transport maritime.</w:t>
      </w:r>
    </w:p>
  </w:footnote>
  <w:footnote w:id="46">
    <w:p w14:paraId="112B73DD" w14:textId="7753CD21" w:rsidR="006C22B7" w:rsidRDefault="00C05D8D">
      <w:pPr>
        <w:pStyle w:val="FootnoteText"/>
      </w:pPr>
      <w:r>
        <w:rPr>
          <w:rStyle w:val="FootnoteReference"/>
        </w:rPr>
        <w:footnoteRef/>
      </w:r>
      <w:r>
        <w:t xml:space="preserve"> Les chiffres de </w:t>
      </w:r>
      <w:r w:rsidRPr="00C75E40">
        <w:t>2018</w:t>
      </w:r>
      <w:r>
        <w:t xml:space="preserve"> relatifs aux fonds de l’UE consacrés à l'action climatique seront publiés dans les conclusions du Conseil d’automne </w:t>
      </w:r>
      <w:r w:rsidRPr="00C75E40">
        <w:t>2019</w:t>
      </w:r>
      <w:r>
        <w:t xml:space="preserve"> sur le financement de la lutte contre le changement climatique.</w:t>
      </w:r>
    </w:p>
  </w:footnote>
  <w:footnote w:id="47">
    <w:p w14:paraId="5730E69D" w14:textId="77777777" w:rsidR="006C22B7" w:rsidRDefault="005F03FC">
      <w:pPr>
        <w:pStyle w:val="FootnoteText"/>
      </w:pPr>
      <w:r>
        <w:rPr>
          <w:rStyle w:val="FootnoteReference"/>
        </w:rPr>
        <w:footnoteRef/>
      </w:r>
      <w:r>
        <w:t>L’accord de Cotonou constitue le cadre global des relations de l’UE avec les pays ACP. Il arrivera à expiration en février </w:t>
      </w:r>
      <w:r w:rsidRPr="00C75E40">
        <w:t>2020</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37603" w14:textId="77777777" w:rsidR="00BD71DF" w:rsidRPr="00BD71DF" w:rsidRDefault="00BD71DF" w:rsidP="00BD71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3D61A" w14:textId="77777777" w:rsidR="00BD71DF" w:rsidRPr="00BD71DF" w:rsidRDefault="00BD71DF" w:rsidP="00BD71DF">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D633F" w14:textId="77777777" w:rsidR="00BD71DF" w:rsidRPr="00BD71DF" w:rsidRDefault="00BD71DF" w:rsidP="00BD71DF">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C35D2" w14:textId="77777777" w:rsidR="00ED1184" w:rsidRDefault="00ED11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12090" w14:textId="77777777" w:rsidR="00ED1184" w:rsidRDefault="00ED11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375C7" w14:textId="77777777" w:rsidR="00ED1184" w:rsidRDefault="00ED11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507C6"/>
    <w:multiLevelType w:val="hybridMultilevel"/>
    <w:tmpl w:val="E9C8391E"/>
    <w:lvl w:ilvl="0" w:tplc="E6A4CE56">
      <w:start w:val="1"/>
      <w:numFmt w:val="decimal"/>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8D0C91"/>
    <w:multiLevelType w:val="hybridMultilevel"/>
    <w:tmpl w:val="99DC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1059D8"/>
    <w:multiLevelType w:val="hybridMultilevel"/>
    <w:tmpl w:val="D0B07C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3991137"/>
    <w:multiLevelType w:val="hybridMultilevel"/>
    <w:tmpl w:val="4D26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CF3F4A"/>
    <w:multiLevelType w:val="hybridMultilevel"/>
    <w:tmpl w:val="61A6A4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 w:numId="6">
    <w:abstractNumId w:val="5"/>
  </w:num>
  <w:num w:numId="7">
    <w:abstractNumId w:val="6"/>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DEE6CE7B-ACA0-45AB-BC8E-2A9A0E305EC5"/>
    <w:docVar w:name="LW_COVERPAGE_TYPE" w:val="1"/>
    <w:docVar w:name="LW_CROSSREFERENCE" w:val="{SWD(2019) 396 final}"/>
    <w:docVar w:name="LW_DocType" w:val="NORMAL"/>
    <w:docVar w:name="LW_EMISSION" w:val="31.10.2019"/>
    <w:docVar w:name="LW_EMISSION_ISODATE" w:val="2019-10-31"/>
    <w:docVar w:name="LW_EMISSION_LOCATION" w:val="BRX"/>
    <w:docVar w:name="LW_EMISSION_PREFIX" w:val="Bruxelles, le "/>
    <w:docVar w:name="LW_EMISSION_SUFFIX" w:val=" "/>
    <w:docVar w:name="LW_ID_DOCTYPE_NONLW" w:val="CP-006"/>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9) 55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Préparer le terrain pour relever l'ambition à long terme_x000d__x000d__x000d__x000b_Rapport d'étape sur l'action climatique de l'UE 2019"/>
    <w:docVar w:name="LW_TYPE.DOC.CP" w:val="RAPPORT DE LA COMMISSION AU PARLEMENT EUROPÉEN ET AU CONSEIL"/>
  </w:docVars>
  <w:rsids>
    <w:rsidRoot w:val="00694984"/>
    <w:rsid w:val="000120A6"/>
    <w:rsid w:val="000124D4"/>
    <w:rsid w:val="00015708"/>
    <w:rsid w:val="00024BE8"/>
    <w:rsid w:val="00033FA4"/>
    <w:rsid w:val="00040337"/>
    <w:rsid w:val="00042694"/>
    <w:rsid w:val="000459E3"/>
    <w:rsid w:val="00083BD6"/>
    <w:rsid w:val="000A05F2"/>
    <w:rsid w:val="000A09FB"/>
    <w:rsid w:val="000A0D2B"/>
    <w:rsid w:val="000B0FFB"/>
    <w:rsid w:val="000B2576"/>
    <w:rsid w:val="000B6609"/>
    <w:rsid w:val="000B74F1"/>
    <w:rsid w:val="000B795E"/>
    <w:rsid w:val="000C292C"/>
    <w:rsid w:val="000E7C42"/>
    <w:rsid w:val="001101D0"/>
    <w:rsid w:val="0011373B"/>
    <w:rsid w:val="00116762"/>
    <w:rsid w:val="00120C05"/>
    <w:rsid w:val="00131394"/>
    <w:rsid w:val="00136EC4"/>
    <w:rsid w:val="001655D9"/>
    <w:rsid w:val="001848EE"/>
    <w:rsid w:val="001904C5"/>
    <w:rsid w:val="001A4A0B"/>
    <w:rsid w:val="001B0B15"/>
    <w:rsid w:val="001B53D5"/>
    <w:rsid w:val="001C1F85"/>
    <w:rsid w:val="001D33E9"/>
    <w:rsid w:val="001E440B"/>
    <w:rsid w:val="001F1B54"/>
    <w:rsid w:val="002012CB"/>
    <w:rsid w:val="002018C2"/>
    <w:rsid w:val="00202DAF"/>
    <w:rsid w:val="00205C86"/>
    <w:rsid w:val="00210000"/>
    <w:rsid w:val="00211875"/>
    <w:rsid w:val="00213810"/>
    <w:rsid w:val="00215D8F"/>
    <w:rsid w:val="00231A9B"/>
    <w:rsid w:val="00234B45"/>
    <w:rsid w:val="00244111"/>
    <w:rsid w:val="002717F7"/>
    <w:rsid w:val="002A50B2"/>
    <w:rsid w:val="002C5B81"/>
    <w:rsid w:val="002F5681"/>
    <w:rsid w:val="003035DC"/>
    <w:rsid w:val="0030411A"/>
    <w:rsid w:val="003248B2"/>
    <w:rsid w:val="00334835"/>
    <w:rsid w:val="00342FE4"/>
    <w:rsid w:val="003505C5"/>
    <w:rsid w:val="00355431"/>
    <w:rsid w:val="00356F91"/>
    <w:rsid w:val="00360050"/>
    <w:rsid w:val="00367115"/>
    <w:rsid w:val="00390E7B"/>
    <w:rsid w:val="003A2C80"/>
    <w:rsid w:val="003A60AD"/>
    <w:rsid w:val="003B29A3"/>
    <w:rsid w:val="003F37D2"/>
    <w:rsid w:val="003F5764"/>
    <w:rsid w:val="004268CB"/>
    <w:rsid w:val="004319ED"/>
    <w:rsid w:val="00443890"/>
    <w:rsid w:val="00446D1E"/>
    <w:rsid w:val="00455964"/>
    <w:rsid w:val="0045741B"/>
    <w:rsid w:val="00457EBA"/>
    <w:rsid w:val="00474CA1"/>
    <w:rsid w:val="00484DE3"/>
    <w:rsid w:val="00485CD0"/>
    <w:rsid w:val="004C23CE"/>
    <w:rsid w:val="004D7B88"/>
    <w:rsid w:val="004F5428"/>
    <w:rsid w:val="005036F6"/>
    <w:rsid w:val="005079D9"/>
    <w:rsid w:val="00516843"/>
    <w:rsid w:val="00525516"/>
    <w:rsid w:val="00526212"/>
    <w:rsid w:val="00531307"/>
    <w:rsid w:val="0054068E"/>
    <w:rsid w:val="005834F5"/>
    <w:rsid w:val="00583B27"/>
    <w:rsid w:val="005A35A3"/>
    <w:rsid w:val="005A76D1"/>
    <w:rsid w:val="005C76F1"/>
    <w:rsid w:val="005D1F97"/>
    <w:rsid w:val="005D2003"/>
    <w:rsid w:val="005D7B8B"/>
    <w:rsid w:val="005E2372"/>
    <w:rsid w:val="005E2B6B"/>
    <w:rsid w:val="005E4F01"/>
    <w:rsid w:val="005E62B7"/>
    <w:rsid w:val="005F03FC"/>
    <w:rsid w:val="00604E96"/>
    <w:rsid w:val="00610A1A"/>
    <w:rsid w:val="00641D8D"/>
    <w:rsid w:val="00643CDF"/>
    <w:rsid w:val="006464FA"/>
    <w:rsid w:val="00651E7A"/>
    <w:rsid w:val="00656196"/>
    <w:rsid w:val="0066275E"/>
    <w:rsid w:val="00672FF9"/>
    <w:rsid w:val="00674E39"/>
    <w:rsid w:val="00675E1B"/>
    <w:rsid w:val="00684416"/>
    <w:rsid w:val="00690B0D"/>
    <w:rsid w:val="00694984"/>
    <w:rsid w:val="006C22B7"/>
    <w:rsid w:val="006E0EC3"/>
    <w:rsid w:val="006E1D94"/>
    <w:rsid w:val="006E27AE"/>
    <w:rsid w:val="006E303C"/>
    <w:rsid w:val="006E3709"/>
    <w:rsid w:val="006F07FA"/>
    <w:rsid w:val="007116A9"/>
    <w:rsid w:val="00712EF5"/>
    <w:rsid w:val="007263F0"/>
    <w:rsid w:val="00741D3C"/>
    <w:rsid w:val="00744572"/>
    <w:rsid w:val="0076107C"/>
    <w:rsid w:val="0076159D"/>
    <w:rsid w:val="00767704"/>
    <w:rsid w:val="00771322"/>
    <w:rsid w:val="0077185B"/>
    <w:rsid w:val="00790598"/>
    <w:rsid w:val="00791B41"/>
    <w:rsid w:val="007A0D5C"/>
    <w:rsid w:val="007A7A7A"/>
    <w:rsid w:val="007B4143"/>
    <w:rsid w:val="007B6D5B"/>
    <w:rsid w:val="007D3C8F"/>
    <w:rsid w:val="007F63E9"/>
    <w:rsid w:val="00820C46"/>
    <w:rsid w:val="00826D5B"/>
    <w:rsid w:val="00840EB8"/>
    <w:rsid w:val="00886C4C"/>
    <w:rsid w:val="00893F96"/>
    <w:rsid w:val="00897B66"/>
    <w:rsid w:val="008B04CC"/>
    <w:rsid w:val="008C36CE"/>
    <w:rsid w:val="008C7B9C"/>
    <w:rsid w:val="008D223B"/>
    <w:rsid w:val="008E0CD0"/>
    <w:rsid w:val="008E5BD7"/>
    <w:rsid w:val="008E5BDE"/>
    <w:rsid w:val="008F08F7"/>
    <w:rsid w:val="008F6D89"/>
    <w:rsid w:val="008F7973"/>
    <w:rsid w:val="009162EF"/>
    <w:rsid w:val="0091710F"/>
    <w:rsid w:val="0093324D"/>
    <w:rsid w:val="00934AB6"/>
    <w:rsid w:val="00955F27"/>
    <w:rsid w:val="00962211"/>
    <w:rsid w:val="00977494"/>
    <w:rsid w:val="009A600C"/>
    <w:rsid w:val="009B555F"/>
    <w:rsid w:val="009D30C9"/>
    <w:rsid w:val="009E18FF"/>
    <w:rsid w:val="009E522C"/>
    <w:rsid w:val="009E7F64"/>
    <w:rsid w:val="009F7708"/>
    <w:rsid w:val="00A03576"/>
    <w:rsid w:val="00A03C6A"/>
    <w:rsid w:val="00A17F57"/>
    <w:rsid w:val="00A72AEB"/>
    <w:rsid w:val="00A860C4"/>
    <w:rsid w:val="00A9528E"/>
    <w:rsid w:val="00A969D1"/>
    <w:rsid w:val="00AB2453"/>
    <w:rsid w:val="00AB5071"/>
    <w:rsid w:val="00AE1D47"/>
    <w:rsid w:val="00AE2711"/>
    <w:rsid w:val="00AE6208"/>
    <w:rsid w:val="00B06F6A"/>
    <w:rsid w:val="00B350C4"/>
    <w:rsid w:val="00B3718B"/>
    <w:rsid w:val="00B4044E"/>
    <w:rsid w:val="00B410C1"/>
    <w:rsid w:val="00B41E98"/>
    <w:rsid w:val="00B42E9A"/>
    <w:rsid w:val="00B51CB3"/>
    <w:rsid w:val="00B526B5"/>
    <w:rsid w:val="00B62C43"/>
    <w:rsid w:val="00B700A4"/>
    <w:rsid w:val="00B7010C"/>
    <w:rsid w:val="00B7393E"/>
    <w:rsid w:val="00B7531F"/>
    <w:rsid w:val="00B772B1"/>
    <w:rsid w:val="00B815A4"/>
    <w:rsid w:val="00B82062"/>
    <w:rsid w:val="00B86D49"/>
    <w:rsid w:val="00B912C1"/>
    <w:rsid w:val="00B922B3"/>
    <w:rsid w:val="00B9480F"/>
    <w:rsid w:val="00BA712A"/>
    <w:rsid w:val="00BB34BD"/>
    <w:rsid w:val="00BC3EC9"/>
    <w:rsid w:val="00BD014F"/>
    <w:rsid w:val="00BD71DF"/>
    <w:rsid w:val="00BF5162"/>
    <w:rsid w:val="00C02801"/>
    <w:rsid w:val="00C05D8D"/>
    <w:rsid w:val="00C21CEC"/>
    <w:rsid w:val="00C269C8"/>
    <w:rsid w:val="00C32018"/>
    <w:rsid w:val="00C4138F"/>
    <w:rsid w:val="00C43AD6"/>
    <w:rsid w:val="00C44178"/>
    <w:rsid w:val="00C443B0"/>
    <w:rsid w:val="00C53D79"/>
    <w:rsid w:val="00C54747"/>
    <w:rsid w:val="00C60921"/>
    <w:rsid w:val="00C75E40"/>
    <w:rsid w:val="00C9211C"/>
    <w:rsid w:val="00C93BDF"/>
    <w:rsid w:val="00CA7B35"/>
    <w:rsid w:val="00CE0BDE"/>
    <w:rsid w:val="00CE3ED6"/>
    <w:rsid w:val="00CE5A68"/>
    <w:rsid w:val="00CE78E6"/>
    <w:rsid w:val="00CE7DFD"/>
    <w:rsid w:val="00D00063"/>
    <w:rsid w:val="00D04B9E"/>
    <w:rsid w:val="00D0614D"/>
    <w:rsid w:val="00D06635"/>
    <w:rsid w:val="00D25DC5"/>
    <w:rsid w:val="00D26CF5"/>
    <w:rsid w:val="00D3588F"/>
    <w:rsid w:val="00D41214"/>
    <w:rsid w:val="00D73D53"/>
    <w:rsid w:val="00D912D4"/>
    <w:rsid w:val="00D9289F"/>
    <w:rsid w:val="00DA03BE"/>
    <w:rsid w:val="00DA4895"/>
    <w:rsid w:val="00DD227D"/>
    <w:rsid w:val="00DD4A3D"/>
    <w:rsid w:val="00DE60AF"/>
    <w:rsid w:val="00DF11B4"/>
    <w:rsid w:val="00E0093B"/>
    <w:rsid w:val="00E04ACD"/>
    <w:rsid w:val="00E109A2"/>
    <w:rsid w:val="00E268FF"/>
    <w:rsid w:val="00E36457"/>
    <w:rsid w:val="00E41489"/>
    <w:rsid w:val="00E60625"/>
    <w:rsid w:val="00E628BB"/>
    <w:rsid w:val="00E76F6B"/>
    <w:rsid w:val="00E809A6"/>
    <w:rsid w:val="00E87A7E"/>
    <w:rsid w:val="00E90CED"/>
    <w:rsid w:val="00ED1184"/>
    <w:rsid w:val="00ED2123"/>
    <w:rsid w:val="00ED69A9"/>
    <w:rsid w:val="00ED722B"/>
    <w:rsid w:val="00EE03A4"/>
    <w:rsid w:val="00EF5CA9"/>
    <w:rsid w:val="00F03FA4"/>
    <w:rsid w:val="00F24C2B"/>
    <w:rsid w:val="00F4211B"/>
    <w:rsid w:val="00F443A7"/>
    <w:rsid w:val="00F47D23"/>
    <w:rsid w:val="00F61A28"/>
    <w:rsid w:val="00F64B49"/>
    <w:rsid w:val="00F70B2F"/>
    <w:rsid w:val="00F77BA9"/>
    <w:rsid w:val="00F90C48"/>
    <w:rsid w:val="00FA1455"/>
    <w:rsid w:val="00FA4CE7"/>
    <w:rsid w:val="00FA6DFB"/>
    <w:rsid w:val="00FA76CD"/>
    <w:rsid w:val="00FB4E06"/>
    <w:rsid w:val="00FC7587"/>
    <w:rsid w:val="00FD2C35"/>
    <w:rsid w:val="00FE180C"/>
    <w:rsid w:val="00FF4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8B52002"/>
  <w15:chartTrackingRefBased/>
  <w15:docId w15:val="{8CCD4537-EA70-49A1-AA75-FE9D4699B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04ACD"/>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rsid w:val="00E04ACD"/>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rsid w:val="001313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ACD"/>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sid w:val="00E04ACD"/>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rsid w:val="008E5BD7"/>
    <w:pPr>
      <w:ind w:left="720"/>
      <w:contextualSpacing/>
    </w:pPr>
  </w:style>
  <w:style w:type="character" w:styleId="Hyperlink">
    <w:name w:val="Hyperlink"/>
    <w:basedOn w:val="DefaultParagraphFont"/>
    <w:uiPriority w:val="99"/>
    <w:unhideWhenUsed/>
    <w:rsid w:val="001D33E9"/>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rsid w:val="001D33E9"/>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1D33E9"/>
    <w:rPr>
      <w:sz w:val="20"/>
      <w:szCs w:val="20"/>
    </w:rPr>
  </w:style>
  <w:style w:type="character" w:styleId="CommentReference">
    <w:name w:val="annotation reference"/>
    <w:basedOn w:val="DefaultParagraphFont"/>
    <w:uiPriority w:val="99"/>
    <w:semiHidden/>
    <w:unhideWhenUsed/>
    <w:rsid w:val="001D33E9"/>
    <w:rPr>
      <w:sz w:val="16"/>
      <w:szCs w:val="16"/>
    </w:rPr>
  </w:style>
  <w:style w:type="paragraph" w:styleId="CommentText">
    <w:name w:val="annotation text"/>
    <w:basedOn w:val="Normal"/>
    <w:link w:val="CommentTextChar"/>
    <w:uiPriority w:val="99"/>
    <w:unhideWhenUsed/>
    <w:rsid w:val="001D33E9"/>
    <w:pPr>
      <w:spacing w:after="200" w:line="240" w:lineRule="auto"/>
    </w:pPr>
    <w:rPr>
      <w:sz w:val="20"/>
      <w:szCs w:val="20"/>
    </w:rPr>
  </w:style>
  <w:style w:type="character" w:customStyle="1" w:styleId="CommentTextChar">
    <w:name w:val="Comment Text Char"/>
    <w:basedOn w:val="DefaultParagraphFont"/>
    <w:link w:val="CommentText"/>
    <w:uiPriority w:val="99"/>
    <w:rsid w:val="001D33E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sid w:val="001D33E9"/>
    <w:rPr>
      <w:vertAlign w:val="superscript"/>
    </w:rPr>
  </w:style>
  <w:style w:type="paragraph" w:styleId="BalloonText">
    <w:name w:val="Balloon Text"/>
    <w:basedOn w:val="Normal"/>
    <w:link w:val="BalloonTextChar"/>
    <w:uiPriority w:val="99"/>
    <w:semiHidden/>
    <w:unhideWhenUsed/>
    <w:rsid w:val="001D33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3E9"/>
    <w:rPr>
      <w:rFonts w:ascii="Segoe UI" w:hAnsi="Segoe UI" w:cs="Segoe UI"/>
      <w:sz w:val="18"/>
      <w:szCs w:val="18"/>
    </w:rPr>
  </w:style>
  <w:style w:type="paragraph" w:styleId="Caption">
    <w:name w:val="caption"/>
    <w:aliases w:val="Table Header"/>
    <w:basedOn w:val="Normal"/>
    <w:next w:val="Normal"/>
    <w:link w:val="CaptionChar"/>
    <w:uiPriority w:val="35"/>
    <w:unhideWhenUsed/>
    <w:qFormat/>
    <w:rsid w:val="001D33E9"/>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rsid w:val="000B660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rsid w:val="000B660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0B660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rsid w:val="00B86D49"/>
    <w:pPr>
      <w:spacing w:after="160"/>
    </w:pPr>
    <w:rPr>
      <w:b/>
      <w:bCs/>
    </w:rPr>
  </w:style>
  <w:style w:type="character" w:customStyle="1" w:styleId="CommentSubjectChar">
    <w:name w:val="Comment Subject Char"/>
    <w:basedOn w:val="CommentTextChar"/>
    <w:link w:val="CommentSubject"/>
    <w:uiPriority w:val="99"/>
    <w:semiHidden/>
    <w:rsid w:val="00B86D49"/>
    <w:rPr>
      <w:b/>
      <w:bCs/>
      <w:sz w:val="20"/>
      <w:szCs w:val="20"/>
    </w:rPr>
  </w:style>
  <w:style w:type="character" w:customStyle="1" w:styleId="CaptionChar">
    <w:name w:val="Caption Char"/>
    <w:aliases w:val="Table Header Char"/>
    <w:link w:val="Caption"/>
    <w:uiPriority w:val="35"/>
    <w:locked/>
    <w:rsid w:val="00672FF9"/>
    <w:rPr>
      <w:rFonts w:ascii="Calibri" w:eastAsia="Calibri" w:hAnsi="Calibri" w:cs="Times New Roman"/>
      <w:b/>
      <w:bCs/>
      <w:sz w:val="20"/>
      <w:szCs w:val="20"/>
    </w:rPr>
  </w:style>
  <w:style w:type="paragraph" w:styleId="NormalWeb">
    <w:name w:val="Normal (Web)"/>
    <w:basedOn w:val="Normal"/>
    <w:uiPriority w:val="99"/>
    <w:unhideWhenUsed/>
    <w:rsid w:val="000A05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A05F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131394"/>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6E0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EC3"/>
  </w:style>
  <w:style w:type="paragraph" w:styleId="Footer">
    <w:name w:val="footer"/>
    <w:basedOn w:val="Normal"/>
    <w:link w:val="FooterChar"/>
    <w:uiPriority w:val="99"/>
    <w:unhideWhenUsed/>
    <w:rsid w:val="006E0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EC3"/>
  </w:style>
  <w:style w:type="paragraph" w:styleId="Title">
    <w:name w:val="Title"/>
    <w:basedOn w:val="Normal"/>
    <w:next w:val="Normal"/>
    <w:link w:val="TitleChar"/>
    <w:uiPriority w:val="10"/>
    <w:qFormat/>
    <w:rsid w:val="00B739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39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393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7393E"/>
    <w:rPr>
      <w:rFonts w:eastAsiaTheme="minorEastAsia"/>
      <w:color w:val="5A5A5A" w:themeColor="text1" w:themeTint="A5"/>
      <w:spacing w:val="15"/>
    </w:rPr>
  </w:style>
  <w:style w:type="character" w:styleId="SubtleEmphasis">
    <w:name w:val="Subtle Emphasis"/>
    <w:basedOn w:val="DefaultParagraphFont"/>
    <w:uiPriority w:val="19"/>
    <w:qFormat/>
    <w:rsid w:val="00B7393E"/>
    <w:rPr>
      <w:i/>
      <w:iCs/>
      <w:color w:val="404040" w:themeColor="text1" w:themeTint="BF"/>
    </w:rPr>
  </w:style>
  <w:style w:type="character" w:styleId="Emphasis">
    <w:name w:val="Emphasis"/>
    <w:basedOn w:val="DefaultParagraphFont"/>
    <w:uiPriority w:val="20"/>
    <w:qFormat/>
    <w:rsid w:val="00B7393E"/>
    <w:rPr>
      <w:i/>
      <w:iCs/>
    </w:rPr>
  </w:style>
  <w:style w:type="character" w:customStyle="1" w:styleId="Marker">
    <w:name w:val="Marker"/>
    <w:basedOn w:val="DefaultParagraphFont"/>
    <w:rsid w:val="00ED1184"/>
    <w:rPr>
      <w:color w:val="0000FF"/>
      <w:shd w:val="clear" w:color="auto" w:fill="auto"/>
    </w:rPr>
  </w:style>
  <w:style w:type="paragraph" w:customStyle="1" w:styleId="Pagedecouverture">
    <w:name w:val="Page de couverture"/>
    <w:basedOn w:val="Normal"/>
    <w:next w:val="Normal"/>
    <w:rsid w:val="00ED1184"/>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ED1184"/>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sid w:val="00ED1184"/>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rsid w:val="00ED1184"/>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sid w:val="00ED1184"/>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rsid w:val="00ED1184"/>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sid w:val="00ED1184"/>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rsid w:val="00ED1184"/>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sid w:val="00ED1184"/>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rsid w:val="00ED1184"/>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sid w:val="00ED1184"/>
    <w:rPr>
      <w:rFonts w:ascii="Times New Roman" w:eastAsiaTheme="majorEastAsia" w:hAnsi="Times New Roman" w:cs="Times New Roman"/>
      <w:spacing w:val="-10"/>
      <w:kern w:val="28"/>
      <w:sz w:val="2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04245">
      <w:bodyDiv w:val="1"/>
      <w:marLeft w:val="0"/>
      <w:marRight w:val="0"/>
      <w:marTop w:val="0"/>
      <w:marBottom w:val="0"/>
      <w:divBdr>
        <w:top w:val="none" w:sz="0" w:space="0" w:color="auto"/>
        <w:left w:val="none" w:sz="0" w:space="0" w:color="auto"/>
        <w:bottom w:val="none" w:sz="0" w:space="0" w:color="auto"/>
        <w:right w:val="none" w:sz="0" w:space="0" w:color="auto"/>
      </w:divBdr>
    </w:div>
    <w:div w:id="545069299">
      <w:bodyDiv w:val="1"/>
      <w:marLeft w:val="0"/>
      <w:marRight w:val="0"/>
      <w:marTop w:val="0"/>
      <w:marBottom w:val="0"/>
      <w:divBdr>
        <w:top w:val="none" w:sz="0" w:space="0" w:color="auto"/>
        <w:left w:val="none" w:sz="0" w:space="0" w:color="auto"/>
        <w:bottom w:val="none" w:sz="0" w:space="0" w:color="auto"/>
        <w:right w:val="none" w:sz="0" w:space="0" w:color="auto"/>
      </w:divBdr>
      <w:divsChild>
        <w:div w:id="1349285560">
          <w:marLeft w:val="547"/>
          <w:marRight w:val="0"/>
          <w:marTop w:val="96"/>
          <w:marBottom w:val="0"/>
          <w:divBdr>
            <w:top w:val="none" w:sz="0" w:space="0" w:color="auto"/>
            <w:left w:val="none" w:sz="0" w:space="0" w:color="auto"/>
            <w:bottom w:val="none" w:sz="0" w:space="0" w:color="auto"/>
            <w:right w:val="none" w:sz="0" w:space="0" w:color="auto"/>
          </w:divBdr>
        </w:div>
        <w:div w:id="492332153">
          <w:marLeft w:val="547"/>
          <w:marRight w:val="0"/>
          <w:marTop w:val="96"/>
          <w:marBottom w:val="0"/>
          <w:divBdr>
            <w:top w:val="none" w:sz="0" w:space="0" w:color="auto"/>
            <w:left w:val="none" w:sz="0" w:space="0" w:color="auto"/>
            <w:bottom w:val="none" w:sz="0" w:space="0" w:color="auto"/>
            <w:right w:val="none" w:sz="0" w:space="0" w:color="auto"/>
          </w:divBdr>
        </w:div>
      </w:divsChild>
    </w:div>
    <w:div w:id="622467042">
      <w:bodyDiv w:val="1"/>
      <w:marLeft w:val="0"/>
      <w:marRight w:val="0"/>
      <w:marTop w:val="0"/>
      <w:marBottom w:val="0"/>
      <w:divBdr>
        <w:top w:val="none" w:sz="0" w:space="0" w:color="auto"/>
        <w:left w:val="none" w:sz="0" w:space="0" w:color="auto"/>
        <w:bottom w:val="none" w:sz="0" w:space="0" w:color="auto"/>
        <w:right w:val="none" w:sz="0" w:space="0" w:color="auto"/>
      </w:divBdr>
      <w:divsChild>
        <w:div w:id="696614701">
          <w:marLeft w:val="0"/>
          <w:marRight w:val="0"/>
          <w:marTop w:val="0"/>
          <w:marBottom w:val="0"/>
          <w:divBdr>
            <w:top w:val="none" w:sz="0" w:space="0" w:color="auto"/>
            <w:left w:val="none" w:sz="0" w:space="0" w:color="auto"/>
            <w:bottom w:val="none" w:sz="0" w:space="0" w:color="auto"/>
            <w:right w:val="none" w:sz="0" w:space="0" w:color="auto"/>
          </w:divBdr>
        </w:div>
        <w:div w:id="486896805">
          <w:marLeft w:val="0"/>
          <w:marRight w:val="0"/>
          <w:marTop w:val="0"/>
          <w:marBottom w:val="0"/>
          <w:divBdr>
            <w:top w:val="none" w:sz="0" w:space="0" w:color="auto"/>
            <w:left w:val="none" w:sz="0" w:space="0" w:color="auto"/>
            <w:bottom w:val="none" w:sz="0" w:space="0" w:color="auto"/>
            <w:right w:val="none" w:sz="0" w:space="0" w:color="auto"/>
          </w:divBdr>
        </w:div>
        <w:div w:id="1995182714">
          <w:marLeft w:val="0"/>
          <w:marRight w:val="0"/>
          <w:marTop w:val="0"/>
          <w:marBottom w:val="0"/>
          <w:divBdr>
            <w:top w:val="none" w:sz="0" w:space="0" w:color="auto"/>
            <w:left w:val="none" w:sz="0" w:space="0" w:color="auto"/>
            <w:bottom w:val="none" w:sz="0" w:space="0" w:color="auto"/>
            <w:right w:val="none" w:sz="0" w:space="0" w:color="auto"/>
          </w:divBdr>
        </w:div>
        <w:div w:id="1403989712">
          <w:marLeft w:val="0"/>
          <w:marRight w:val="0"/>
          <w:marTop w:val="0"/>
          <w:marBottom w:val="0"/>
          <w:divBdr>
            <w:top w:val="none" w:sz="0" w:space="0" w:color="auto"/>
            <w:left w:val="none" w:sz="0" w:space="0" w:color="auto"/>
            <w:bottom w:val="none" w:sz="0" w:space="0" w:color="auto"/>
            <w:right w:val="none" w:sz="0" w:space="0" w:color="auto"/>
          </w:divBdr>
        </w:div>
        <w:div w:id="1739941987">
          <w:marLeft w:val="0"/>
          <w:marRight w:val="0"/>
          <w:marTop w:val="0"/>
          <w:marBottom w:val="0"/>
          <w:divBdr>
            <w:top w:val="none" w:sz="0" w:space="0" w:color="auto"/>
            <w:left w:val="none" w:sz="0" w:space="0" w:color="auto"/>
            <w:bottom w:val="none" w:sz="0" w:space="0" w:color="auto"/>
            <w:right w:val="none" w:sz="0" w:space="0" w:color="auto"/>
          </w:divBdr>
        </w:div>
        <w:div w:id="888491088">
          <w:marLeft w:val="0"/>
          <w:marRight w:val="0"/>
          <w:marTop w:val="0"/>
          <w:marBottom w:val="0"/>
          <w:divBdr>
            <w:top w:val="none" w:sz="0" w:space="0" w:color="auto"/>
            <w:left w:val="none" w:sz="0" w:space="0" w:color="auto"/>
            <w:bottom w:val="none" w:sz="0" w:space="0" w:color="auto"/>
            <w:right w:val="none" w:sz="0" w:space="0" w:color="auto"/>
          </w:divBdr>
        </w:div>
        <w:div w:id="1144933143">
          <w:marLeft w:val="0"/>
          <w:marRight w:val="0"/>
          <w:marTop w:val="0"/>
          <w:marBottom w:val="0"/>
          <w:divBdr>
            <w:top w:val="none" w:sz="0" w:space="0" w:color="auto"/>
            <w:left w:val="none" w:sz="0" w:space="0" w:color="auto"/>
            <w:bottom w:val="none" w:sz="0" w:space="0" w:color="auto"/>
            <w:right w:val="none" w:sz="0" w:space="0" w:color="auto"/>
          </w:divBdr>
        </w:div>
        <w:div w:id="1282147288">
          <w:marLeft w:val="0"/>
          <w:marRight w:val="0"/>
          <w:marTop w:val="0"/>
          <w:marBottom w:val="0"/>
          <w:divBdr>
            <w:top w:val="none" w:sz="0" w:space="0" w:color="auto"/>
            <w:left w:val="none" w:sz="0" w:space="0" w:color="auto"/>
            <w:bottom w:val="none" w:sz="0" w:space="0" w:color="auto"/>
            <w:right w:val="none" w:sz="0" w:space="0" w:color="auto"/>
          </w:divBdr>
        </w:div>
        <w:div w:id="2024939788">
          <w:marLeft w:val="0"/>
          <w:marRight w:val="0"/>
          <w:marTop w:val="0"/>
          <w:marBottom w:val="0"/>
          <w:divBdr>
            <w:top w:val="none" w:sz="0" w:space="0" w:color="auto"/>
            <w:left w:val="none" w:sz="0" w:space="0" w:color="auto"/>
            <w:bottom w:val="none" w:sz="0" w:space="0" w:color="auto"/>
            <w:right w:val="none" w:sz="0" w:space="0" w:color="auto"/>
          </w:divBdr>
        </w:div>
        <w:div w:id="1214152373">
          <w:marLeft w:val="0"/>
          <w:marRight w:val="0"/>
          <w:marTop w:val="0"/>
          <w:marBottom w:val="0"/>
          <w:divBdr>
            <w:top w:val="none" w:sz="0" w:space="0" w:color="auto"/>
            <w:left w:val="none" w:sz="0" w:space="0" w:color="auto"/>
            <w:bottom w:val="none" w:sz="0" w:space="0" w:color="auto"/>
            <w:right w:val="none" w:sz="0" w:space="0" w:color="auto"/>
          </w:divBdr>
        </w:div>
        <w:div w:id="236012128">
          <w:marLeft w:val="0"/>
          <w:marRight w:val="0"/>
          <w:marTop w:val="0"/>
          <w:marBottom w:val="0"/>
          <w:divBdr>
            <w:top w:val="none" w:sz="0" w:space="0" w:color="auto"/>
            <w:left w:val="none" w:sz="0" w:space="0" w:color="auto"/>
            <w:bottom w:val="none" w:sz="0" w:space="0" w:color="auto"/>
            <w:right w:val="none" w:sz="0" w:space="0" w:color="auto"/>
          </w:divBdr>
        </w:div>
        <w:div w:id="1933051928">
          <w:marLeft w:val="0"/>
          <w:marRight w:val="0"/>
          <w:marTop w:val="0"/>
          <w:marBottom w:val="0"/>
          <w:divBdr>
            <w:top w:val="none" w:sz="0" w:space="0" w:color="auto"/>
            <w:left w:val="none" w:sz="0" w:space="0" w:color="auto"/>
            <w:bottom w:val="none" w:sz="0" w:space="0" w:color="auto"/>
            <w:right w:val="none" w:sz="0" w:space="0" w:color="auto"/>
          </w:divBdr>
        </w:div>
        <w:div w:id="373431674">
          <w:marLeft w:val="0"/>
          <w:marRight w:val="0"/>
          <w:marTop w:val="0"/>
          <w:marBottom w:val="0"/>
          <w:divBdr>
            <w:top w:val="none" w:sz="0" w:space="0" w:color="auto"/>
            <w:left w:val="none" w:sz="0" w:space="0" w:color="auto"/>
            <w:bottom w:val="none" w:sz="0" w:space="0" w:color="auto"/>
            <w:right w:val="none" w:sz="0" w:space="0" w:color="auto"/>
          </w:divBdr>
        </w:div>
        <w:div w:id="1517188893">
          <w:marLeft w:val="0"/>
          <w:marRight w:val="0"/>
          <w:marTop w:val="0"/>
          <w:marBottom w:val="0"/>
          <w:divBdr>
            <w:top w:val="none" w:sz="0" w:space="0" w:color="auto"/>
            <w:left w:val="none" w:sz="0" w:space="0" w:color="auto"/>
            <w:bottom w:val="none" w:sz="0" w:space="0" w:color="auto"/>
            <w:right w:val="none" w:sz="0" w:space="0" w:color="auto"/>
          </w:divBdr>
        </w:div>
        <w:div w:id="1286816044">
          <w:marLeft w:val="0"/>
          <w:marRight w:val="0"/>
          <w:marTop w:val="0"/>
          <w:marBottom w:val="0"/>
          <w:divBdr>
            <w:top w:val="none" w:sz="0" w:space="0" w:color="auto"/>
            <w:left w:val="none" w:sz="0" w:space="0" w:color="auto"/>
            <w:bottom w:val="none" w:sz="0" w:space="0" w:color="auto"/>
            <w:right w:val="none" w:sz="0" w:space="0" w:color="auto"/>
          </w:divBdr>
        </w:div>
        <w:div w:id="1301885672">
          <w:marLeft w:val="0"/>
          <w:marRight w:val="0"/>
          <w:marTop w:val="0"/>
          <w:marBottom w:val="0"/>
          <w:divBdr>
            <w:top w:val="none" w:sz="0" w:space="0" w:color="auto"/>
            <w:left w:val="none" w:sz="0" w:space="0" w:color="auto"/>
            <w:bottom w:val="none" w:sz="0" w:space="0" w:color="auto"/>
            <w:right w:val="none" w:sz="0" w:space="0" w:color="auto"/>
          </w:divBdr>
        </w:div>
        <w:div w:id="183637867">
          <w:marLeft w:val="0"/>
          <w:marRight w:val="0"/>
          <w:marTop w:val="0"/>
          <w:marBottom w:val="0"/>
          <w:divBdr>
            <w:top w:val="none" w:sz="0" w:space="0" w:color="auto"/>
            <w:left w:val="none" w:sz="0" w:space="0" w:color="auto"/>
            <w:bottom w:val="none" w:sz="0" w:space="0" w:color="auto"/>
            <w:right w:val="none" w:sz="0" w:space="0" w:color="auto"/>
          </w:divBdr>
        </w:div>
        <w:div w:id="73018433">
          <w:marLeft w:val="0"/>
          <w:marRight w:val="0"/>
          <w:marTop w:val="0"/>
          <w:marBottom w:val="0"/>
          <w:divBdr>
            <w:top w:val="none" w:sz="0" w:space="0" w:color="auto"/>
            <w:left w:val="none" w:sz="0" w:space="0" w:color="auto"/>
            <w:bottom w:val="none" w:sz="0" w:space="0" w:color="auto"/>
            <w:right w:val="none" w:sz="0" w:space="0" w:color="auto"/>
          </w:divBdr>
        </w:div>
        <w:div w:id="1511674995">
          <w:marLeft w:val="0"/>
          <w:marRight w:val="0"/>
          <w:marTop w:val="0"/>
          <w:marBottom w:val="0"/>
          <w:divBdr>
            <w:top w:val="none" w:sz="0" w:space="0" w:color="auto"/>
            <w:left w:val="none" w:sz="0" w:space="0" w:color="auto"/>
            <w:bottom w:val="none" w:sz="0" w:space="0" w:color="auto"/>
            <w:right w:val="none" w:sz="0" w:space="0" w:color="auto"/>
          </w:divBdr>
        </w:div>
        <w:div w:id="1764958855">
          <w:marLeft w:val="0"/>
          <w:marRight w:val="0"/>
          <w:marTop w:val="0"/>
          <w:marBottom w:val="0"/>
          <w:divBdr>
            <w:top w:val="none" w:sz="0" w:space="0" w:color="auto"/>
            <w:left w:val="none" w:sz="0" w:space="0" w:color="auto"/>
            <w:bottom w:val="none" w:sz="0" w:space="0" w:color="auto"/>
            <w:right w:val="none" w:sz="0" w:space="0" w:color="auto"/>
          </w:divBdr>
        </w:div>
        <w:div w:id="494106740">
          <w:marLeft w:val="0"/>
          <w:marRight w:val="0"/>
          <w:marTop w:val="0"/>
          <w:marBottom w:val="0"/>
          <w:divBdr>
            <w:top w:val="none" w:sz="0" w:space="0" w:color="auto"/>
            <w:left w:val="none" w:sz="0" w:space="0" w:color="auto"/>
            <w:bottom w:val="none" w:sz="0" w:space="0" w:color="auto"/>
            <w:right w:val="none" w:sz="0" w:space="0" w:color="auto"/>
          </w:divBdr>
        </w:div>
        <w:div w:id="391344982">
          <w:marLeft w:val="0"/>
          <w:marRight w:val="0"/>
          <w:marTop w:val="0"/>
          <w:marBottom w:val="0"/>
          <w:divBdr>
            <w:top w:val="none" w:sz="0" w:space="0" w:color="auto"/>
            <w:left w:val="none" w:sz="0" w:space="0" w:color="auto"/>
            <w:bottom w:val="none" w:sz="0" w:space="0" w:color="auto"/>
            <w:right w:val="none" w:sz="0" w:space="0" w:color="auto"/>
          </w:divBdr>
        </w:div>
        <w:div w:id="1647783209">
          <w:marLeft w:val="0"/>
          <w:marRight w:val="0"/>
          <w:marTop w:val="0"/>
          <w:marBottom w:val="0"/>
          <w:divBdr>
            <w:top w:val="none" w:sz="0" w:space="0" w:color="auto"/>
            <w:left w:val="none" w:sz="0" w:space="0" w:color="auto"/>
            <w:bottom w:val="none" w:sz="0" w:space="0" w:color="auto"/>
            <w:right w:val="none" w:sz="0" w:space="0" w:color="auto"/>
          </w:divBdr>
        </w:div>
        <w:div w:id="2710138">
          <w:marLeft w:val="0"/>
          <w:marRight w:val="0"/>
          <w:marTop w:val="0"/>
          <w:marBottom w:val="0"/>
          <w:divBdr>
            <w:top w:val="none" w:sz="0" w:space="0" w:color="auto"/>
            <w:left w:val="none" w:sz="0" w:space="0" w:color="auto"/>
            <w:bottom w:val="none" w:sz="0" w:space="0" w:color="auto"/>
            <w:right w:val="none" w:sz="0" w:space="0" w:color="auto"/>
          </w:divBdr>
        </w:div>
        <w:div w:id="348532387">
          <w:marLeft w:val="0"/>
          <w:marRight w:val="0"/>
          <w:marTop w:val="0"/>
          <w:marBottom w:val="0"/>
          <w:divBdr>
            <w:top w:val="none" w:sz="0" w:space="0" w:color="auto"/>
            <w:left w:val="none" w:sz="0" w:space="0" w:color="auto"/>
            <w:bottom w:val="none" w:sz="0" w:space="0" w:color="auto"/>
            <w:right w:val="none" w:sz="0" w:space="0" w:color="auto"/>
          </w:divBdr>
        </w:div>
        <w:div w:id="1055660432">
          <w:marLeft w:val="0"/>
          <w:marRight w:val="0"/>
          <w:marTop w:val="0"/>
          <w:marBottom w:val="0"/>
          <w:divBdr>
            <w:top w:val="none" w:sz="0" w:space="0" w:color="auto"/>
            <w:left w:val="none" w:sz="0" w:space="0" w:color="auto"/>
            <w:bottom w:val="none" w:sz="0" w:space="0" w:color="auto"/>
            <w:right w:val="none" w:sz="0" w:space="0" w:color="auto"/>
          </w:divBdr>
        </w:div>
        <w:div w:id="1189300486">
          <w:marLeft w:val="0"/>
          <w:marRight w:val="0"/>
          <w:marTop w:val="0"/>
          <w:marBottom w:val="0"/>
          <w:divBdr>
            <w:top w:val="none" w:sz="0" w:space="0" w:color="auto"/>
            <w:left w:val="none" w:sz="0" w:space="0" w:color="auto"/>
            <w:bottom w:val="none" w:sz="0" w:space="0" w:color="auto"/>
            <w:right w:val="none" w:sz="0" w:space="0" w:color="auto"/>
          </w:divBdr>
        </w:div>
        <w:div w:id="308903436">
          <w:marLeft w:val="0"/>
          <w:marRight w:val="0"/>
          <w:marTop w:val="0"/>
          <w:marBottom w:val="0"/>
          <w:divBdr>
            <w:top w:val="none" w:sz="0" w:space="0" w:color="auto"/>
            <w:left w:val="none" w:sz="0" w:space="0" w:color="auto"/>
            <w:bottom w:val="none" w:sz="0" w:space="0" w:color="auto"/>
            <w:right w:val="none" w:sz="0" w:space="0" w:color="auto"/>
          </w:divBdr>
        </w:div>
        <w:div w:id="1267887392">
          <w:marLeft w:val="0"/>
          <w:marRight w:val="0"/>
          <w:marTop w:val="0"/>
          <w:marBottom w:val="0"/>
          <w:divBdr>
            <w:top w:val="none" w:sz="0" w:space="0" w:color="auto"/>
            <w:left w:val="none" w:sz="0" w:space="0" w:color="auto"/>
            <w:bottom w:val="none" w:sz="0" w:space="0" w:color="auto"/>
            <w:right w:val="none" w:sz="0" w:space="0" w:color="auto"/>
          </w:divBdr>
        </w:div>
        <w:div w:id="526679388">
          <w:marLeft w:val="0"/>
          <w:marRight w:val="0"/>
          <w:marTop w:val="0"/>
          <w:marBottom w:val="0"/>
          <w:divBdr>
            <w:top w:val="none" w:sz="0" w:space="0" w:color="auto"/>
            <w:left w:val="none" w:sz="0" w:space="0" w:color="auto"/>
            <w:bottom w:val="none" w:sz="0" w:space="0" w:color="auto"/>
            <w:right w:val="none" w:sz="0" w:space="0" w:color="auto"/>
          </w:divBdr>
        </w:div>
        <w:div w:id="1498380369">
          <w:marLeft w:val="0"/>
          <w:marRight w:val="0"/>
          <w:marTop w:val="0"/>
          <w:marBottom w:val="0"/>
          <w:divBdr>
            <w:top w:val="none" w:sz="0" w:space="0" w:color="auto"/>
            <w:left w:val="none" w:sz="0" w:space="0" w:color="auto"/>
            <w:bottom w:val="none" w:sz="0" w:space="0" w:color="auto"/>
            <w:right w:val="none" w:sz="0" w:space="0" w:color="auto"/>
          </w:divBdr>
        </w:div>
        <w:div w:id="1928685875">
          <w:marLeft w:val="0"/>
          <w:marRight w:val="0"/>
          <w:marTop w:val="0"/>
          <w:marBottom w:val="0"/>
          <w:divBdr>
            <w:top w:val="none" w:sz="0" w:space="0" w:color="auto"/>
            <w:left w:val="none" w:sz="0" w:space="0" w:color="auto"/>
            <w:bottom w:val="none" w:sz="0" w:space="0" w:color="auto"/>
            <w:right w:val="none" w:sz="0" w:space="0" w:color="auto"/>
          </w:divBdr>
        </w:div>
        <w:div w:id="1671634691">
          <w:marLeft w:val="0"/>
          <w:marRight w:val="0"/>
          <w:marTop w:val="0"/>
          <w:marBottom w:val="0"/>
          <w:divBdr>
            <w:top w:val="none" w:sz="0" w:space="0" w:color="auto"/>
            <w:left w:val="none" w:sz="0" w:space="0" w:color="auto"/>
            <w:bottom w:val="none" w:sz="0" w:space="0" w:color="auto"/>
            <w:right w:val="none" w:sz="0" w:space="0" w:color="auto"/>
          </w:divBdr>
        </w:div>
        <w:div w:id="1457480542">
          <w:marLeft w:val="0"/>
          <w:marRight w:val="0"/>
          <w:marTop w:val="0"/>
          <w:marBottom w:val="0"/>
          <w:divBdr>
            <w:top w:val="none" w:sz="0" w:space="0" w:color="auto"/>
            <w:left w:val="none" w:sz="0" w:space="0" w:color="auto"/>
            <w:bottom w:val="none" w:sz="0" w:space="0" w:color="auto"/>
            <w:right w:val="none" w:sz="0" w:space="0" w:color="auto"/>
          </w:divBdr>
        </w:div>
      </w:divsChild>
    </w:div>
    <w:div w:id="845051005">
      <w:bodyDiv w:val="1"/>
      <w:marLeft w:val="0"/>
      <w:marRight w:val="0"/>
      <w:marTop w:val="0"/>
      <w:marBottom w:val="0"/>
      <w:divBdr>
        <w:top w:val="none" w:sz="0" w:space="0" w:color="auto"/>
        <w:left w:val="none" w:sz="0" w:space="0" w:color="auto"/>
        <w:bottom w:val="none" w:sz="0" w:space="0" w:color="auto"/>
        <w:right w:val="none" w:sz="0" w:space="0" w:color="auto"/>
      </w:divBdr>
    </w:div>
    <w:div w:id="906458396">
      <w:bodyDiv w:val="1"/>
      <w:marLeft w:val="0"/>
      <w:marRight w:val="0"/>
      <w:marTop w:val="0"/>
      <w:marBottom w:val="0"/>
      <w:divBdr>
        <w:top w:val="none" w:sz="0" w:space="0" w:color="auto"/>
        <w:left w:val="none" w:sz="0" w:space="0" w:color="auto"/>
        <w:bottom w:val="none" w:sz="0" w:space="0" w:color="auto"/>
        <w:right w:val="none" w:sz="0" w:space="0" w:color="auto"/>
      </w:divBdr>
    </w:div>
    <w:div w:id="998342643">
      <w:bodyDiv w:val="1"/>
      <w:marLeft w:val="0"/>
      <w:marRight w:val="0"/>
      <w:marTop w:val="0"/>
      <w:marBottom w:val="0"/>
      <w:divBdr>
        <w:top w:val="none" w:sz="0" w:space="0" w:color="auto"/>
        <w:left w:val="none" w:sz="0" w:space="0" w:color="auto"/>
        <w:bottom w:val="none" w:sz="0" w:space="0" w:color="auto"/>
        <w:right w:val="none" w:sz="0" w:space="0" w:color="auto"/>
      </w:divBdr>
    </w:div>
    <w:div w:id="1077090863">
      <w:bodyDiv w:val="1"/>
      <w:marLeft w:val="0"/>
      <w:marRight w:val="0"/>
      <w:marTop w:val="0"/>
      <w:marBottom w:val="0"/>
      <w:divBdr>
        <w:top w:val="none" w:sz="0" w:space="0" w:color="auto"/>
        <w:left w:val="none" w:sz="0" w:space="0" w:color="auto"/>
        <w:bottom w:val="none" w:sz="0" w:space="0" w:color="auto"/>
        <w:right w:val="none" w:sz="0" w:space="0" w:color="auto"/>
      </w:divBdr>
    </w:div>
    <w:div w:id="1108889406">
      <w:bodyDiv w:val="1"/>
      <w:marLeft w:val="0"/>
      <w:marRight w:val="0"/>
      <w:marTop w:val="0"/>
      <w:marBottom w:val="0"/>
      <w:divBdr>
        <w:top w:val="none" w:sz="0" w:space="0" w:color="auto"/>
        <w:left w:val="none" w:sz="0" w:space="0" w:color="auto"/>
        <w:bottom w:val="none" w:sz="0" w:space="0" w:color="auto"/>
        <w:right w:val="none" w:sz="0" w:space="0" w:color="auto"/>
      </w:divBdr>
    </w:div>
    <w:div w:id="1378823283">
      <w:bodyDiv w:val="1"/>
      <w:marLeft w:val="0"/>
      <w:marRight w:val="0"/>
      <w:marTop w:val="0"/>
      <w:marBottom w:val="0"/>
      <w:divBdr>
        <w:top w:val="none" w:sz="0" w:space="0" w:color="auto"/>
        <w:left w:val="none" w:sz="0" w:space="0" w:color="auto"/>
        <w:bottom w:val="none" w:sz="0" w:space="0" w:color="auto"/>
        <w:right w:val="none" w:sz="0" w:space="0" w:color="auto"/>
      </w:divBdr>
    </w:div>
    <w:div w:id="1533037978">
      <w:bodyDiv w:val="1"/>
      <w:marLeft w:val="0"/>
      <w:marRight w:val="0"/>
      <w:marTop w:val="0"/>
      <w:marBottom w:val="0"/>
      <w:divBdr>
        <w:top w:val="none" w:sz="0" w:space="0" w:color="auto"/>
        <w:left w:val="none" w:sz="0" w:space="0" w:color="auto"/>
        <w:bottom w:val="none" w:sz="0" w:space="0" w:color="auto"/>
        <w:right w:val="none" w:sz="0" w:space="0" w:color="auto"/>
      </w:divBdr>
      <w:divsChild>
        <w:div w:id="538473133">
          <w:marLeft w:val="0"/>
          <w:marRight w:val="0"/>
          <w:marTop w:val="0"/>
          <w:marBottom w:val="0"/>
          <w:divBdr>
            <w:top w:val="none" w:sz="0" w:space="0" w:color="auto"/>
            <w:left w:val="none" w:sz="0" w:space="0" w:color="auto"/>
            <w:bottom w:val="none" w:sz="0" w:space="0" w:color="auto"/>
            <w:right w:val="none" w:sz="0" w:space="0" w:color="auto"/>
          </w:divBdr>
        </w:div>
        <w:div w:id="2049987779">
          <w:marLeft w:val="0"/>
          <w:marRight w:val="0"/>
          <w:marTop w:val="0"/>
          <w:marBottom w:val="0"/>
          <w:divBdr>
            <w:top w:val="none" w:sz="0" w:space="0" w:color="auto"/>
            <w:left w:val="none" w:sz="0" w:space="0" w:color="auto"/>
            <w:bottom w:val="none" w:sz="0" w:space="0" w:color="auto"/>
            <w:right w:val="none" w:sz="0" w:space="0" w:color="auto"/>
          </w:divBdr>
        </w:div>
        <w:div w:id="1785929176">
          <w:marLeft w:val="0"/>
          <w:marRight w:val="0"/>
          <w:marTop w:val="0"/>
          <w:marBottom w:val="0"/>
          <w:divBdr>
            <w:top w:val="none" w:sz="0" w:space="0" w:color="auto"/>
            <w:left w:val="none" w:sz="0" w:space="0" w:color="auto"/>
            <w:bottom w:val="none" w:sz="0" w:space="0" w:color="auto"/>
            <w:right w:val="none" w:sz="0" w:space="0" w:color="auto"/>
          </w:divBdr>
        </w:div>
        <w:div w:id="2063628219">
          <w:marLeft w:val="0"/>
          <w:marRight w:val="0"/>
          <w:marTop w:val="0"/>
          <w:marBottom w:val="0"/>
          <w:divBdr>
            <w:top w:val="none" w:sz="0" w:space="0" w:color="auto"/>
            <w:left w:val="none" w:sz="0" w:space="0" w:color="auto"/>
            <w:bottom w:val="none" w:sz="0" w:space="0" w:color="auto"/>
            <w:right w:val="none" w:sz="0" w:space="0" w:color="auto"/>
          </w:divBdr>
        </w:div>
        <w:div w:id="1767574833">
          <w:marLeft w:val="0"/>
          <w:marRight w:val="0"/>
          <w:marTop w:val="0"/>
          <w:marBottom w:val="0"/>
          <w:divBdr>
            <w:top w:val="none" w:sz="0" w:space="0" w:color="auto"/>
            <w:left w:val="none" w:sz="0" w:space="0" w:color="auto"/>
            <w:bottom w:val="none" w:sz="0" w:space="0" w:color="auto"/>
            <w:right w:val="none" w:sz="0" w:space="0" w:color="auto"/>
          </w:divBdr>
        </w:div>
        <w:div w:id="502667280">
          <w:marLeft w:val="0"/>
          <w:marRight w:val="0"/>
          <w:marTop w:val="0"/>
          <w:marBottom w:val="0"/>
          <w:divBdr>
            <w:top w:val="none" w:sz="0" w:space="0" w:color="auto"/>
            <w:left w:val="none" w:sz="0" w:space="0" w:color="auto"/>
            <w:bottom w:val="none" w:sz="0" w:space="0" w:color="auto"/>
            <w:right w:val="none" w:sz="0" w:space="0" w:color="auto"/>
          </w:divBdr>
        </w:div>
        <w:div w:id="541132559">
          <w:marLeft w:val="0"/>
          <w:marRight w:val="0"/>
          <w:marTop w:val="0"/>
          <w:marBottom w:val="0"/>
          <w:divBdr>
            <w:top w:val="none" w:sz="0" w:space="0" w:color="auto"/>
            <w:left w:val="none" w:sz="0" w:space="0" w:color="auto"/>
            <w:bottom w:val="none" w:sz="0" w:space="0" w:color="auto"/>
            <w:right w:val="none" w:sz="0" w:space="0" w:color="auto"/>
          </w:divBdr>
        </w:div>
        <w:div w:id="1452358087">
          <w:marLeft w:val="0"/>
          <w:marRight w:val="0"/>
          <w:marTop w:val="0"/>
          <w:marBottom w:val="0"/>
          <w:divBdr>
            <w:top w:val="none" w:sz="0" w:space="0" w:color="auto"/>
            <w:left w:val="none" w:sz="0" w:space="0" w:color="auto"/>
            <w:bottom w:val="none" w:sz="0" w:space="0" w:color="auto"/>
            <w:right w:val="none" w:sz="0" w:space="0" w:color="auto"/>
          </w:divBdr>
        </w:div>
        <w:div w:id="580062472">
          <w:marLeft w:val="0"/>
          <w:marRight w:val="0"/>
          <w:marTop w:val="0"/>
          <w:marBottom w:val="0"/>
          <w:divBdr>
            <w:top w:val="none" w:sz="0" w:space="0" w:color="auto"/>
            <w:left w:val="none" w:sz="0" w:space="0" w:color="auto"/>
            <w:bottom w:val="none" w:sz="0" w:space="0" w:color="auto"/>
            <w:right w:val="none" w:sz="0" w:space="0" w:color="auto"/>
          </w:divBdr>
        </w:div>
        <w:div w:id="1883395525">
          <w:marLeft w:val="0"/>
          <w:marRight w:val="0"/>
          <w:marTop w:val="0"/>
          <w:marBottom w:val="0"/>
          <w:divBdr>
            <w:top w:val="none" w:sz="0" w:space="0" w:color="auto"/>
            <w:left w:val="none" w:sz="0" w:space="0" w:color="auto"/>
            <w:bottom w:val="none" w:sz="0" w:space="0" w:color="auto"/>
            <w:right w:val="none" w:sz="0" w:space="0" w:color="auto"/>
          </w:divBdr>
        </w:div>
        <w:div w:id="2015960976">
          <w:marLeft w:val="0"/>
          <w:marRight w:val="0"/>
          <w:marTop w:val="0"/>
          <w:marBottom w:val="0"/>
          <w:divBdr>
            <w:top w:val="none" w:sz="0" w:space="0" w:color="auto"/>
            <w:left w:val="none" w:sz="0" w:space="0" w:color="auto"/>
            <w:bottom w:val="none" w:sz="0" w:space="0" w:color="auto"/>
            <w:right w:val="none" w:sz="0" w:space="0" w:color="auto"/>
          </w:divBdr>
        </w:div>
        <w:div w:id="1774126318">
          <w:marLeft w:val="0"/>
          <w:marRight w:val="0"/>
          <w:marTop w:val="0"/>
          <w:marBottom w:val="0"/>
          <w:divBdr>
            <w:top w:val="none" w:sz="0" w:space="0" w:color="auto"/>
            <w:left w:val="none" w:sz="0" w:space="0" w:color="auto"/>
            <w:bottom w:val="none" w:sz="0" w:space="0" w:color="auto"/>
            <w:right w:val="none" w:sz="0" w:space="0" w:color="auto"/>
          </w:divBdr>
        </w:div>
        <w:div w:id="946692831">
          <w:marLeft w:val="0"/>
          <w:marRight w:val="0"/>
          <w:marTop w:val="0"/>
          <w:marBottom w:val="0"/>
          <w:divBdr>
            <w:top w:val="none" w:sz="0" w:space="0" w:color="auto"/>
            <w:left w:val="none" w:sz="0" w:space="0" w:color="auto"/>
            <w:bottom w:val="none" w:sz="0" w:space="0" w:color="auto"/>
            <w:right w:val="none" w:sz="0" w:space="0" w:color="auto"/>
          </w:divBdr>
        </w:div>
        <w:div w:id="865947522">
          <w:marLeft w:val="0"/>
          <w:marRight w:val="0"/>
          <w:marTop w:val="0"/>
          <w:marBottom w:val="0"/>
          <w:divBdr>
            <w:top w:val="none" w:sz="0" w:space="0" w:color="auto"/>
            <w:left w:val="none" w:sz="0" w:space="0" w:color="auto"/>
            <w:bottom w:val="none" w:sz="0" w:space="0" w:color="auto"/>
            <w:right w:val="none" w:sz="0" w:space="0" w:color="auto"/>
          </w:divBdr>
        </w:div>
        <w:div w:id="1408067449">
          <w:marLeft w:val="0"/>
          <w:marRight w:val="0"/>
          <w:marTop w:val="0"/>
          <w:marBottom w:val="0"/>
          <w:divBdr>
            <w:top w:val="none" w:sz="0" w:space="0" w:color="auto"/>
            <w:left w:val="none" w:sz="0" w:space="0" w:color="auto"/>
            <w:bottom w:val="none" w:sz="0" w:space="0" w:color="auto"/>
            <w:right w:val="none" w:sz="0" w:space="0" w:color="auto"/>
          </w:divBdr>
        </w:div>
        <w:div w:id="1186213427">
          <w:marLeft w:val="0"/>
          <w:marRight w:val="0"/>
          <w:marTop w:val="0"/>
          <w:marBottom w:val="0"/>
          <w:divBdr>
            <w:top w:val="none" w:sz="0" w:space="0" w:color="auto"/>
            <w:left w:val="none" w:sz="0" w:space="0" w:color="auto"/>
            <w:bottom w:val="none" w:sz="0" w:space="0" w:color="auto"/>
            <w:right w:val="none" w:sz="0" w:space="0" w:color="auto"/>
          </w:divBdr>
        </w:div>
        <w:div w:id="786691">
          <w:marLeft w:val="0"/>
          <w:marRight w:val="0"/>
          <w:marTop w:val="0"/>
          <w:marBottom w:val="0"/>
          <w:divBdr>
            <w:top w:val="none" w:sz="0" w:space="0" w:color="auto"/>
            <w:left w:val="none" w:sz="0" w:space="0" w:color="auto"/>
            <w:bottom w:val="none" w:sz="0" w:space="0" w:color="auto"/>
            <w:right w:val="none" w:sz="0" w:space="0" w:color="auto"/>
          </w:divBdr>
        </w:div>
        <w:div w:id="1182011447">
          <w:marLeft w:val="0"/>
          <w:marRight w:val="0"/>
          <w:marTop w:val="0"/>
          <w:marBottom w:val="0"/>
          <w:divBdr>
            <w:top w:val="none" w:sz="0" w:space="0" w:color="auto"/>
            <w:left w:val="none" w:sz="0" w:space="0" w:color="auto"/>
            <w:bottom w:val="none" w:sz="0" w:space="0" w:color="auto"/>
            <w:right w:val="none" w:sz="0" w:space="0" w:color="auto"/>
          </w:divBdr>
        </w:div>
        <w:div w:id="397828324">
          <w:marLeft w:val="0"/>
          <w:marRight w:val="0"/>
          <w:marTop w:val="0"/>
          <w:marBottom w:val="0"/>
          <w:divBdr>
            <w:top w:val="none" w:sz="0" w:space="0" w:color="auto"/>
            <w:left w:val="none" w:sz="0" w:space="0" w:color="auto"/>
            <w:bottom w:val="none" w:sz="0" w:space="0" w:color="auto"/>
            <w:right w:val="none" w:sz="0" w:space="0" w:color="auto"/>
          </w:divBdr>
        </w:div>
        <w:div w:id="811753076">
          <w:marLeft w:val="0"/>
          <w:marRight w:val="0"/>
          <w:marTop w:val="0"/>
          <w:marBottom w:val="0"/>
          <w:divBdr>
            <w:top w:val="none" w:sz="0" w:space="0" w:color="auto"/>
            <w:left w:val="none" w:sz="0" w:space="0" w:color="auto"/>
            <w:bottom w:val="none" w:sz="0" w:space="0" w:color="auto"/>
            <w:right w:val="none" w:sz="0" w:space="0" w:color="auto"/>
          </w:divBdr>
        </w:div>
        <w:div w:id="462161134">
          <w:marLeft w:val="0"/>
          <w:marRight w:val="0"/>
          <w:marTop w:val="0"/>
          <w:marBottom w:val="0"/>
          <w:divBdr>
            <w:top w:val="none" w:sz="0" w:space="0" w:color="auto"/>
            <w:left w:val="none" w:sz="0" w:space="0" w:color="auto"/>
            <w:bottom w:val="none" w:sz="0" w:space="0" w:color="auto"/>
            <w:right w:val="none" w:sz="0" w:space="0" w:color="auto"/>
          </w:divBdr>
        </w:div>
        <w:div w:id="768694867">
          <w:marLeft w:val="0"/>
          <w:marRight w:val="0"/>
          <w:marTop w:val="0"/>
          <w:marBottom w:val="0"/>
          <w:divBdr>
            <w:top w:val="none" w:sz="0" w:space="0" w:color="auto"/>
            <w:left w:val="none" w:sz="0" w:space="0" w:color="auto"/>
            <w:bottom w:val="none" w:sz="0" w:space="0" w:color="auto"/>
            <w:right w:val="none" w:sz="0" w:space="0" w:color="auto"/>
          </w:divBdr>
        </w:div>
        <w:div w:id="915675569">
          <w:marLeft w:val="0"/>
          <w:marRight w:val="0"/>
          <w:marTop w:val="0"/>
          <w:marBottom w:val="0"/>
          <w:divBdr>
            <w:top w:val="none" w:sz="0" w:space="0" w:color="auto"/>
            <w:left w:val="none" w:sz="0" w:space="0" w:color="auto"/>
            <w:bottom w:val="none" w:sz="0" w:space="0" w:color="auto"/>
            <w:right w:val="none" w:sz="0" w:space="0" w:color="auto"/>
          </w:divBdr>
        </w:div>
        <w:div w:id="823014765">
          <w:marLeft w:val="0"/>
          <w:marRight w:val="0"/>
          <w:marTop w:val="0"/>
          <w:marBottom w:val="0"/>
          <w:divBdr>
            <w:top w:val="none" w:sz="0" w:space="0" w:color="auto"/>
            <w:left w:val="none" w:sz="0" w:space="0" w:color="auto"/>
            <w:bottom w:val="none" w:sz="0" w:space="0" w:color="auto"/>
            <w:right w:val="none" w:sz="0" w:space="0" w:color="auto"/>
          </w:divBdr>
        </w:div>
        <w:div w:id="646321000">
          <w:marLeft w:val="0"/>
          <w:marRight w:val="0"/>
          <w:marTop w:val="0"/>
          <w:marBottom w:val="0"/>
          <w:divBdr>
            <w:top w:val="none" w:sz="0" w:space="0" w:color="auto"/>
            <w:left w:val="none" w:sz="0" w:space="0" w:color="auto"/>
            <w:bottom w:val="none" w:sz="0" w:space="0" w:color="auto"/>
            <w:right w:val="none" w:sz="0" w:space="0" w:color="auto"/>
          </w:divBdr>
        </w:div>
        <w:div w:id="414204514">
          <w:marLeft w:val="0"/>
          <w:marRight w:val="0"/>
          <w:marTop w:val="0"/>
          <w:marBottom w:val="0"/>
          <w:divBdr>
            <w:top w:val="none" w:sz="0" w:space="0" w:color="auto"/>
            <w:left w:val="none" w:sz="0" w:space="0" w:color="auto"/>
            <w:bottom w:val="none" w:sz="0" w:space="0" w:color="auto"/>
            <w:right w:val="none" w:sz="0" w:space="0" w:color="auto"/>
          </w:divBdr>
        </w:div>
        <w:div w:id="1426725992">
          <w:marLeft w:val="0"/>
          <w:marRight w:val="0"/>
          <w:marTop w:val="0"/>
          <w:marBottom w:val="0"/>
          <w:divBdr>
            <w:top w:val="none" w:sz="0" w:space="0" w:color="auto"/>
            <w:left w:val="none" w:sz="0" w:space="0" w:color="auto"/>
            <w:bottom w:val="none" w:sz="0" w:space="0" w:color="auto"/>
            <w:right w:val="none" w:sz="0" w:space="0" w:color="auto"/>
          </w:divBdr>
        </w:div>
        <w:div w:id="1454668970">
          <w:marLeft w:val="0"/>
          <w:marRight w:val="0"/>
          <w:marTop w:val="0"/>
          <w:marBottom w:val="0"/>
          <w:divBdr>
            <w:top w:val="none" w:sz="0" w:space="0" w:color="auto"/>
            <w:left w:val="none" w:sz="0" w:space="0" w:color="auto"/>
            <w:bottom w:val="none" w:sz="0" w:space="0" w:color="auto"/>
            <w:right w:val="none" w:sz="0" w:space="0" w:color="auto"/>
          </w:divBdr>
        </w:div>
        <w:div w:id="1065176956">
          <w:marLeft w:val="0"/>
          <w:marRight w:val="0"/>
          <w:marTop w:val="0"/>
          <w:marBottom w:val="0"/>
          <w:divBdr>
            <w:top w:val="none" w:sz="0" w:space="0" w:color="auto"/>
            <w:left w:val="none" w:sz="0" w:space="0" w:color="auto"/>
            <w:bottom w:val="none" w:sz="0" w:space="0" w:color="auto"/>
            <w:right w:val="none" w:sz="0" w:space="0" w:color="auto"/>
          </w:divBdr>
        </w:div>
        <w:div w:id="1923248729">
          <w:marLeft w:val="0"/>
          <w:marRight w:val="0"/>
          <w:marTop w:val="0"/>
          <w:marBottom w:val="0"/>
          <w:divBdr>
            <w:top w:val="none" w:sz="0" w:space="0" w:color="auto"/>
            <w:left w:val="none" w:sz="0" w:space="0" w:color="auto"/>
            <w:bottom w:val="none" w:sz="0" w:space="0" w:color="auto"/>
            <w:right w:val="none" w:sz="0" w:space="0" w:color="auto"/>
          </w:divBdr>
        </w:div>
        <w:div w:id="1838616650">
          <w:marLeft w:val="0"/>
          <w:marRight w:val="0"/>
          <w:marTop w:val="0"/>
          <w:marBottom w:val="0"/>
          <w:divBdr>
            <w:top w:val="none" w:sz="0" w:space="0" w:color="auto"/>
            <w:left w:val="none" w:sz="0" w:space="0" w:color="auto"/>
            <w:bottom w:val="none" w:sz="0" w:space="0" w:color="auto"/>
            <w:right w:val="none" w:sz="0" w:space="0" w:color="auto"/>
          </w:divBdr>
        </w:div>
        <w:div w:id="1907841054">
          <w:marLeft w:val="0"/>
          <w:marRight w:val="0"/>
          <w:marTop w:val="0"/>
          <w:marBottom w:val="0"/>
          <w:divBdr>
            <w:top w:val="none" w:sz="0" w:space="0" w:color="auto"/>
            <w:left w:val="none" w:sz="0" w:space="0" w:color="auto"/>
            <w:bottom w:val="none" w:sz="0" w:space="0" w:color="auto"/>
            <w:right w:val="none" w:sz="0" w:space="0" w:color="auto"/>
          </w:divBdr>
        </w:div>
        <w:div w:id="561526013">
          <w:marLeft w:val="0"/>
          <w:marRight w:val="0"/>
          <w:marTop w:val="0"/>
          <w:marBottom w:val="0"/>
          <w:divBdr>
            <w:top w:val="none" w:sz="0" w:space="0" w:color="auto"/>
            <w:left w:val="none" w:sz="0" w:space="0" w:color="auto"/>
            <w:bottom w:val="none" w:sz="0" w:space="0" w:color="auto"/>
            <w:right w:val="none" w:sz="0" w:space="0" w:color="auto"/>
          </w:divBdr>
        </w:div>
        <w:div w:id="1589272084">
          <w:marLeft w:val="0"/>
          <w:marRight w:val="0"/>
          <w:marTop w:val="0"/>
          <w:marBottom w:val="0"/>
          <w:divBdr>
            <w:top w:val="none" w:sz="0" w:space="0" w:color="auto"/>
            <w:left w:val="none" w:sz="0" w:space="0" w:color="auto"/>
            <w:bottom w:val="none" w:sz="0" w:space="0" w:color="auto"/>
            <w:right w:val="none" w:sz="0" w:space="0" w:color="auto"/>
          </w:divBdr>
        </w:div>
      </w:divsChild>
    </w:div>
    <w:div w:id="1702433628">
      <w:bodyDiv w:val="1"/>
      <w:marLeft w:val="0"/>
      <w:marRight w:val="0"/>
      <w:marTop w:val="0"/>
      <w:marBottom w:val="0"/>
      <w:divBdr>
        <w:top w:val="none" w:sz="0" w:space="0" w:color="auto"/>
        <w:left w:val="none" w:sz="0" w:space="0" w:color="auto"/>
        <w:bottom w:val="none" w:sz="0" w:space="0" w:color="auto"/>
        <w:right w:val="none" w:sz="0" w:space="0" w:color="auto"/>
      </w:divBdr>
      <w:divsChild>
        <w:div w:id="292953205">
          <w:marLeft w:val="0"/>
          <w:marRight w:val="0"/>
          <w:marTop w:val="0"/>
          <w:marBottom w:val="0"/>
          <w:divBdr>
            <w:top w:val="none" w:sz="0" w:space="0" w:color="auto"/>
            <w:left w:val="none" w:sz="0" w:space="0" w:color="auto"/>
            <w:bottom w:val="none" w:sz="0" w:space="0" w:color="auto"/>
            <w:right w:val="none" w:sz="0" w:space="0" w:color="auto"/>
          </w:divBdr>
        </w:div>
        <w:div w:id="840394572">
          <w:marLeft w:val="0"/>
          <w:marRight w:val="0"/>
          <w:marTop w:val="0"/>
          <w:marBottom w:val="0"/>
          <w:divBdr>
            <w:top w:val="none" w:sz="0" w:space="0" w:color="auto"/>
            <w:left w:val="none" w:sz="0" w:space="0" w:color="auto"/>
            <w:bottom w:val="none" w:sz="0" w:space="0" w:color="auto"/>
            <w:right w:val="none" w:sz="0" w:space="0" w:color="auto"/>
          </w:divBdr>
        </w:div>
      </w:divsChild>
    </w:div>
    <w:div w:id="1881699317">
      <w:bodyDiv w:val="1"/>
      <w:marLeft w:val="0"/>
      <w:marRight w:val="0"/>
      <w:marTop w:val="0"/>
      <w:marBottom w:val="0"/>
      <w:divBdr>
        <w:top w:val="none" w:sz="0" w:space="0" w:color="auto"/>
        <w:left w:val="none" w:sz="0" w:space="0" w:color="auto"/>
        <w:bottom w:val="none" w:sz="0" w:space="0" w:color="auto"/>
        <w:right w:val="none" w:sz="0" w:space="0" w:color="auto"/>
      </w:divBdr>
    </w:div>
    <w:div w:id="203164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chart" Target="charts/chart10.xm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chart" Target="charts/chart3.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chart" Target="charts/chart9.xml"/><Relationship Id="rId30" Type="http://schemas.openxmlformats.org/officeDocument/2006/relationships/chart" Target="charts/chart11.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lima/policies/adaptation/what_fr" TargetMode="External"/><Relationship Id="rId3" Type="http://schemas.openxmlformats.org/officeDocument/2006/relationships/hyperlink" Target="https://ec.europa.eu/info/publications/non-financial-reporting-guidelines_fr%23climate" TargetMode="External"/><Relationship Id="rId7" Type="http://schemas.openxmlformats.org/officeDocument/2006/relationships/hyperlink" Target="http://www.lifeagroclimawater.eu/" TargetMode="External"/><Relationship Id="rId2" Type="http://schemas.openxmlformats.org/officeDocument/2006/relationships/hyperlink" Target="https://ec.europa.eu/info/publications/180524-proposal-sustainable-finance_fr" TargetMode="External"/><Relationship Id="rId1" Type="http://schemas.openxmlformats.org/officeDocument/2006/relationships/hyperlink" Target="https://ec.europa.eu/energy/en/topics/energy-strategy-and-energy-union/governance-energy-union/national-energy-climate-plans" TargetMode="External"/><Relationship Id="rId6" Type="http://schemas.openxmlformats.org/officeDocument/2006/relationships/hyperlink" Target="https://ec.europa.eu/jrc/en/peseta-iii" TargetMode="External"/><Relationship Id="rId5" Type="http://schemas.openxmlformats.org/officeDocument/2006/relationships/hyperlink" Target="https://eur-lex.europa.eu/legal-content/fr/TXT/?uri=CELEX:32019R0856" TargetMode="External"/><Relationship Id="rId4" Type="http://schemas.openxmlformats.org/officeDocument/2006/relationships/hyperlink" Target="https://ec.europa.eu/commission/publications/factsheets-long-term-budget-proposals_fr" TargetMode="External"/><Relationship Id="rId9" Type="http://schemas.openxmlformats.org/officeDocument/2006/relationships/hyperlink" Target="https://eur-lex.europa.eu/legal-content/fr/TXT/?uri=CELEX:32018D2027"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attbap\AppData\Local\Temp\3\CLIMA-2019-80080-00-00-FR-SRC-00.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attbap\AppData\Local\Temp\3\CLIMA-2019-80080-00-00-FR-SRC-00.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attbap\AppData\Local\Temp\3\CLIMA-2019-80080-00-00-FR-SRC-00.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attbap\AppData\Local\Temp\3\CLIMA-2019-80080-00-00-FR-SRC-00.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pattbap\AppData\Local\Temp\3\CLIMA-2019-80080-00-00-FR-SRC-00.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attbap\AppData\Local\Temp\3\CLIMA-2019-80080-00-00-FR-SRC-00.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attbap\AppData\Local\Temp\3\CLIMA-2019-80080-00-00-FR-SRC-00.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ttbap\AppData\Local\Temp\3\CLIMA-2019-80080-00-00-FR-SRC-0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ttbap\AppData\Local\Temp\3\CLIMA-2019-80080-00-00-FR-SRC-0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ttbap\AppData\Local\Temp\3\CLIMA-2019-80080-00-00-FR-SRC-00.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pattbap\AppData\Local\Temp\3\CLIMA-2019-80080-00-00-FR-SRC-0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59769841149636"/>
          <c:y val="3.3228637117322289E-2"/>
          <c:w val="0.82734575185086767"/>
          <c:h val="0.64720607559112586"/>
        </c:manualLayout>
      </c:layout>
      <c:lineChart>
        <c:grouping val="standard"/>
        <c:varyColors val="0"/>
        <c:ser>
          <c:idx val="0"/>
          <c:order val="0"/>
          <c:tx>
            <c:strRef>
              <c:f>'Graphique 2'!$A$3</c:f>
              <c:strCache>
                <c:ptCount val="1"/>
                <c:pt idx="0">
                  <c:v>Total des émissions de gaz à effet de serre de l’UE (historiques)</c:v>
                </c:pt>
              </c:strCache>
            </c:strRef>
          </c:tx>
          <c:spPr>
            <a:ln w="19050"/>
          </c:spPr>
          <c:marker>
            <c:symbol val="none"/>
          </c:marker>
          <c:cat>
            <c:numRef>
              <c:f>'Graphique 2'!$B$2:$AP$2</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'Graphique 2'!$B$3:$AP$3</c:f>
              <c:numCache>
                <c:formatCode>0</c:formatCode>
                <c:ptCount val="41"/>
                <c:pt idx="0">
                  <c:v>5722.8889676335102</c:v>
                </c:pt>
                <c:pt idx="1">
                  <c:v>5627.0827661841004</c:v>
                </c:pt>
                <c:pt idx="2">
                  <c:v>5457.2191375397197</c:v>
                </c:pt>
                <c:pt idx="3">
                  <c:v>5362.91298856087</c:v>
                </c:pt>
                <c:pt idx="4">
                  <c:v>5340.0570825834602</c:v>
                </c:pt>
                <c:pt idx="5">
                  <c:v>5397.8190591375997</c:v>
                </c:pt>
                <c:pt idx="6">
                  <c:v>5511.9891209971402</c:v>
                </c:pt>
                <c:pt idx="7">
                  <c:v>5423.7006898650698</c:v>
                </c:pt>
                <c:pt idx="8">
                  <c:v>5385.66549755506</c:v>
                </c:pt>
                <c:pt idx="9">
                  <c:v>5285.1389074741501</c:v>
                </c:pt>
                <c:pt idx="10">
                  <c:v>5287.2266057879997</c:v>
                </c:pt>
                <c:pt idx="11">
                  <c:v>5339.6781331275197</c:v>
                </c:pt>
                <c:pt idx="12">
                  <c:v>5296.3162332240399</c:v>
                </c:pt>
                <c:pt idx="13">
                  <c:v>5383.3690206929105</c:v>
                </c:pt>
                <c:pt idx="14">
                  <c:v>5390.8004565092497</c:v>
                </c:pt>
                <c:pt idx="15">
                  <c:v>5361.9561585458096</c:v>
                </c:pt>
                <c:pt idx="16">
                  <c:v>5353.5349827406399</c:v>
                </c:pt>
                <c:pt idx="17">
                  <c:v>5305.9410559522903</c:v>
                </c:pt>
                <c:pt idx="18">
                  <c:v>5191.0501536239999</c:v>
                </c:pt>
                <c:pt idx="19">
                  <c:v>4815.1787373316802</c:v>
                </c:pt>
                <c:pt idx="20">
                  <c:v>4917.5197692988604</c:v>
                </c:pt>
                <c:pt idx="21">
                  <c:v>4763.8598635143999</c:v>
                </c:pt>
                <c:pt idx="22">
                  <c:v>4698.5761959484798</c:v>
                </c:pt>
                <c:pt idx="23">
                  <c:v>4605.4897735696804</c:v>
                </c:pt>
                <c:pt idx="24">
                  <c:v>4436.2918572357803</c:v>
                </c:pt>
                <c:pt idx="25">
                  <c:v>4470.3049341415799</c:v>
                </c:pt>
                <c:pt idx="26">
                  <c:v>4453.1160671462103</c:v>
                </c:pt>
                <c:pt idx="27">
                  <c:v>4483.1367414945698</c:v>
                </c:pt>
                <c:pt idx="28">
                  <c:v>4394.029101270442</c:v>
                </c:pt>
              </c:numCache>
            </c:numRef>
          </c:val>
          <c:smooth val="0"/>
          <c:extLst>
            <c:ext xmlns:c16="http://schemas.microsoft.com/office/drawing/2014/chart" uri="{C3380CC4-5D6E-409C-BE32-E72D297353CC}">
              <c16:uniqueId val="{00000000-FF6F-481E-B96D-8D07AED049F7}"/>
            </c:ext>
          </c:extLst>
        </c:ser>
        <c:ser>
          <c:idx val="1"/>
          <c:order val="1"/>
          <c:tx>
            <c:strRef>
              <c:f>'Graphique 2'!$A$4</c:f>
              <c:strCache>
                <c:ptCount val="1"/>
                <c:pt idx="0">
                  <c:v>Total des émissions de gaz à effet de serre de l’UE (projections avec mesures existantes)</c:v>
                </c:pt>
              </c:strCache>
            </c:strRef>
          </c:tx>
          <c:spPr>
            <a:ln w="41275">
              <a:solidFill>
                <a:schemeClr val="accent1"/>
              </a:solidFill>
              <a:prstDash val="sysDot"/>
            </a:ln>
          </c:spPr>
          <c:marker>
            <c:symbol val="none"/>
          </c:marker>
          <c:cat>
            <c:numRef>
              <c:f>'Graphique 2'!$B$2:$AP$2</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'Graphique 2'!$B$4:$AP$4</c:f>
              <c:numCache>
                <c:formatCode>General</c:formatCode>
                <c:ptCount val="41"/>
                <c:pt idx="29" formatCode="0">
                  <c:v>4313.8548135022038</c:v>
                </c:pt>
                <c:pt idx="30" formatCode="0">
                  <c:v>4275.3131695308484</c:v>
                </c:pt>
                <c:pt idx="31" formatCode="0">
                  <c:v>4236.3613155999783</c:v>
                </c:pt>
                <c:pt idx="32" formatCode="0">
                  <c:v>4207.24284278304</c:v>
                </c:pt>
                <c:pt idx="33" formatCode="0">
                  <c:v>4182.2155975688456</c:v>
                </c:pt>
                <c:pt idx="34" formatCode="0">
                  <c:v>4153.6858422808964</c:v>
                </c:pt>
                <c:pt idx="35" formatCode="0">
                  <c:v>4125.3143505616626</c:v>
                </c:pt>
                <c:pt idx="36" formatCode="0">
                  <c:v>4098.7777149064341</c:v>
                </c:pt>
                <c:pt idx="37" formatCode="0">
                  <c:v>4075.9633338090998</c:v>
                </c:pt>
                <c:pt idx="38" formatCode="0">
                  <c:v>4048.8265215140941</c:v>
                </c:pt>
                <c:pt idx="39" formatCode="0">
                  <c:v>4019.5780775855619</c:v>
                </c:pt>
                <c:pt idx="40" formatCode="0">
                  <c:v>3988.7986246000082</c:v>
                </c:pt>
              </c:numCache>
            </c:numRef>
          </c:val>
          <c:smooth val="0"/>
          <c:extLst>
            <c:ext xmlns:c16="http://schemas.microsoft.com/office/drawing/2014/chart" uri="{C3380CC4-5D6E-409C-BE32-E72D297353CC}">
              <c16:uniqueId val="{00000001-FF6F-481E-B96D-8D07AED049F7}"/>
            </c:ext>
          </c:extLst>
        </c:ser>
        <c:ser>
          <c:idx val="2"/>
          <c:order val="2"/>
          <c:tx>
            <c:strRef>
              <c:f>'Graphique 2'!$A$6</c:f>
              <c:strCache>
                <c:ptCount val="1"/>
                <c:pt idx="0">
                  <c:v>Objectifs 2020 et 2030</c:v>
                </c:pt>
              </c:strCache>
            </c:strRef>
          </c:tx>
          <c:spPr>
            <a:ln w="25400">
              <a:solidFill>
                <a:schemeClr val="accent2"/>
              </a:solidFill>
              <a:prstDash val="sysDot"/>
            </a:ln>
          </c:spPr>
          <c:marker>
            <c:symbol val="none"/>
          </c:marker>
          <c:dPt>
            <c:idx val="30"/>
            <c:marker>
              <c:symbol val="diamond"/>
              <c:size val="7"/>
              <c:spPr>
                <a:solidFill>
                  <a:schemeClr val="accent2"/>
                </a:solidFill>
                <a:ln>
                  <a:noFill/>
                </a:ln>
              </c:spPr>
            </c:marker>
            <c:bubble3D val="0"/>
            <c:extLst>
              <c:ext xmlns:c16="http://schemas.microsoft.com/office/drawing/2014/chart" uri="{C3380CC4-5D6E-409C-BE32-E72D297353CC}">
                <c16:uniqueId val="{00000002-FF6F-481E-B96D-8D07AED049F7}"/>
              </c:ext>
            </c:extLst>
          </c:dPt>
          <c:dPt>
            <c:idx val="40"/>
            <c:marker>
              <c:symbol val="diamond"/>
              <c:size val="7"/>
              <c:spPr>
                <a:solidFill>
                  <a:schemeClr val="accent2"/>
                </a:solidFill>
                <a:ln>
                  <a:noFill/>
                </a:ln>
              </c:spPr>
            </c:marker>
            <c:bubble3D val="0"/>
            <c:extLst>
              <c:ext xmlns:c16="http://schemas.microsoft.com/office/drawing/2014/chart" uri="{C3380CC4-5D6E-409C-BE32-E72D297353CC}">
                <c16:uniqueId val="{00000003-FF6F-481E-B96D-8D07AED049F7}"/>
              </c:ext>
            </c:extLst>
          </c:dPt>
          <c:cat>
            <c:numRef>
              <c:f>'Graphique 2'!$B$2:$AP$2</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'Graphique 2'!$B$6:$AP$6</c:f>
              <c:numCache>
                <c:formatCode>General</c:formatCode>
                <c:ptCount val="41"/>
                <c:pt idx="30" formatCode="0">
                  <c:v>4578.3111741068087</c:v>
                </c:pt>
                <c:pt idx="31" formatCode="0">
                  <c:v>4463.8533947541382</c:v>
                </c:pt>
                <c:pt idx="32" formatCode="0">
                  <c:v>4349.3956154014677</c:v>
                </c:pt>
                <c:pt idx="33" formatCode="0">
                  <c:v>4234.9378360487972</c:v>
                </c:pt>
                <c:pt idx="34" formatCode="0">
                  <c:v>4120.4800566961267</c:v>
                </c:pt>
                <c:pt idx="35" formatCode="0">
                  <c:v>4006.0222773434562</c:v>
                </c:pt>
                <c:pt idx="36" formatCode="0">
                  <c:v>3891.5644979907856</c:v>
                </c:pt>
                <c:pt idx="37" formatCode="0">
                  <c:v>3777.1067186381151</c:v>
                </c:pt>
                <c:pt idx="38" formatCode="0">
                  <c:v>3662.6489392854446</c:v>
                </c:pt>
                <c:pt idx="39" formatCode="0">
                  <c:v>3548.1911599327741</c:v>
                </c:pt>
                <c:pt idx="40" formatCode="0">
                  <c:v>3433.7333805801059</c:v>
                </c:pt>
              </c:numCache>
            </c:numRef>
          </c:val>
          <c:smooth val="0"/>
          <c:extLst>
            <c:ext xmlns:c16="http://schemas.microsoft.com/office/drawing/2014/chart" uri="{C3380CC4-5D6E-409C-BE32-E72D297353CC}">
              <c16:uniqueId val="{00000004-FF6F-481E-B96D-8D07AED049F7}"/>
            </c:ext>
          </c:extLst>
        </c:ser>
        <c:ser>
          <c:idx val="3"/>
          <c:order val="3"/>
          <c:tx>
            <c:strRef>
              <c:f>'Graphique 2'!$A$7</c:f>
              <c:strCache>
                <c:ptCount val="1"/>
                <c:pt idx="0">
                  <c:v>Objectifs 2020 et 2030</c:v>
                </c:pt>
              </c:strCache>
            </c:strRef>
          </c:tx>
          <c:spPr>
            <a:ln>
              <a:solidFill>
                <a:schemeClr val="bg1"/>
              </a:solidFill>
              <a:prstDash val="sysDash"/>
            </a:ln>
          </c:spPr>
          <c:marker>
            <c:symbol val="diamond"/>
            <c:size val="7"/>
            <c:spPr>
              <a:solidFill>
                <a:schemeClr val="accent2"/>
              </a:solidFill>
              <a:ln>
                <a:solidFill>
                  <a:schemeClr val="accent2"/>
                </a:solidFill>
              </a:ln>
            </c:spPr>
          </c:marker>
          <c:val>
            <c:numRef>
              <c:f>'Graphique 2'!$B$7</c:f>
              <c:numCache>
                <c:formatCode>General</c:formatCode>
                <c:ptCount val="1"/>
              </c:numCache>
            </c:numRef>
          </c:val>
          <c:smooth val="0"/>
          <c:extLst>
            <c:ext xmlns:c16="http://schemas.microsoft.com/office/drawing/2014/chart" uri="{C3380CC4-5D6E-409C-BE32-E72D297353CC}">
              <c16:uniqueId val="{00000005-FF6F-481E-B96D-8D07AED049F7}"/>
            </c:ext>
          </c:extLst>
        </c:ser>
        <c:ser>
          <c:idx val="4"/>
          <c:order val="4"/>
          <c:tx>
            <c:strRef>
              <c:f>'Graphique 2'!$A$5</c:f>
              <c:strCache>
                <c:ptCount val="1"/>
                <c:pt idx="0">
                  <c:v>Total des émissions de gaz à effet de serre de l’UE (projections avec mesures supplémentaires)</c:v>
                </c:pt>
              </c:strCache>
            </c:strRef>
          </c:tx>
          <c:spPr>
            <a:ln w="38100">
              <a:solidFill>
                <a:srgbClr val="7030A0"/>
              </a:solidFill>
              <a:prstDash val="sysDot"/>
            </a:ln>
          </c:spPr>
          <c:marker>
            <c:symbol val="none"/>
          </c:marker>
          <c:val>
            <c:numRef>
              <c:f>'Graphique 2'!$B$5:$AP$5</c:f>
              <c:numCache>
                <c:formatCode>General</c:formatCode>
                <c:ptCount val="41"/>
                <c:pt idx="29" formatCode="0">
                  <c:v>4269.9365817796488</c:v>
                </c:pt>
                <c:pt idx="30" formatCode="0">
                  <c:v>4218.0003120907104</c:v>
                </c:pt>
                <c:pt idx="31" formatCode="0">
                  <c:v>4150.158141568807</c:v>
                </c:pt>
                <c:pt idx="32" formatCode="0">
                  <c:v>4092.7355300350259</c:v>
                </c:pt>
                <c:pt idx="33" formatCode="0">
                  <c:v>4039.6165990528029</c:v>
                </c:pt>
                <c:pt idx="34" formatCode="0">
                  <c:v>3981.460248849136</c:v>
                </c:pt>
                <c:pt idx="35" formatCode="0">
                  <c:v>3924.4598334447228</c:v>
                </c:pt>
                <c:pt idx="36" formatCode="0">
                  <c:v>3868.0765734058641</c:v>
                </c:pt>
                <c:pt idx="37" formatCode="0">
                  <c:v>3820.3033736686489</c:v>
                </c:pt>
                <c:pt idx="38" formatCode="0">
                  <c:v>3768.997316698471</c:v>
                </c:pt>
                <c:pt idx="39" formatCode="0">
                  <c:v>3715.8499779008494</c:v>
                </c:pt>
                <c:pt idx="40" formatCode="0">
                  <c:v>3662.2387378601693</c:v>
                </c:pt>
              </c:numCache>
            </c:numRef>
          </c:val>
          <c:smooth val="0"/>
          <c:extLst>
            <c:ext xmlns:c16="http://schemas.microsoft.com/office/drawing/2014/chart" uri="{C3380CC4-5D6E-409C-BE32-E72D297353CC}">
              <c16:uniqueId val="{00000006-FF6F-481E-B96D-8D07AED049F7}"/>
            </c:ext>
          </c:extLst>
        </c:ser>
        <c:dLbls>
          <c:showLegendKey val="0"/>
          <c:showVal val="0"/>
          <c:showCatName val="0"/>
          <c:showSerName val="0"/>
          <c:showPercent val="0"/>
          <c:showBubbleSize val="0"/>
        </c:dLbls>
        <c:smooth val="0"/>
        <c:axId val="118264960"/>
        <c:axId val="118266880"/>
      </c:lineChart>
      <c:catAx>
        <c:axId val="118264960"/>
        <c:scaling>
          <c:orientation val="minMax"/>
        </c:scaling>
        <c:delete val="0"/>
        <c:axPos val="b"/>
        <c:numFmt formatCode="General" sourceLinked="1"/>
        <c:majorTickMark val="out"/>
        <c:minorTickMark val="none"/>
        <c:tickLblPos val="nextTo"/>
        <c:txPr>
          <a:bodyPr/>
          <a:lstStyle/>
          <a:p>
            <a:pPr>
              <a:defRPr sz="1050"/>
            </a:pPr>
            <a:endParaRPr lang="en-US"/>
          </a:p>
        </c:txPr>
        <c:crossAx val="118266880"/>
        <c:crosses val="autoZero"/>
        <c:auto val="1"/>
        <c:lblAlgn val="ctr"/>
        <c:lblOffset val="100"/>
        <c:tickLblSkip val="5"/>
        <c:noMultiLvlLbl val="0"/>
      </c:catAx>
      <c:valAx>
        <c:axId val="118266880"/>
        <c:scaling>
          <c:orientation val="minMax"/>
        </c:scaling>
        <c:delete val="0"/>
        <c:axPos val="l"/>
        <c:majorGridlines/>
        <c:title>
          <c:tx>
            <c:rich>
              <a:bodyPr rot="-5400000" vert="horz"/>
              <a:lstStyle/>
              <a:p>
                <a:pPr>
                  <a:defRPr sz="1100"/>
                </a:pPr>
                <a:r>
                  <a:rPr lang="fr-FR" sz="1100"/>
                  <a:t>Mt équivalent CO</a:t>
                </a:r>
                <a:r>
                  <a:rPr lang="fr-FR" sz="1100" baseline="-25000"/>
                  <a:t>2</a:t>
                </a:r>
                <a:r>
                  <a:rPr lang="fr-FR" sz="1100"/>
                  <a:t> </a:t>
                </a:r>
              </a:p>
            </c:rich>
          </c:tx>
          <c:layout>
            <c:manualLayout>
              <c:xMode val="edge"/>
              <c:yMode val="edge"/>
              <c:x val="8.9182064314283268E-3"/>
              <c:y val="0.2514851879743572"/>
            </c:manualLayout>
          </c:layout>
          <c:overlay val="0"/>
        </c:title>
        <c:numFmt formatCode="0\ 000" sourceLinked="0"/>
        <c:majorTickMark val="out"/>
        <c:minorTickMark val="none"/>
        <c:tickLblPos val="nextTo"/>
        <c:txPr>
          <a:bodyPr/>
          <a:lstStyle/>
          <a:p>
            <a:pPr>
              <a:defRPr sz="1050"/>
            </a:pPr>
            <a:endParaRPr lang="en-US"/>
          </a:p>
        </c:txPr>
        <c:crossAx val="118264960"/>
        <c:crosses val="autoZero"/>
        <c:crossBetween val="between"/>
      </c:valAx>
    </c:plotArea>
    <c:legend>
      <c:legendPos val="b"/>
      <c:legendEntry>
        <c:idx val="2"/>
        <c:delete val="1"/>
      </c:legendEntry>
      <c:layout>
        <c:manualLayout>
          <c:xMode val="edge"/>
          <c:yMode val="edge"/>
          <c:x val="8.9841416434992716E-2"/>
          <c:y val="0.76390596757038609"/>
          <c:w val="0.88151936345585191"/>
          <c:h val="0.21500457076718313"/>
        </c:manualLayout>
      </c:layout>
      <c:overlay val="0"/>
      <c:txPr>
        <a:bodyPr/>
        <a:lstStyle/>
        <a:p>
          <a:pPr>
            <a:defRPr sz="800"/>
          </a:pPr>
          <a:endParaRPr lang="en-US"/>
        </a:p>
      </c:txPr>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2"/>
          <c:order val="2"/>
          <c:tx>
            <c:strRef>
              <c:f>'Graphique 13'!$D$5</c:f>
              <c:strCache>
                <c:ptCount val="1"/>
                <c:pt idx="0">
                  <c:v>2013-2018</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A2C6-4098-8D89-64BB230B65C9}"/>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03-A2C6-4098-8D89-64BB230B65C9}"/>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5-A2C6-4098-8D89-64BB230B65C9}"/>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07-A2C6-4098-8D89-64BB230B65C9}"/>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09-A2C6-4098-8D89-64BB230B65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f>'Graphique 13'!$A$6:$A$10</c:f>
              <c:strCache>
                <c:ptCount val="5"/>
                <c:pt idx="0">
                  <c:v>Énergies renouvelables</c:v>
                </c:pt>
                <c:pt idx="1">
                  <c:v>Efficacité énergétique</c:v>
                </c:pt>
                <c:pt idx="2">
                  <c:v>Transports durables</c:v>
                </c:pt>
                <c:pt idx="3">
                  <c:v>R&amp;D</c:v>
                </c:pt>
                <c:pt idx="4">
                  <c:v>Autres utilisations nationales ou européennes</c:v>
                </c:pt>
              </c:strCache>
            </c:strRef>
          </c:cat>
          <c:val>
            <c:numRef>
              <c:f>'Graphique 13'!$D$6:$D$10</c:f>
              <c:numCache>
                <c:formatCode>0.0</c:formatCode>
                <c:ptCount val="5"/>
                <c:pt idx="0">
                  <c:v>9.2213958759016528</c:v>
                </c:pt>
                <c:pt idx="1">
                  <c:v>8.0675425000000001</c:v>
                </c:pt>
                <c:pt idx="2">
                  <c:v>4.2021844069999998</c:v>
                </c:pt>
                <c:pt idx="3">
                  <c:v>1.6700975260266668</c:v>
                </c:pt>
                <c:pt idx="4">
                  <c:v>1.9331548807666667</c:v>
                </c:pt>
              </c:numCache>
            </c:numRef>
          </c:val>
          <c:extLst xmlns:c15="http://schemas.microsoft.com/office/drawing/2012/chart">
            <c:ext xmlns:c16="http://schemas.microsoft.com/office/drawing/2014/chart" uri="{C3380CC4-5D6E-409C-BE32-E72D297353CC}">
              <c16:uniqueId val="{0000000A-A2C6-4098-8D89-64BB230B65C9}"/>
            </c:ext>
          </c:extLst>
        </c:ser>
        <c:dLbls>
          <c:showLegendKey val="0"/>
          <c:showVal val="1"/>
          <c:showCatName val="1"/>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'[1]Figure 13'!$B$5</c15:sqref>
                        </c15:formulaRef>
                      </c:ext>
                    </c:extLst>
                    <c:strCache>
                      <c:ptCount val="1"/>
                      <c:pt idx="0">
                        <c:v>#REF!</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A2C6-4098-8D89-64BB230B65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A2C6-4098-8D89-64BB230B65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A2C6-4098-8D89-64BB230B65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A2C6-4098-8D89-64BB230B65C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A2C6-4098-8D89-64BB230B65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numRef>
                    <c:extLst>
                      <c:ext uri="{02D57815-91ED-43cb-92C2-25804820EDAC}">
                        <c15:formulaRef>
                          <c15:sqref>'[1]Figure 13'!$A$6:$A$10</c15:sqref>
                        </c15:formulaRef>
                      </c:ext>
                    </c:extLst>
                    <c:numCache>
                      <c:formatCode>General</c:formatCode>
                      <c:ptCount val="5"/>
                      <c:pt idx="0">
                        <c:v>0</c:v>
                      </c:pt>
                      <c:pt idx="1">
                        <c:v>0</c:v>
                      </c:pt>
                      <c:pt idx="2">
                        <c:v>0</c:v>
                      </c:pt>
                      <c:pt idx="3">
                        <c:v>0</c:v>
                      </c:pt>
                      <c:pt idx="4">
                        <c:v>0</c:v>
                      </c:pt>
                    </c:numCache>
                  </c:numRef>
                </c:cat>
                <c:val>
                  <c:numRef>
                    <c:extLst>
                      <c:ext uri="{02D57815-91ED-43cb-92C2-25804820EDAC}">
                        <c15:formulaRef>
                          <c15:sqref>'[1]Figure 13'!$B$6:$B$10</c15:sqref>
                        </c15:formulaRef>
                      </c:ext>
                    </c:extLst>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15-A2C6-4098-8D89-64BB230B65C9}"/>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'[1]Figure 13'!$C$5</c15:sqref>
                        </c15:formulaRef>
                      </c:ext>
                    </c:extLst>
                    <c:strCache>
                      <c:ptCount val="1"/>
                      <c:pt idx="0">
                        <c:v>#REF!</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7-A2C6-4098-8D89-64BB230B65C9}"/>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9-A2C6-4098-8D89-64BB230B65C9}"/>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B-A2C6-4098-8D89-64BB230B65C9}"/>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D-A2C6-4098-8D89-64BB230B65C9}"/>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1F-A2C6-4098-8D89-64BB230B65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numRef>
                    <c:extLst xmlns:c15="http://schemas.microsoft.com/office/drawing/2012/chart">
                      <c:ext xmlns:c15="http://schemas.microsoft.com/office/drawing/2012/chart" uri="{02D57815-91ED-43cb-92C2-25804820EDAC}">
                        <c15:formulaRef>
                          <c15:sqref>'[1]Figure 13'!$A$6:$A$10</c15:sqref>
                        </c15:formulaRef>
                      </c:ext>
                    </c:extLst>
                    <c:numCache>
                      <c:formatCode>General</c:formatCode>
                      <c:ptCount val="5"/>
                      <c:pt idx="0">
                        <c:v>0</c:v>
                      </c:pt>
                      <c:pt idx="1">
                        <c:v>0</c:v>
                      </c:pt>
                      <c:pt idx="2">
                        <c:v>0</c:v>
                      </c:pt>
                      <c:pt idx="3">
                        <c:v>0</c:v>
                      </c:pt>
                      <c:pt idx="4">
                        <c:v>0</c:v>
                      </c:pt>
                    </c:numCache>
                  </c:numRef>
                </c:cat>
                <c:val>
                  <c:numRef>
                    <c:extLst xmlns:c15="http://schemas.microsoft.com/office/drawing/2012/chart">
                      <c:ext xmlns:c15="http://schemas.microsoft.com/office/drawing/2012/chart" uri="{02D57815-91ED-43cb-92C2-25804820EDAC}">
                        <c15:formulaRef>
                          <c15:sqref>'[1]Figure 13'!$C$6:$C$10</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20-A2C6-4098-8D89-64BB230B65C9}"/>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'[1]Figure 13'!$E$5</c15:sqref>
                        </c15:formulaRef>
                      </c:ext>
                    </c:extLst>
                    <c:strCache>
                      <c:ptCount val="1"/>
                      <c:pt idx="0">
                        <c:v>#REF!</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2-A2C6-4098-8D89-64BB230B65C9}"/>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24-A2C6-4098-8D89-64BB230B65C9}"/>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A2C6-4098-8D89-64BB230B65C9}"/>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8-A2C6-4098-8D89-64BB230B65C9}"/>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2A-A2C6-4098-8D89-64BB230B65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numRef>
                    <c:extLst xmlns:c15="http://schemas.microsoft.com/office/drawing/2012/chart">
                      <c:ext xmlns:c15="http://schemas.microsoft.com/office/drawing/2012/chart" uri="{02D57815-91ED-43cb-92C2-25804820EDAC}">
                        <c15:formulaRef>
                          <c15:sqref>'[1]Figure 13'!$A$6:$A$10</c15:sqref>
                        </c15:formulaRef>
                      </c:ext>
                    </c:extLst>
                    <c:numCache>
                      <c:formatCode>General</c:formatCode>
                      <c:ptCount val="5"/>
                      <c:pt idx="0">
                        <c:v>0</c:v>
                      </c:pt>
                      <c:pt idx="1">
                        <c:v>0</c:v>
                      </c:pt>
                      <c:pt idx="2">
                        <c:v>0</c:v>
                      </c:pt>
                      <c:pt idx="3">
                        <c:v>0</c:v>
                      </c:pt>
                      <c:pt idx="4">
                        <c:v>0</c:v>
                      </c:pt>
                    </c:numCache>
                  </c:numRef>
                </c:cat>
                <c:val>
                  <c:numRef>
                    <c:extLst xmlns:c15="http://schemas.microsoft.com/office/drawing/2012/chart">
                      <c:ext xmlns:c15="http://schemas.microsoft.com/office/drawing/2012/chart" uri="{02D57815-91ED-43cb-92C2-25804820EDAC}">
                        <c15:formulaRef>
                          <c15:sqref>'[1]Figure 13'!$E$6:$E$10</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2B-A2C6-4098-8D89-64BB230B65C9}"/>
                  </c:ext>
                </c:extLst>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D8-4296-83D9-E948397839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ED8-4296-83D9-E948397839D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ED8-4296-83D9-E948397839D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ED8-4296-83D9-E948397839D1}"/>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'Graphique 14'!$A$5:$A$8</c:f>
              <c:strCache>
                <c:ptCount val="4"/>
                <c:pt idx="0">
                  <c:v>Nature et biodiversité</c:v>
                </c:pt>
                <c:pt idx="1">
                  <c:v>Économie circulaire et qualité de vie</c:v>
                </c:pt>
                <c:pt idx="2">
                  <c:v>Atténuation du changement climatique et adaptation à celui-ci</c:v>
                </c:pt>
                <c:pt idx="3">
                  <c:v>Transition vers une énergie propre</c:v>
                </c:pt>
              </c:strCache>
            </c:strRef>
          </c:cat>
          <c:val>
            <c:numRef>
              <c:f>'Graphique 14'!$B$5:$B$8</c:f>
              <c:numCache>
                <c:formatCode>General</c:formatCode>
                <c:ptCount val="4"/>
                <c:pt idx="0">
                  <c:v>2.15</c:v>
                </c:pt>
                <c:pt idx="1">
                  <c:v>1.35</c:v>
                </c:pt>
                <c:pt idx="2">
                  <c:v>0.95</c:v>
                </c:pt>
                <c:pt idx="3">
                  <c:v>1</c:v>
                </c:pt>
              </c:numCache>
            </c:numRef>
          </c:val>
          <c:extLst>
            <c:ext xmlns:c16="http://schemas.microsoft.com/office/drawing/2014/chart" uri="{C3380CC4-5D6E-409C-BE32-E72D297353CC}">
              <c16:uniqueId val="{00000008-9ED8-4296-83D9-E948397839D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6906955784066071"/>
          <c:y val="9.8301254009915434E-2"/>
          <c:w val="0.41775995172970148"/>
          <c:h val="0.8311752697579469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37056543428761"/>
          <c:y val="3.134090957586793E-2"/>
          <c:w val="0.83434687385931061"/>
          <c:h val="0.68230681826264461"/>
        </c:manualLayout>
      </c:layout>
      <c:barChart>
        <c:barDir val="bar"/>
        <c:grouping val="percentStacked"/>
        <c:varyColors val="0"/>
        <c:ser>
          <c:idx val="0"/>
          <c:order val="0"/>
          <c:tx>
            <c:strRef>
              <c:f>'Graphique 4'!$B$21</c:f>
              <c:strCache>
                <c:ptCount val="1"/>
                <c:pt idx="0">
                  <c:v>Phase 1</c:v>
                </c:pt>
              </c:strCache>
            </c:strRef>
          </c:tx>
          <c:spPr>
            <a:solidFill>
              <a:schemeClr val="bg1">
                <a:lumMod val="85000"/>
              </a:schemeClr>
            </a:solidFill>
            <a:ln>
              <a:solidFill>
                <a:schemeClr val="bg1">
                  <a:lumMod val="50000"/>
                </a:schemeClr>
              </a:solidFill>
            </a:ln>
          </c:spPr>
          <c:invertIfNegative val="0"/>
          <c:dLbls>
            <c:dLbl>
              <c:idx val="0"/>
              <c:layout>
                <c:manualLayout>
                  <c:x val="6.9805843805950121E-4"/>
                  <c:y val="-0.31383719317462461"/>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90E7-4509-AE92-3318FEB1CA03}"/>
                </c:ext>
              </c:extLst>
            </c:dLbl>
            <c:spPr>
              <a:noFill/>
              <a:ln>
                <a:noFill/>
              </a:ln>
              <a:effectLst/>
            </c:spPr>
            <c:dLblPos val="inEnd"/>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'Graphique 4'!$C$21</c:f>
              <c:numCache>
                <c:formatCode>General</c:formatCode>
                <c:ptCount val="1"/>
                <c:pt idx="0">
                  <c:v>0.11538461538461539</c:v>
                </c:pt>
              </c:numCache>
            </c:numRef>
          </c:val>
          <c:extLst>
            <c:ext xmlns:c16="http://schemas.microsoft.com/office/drawing/2014/chart" uri="{C3380CC4-5D6E-409C-BE32-E72D297353CC}">
              <c16:uniqueId val="{00000001-90E7-4509-AE92-3318FEB1CA03}"/>
            </c:ext>
          </c:extLst>
        </c:ser>
        <c:ser>
          <c:idx val="1"/>
          <c:order val="1"/>
          <c:tx>
            <c:strRef>
              <c:f>'Graphique 4'!$B$22</c:f>
              <c:strCache>
                <c:ptCount val="1"/>
                <c:pt idx="0">
                  <c:v>Phase 2</c:v>
                </c:pt>
              </c:strCache>
            </c:strRef>
          </c:tx>
          <c:spPr>
            <a:solidFill>
              <a:schemeClr val="tx2">
                <a:lumMod val="20000"/>
                <a:lumOff val="80000"/>
              </a:schemeClr>
            </a:solidFill>
            <a:ln>
              <a:solidFill>
                <a:schemeClr val="bg1">
                  <a:lumMod val="65000"/>
                </a:schemeClr>
              </a:solidFill>
            </a:ln>
          </c:spPr>
          <c:invertIfNegative val="0"/>
          <c:dLbls>
            <c:dLbl>
              <c:idx val="0"/>
              <c:layout>
                <c:manualLayout>
                  <c:x val="-6.6225165562913907E-3"/>
                  <c:y val="-0.3129945569836336"/>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90E7-4509-AE92-3318FEB1CA03}"/>
                </c:ext>
              </c:extLst>
            </c:dLbl>
            <c:spPr>
              <a:noFill/>
              <a:ln>
                <a:noFill/>
              </a:ln>
              <a:effectLst/>
            </c:sp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'Graphique 4'!$C$22</c:f>
              <c:numCache>
                <c:formatCode>General</c:formatCode>
                <c:ptCount val="1"/>
                <c:pt idx="0">
                  <c:v>0.19230769230769232</c:v>
                </c:pt>
              </c:numCache>
            </c:numRef>
          </c:val>
          <c:extLst>
            <c:ext xmlns:c16="http://schemas.microsoft.com/office/drawing/2014/chart" uri="{C3380CC4-5D6E-409C-BE32-E72D297353CC}">
              <c16:uniqueId val="{00000003-90E7-4509-AE92-3318FEB1CA03}"/>
            </c:ext>
          </c:extLst>
        </c:ser>
        <c:ser>
          <c:idx val="2"/>
          <c:order val="2"/>
          <c:tx>
            <c:strRef>
              <c:f>'Graphique 4'!$B$23</c:f>
              <c:strCache>
                <c:ptCount val="1"/>
                <c:pt idx="0">
                  <c:v>Phase 3</c:v>
                </c:pt>
              </c:strCache>
            </c:strRef>
          </c:tx>
          <c:spPr>
            <a:solidFill>
              <a:schemeClr val="bg1">
                <a:lumMod val="85000"/>
              </a:schemeClr>
            </a:solidFill>
            <a:ln>
              <a:solidFill>
                <a:schemeClr val="bg1">
                  <a:lumMod val="65000"/>
                </a:schemeClr>
              </a:solidFill>
            </a:ln>
          </c:spPr>
          <c:invertIfNegative val="0"/>
          <c:dLbls>
            <c:dLbl>
              <c:idx val="0"/>
              <c:layout>
                <c:manualLayout>
                  <c:x val="-1.3245033112582781E-2"/>
                  <c:y val="-0.3101716924028934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90E7-4509-AE92-3318FEB1CA03}"/>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'Graphique 4'!$C$23</c:f>
              <c:numCache>
                <c:formatCode>General</c:formatCode>
                <c:ptCount val="1"/>
                <c:pt idx="0">
                  <c:v>0.30769230769230771</c:v>
                </c:pt>
              </c:numCache>
            </c:numRef>
          </c:val>
          <c:extLst>
            <c:ext xmlns:c16="http://schemas.microsoft.com/office/drawing/2014/chart" uri="{C3380CC4-5D6E-409C-BE32-E72D297353CC}">
              <c16:uniqueId val="{00000005-90E7-4509-AE92-3318FEB1CA03}"/>
            </c:ext>
          </c:extLst>
        </c:ser>
        <c:ser>
          <c:idx val="3"/>
          <c:order val="3"/>
          <c:tx>
            <c:strRef>
              <c:f>'Graphique 4'!$B$24</c:f>
              <c:strCache>
                <c:ptCount val="1"/>
                <c:pt idx="0">
                  <c:v>Phase 4</c:v>
                </c:pt>
              </c:strCache>
            </c:strRef>
          </c:tx>
          <c:spPr>
            <a:solidFill>
              <a:schemeClr val="tx2">
                <a:lumMod val="20000"/>
                <a:lumOff val="80000"/>
              </a:schemeClr>
            </a:solidFill>
            <a:ln>
              <a:solidFill>
                <a:schemeClr val="bg1">
                  <a:lumMod val="65000"/>
                </a:schemeClr>
              </a:solidFill>
            </a:ln>
          </c:spPr>
          <c:invertIfNegative val="0"/>
          <c:dLbls>
            <c:dLbl>
              <c:idx val="0"/>
              <c:layout>
                <c:manualLayout>
                  <c:x val="-1.5452538631346579E-2"/>
                  <c:y val="-0.29719540624355406"/>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90E7-4509-AE92-3318FEB1CA03}"/>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'Graphique 4'!$C$24</c:f>
              <c:numCache>
                <c:formatCode>General</c:formatCode>
                <c:ptCount val="1"/>
                <c:pt idx="0">
                  <c:v>0.38461538461538464</c:v>
                </c:pt>
              </c:numCache>
            </c:numRef>
          </c:val>
          <c:extLst>
            <c:ext xmlns:c16="http://schemas.microsoft.com/office/drawing/2014/chart" uri="{C3380CC4-5D6E-409C-BE32-E72D297353CC}">
              <c16:uniqueId val="{00000007-90E7-4509-AE92-3318FEB1CA03}"/>
            </c:ext>
          </c:extLst>
        </c:ser>
        <c:dLbls>
          <c:showLegendKey val="0"/>
          <c:showVal val="0"/>
          <c:showCatName val="0"/>
          <c:showSerName val="0"/>
          <c:showPercent val="0"/>
          <c:showBubbleSize val="0"/>
        </c:dLbls>
        <c:gapWidth val="0"/>
        <c:overlap val="100"/>
        <c:axId val="119950336"/>
        <c:axId val="119964800"/>
      </c:barChart>
      <c:barChart>
        <c:barDir val="col"/>
        <c:grouping val="stacked"/>
        <c:varyColors val="0"/>
        <c:ser>
          <c:idx val="4"/>
          <c:order val="4"/>
          <c:tx>
            <c:strRef>
              <c:f>'Graphique 4'!$B$2</c:f>
              <c:strCache>
                <c:ptCount val="1"/>
                <c:pt idx="0">
                  <c:v>Combustion* (émissions vérifiées)</c:v>
                </c:pt>
              </c:strCache>
            </c:strRef>
          </c:tx>
          <c:spPr>
            <a:solidFill>
              <a:schemeClr val="accent1">
                <a:lumMod val="75000"/>
              </a:schemeClr>
            </a:solidFill>
          </c:spPr>
          <c:invertIfNegative val="0"/>
          <c:cat>
            <c:numRef>
              <c:f>'Graphique 4'!$C$1:$AB$1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'Graphique 4'!$C$2:$AB$2</c:f>
              <c:numCache>
                <c:formatCode>_-* #,##0_-;\-* #,##0_-;_-* "-"??_-;_-@_-</c:formatCode>
                <c:ptCount val="26"/>
                <c:pt idx="0">
                  <c:v>1442.8739990000001</c:v>
                </c:pt>
                <c:pt idx="1">
                  <c:v>1454.8497609999999</c:v>
                </c:pt>
                <c:pt idx="2">
                  <c:v>1544.837403</c:v>
                </c:pt>
                <c:pt idx="3">
                  <c:v>1493.402773</c:v>
                </c:pt>
                <c:pt idx="4">
                  <c:v>1369.6105859999998</c:v>
                </c:pt>
                <c:pt idx="5">
                  <c:v>1402.2543189999999</c:v>
                </c:pt>
                <c:pt idx="6">
                  <c:v>1371.8661710000001</c:v>
                </c:pt>
                <c:pt idx="7">
                  <c:v>1359.580956</c:v>
                </c:pt>
                <c:pt idx="8">
                  <c:v>1319.8153829999999</c:v>
                </c:pt>
                <c:pt idx="9">
                  <c:v>1224.016973</c:v>
                </c:pt>
                <c:pt idx="10">
                  <c:v>1212.4361510000001</c:v>
                </c:pt>
                <c:pt idx="11">
                  <c:v>1166.232751</c:v>
                </c:pt>
                <c:pt idx="12">
                  <c:v>1163.5615789999999</c:v>
                </c:pt>
                <c:pt idx="13">
                  <c:v>1095.190975</c:v>
                </c:pt>
              </c:numCache>
            </c:numRef>
          </c:val>
          <c:extLst>
            <c:ext xmlns:c16="http://schemas.microsoft.com/office/drawing/2014/chart" uri="{C3380CC4-5D6E-409C-BE32-E72D297353CC}">
              <c16:uniqueId val="{00000008-90E7-4509-AE92-3318FEB1CA03}"/>
            </c:ext>
          </c:extLst>
        </c:ser>
        <c:ser>
          <c:idx val="5"/>
          <c:order val="5"/>
          <c:tx>
            <c:strRef>
              <c:f>'Graphique 4'!$B$3</c:f>
              <c:strCache>
                <c:ptCount val="1"/>
                <c:pt idx="0">
                  <c:v>Autres installations industrielles (émissions vérifiées)</c:v>
                </c:pt>
              </c:strCache>
            </c:strRef>
          </c:tx>
          <c:spPr>
            <a:solidFill>
              <a:schemeClr val="accent2">
                <a:lumMod val="60000"/>
                <a:lumOff val="40000"/>
              </a:schemeClr>
            </a:solidFill>
          </c:spPr>
          <c:invertIfNegative val="0"/>
          <c:cat>
            <c:numRef>
              <c:f>'Graphique 4'!$C$1:$AB$1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'Graphique 4'!$C$3:$AB$3</c:f>
              <c:numCache>
                <c:formatCode>_-* #,##0_-;\-* #,##0_-;_-* "-"??_-;_-@_-</c:formatCode>
                <c:ptCount val="26"/>
                <c:pt idx="0">
                  <c:v>571.20278399999995</c:v>
                </c:pt>
                <c:pt idx="1">
                  <c:v>580.93923699999993</c:v>
                </c:pt>
                <c:pt idx="2">
                  <c:v>619.89531700000009</c:v>
                </c:pt>
                <c:pt idx="3">
                  <c:v>626.27104700000007</c:v>
                </c:pt>
                <c:pt idx="4">
                  <c:v>510.00764000000004</c:v>
                </c:pt>
                <c:pt idx="5">
                  <c:v>536.54882099999998</c:v>
                </c:pt>
                <c:pt idx="6">
                  <c:v>532.52135299999998</c:v>
                </c:pt>
                <c:pt idx="7">
                  <c:v>507.445673</c:v>
                </c:pt>
                <c:pt idx="8">
                  <c:v>588.350279</c:v>
                </c:pt>
                <c:pt idx="9">
                  <c:v>589.81273600000009</c:v>
                </c:pt>
                <c:pt idx="10">
                  <c:v>590.50587899999994</c:v>
                </c:pt>
                <c:pt idx="11">
                  <c:v>584.22613799999999</c:v>
                </c:pt>
                <c:pt idx="12">
                  <c:v>591.00471699999991</c:v>
                </c:pt>
                <c:pt idx="13">
                  <c:v>586.83204699999999</c:v>
                </c:pt>
              </c:numCache>
            </c:numRef>
          </c:val>
          <c:extLst>
            <c:ext xmlns:c16="http://schemas.microsoft.com/office/drawing/2014/chart" uri="{C3380CC4-5D6E-409C-BE32-E72D297353CC}">
              <c16:uniqueId val="{00000009-90E7-4509-AE92-3318FEB1CA03}"/>
            </c:ext>
          </c:extLst>
        </c:ser>
        <c:ser>
          <c:idx val="7"/>
          <c:order val="6"/>
          <c:tx>
            <c:strRef>
              <c:f>'Graphique 4'!$B$5</c:f>
              <c:strCache>
                <c:ptCount val="1"/>
                <c:pt idx="0">
                  <c:v>Combustion (somme des projections des États membres)</c:v>
                </c:pt>
              </c:strCache>
            </c:strRef>
          </c:tx>
          <c:spPr>
            <a:pattFill prst="pct50">
              <a:fgClr>
                <a:schemeClr val="bg1">
                  <a:lumMod val="85000"/>
                </a:schemeClr>
              </a:fgClr>
              <a:bgClr>
                <a:schemeClr val="accent1">
                  <a:lumMod val="75000"/>
                </a:schemeClr>
              </a:bgClr>
            </a:pattFill>
          </c:spPr>
          <c:invertIfNegative val="0"/>
          <c:cat>
            <c:numRef>
              <c:f>'Graphique 4'!$C$1:$AB$1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'Graphique 4'!$C$5:$AB$5</c:f>
              <c:numCache>
                <c:formatCode>General</c:formatCode>
                <c:ptCount val="26"/>
                <c:pt idx="14" formatCode="_-* #,##0_-;\-* #,##0_-;_-* &quot;-&quot;??_-;_-@_-">
                  <c:v>1057.9505885216959</c:v>
                </c:pt>
                <c:pt idx="15" formatCode="_-* #,##0_-;\-* #,##0_-;_-* &quot;-&quot;??_-;_-@_-">
                  <c:v>1031.3781707888327</c:v>
                </c:pt>
                <c:pt idx="16" formatCode="_-* #,##0_-;\-* #,##0_-;_-* &quot;-&quot;??_-;_-@_-">
                  <c:v>1012.9031302501303</c:v>
                </c:pt>
                <c:pt idx="17" formatCode="_-* #,##0_-;\-* #,##0_-;_-* &quot;-&quot;??_-;_-@_-">
                  <c:v>1003.3717899666397</c:v>
                </c:pt>
                <c:pt idx="18" formatCode="_-* #,##0_-;\-* #,##0_-;_-* &quot;-&quot;??_-;_-@_-">
                  <c:v>997.63208339949074</c:v>
                </c:pt>
                <c:pt idx="19" formatCode="_-* #,##0_-;\-* #,##0_-;_-* &quot;-&quot;??_-;_-@_-">
                  <c:v>988.78216635945489</c:v>
                </c:pt>
                <c:pt idx="20" formatCode="_-* #,##0_-;\-* #,##0_-;_-* &quot;-&quot;??_-;_-@_-">
                  <c:v>979.94525362586</c:v>
                </c:pt>
                <c:pt idx="21" formatCode="_-* #,##0_-;\-* #,##0_-;_-* &quot;-&quot;??_-;_-@_-">
                  <c:v>969.15286733949449</c:v>
                </c:pt>
                <c:pt idx="22" formatCode="_-* #,##0_-;\-* #,##0_-;_-* &quot;-&quot;??_-;_-@_-">
                  <c:v>963.91872040850114</c:v>
                </c:pt>
                <c:pt idx="23" formatCode="_-* #,##0_-;\-* #,##0_-;_-* &quot;-&quot;??_-;_-@_-">
                  <c:v>954.51017439684631</c:v>
                </c:pt>
                <c:pt idx="24" formatCode="_-* #,##0_-;\-* #,##0_-;_-* &quot;-&quot;??_-;_-@_-">
                  <c:v>943.07903653885251</c:v>
                </c:pt>
                <c:pt idx="25" formatCode="_-* #,##0_-;\-* #,##0_-;_-* &quot;-&quot;??_-;_-@_-">
                  <c:v>930.4475147712343</c:v>
                </c:pt>
              </c:numCache>
            </c:numRef>
          </c:val>
          <c:extLst>
            <c:ext xmlns:c16="http://schemas.microsoft.com/office/drawing/2014/chart" uri="{C3380CC4-5D6E-409C-BE32-E72D297353CC}">
              <c16:uniqueId val="{0000000A-90E7-4509-AE92-3318FEB1CA03}"/>
            </c:ext>
          </c:extLst>
        </c:ser>
        <c:ser>
          <c:idx val="8"/>
          <c:order val="7"/>
          <c:tx>
            <c:strRef>
              <c:f>'Graphique 4'!$B$6</c:f>
              <c:strCache>
                <c:ptCount val="1"/>
                <c:pt idx="0">
                  <c:v>Autres installations industrielles (somme des projections des États membres)</c:v>
                </c:pt>
              </c:strCache>
            </c:strRef>
          </c:tx>
          <c:spPr>
            <a:pattFill prst="pct50">
              <a:fgClr>
                <a:schemeClr val="accent2">
                  <a:lumMod val="60000"/>
                  <a:lumOff val="40000"/>
                </a:schemeClr>
              </a:fgClr>
              <a:bgClr>
                <a:schemeClr val="bg1"/>
              </a:bgClr>
            </a:pattFill>
          </c:spPr>
          <c:invertIfNegative val="0"/>
          <c:cat>
            <c:numRef>
              <c:f>'Graphique 4'!$C$1:$AB$1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'Graphique 4'!$C$6:$AB$6</c:f>
              <c:numCache>
                <c:formatCode>General</c:formatCode>
                <c:ptCount val="26"/>
                <c:pt idx="14" formatCode="_-* #,##0_-;\-* #,##0_-;_-* &quot;-&quot;??_-;_-@_-">
                  <c:v>593.28192301498473</c:v>
                </c:pt>
                <c:pt idx="15" formatCode="_-* #,##0_-;\-* #,##0_-;_-* &quot;-&quot;??_-;_-@_-">
                  <c:v>590.35606319978342</c:v>
                </c:pt>
                <c:pt idx="16" formatCode="_-* #,##0_-;\-* #,##0_-;_-* &quot;-&quot;??_-;_-@_-">
                  <c:v>585.8904152847241</c:v>
                </c:pt>
                <c:pt idx="17" formatCode="_-* #,##0_-;\-* #,##0_-;_-* &quot;-&quot;??_-;_-@_-">
                  <c:v>582.01697202462788</c:v>
                </c:pt>
                <c:pt idx="18" formatCode="_-* #,##0_-;\-* #,##0_-;_-* &quot;-&quot;??_-;_-@_-">
                  <c:v>578.40226955868059</c:v>
                </c:pt>
                <c:pt idx="19" formatCode="_-* #,##0_-;\-* #,##0_-;_-* &quot;-&quot;??_-;_-@_-">
                  <c:v>574.69804041139071</c:v>
                </c:pt>
                <c:pt idx="20" formatCode="_-* #,##0_-;\-* #,##0_-;_-* &quot;-&quot;??_-;_-@_-">
                  <c:v>571.14804687344486</c:v>
                </c:pt>
                <c:pt idx="21" formatCode="_-* #,##0_-;\-* #,##0_-;_-* &quot;-&quot;??_-;_-@_-">
                  <c:v>566.79258964836345</c:v>
                </c:pt>
                <c:pt idx="22" formatCode="_-* #,##0_-;\-* #,##0_-;_-* &quot;-&quot;??_-;_-@_-">
                  <c:v>562.56358858722854</c:v>
                </c:pt>
                <c:pt idx="23" formatCode="_-* #,##0_-;\-* #,##0_-;_-* &quot;-&quot;??_-;_-@_-">
                  <c:v>558.44038640698159</c:v>
                </c:pt>
                <c:pt idx="24" formatCode="_-* #,##0_-;\-* #,##0_-;_-* &quot;-&quot;??_-;_-@_-">
                  <c:v>554.22935505010219</c:v>
                </c:pt>
                <c:pt idx="25" formatCode="_-* #,##0_-;\-* #,##0_-;_-* &quot;-&quot;??_-;_-@_-">
                  <c:v>550.38601528492734</c:v>
                </c:pt>
              </c:numCache>
            </c:numRef>
          </c:val>
          <c:extLst>
            <c:ext xmlns:c16="http://schemas.microsoft.com/office/drawing/2014/chart" uri="{C3380CC4-5D6E-409C-BE32-E72D297353CC}">
              <c16:uniqueId val="{0000000B-90E7-4509-AE92-3318FEB1CA03}"/>
            </c:ext>
          </c:extLst>
        </c:ser>
        <c:ser>
          <c:idx val="12"/>
          <c:order val="12"/>
          <c:tx>
            <c:strRef>
              <c:f>'Graphique 4'!$B$4</c:f>
              <c:strCache>
                <c:ptCount val="1"/>
                <c:pt idx="0">
                  <c:v>Aviation (émissions vérifiées)</c:v>
                </c:pt>
              </c:strCache>
            </c:strRef>
          </c:tx>
          <c:spPr>
            <a:solidFill>
              <a:schemeClr val="bg1">
                <a:lumMod val="50000"/>
              </a:schemeClr>
            </a:solidFill>
          </c:spPr>
          <c:invertIfNegative val="0"/>
          <c:val>
            <c:numRef>
              <c:f>'Graphique 4'!$C$4:$P$4</c:f>
              <c:numCache>
                <c:formatCode>_-* #,##0_-;\-* #,##0_-;_-* "-"??_-;_-@_-</c:formatCode>
                <c:ptCount val="14"/>
                <c:pt idx="0">
                  <c:v>0</c:v>
                </c:pt>
                <c:pt idx="1">
                  <c:v>0</c:v>
                </c:pt>
                <c:pt idx="2">
                  <c:v>0</c:v>
                </c:pt>
                <c:pt idx="3">
                  <c:v>0</c:v>
                </c:pt>
                <c:pt idx="4">
                  <c:v>0</c:v>
                </c:pt>
                <c:pt idx="5">
                  <c:v>0</c:v>
                </c:pt>
                <c:pt idx="6">
                  <c:v>0</c:v>
                </c:pt>
                <c:pt idx="7">
                  <c:v>83.979600000000005</c:v>
                </c:pt>
                <c:pt idx="8">
                  <c:v>53.487031000000002</c:v>
                </c:pt>
                <c:pt idx="9">
                  <c:v>54.832616000000002</c:v>
                </c:pt>
                <c:pt idx="10">
                  <c:v>57.095936999999999</c:v>
                </c:pt>
                <c:pt idx="11">
                  <c:v>61.473762000000001</c:v>
                </c:pt>
                <c:pt idx="12">
                  <c:v>64.417811</c:v>
                </c:pt>
                <c:pt idx="13">
                  <c:v>67.001190000000008</c:v>
                </c:pt>
              </c:numCache>
            </c:numRef>
          </c:val>
          <c:extLst>
            <c:ext xmlns:c16="http://schemas.microsoft.com/office/drawing/2014/chart" uri="{C3380CC4-5D6E-409C-BE32-E72D297353CC}">
              <c16:uniqueId val="{0000000C-90E7-4509-AE92-3318FEB1CA03}"/>
            </c:ext>
          </c:extLst>
        </c:ser>
        <c:dLbls>
          <c:showLegendKey val="0"/>
          <c:showVal val="0"/>
          <c:showCatName val="0"/>
          <c:showSerName val="0"/>
          <c:showPercent val="0"/>
          <c:showBubbleSize val="0"/>
        </c:dLbls>
        <c:gapWidth val="100"/>
        <c:overlap val="100"/>
        <c:axId val="119968512"/>
        <c:axId val="119966336"/>
      </c:barChart>
      <c:lineChart>
        <c:grouping val="standard"/>
        <c:varyColors val="0"/>
        <c:ser>
          <c:idx val="6"/>
          <c:order val="8"/>
          <c:tx>
            <c:strRef>
              <c:f>'Graphique 4'!$B$13</c:f>
              <c:strCache>
                <c:ptCount val="1"/>
                <c:pt idx="0">
                  <c:v>Plafond phase 2</c:v>
                </c:pt>
              </c:strCache>
            </c:strRef>
          </c:tx>
          <c:spPr>
            <a:ln w="22225">
              <a:solidFill>
                <a:schemeClr val="accent6">
                  <a:lumMod val="50000"/>
                </a:schemeClr>
              </a:solidFill>
            </a:ln>
          </c:spPr>
          <c:marker>
            <c:symbol val="none"/>
          </c:marker>
          <c:val>
            <c:numRef>
              <c:f>'Graphique 4'!$C$13:$AB$13</c:f>
              <c:numCache>
                <c:formatCode>General</c:formatCode>
                <c:ptCount val="26"/>
                <c:pt idx="3" formatCode="_-* #,##0_-;\-* #,##0_-;_-* &quot;-&quot;??_-;_-@_-">
                  <c:v>2081</c:v>
                </c:pt>
                <c:pt idx="4" formatCode="_-* #,##0_-;\-* #,##0_-;_-* &quot;-&quot;??_-;_-@_-">
                  <c:v>2081</c:v>
                </c:pt>
                <c:pt idx="5" formatCode="_-* #,##0_-;\-* #,##0_-;_-* &quot;-&quot;??_-;_-@_-">
                  <c:v>2081</c:v>
                </c:pt>
                <c:pt idx="6" formatCode="_-* #,##0_-;\-* #,##0_-;_-* &quot;-&quot;??_-;_-@_-">
                  <c:v>2081</c:v>
                </c:pt>
                <c:pt idx="7" formatCode="_-* #,##0_-;\-* #,##0_-;_-* &quot;-&quot;??_-;_-@_-">
                  <c:v>2113.5</c:v>
                </c:pt>
                <c:pt idx="8" formatCode="_-* #,##0_-;\-* #,##0_-;_-* &quot;-&quot;??_-;_-@_-">
                  <c:v>2116.4</c:v>
                </c:pt>
              </c:numCache>
            </c:numRef>
          </c:val>
          <c:smooth val="0"/>
          <c:extLst>
            <c:ext xmlns:c16="http://schemas.microsoft.com/office/drawing/2014/chart" uri="{C3380CC4-5D6E-409C-BE32-E72D297353CC}">
              <c16:uniqueId val="{0000000D-90E7-4509-AE92-3318FEB1CA03}"/>
            </c:ext>
          </c:extLst>
        </c:ser>
        <c:ser>
          <c:idx val="9"/>
          <c:order val="9"/>
          <c:tx>
            <c:strRef>
              <c:f>'Graphique 4'!$B$14</c:f>
              <c:strCache>
                <c:ptCount val="1"/>
                <c:pt idx="0">
                  <c:v>Plafond phase 3 </c:v>
                </c:pt>
              </c:strCache>
            </c:strRef>
          </c:tx>
          <c:spPr>
            <a:ln w="22225">
              <a:solidFill>
                <a:srgbClr val="C00000"/>
              </a:solidFill>
            </a:ln>
          </c:spPr>
          <c:marker>
            <c:symbol val="none"/>
          </c:marker>
          <c:val>
            <c:numRef>
              <c:f>'Graphique 4'!$C$14:$AB$14</c:f>
              <c:numCache>
                <c:formatCode>General</c:formatCode>
                <c:ptCount val="26"/>
                <c:pt idx="8" formatCode="_-* #,##0_-;\-* #,##0_-;_-* &quot;-&quot;??_-;_-@_-">
                  <c:v>2116.7018567332002</c:v>
                </c:pt>
                <c:pt idx="9" formatCode="_-* #,##0_-;\-* #,##0_-;_-* &quot;-&quot;??_-;_-@_-">
                  <c:v>2087.7376107332002</c:v>
                </c:pt>
                <c:pt idx="10" formatCode="_-* #,##0_-;\-* #,##0_-;_-* &quot;-&quot;??_-;_-@_-">
                  <c:v>2056.2733647331997</c:v>
                </c:pt>
                <c:pt idx="11" formatCode="_-* #,##0_-;\-* #,##0_-;_-* &quot;-&quot;??_-;_-@_-">
                  <c:v>2007.4091187332001</c:v>
                </c:pt>
                <c:pt idx="12" formatCode="_-* #,##0_-;\-* #,##0_-;_-* &quot;-&quot;??_-;_-@_-">
                  <c:v>1970.1448727332001</c:v>
                </c:pt>
                <c:pt idx="13" formatCode="_-* #,##0_-;\-* #,##0_-;_-* &quot;-&quot;??_-;_-@_-">
                  <c:v>1930.8806267332002</c:v>
                </c:pt>
                <c:pt idx="14" formatCode="_-* #,##0_-;\-* #,##0_-;_-* &quot;-&quot;??_-;_-@_-">
                  <c:v>1854.7163807332001</c:v>
                </c:pt>
                <c:pt idx="15" formatCode="_-* #,##0_-;\-* #,##0_-;_-* &quot;-&quot;??_-;_-@_-">
                  <c:v>1816.4521347332002</c:v>
                </c:pt>
                <c:pt idx="16" formatCode="_-* #,##0_-;\-* #,##0_-;_-* &quot;-&quot;??_-;_-@_-">
                  <c:v>1768.0720528505747</c:v>
                </c:pt>
              </c:numCache>
            </c:numRef>
          </c:val>
          <c:smooth val="0"/>
          <c:extLst>
            <c:ext xmlns:c16="http://schemas.microsoft.com/office/drawing/2014/chart" uri="{C3380CC4-5D6E-409C-BE32-E72D297353CC}">
              <c16:uniqueId val="{0000000E-90E7-4509-AE92-3318FEB1CA03}"/>
            </c:ext>
          </c:extLst>
        </c:ser>
        <c:ser>
          <c:idx val="10"/>
          <c:order val="10"/>
          <c:tx>
            <c:strRef>
              <c:f>'Graphique 4'!$B$10</c:f>
              <c:strCache>
                <c:ptCount val="1"/>
                <c:pt idx="0">
                  <c:v>Plafond phase 4 </c:v>
                </c:pt>
              </c:strCache>
            </c:strRef>
          </c:tx>
          <c:spPr>
            <a:ln w="22225">
              <a:solidFill>
                <a:schemeClr val="accent3">
                  <a:lumMod val="75000"/>
                </a:schemeClr>
              </a:solidFill>
            </a:ln>
          </c:spPr>
          <c:marker>
            <c:symbol val="none"/>
          </c:marker>
          <c:val>
            <c:numRef>
              <c:f>'Graphique 4'!$C$10:$AB$10</c:f>
              <c:numCache>
                <c:formatCode>General</c:formatCode>
                <c:ptCount val="26"/>
                <c:pt idx="16" formatCode="_-* #,##0_-;\-* #,##0_-;_-* &quot;-&quot;??_-;_-@_-">
                  <c:v>1768.0720528505747</c:v>
                </c:pt>
                <c:pt idx="17" formatCode="_-* #,##0_-;\-* #,##0_-;_-* &quot;-&quot;??_-;_-@_-">
                  <c:v>1719.6919718505746</c:v>
                </c:pt>
                <c:pt idx="18" formatCode="_-* #,##0_-;\-* #,##0_-;_-* &quot;-&quot;??_-;_-@_-">
                  <c:v>1671.3118908505746</c:v>
                </c:pt>
                <c:pt idx="19" formatCode="_-* #,##0_-;\-* #,##0_-;_-* &quot;-&quot;??_-;_-@_-">
                  <c:v>1622.9318098505748</c:v>
                </c:pt>
                <c:pt idx="20" formatCode="_-* #,##0_-;\-* #,##0_-;_-* &quot;-&quot;??_-;_-@_-">
                  <c:v>1574.5517288505748</c:v>
                </c:pt>
                <c:pt idx="21" formatCode="_-* #,##0_-;\-* #,##0_-;_-* &quot;-&quot;??_-;_-@_-">
                  <c:v>1526.1716478505748</c:v>
                </c:pt>
                <c:pt idx="22" formatCode="_-* #,##0_-;\-* #,##0_-;_-* &quot;-&quot;??_-;_-@_-">
                  <c:v>1477.7915668505748</c:v>
                </c:pt>
                <c:pt idx="23" formatCode="_-* #,##0_-;\-* #,##0_-;_-* &quot;-&quot;??_-;_-@_-">
                  <c:v>1429.4114858505748</c:v>
                </c:pt>
                <c:pt idx="24" formatCode="_-* #,##0_-;\-* #,##0_-;_-* &quot;-&quot;??_-;_-@_-">
                  <c:v>1381.0314048505747</c:v>
                </c:pt>
                <c:pt idx="25" formatCode="_-* #,##0_-;\-* #,##0_-;_-* &quot;-&quot;??_-;_-@_-">
                  <c:v>1332.6513238505747</c:v>
                </c:pt>
              </c:numCache>
            </c:numRef>
          </c:val>
          <c:smooth val="0"/>
          <c:extLst>
            <c:ext xmlns:c16="http://schemas.microsoft.com/office/drawing/2014/chart" uri="{C3380CC4-5D6E-409C-BE32-E72D297353CC}">
              <c16:uniqueId val="{0000000F-90E7-4509-AE92-3318FEB1CA03}"/>
            </c:ext>
          </c:extLst>
        </c:ser>
        <c:ser>
          <c:idx val="11"/>
          <c:order val="11"/>
          <c:tx>
            <c:strRef>
              <c:f>'Graphique 4'!$B$11</c:f>
              <c:strCache>
                <c:ptCount val="1"/>
                <c:pt idx="0">
                  <c:v>Quotas excédentaires</c:v>
                </c:pt>
              </c:strCache>
            </c:strRef>
          </c:tx>
          <c:spPr>
            <a:ln w="19050">
              <a:solidFill>
                <a:schemeClr val="tx1">
                  <a:lumMod val="85000"/>
                  <a:lumOff val="15000"/>
                </a:schemeClr>
              </a:solidFill>
            </a:ln>
          </c:spPr>
          <c:marker>
            <c:symbol val="diamond"/>
            <c:size val="6"/>
            <c:spPr>
              <a:solidFill>
                <a:schemeClr val="tx1">
                  <a:lumMod val="85000"/>
                  <a:lumOff val="15000"/>
                </a:schemeClr>
              </a:solidFill>
              <a:ln>
                <a:solidFill>
                  <a:schemeClr val="tx1">
                    <a:lumMod val="85000"/>
                    <a:lumOff val="15000"/>
                  </a:schemeClr>
                </a:solidFill>
              </a:ln>
            </c:spPr>
          </c:marker>
          <c:val>
            <c:numRef>
              <c:f>'Graphique 4'!$C$11:$AB$11</c:f>
              <c:numCache>
                <c:formatCode>General</c:formatCode>
                <c:ptCount val="26"/>
                <c:pt idx="3" formatCode="_-* #,##0_-;\-* #,##0_-;_-* &quot;-&quot;??_-;_-@_-">
                  <c:v>-24</c:v>
                </c:pt>
                <c:pt idx="4" formatCode="_-* #,##0_-;\-* #,##0_-;_-* &quot;-&quot;??_-;_-@_-">
                  <c:v>220</c:v>
                </c:pt>
                <c:pt idx="5" formatCode="_-* #,##0_-;\-* #,##0_-;_-* &quot;-&quot;??_-;_-@_-">
                  <c:v>505</c:v>
                </c:pt>
                <c:pt idx="6" formatCode="_-* #,##0_-;\-* #,##0_-;_-* &quot;-&quot;??_-;_-@_-">
                  <c:v>955</c:v>
                </c:pt>
                <c:pt idx="7" formatCode="_-* #,##0_-;\-* #,##0_-;_-* &quot;-&quot;??_-;_-@_-">
                  <c:v>1749</c:v>
                </c:pt>
                <c:pt idx="8" formatCode="_-* #,##0_-;\-* #,##0_-;_-* &quot;-&quot;??_-;_-@_-">
                  <c:v>2100</c:v>
                </c:pt>
                <c:pt idx="9" formatCode="_-* #,##0_-;\-* #,##0_-;_-* &quot;-&quot;??_-;_-@_-">
                  <c:v>2100</c:v>
                </c:pt>
                <c:pt idx="10" formatCode="_-* #,##0_-;\-* #,##0_-;_-* &quot;-&quot;??_-;_-@_-">
                  <c:v>1780</c:v>
                </c:pt>
                <c:pt idx="11" formatCode="_-* #,##0_-;\-* #,##0_-;_-* &quot;-&quot;??_-;_-@_-">
                  <c:v>1690</c:v>
                </c:pt>
                <c:pt idx="12" formatCode="_-* #,##0_-;\-* #,##0_-;_-* &quot;-&quot;??_-;_-@_-">
                  <c:v>1650</c:v>
                </c:pt>
                <c:pt idx="13" formatCode="_-* #,##0_-;\-* #,##0_-;_-* &quot;-&quot;??_-;_-@_-">
                  <c:v>1654</c:v>
                </c:pt>
              </c:numCache>
            </c:numRef>
          </c:val>
          <c:smooth val="0"/>
          <c:extLst>
            <c:ext xmlns:c16="http://schemas.microsoft.com/office/drawing/2014/chart" uri="{C3380CC4-5D6E-409C-BE32-E72D297353CC}">
              <c16:uniqueId val="{00000010-90E7-4509-AE92-3318FEB1CA03}"/>
            </c:ext>
          </c:extLst>
        </c:ser>
        <c:dLbls>
          <c:showLegendKey val="0"/>
          <c:showVal val="0"/>
          <c:showCatName val="0"/>
          <c:showSerName val="0"/>
          <c:showPercent val="0"/>
          <c:showBubbleSize val="0"/>
        </c:dLbls>
        <c:marker val="1"/>
        <c:smooth val="0"/>
        <c:axId val="119968512"/>
        <c:axId val="119966336"/>
      </c:lineChart>
      <c:catAx>
        <c:axId val="119950336"/>
        <c:scaling>
          <c:orientation val="minMax"/>
        </c:scaling>
        <c:delete val="1"/>
        <c:axPos val="l"/>
        <c:majorTickMark val="out"/>
        <c:minorTickMark val="none"/>
        <c:tickLblPos val="nextTo"/>
        <c:crossAx val="119964800"/>
        <c:crosses val="autoZero"/>
        <c:auto val="1"/>
        <c:lblAlgn val="ctr"/>
        <c:lblOffset val="100"/>
        <c:noMultiLvlLbl val="0"/>
      </c:catAx>
      <c:valAx>
        <c:axId val="119964800"/>
        <c:scaling>
          <c:orientation val="minMax"/>
        </c:scaling>
        <c:delete val="1"/>
        <c:axPos val="b"/>
        <c:majorGridlines/>
        <c:numFmt formatCode="0%" sourceLinked="1"/>
        <c:majorTickMark val="out"/>
        <c:minorTickMark val="none"/>
        <c:tickLblPos val="nextTo"/>
        <c:crossAx val="119950336"/>
        <c:crosses val="autoZero"/>
        <c:crossBetween val="between"/>
      </c:valAx>
      <c:valAx>
        <c:axId val="119966336"/>
        <c:scaling>
          <c:orientation val="minMax"/>
        </c:scaling>
        <c:delete val="0"/>
        <c:axPos val="l"/>
        <c:title>
          <c:tx>
            <c:rich>
              <a:bodyPr rot="-5400000" vert="horz"/>
              <a:lstStyle/>
              <a:p>
                <a:pPr>
                  <a:defRPr sz="900"/>
                </a:pPr>
                <a:r>
                  <a:rPr lang="fr-FR" sz="900"/>
                  <a:t>Mt équivalent CO</a:t>
                </a:r>
                <a:r>
                  <a:rPr lang="fr-FR" sz="900" baseline="-25000"/>
                  <a:t>2</a:t>
                </a:r>
                <a:endParaRPr lang="fr-FR" sz="900"/>
              </a:p>
            </c:rich>
          </c:tx>
          <c:layout>
            <c:manualLayout>
              <c:xMode val="edge"/>
              <c:yMode val="edge"/>
              <c:x val="2.0098903200013903E-2"/>
              <c:y val="0.29734125363155506"/>
            </c:manualLayout>
          </c:layout>
          <c:overlay val="0"/>
        </c:title>
        <c:numFmt formatCode="#\ ##0" sourceLinked="0"/>
        <c:majorTickMark val="out"/>
        <c:minorTickMark val="none"/>
        <c:tickLblPos val="nextTo"/>
        <c:txPr>
          <a:bodyPr/>
          <a:lstStyle/>
          <a:p>
            <a:pPr>
              <a:defRPr sz="800"/>
            </a:pPr>
            <a:endParaRPr lang="en-US"/>
          </a:p>
        </c:txPr>
        <c:crossAx val="119968512"/>
        <c:crosses val="autoZero"/>
        <c:crossBetween val="between"/>
      </c:valAx>
      <c:catAx>
        <c:axId val="119968512"/>
        <c:scaling>
          <c:orientation val="minMax"/>
        </c:scaling>
        <c:delete val="0"/>
        <c:axPos val="b"/>
        <c:numFmt formatCode="General" sourceLinked="1"/>
        <c:majorTickMark val="none"/>
        <c:minorTickMark val="none"/>
        <c:tickLblPos val="nextTo"/>
        <c:txPr>
          <a:bodyPr rot="-3660000"/>
          <a:lstStyle/>
          <a:p>
            <a:pPr>
              <a:defRPr sz="800"/>
            </a:pPr>
            <a:endParaRPr lang="en-US"/>
          </a:p>
        </c:txPr>
        <c:crossAx val="119966336"/>
        <c:crosses val="autoZero"/>
        <c:auto val="1"/>
        <c:lblAlgn val="ctr"/>
        <c:lblOffset val="10"/>
        <c:noMultiLvlLbl val="0"/>
      </c:catAx>
    </c:plotArea>
    <c:legend>
      <c:legendPos val="b"/>
      <c:legendEntry>
        <c:idx val="0"/>
        <c:delete val="1"/>
      </c:legendEntry>
      <c:legendEntry>
        <c:idx val="1"/>
        <c:delete val="1"/>
      </c:legendEntry>
      <c:legendEntry>
        <c:idx val="2"/>
        <c:delete val="1"/>
      </c:legendEntry>
      <c:legendEntry>
        <c:idx val="3"/>
        <c:delete val="1"/>
      </c:legendEntry>
      <c:layout>
        <c:manualLayout>
          <c:xMode val="edge"/>
          <c:yMode val="edge"/>
          <c:x val="1.3395305929090275E-2"/>
          <c:y val="0.75074354719113023"/>
          <c:w val="0.97897267332657356"/>
          <c:h val="0.20881842236258213"/>
        </c:manualLayout>
      </c:layout>
      <c:overlay val="0"/>
      <c:txPr>
        <a:bodyPr/>
        <a:lstStyle/>
        <a:p>
          <a:pPr>
            <a:defRPr sz="800"/>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'Graphique 5'!$H$3:$H$4</c:f>
              <c:strCache>
                <c:ptCount val="2"/>
                <c:pt idx="0">
                  <c:v>Projections pour 2030</c:v>
                </c:pt>
                <c:pt idx="1">
                  <c:v>avec mesures existantes</c:v>
                </c:pt>
              </c:strCache>
            </c:strRef>
          </c:tx>
          <c:spPr>
            <a:solidFill>
              <a:schemeClr val="tx2"/>
            </a:solidFill>
            <a:ln>
              <a:noFill/>
            </a:ln>
            <a:effectLst/>
          </c:spPr>
          <c:invertIfNegative val="0"/>
          <c:dLbls>
            <c:dLbl>
              <c:idx val="3"/>
              <c:layout>
                <c:manualLayout>
                  <c:x val="-9.0205905715415207E-17"/>
                  <c:y val="5.891172873762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15-4B39-912B-C663F2F8DC29}"/>
                </c:ext>
              </c:extLst>
            </c:dLbl>
            <c:dLbl>
              <c:idx val="27"/>
              <c:layout>
                <c:manualLayout>
                  <c:x val="2.4601894849564255E-3"/>
                  <c:y val="3.9274485825080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15-4B39-912B-C663F2F8DC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5'!$G$5:$G$32</c:f>
              <c:strCache>
                <c:ptCount val="28"/>
                <c:pt idx="0">
                  <c:v>Malte</c:v>
                </c:pt>
                <c:pt idx="1">
                  <c:v>Luxembourg</c:v>
                </c:pt>
                <c:pt idx="2">
                  <c:v>Estonie</c:v>
                </c:pt>
                <c:pt idx="3">
                  <c:v>Chypre</c:v>
                </c:pt>
                <c:pt idx="4">
                  <c:v>Irlande</c:v>
                </c:pt>
                <c:pt idx="5">
                  <c:v>Belgique</c:v>
                </c:pt>
                <c:pt idx="6">
                  <c:v>Pologne</c:v>
                </c:pt>
                <c:pt idx="7">
                  <c:v>Autriche</c:v>
                </c:pt>
                <c:pt idx="8">
                  <c:v>Danemark</c:v>
                </c:pt>
                <c:pt idx="9">
                  <c:v>Allemagne</c:v>
                </c:pt>
                <c:pt idx="10">
                  <c:v>Finlande</c:v>
                </c:pt>
                <c:pt idx="11">
                  <c:v>Lituanie</c:v>
                </c:pt>
                <c:pt idx="12">
                  <c:v>France</c:v>
                </c:pt>
                <c:pt idx="13">
                  <c:v>Roumanie</c:v>
                </c:pt>
                <c:pt idx="14">
                  <c:v>Espagne</c:v>
                </c:pt>
                <c:pt idx="15">
                  <c:v>Bulgarie</c:v>
                </c:pt>
                <c:pt idx="16">
                  <c:v>Italie</c:v>
                </c:pt>
                <c:pt idx="17">
                  <c:v>Slovaquie</c:v>
                </c:pt>
                <c:pt idx="18">
                  <c:v>Royaume-Uni</c:v>
                </c:pt>
                <c:pt idx="19">
                  <c:v>Pays-Bas</c:v>
                </c:pt>
                <c:pt idx="20">
                  <c:v>Hongrie</c:v>
                </c:pt>
                <c:pt idx="21">
                  <c:v>Lettonie</c:v>
                </c:pt>
                <c:pt idx="22">
                  <c:v>République tchèque</c:v>
                </c:pt>
                <c:pt idx="23">
                  <c:v>Croatie</c:v>
                </c:pt>
                <c:pt idx="24">
                  <c:v>Slovénie</c:v>
                </c:pt>
                <c:pt idx="25">
                  <c:v>Suède</c:v>
                </c:pt>
                <c:pt idx="26">
                  <c:v>Grèce</c:v>
                </c:pt>
                <c:pt idx="27">
                  <c:v>Portugal</c:v>
                </c:pt>
              </c:strCache>
            </c:strRef>
          </c:cat>
          <c:val>
            <c:numRef>
              <c:f>'Graphique 5'!$H$5:$H$32</c:f>
              <c:numCache>
                <c:formatCode>0%</c:formatCode>
                <c:ptCount val="28"/>
                <c:pt idx="0">
                  <c:v>0.61660139518860912</c:v>
                </c:pt>
                <c:pt idx="1">
                  <c:v>0.2526423246046845</c:v>
                </c:pt>
                <c:pt idx="2">
                  <c:v>0.24771951004417925</c:v>
                </c:pt>
                <c:pt idx="3">
                  <c:v>0.24750355286093551</c:v>
                </c:pt>
                <c:pt idx="4">
                  <c:v>0.23467597772408672</c:v>
                </c:pt>
                <c:pt idx="5">
                  <c:v>0.21731410700292342</c:v>
                </c:pt>
                <c:pt idx="6">
                  <c:v>0.20900828840034719</c:v>
                </c:pt>
                <c:pt idx="7">
                  <c:v>0.20178033763702719</c:v>
                </c:pt>
                <c:pt idx="8">
                  <c:v>0.16230349371151453</c:v>
                </c:pt>
                <c:pt idx="9">
                  <c:v>0.16183676020706328</c:v>
                </c:pt>
                <c:pt idx="10">
                  <c:v>0.1547266624943624</c:v>
                </c:pt>
                <c:pt idx="11">
                  <c:v>0.1401484886958119</c:v>
                </c:pt>
                <c:pt idx="12">
                  <c:v>0.13307699178831744</c:v>
                </c:pt>
                <c:pt idx="13">
                  <c:v>0.12485799739408308</c:v>
                </c:pt>
                <c:pt idx="14">
                  <c:v>9.675496179117804E-2</c:v>
                </c:pt>
                <c:pt idx="15">
                  <c:v>8.0507763748084216E-2</c:v>
                </c:pt>
                <c:pt idx="16">
                  <c:v>6.0785587743923786E-2</c:v>
                </c:pt>
                <c:pt idx="17">
                  <c:v>5.3560474212683395E-2</c:v>
                </c:pt>
                <c:pt idx="18">
                  <c:v>4.8981878801527712E-2</c:v>
                </c:pt>
                <c:pt idx="19">
                  <c:v>3.5536243738765294E-2</c:v>
                </c:pt>
                <c:pt idx="20">
                  <c:v>3.0443666815119064E-2</c:v>
                </c:pt>
                <c:pt idx="21">
                  <c:v>2.0333818772040491E-2</c:v>
                </c:pt>
                <c:pt idx="22">
                  <c:v>1.5202713824690184E-2</c:v>
                </c:pt>
                <c:pt idx="23">
                  <c:v>1.1652650944279974E-2</c:v>
                </c:pt>
                <c:pt idx="24">
                  <c:v>1.6056481098876974E-3</c:v>
                </c:pt>
                <c:pt idx="25">
                  <c:v>-1.2923483217543996E-3</c:v>
                </c:pt>
                <c:pt idx="26">
                  <c:v>-9.10753682297262E-2</c:v>
                </c:pt>
                <c:pt idx="27">
                  <c:v>-0.2623903543950159</c:v>
                </c:pt>
              </c:numCache>
            </c:numRef>
          </c:val>
          <c:extLst>
            <c:ext xmlns:c16="http://schemas.microsoft.com/office/drawing/2014/chart" uri="{C3380CC4-5D6E-409C-BE32-E72D297353CC}">
              <c16:uniqueId val="{00000002-5115-4B39-912B-C663F2F8DC29}"/>
            </c:ext>
          </c:extLst>
        </c:ser>
        <c:ser>
          <c:idx val="1"/>
          <c:order val="1"/>
          <c:tx>
            <c:strRef>
              <c:f>'Graphique 5'!$I$3:$I$4</c:f>
              <c:strCache>
                <c:ptCount val="2"/>
                <c:pt idx="0">
                  <c:v>Projections pour 2030</c:v>
                </c:pt>
                <c:pt idx="1">
                  <c:v>avec mesures supplémentaires</c:v>
                </c:pt>
              </c:strCache>
            </c:strRef>
          </c:tx>
          <c:spPr>
            <a:solidFill>
              <a:schemeClr val="accent6">
                <a:lumMod val="60000"/>
                <a:lumOff val="40000"/>
              </a:schemeClr>
            </a:solidFill>
            <a:ln>
              <a:noFill/>
            </a:ln>
            <a:effectLst/>
          </c:spPr>
          <c:invertIfNegative val="0"/>
          <c:dLbls>
            <c:dLbl>
              <c:idx val="21"/>
              <c:layout>
                <c:manualLayout>
                  <c:x val="0"/>
                  <c:y val="-3.9274485825080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15-4B39-912B-C663F2F8DC29}"/>
                </c:ext>
              </c:extLst>
            </c:dLbl>
            <c:dLbl>
              <c:idx val="22"/>
              <c:layout>
                <c:manualLayout>
                  <c:x val="-2.4601894849564255E-3"/>
                  <c:y val="-5.891172873762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15-4B39-912B-C663F2F8DC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5'!$G$5:$G$32</c:f>
              <c:strCache>
                <c:ptCount val="28"/>
                <c:pt idx="0">
                  <c:v>Malte</c:v>
                </c:pt>
                <c:pt idx="1">
                  <c:v>Luxembourg</c:v>
                </c:pt>
                <c:pt idx="2">
                  <c:v>Estonie</c:v>
                </c:pt>
                <c:pt idx="3">
                  <c:v>Chypre</c:v>
                </c:pt>
                <c:pt idx="4">
                  <c:v>Irlande</c:v>
                </c:pt>
                <c:pt idx="5">
                  <c:v>Belgique</c:v>
                </c:pt>
                <c:pt idx="6">
                  <c:v>Pologne</c:v>
                </c:pt>
                <c:pt idx="7">
                  <c:v>Autriche</c:v>
                </c:pt>
                <c:pt idx="8">
                  <c:v>Danemark</c:v>
                </c:pt>
                <c:pt idx="9">
                  <c:v>Allemagne</c:v>
                </c:pt>
                <c:pt idx="10">
                  <c:v>Finlande</c:v>
                </c:pt>
                <c:pt idx="11">
                  <c:v>Lituanie</c:v>
                </c:pt>
                <c:pt idx="12">
                  <c:v>France</c:v>
                </c:pt>
                <c:pt idx="13">
                  <c:v>Roumanie</c:v>
                </c:pt>
                <c:pt idx="14">
                  <c:v>Espagne</c:v>
                </c:pt>
                <c:pt idx="15">
                  <c:v>Bulgarie</c:v>
                </c:pt>
                <c:pt idx="16">
                  <c:v>Italie</c:v>
                </c:pt>
                <c:pt idx="17">
                  <c:v>Slovaquie</c:v>
                </c:pt>
                <c:pt idx="18">
                  <c:v>Royaume-Uni</c:v>
                </c:pt>
                <c:pt idx="19">
                  <c:v>Pays-Bas</c:v>
                </c:pt>
                <c:pt idx="20">
                  <c:v>Hongrie</c:v>
                </c:pt>
                <c:pt idx="21">
                  <c:v>Lettonie</c:v>
                </c:pt>
                <c:pt idx="22">
                  <c:v>République tchèque</c:v>
                </c:pt>
                <c:pt idx="23">
                  <c:v>Croatie</c:v>
                </c:pt>
                <c:pt idx="24">
                  <c:v>Slovénie</c:v>
                </c:pt>
                <c:pt idx="25">
                  <c:v>Suède</c:v>
                </c:pt>
                <c:pt idx="26">
                  <c:v>Grèce</c:v>
                </c:pt>
                <c:pt idx="27">
                  <c:v>Portugal</c:v>
                </c:pt>
              </c:strCache>
            </c:strRef>
          </c:cat>
          <c:val>
            <c:numRef>
              <c:f>'Graphique 5'!$I$5:$I$32</c:f>
              <c:numCache>
                <c:formatCode>General</c:formatCode>
                <c:ptCount val="28"/>
                <c:pt idx="2" formatCode="0%">
                  <c:v>8.7855861997226836E-2</c:v>
                </c:pt>
                <c:pt idx="3" formatCode="0%">
                  <c:v>0.22443131164042252</c:v>
                </c:pt>
                <c:pt idx="4" formatCode="0%">
                  <c:v>0.17277131472242108</c:v>
                </c:pt>
                <c:pt idx="5" formatCode="0%">
                  <c:v>-1.1964641313610302E-2</c:v>
                </c:pt>
                <c:pt idx="10" formatCode="0%">
                  <c:v>1.8701456613794409E-2</c:v>
                </c:pt>
                <c:pt idx="11" formatCode="0%">
                  <c:v>8.2842060315514915E-2</c:v>
                </c:pt>
                <c:pt idx="12" formatCode="0%">
                  <c:v>-4.5802987906069403E-2</c:v>
                </c:pt>
                <c:pt idx="13" formatCode="0%">
                  <c:v>7.8796985186400534E-2</c:v>
                </c:pt>
                <c:pt idx="14" formatCode="0%">
                  <c:v>-0.12684595313404456</c:v>
                </c:pt>
                <c:pt idx="16" formatCode="0%">
                  <c:v>-2.5669592371856786E-2</c:v>
                </c:pt>
                <c:pt idx="17" formatCode="0%">
                  <c:v>-8.8083593564664442E-2</c:v>
                </c:pt>
                <c:pt idx="20" formatCode="0%">
                  <c:v>-8.9170781206557692E-2</c:v>
                </c:pt>
                <c:pt idx="21" formatCode="0%">
                  <c:v>2.6020978568531139E-3</c:v>
                </c:pt>
                <c:pt idx="22" formatCode="0%">
                  <c:v>4.8240596867106245E-3</c:v>
                </c:pt>
                <c:pt idx="23" formatCode="0%">
                  <c:v>-0.11594091103213083</c:v>
                </c:pt>
                <c:pt idx="26" formatCode="0%">
                  <c:v>-0.12866970402495329</c:v>
                </c:pt>
                <c:pt idx="27" formatCode="0%">
                  <c:v>-0.29625399622473236</c:v>
                </c:pt>
              </c:numCache>
            </c:numRef>
          </c:val>
          <c:extLst>
            <c:ext xmlns:c16="http://schemas.microsoft.com/office/drawing/2014/chart" uri="{C3380CC4-5D6E-409C-BE32-E72D297353CC}">
              <c16:uniqueId val="{00000005-5115-4B39-912B-C663F2F8DC29}"/>
            </c:ext>
          </c:extLst>
        </c:ser>
        <c:dLbls>
          <c:showLegendKey val="0"/>
          <c:showVal val="0"/>
          <c:showCatName val="0"/>
          <c:showSerName val="0"/>
          <c:showPercent val="0"/>
          <c:showBubbleSize val="0"/>
        </c:dLbls>
        <c:gapWidth val="108"/>
        <c:axId val="109588696"/>
        <c:axId val="109585744"/>
      </c:barChart>
      <c:catAx>
        <c:axId val="1095886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585744"/>
        <c:crosses val="autoZero"/>
        <c:auto val="1"/>
        <c:lblAlgn val="ctr"/>
        <c:lblOffset val="100"/>
        <c:noMultiLvlLbl val="0"/>
      </c:catAx>
      <c:valAx>
        <c:axId val="1095857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588696"/>
        <c:crosses val="autoZero"/>
        <c:crossBetween val="between"/>
      </c:valAx>
      <c:spPr>
        <a:noFill/>
        <a:ln>
          <a:noFill/>
        </a:ln>
        <a:effectLst/>
      </c:spPr>
    </c:plotArea>
    <c:legend>
      <c:legendPos val="b"/>
      <c:layout>
        <c:manualLayout>
          <c:xMode val="edge"/>
          <c:yMode val="edge"/>
          <c:x val="9.6233008869305112E-3"/>
          <c:y val="0.92461253152279343"/>
          <c:w val="0.96191388638651842"/>
          <c:h val="6.35620562560620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'Graphique 6'!$B$4</c:f>
              <c:strCache>
                <c:ptCount val="1"/>
                <c:pt idx="0">
                  <c:v>Émissions</c:v>
                </c:pt>
              </c:strCache>
            </c:strRef>
          </c:tx>
          <c:spPr>
            <a:solidFill>
              <a:schemeClr val="accent1">
                <a:lumMod val="75000"/>
              </a:schemeClr>
            </a:solidFill>
            <a:ln>
              <a:noFill/>
            </a:ln>
            <a:effectLst/>
          </c:spPr>
          <c:invertIfNegative val="0"/>
          <c:cat>
            <c:numRef>
              <c:f>'Graphique 6'!$C$3:$AB$3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'Graphique 6'!$C$4:$AB$4</c:f>
              <c:numCache>
                <c:formatCode>#,##0</c:formatCode>
                <c:ptCount val="26"/>
                <c:pt idx="0">
                  <c:v>2855.8416881812068</c:v>
                </c:pt>
                <c:pt idx="1">
                  <c:v>2837.7960395987761</c:v>
                </c:pt>
                <c:pt idx="2">
                  <c:v>2768.9642388757807</c:v>
                </c:pt>
                <c:pt idx="3">
                  <c:v>2793.0698783191665</c:v>
                </c:pt>
                <c:pt idx="4">
                  <c:v>2676.781535646574</c:v>
                </c:pt>
                <c:pt idx="5">
                  <c:v>2735.3926833746059</c:v>
                </c:pt>
                <c:pt idx="6">
                  <c:v>2618.074927137046</c:v>
                </c:pt>
                <c:pt idx="7">
                  <c:v>2597.4794322115786</c:v>
                </c:pt>
                <c:pt idx="8">
                  <c:v>2567.1994271061121</c:v>
                </c:pt>
                <c:pt idx="9">
                  <c:v>2478.1903896175181</c:v>
                </c:pt>
                <c:pt idx="10">
                  <c:v>2519.2345427463179</c:v>
                </c:pt>
                <c:pt idx="11">
                  <c:v>2554.9861384853475</c:v>
                </c:pt>
                <c:pt idx="12">
                  <c:v>2584.2477589429473</c:v>
                </c:pt>
                <c:pt idx="13">
                  <c:v>2562.0806556334687</c:v>
                </c:pt>
              </c:numCache>
            </c:numRef>
          </c:val>
          <c:extLst>
            <c:ext xmlns:c16="http://schemas.microsoft.com/office/drawing/2014/chart" uri="{C3380CC4-5D6E-409C-BE32-E72D297353CC}">
              <c16:uniqueId val="{00000000-5270-4A9E-A038-7671BED22D1A}"/>
            </c:ext>
          </c:extLst>
        </c:ser>
        <c:ser>
          <c:idx val="1"/>
          <c:order val="1"/>
          <c:tx>
            <c:strRef>
              <c:f>'Graphique 6'!$B$5</c:f>
              <c:strCache>
                <c:ptCount val="1"/>
                <c:pt idx="0">
                  <c:v>Projections avec mesures existantes</c:v>
                </c:pt>
              </c:strCache>
            </c:strRef>
          </c:tx>
          <c:spPr>
            <a:solidFill>
              <a:schemeClr val="tx2"/>
            </a:solidFill>
            <a:ln>
              <a:noFill/>
            </a:ln>
            <a:effectLst/>
          </c:spPr>
          <c:invertIfNegative val="0"/>
          <c:cat>
            <c:numRef>
              <c:f>'Graphique 6'!$C$3:$AB$3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'Graphique 6'!$C$5:$AB$5</c:f>
              <c:numCache>
                <c:formatCode>General</c:formatCode>
                <c:ptCount val="26"/>
                <c:pt idx="14" formatCode="#,##0">
                  <c:v>2512.4193318421662</c:v>
                </c:pt>
                <c:pt idx="15" formatCode="#,##0">
                  <c:v>2499.9642988064866</c:v>
                </c:pt>
                <c:pt idx="16" formatCode="#,##0">
                  <c:v>2480.4567061505863</c:v>
                </c:pt>
                <c:pt idx="17" formatCode="#,##0">
                  <c:v>2460.929895252807</c:v>
                </c:pt>
                <c:pt idx="18" formatCode="#,##0">
                  <c:v>2441.7890219920305</c:v>
                </c:pt>
                <c:pt idx="19" formatCode="#,##0">
                  <c:v>2422.2453712189217</c:v>
                </c:pt>
                <c:pt idx="20" formatCode="#,##0">
                  <c:v>2402.827741430458</c:v>
                </c:pt>
                <c:pt idx="21" formatCode="#,##0">
                  <c:v>2384.2390406018098</c:v>
                </c:pt>
                <c:pt idx="22" formatCode="#,##0">
                  <c:v>2365.7006136641685</c:v>
                </c:pt>
                <c:pt idx="23" formatCode="#,##0">
                  <c:v>2347.3608880824831</c:v>
                </c:pt>
                <c:pt idx="24" formatCode="#,##0">
                  <c:v>2329.3374797126776</c:v>
                </c:pt>
                <c:pt idx="25" formatCode="#,##0">
                  <c:v>2311.1131027734305</c:v>
                </c:pt>
              </c:numCache>
            </c:numRef>
          </c:val>
          <c:extLst>
            <c:ext xmlns:c16="http://schemas.microsoft.com/office/drawing/2014/chart" uri="{C3380CC4-5D6E-409C-BE32-E72D297353CC}">
              <c16:uniqueId val="{00000001-5270-4A9E-A038-7671BED22D1A}"/>
            </c:ext>
          </c:extLst>
        </c:ser>
        <c:ser>
          <c:idx val="2"/>
          <c:order val="2"/>
          <c:tx>
            <c:strRef>
              <c:f>'Graphique 6'!$B$6</c:f>
              <c:strCache>
                <c:ptCount val="1"/>
                <c:pt idx="0">
                  <c:v>Projections avec mesures supplémentaires</c:v>
                </c:pt>
              </c:strCache>
            </c:strRef>
          </c:tx>
          <c:spPr>
            <a:solidFill>
              <a:schemeClr val="accent5">
                <a:lumMod val="40000"/>
                <a:lumOff val="60000"/>
              </a:schemeClr>
            </a:solidFill>
            <a:ln>
              <a:noFill/>
            </a:ln>
            <a:effectLst/>
          </c:spPr>
          <c:invertIfNegative val="0"/>
          <c:cat>
            <c:numRef>
              <c:f>'Graphique 6'!$C$3:$AB$3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'Graphique 6'!$C$6:$AB$6</c:f>
              <c:numCache>
                <c:formatCode>General</c:formatCode>
                <c:ptCount val="26"/>
                <c:pt idx="14" formatCode="#,##0">
                  <c:v>2482.3666006133972</c:v>
                </c:pt>
                <c:pt idx="15" formatCode="#,##0">
                  <c:v>2460.0514068200928</c:v>
                </c:pt>
                <c:pt idx="16" formatCode="#,##0">
                  <c:v>2426.029800935567</c:v>
                </c:pt>
                <c:pt idx="17" formatCode="#,##0">
                  <c:v>2392.4500184166968</c:v>
                </c:pt>
                <c:pt idx="18" formatCode="#,##0">
                  <c:v>2359.1948333529058</c:v>
                </c:pt>
                <c:pt idx="19" formatCode="#,##0">
                  <c:v>2325.1167646096674</c:v>
                </c:pt>
                <c:pt idx="20" formatCode="#,##0">
                  <c:v>2290.0956734613242</c:v>
                </c:pt>
                <c:pt idx="21" formatCode="#,##0">
                  <c:v>2254.1552569532423</c:v>
                </c:pt>
                <c:pt idx="22" formatCode="#,##0">
                  <c:v>2218.118989642654</c:v>
                </c:pt>
                <c:pt idx="23" formatCode="#,##0">
                  <c:v>2182.3218536669524</c:v>
                </c:pt>
                <c:pt idx="24" formatCode="#,##0">
                  <c:v>2146.8591123046162</c:v>
                </c:pt>
                <c:pt idx="25" formatCode="#,##0">
                  <c:v>2111.4816252634105</c:v>
                </c:pt>
              </c:numCache>
            </c:numRef>
          </c:val>
          <c:extLst>
            <c:ext xmlns:c16="http://schemas.microsoft.com/office/drawing/2014/chart" uri="{C3380CC4-5D6E-409C-BE32-E72D297353CC}">
              <c16:uniqueId val="{00000002-5270-4A9E-A038-7671BED22D1A}"/>
            </c:ext>
          </c:extLst>
        </c:ser>
        <c:dLbls>
          <c:showLegendKey val="0"/>
          <c:showVal val="0"/>
          <c:showCatName val="0"/>
          <c:showSerName val="0"/>
          <c:showPercent val="0"/>
          <c:showBubbleSize val="0"/>
        </c:dLbls>
        <c:gapWidth val="30"/>
        <c:overlap val="-1"/>
        <c:axId val="699253632"/>
        <c:axId val="699253960"/>
      </c:barChart>
      <c:lineChart>
        <c:grouping val="standard"/>
        <c:varyColors val="0"/>
        <c:ser>
          <c:idx val="3"/>
          <c:order val="3"/>
          <c:tx>
            <c:strRef>
              <c:f>'Graphique 6'!$B$7</c:f>
              <c:strCache>
                <c:ptCount val="1"/>
                <c:pt idx="0">
                  <c:v>Limites d’émissions au titre de la DRE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'Graphique 6'!$C$3:$AB$3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'Graphique 6'!$C$7:$AB$7</c:f>
              <c:numCache>
                <c:formatCode>General</c:formatCode>
                <c:ptCount val="26"/>
                <c:pt idx="8" formatCode="#,##0">
                  <c:v>2790.6340449999998</c:v>
                </c:pt>
                <c:pt idx="9" formatCode="#,##0">
                  <c:v>2770.063212</c:v>
                </c:pt>
                <c:pt idx="10" formatCode="#,##0">
                  <c:v>2749.0800239999999</c:v>
                </c:pt>
                <c:pt idx="11" formatCode="#,##0">
                  <c:v>2728.0968339999999</c:v>
                </c:pt>
                <c:pt idx="12" formatCode="#,##0">
                  <c:v>2679.1795844233766</c:v>
                </c:pt>
                <c:pt idx="13" formatCode="#,##0">
                  <c:v>2658.8422692455852</c:v>
                </c:pt>
                <c:pt idx="14" formatCode="#,##0">
                  <c:v>2638.5049560677926</c:v>
                </c:pt>
                <c:pt idx="15" formatCode="#,##0">
                  <c:v>2618.1676408899998</c:v>
                </c:pt>
              </c:numCache>
            </c:numRef>
          </c:val>
          <c:smooth val="0"/>
          <c:extLst>
            <c:ext xmlns:c16="http://schemas.microsoft.com/office/drawing/2014/chart" uri="{C3380CC4-5D6E-409C-BE32-E72D297353CC}">
              <c16:uniqueId val="{00000003-5270-4A9E-A038-7671BED22D1A}"/>
            </c:ext>
          </c:extLst>
        </c:ser>
        <c:ser>
          <c:idx val="4"/>
          <c:order val="4"/>
          <c:tx>
            <c:strRef>
              <c:f>'Graphique 6'!$B$8</c:f>
              <c:strCache>
                <c:ptCount val="1"/>
                <c:pt idx="0">
                  <c:v>Limites d’émissions estimées au titre du RRE</c:v>
                </c:pt>
              </c:strCache>
            </c:strRef>
          </c:tx>
          <c:spPr>
            <a:ln w="28575" cap="rnd">
              <a:solidFill>
                <a:srgbClr val="C00000"/>
              </a:solidFill>
              <a:prstDash val="sysDot"/>
              <a:round/>
            </a:ln>
            <a:effectLst/>
          </c:spPr>
          <c:marker>
            <c:symbol val="circle"/>
            <c:size val="5"/>
            <c:spPr>
              <a:solidFill>
                <a:srgbClr val="C00000"/>
              </a:solidFill>
              <a:ln w="9525">
                <a:solidFill>
                  <a:srgbClr val="C00000"/>
                </a:solidFill>
              </a:ln>
              <a:effectLst/>
            </c:spPr>
          </c:marker>
          <c:cat>
            <c:numRef>
              <c:f>'Graphique 6'!$C$3:$AB$3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'Graphique 6'!$C$8:$AB$8</c:f>
              <c:numCache>
                <c:formatCode>General</c:formatCode>
                <c:ptCount val="26"/>
                <c:pt idx="16" formatCode="#,##0">
                  <c:v>2495.5902179528721</c:v>
                </c:pt>
                <c:pt idx="17" formatCode="#,##0">
                  <c:v>2406.1404567944287</c:v>
                </c:pt>
                <c:pt idx="18" formatCode="#,##0">
                  <c:v>2357.7566056359851</c:v>
                </c:pt>
                <c:pt idx="19" formatCode="#,##0">
                  <c:v>2309.372754477542</c:v>
                </c:pt>
                <c:pt idx="20" formatCode="#,##0">
                  <c:v>2260.9889033190993</c:v>
                </c:pt>
                <c:pt idx="21" formatCode="#,##0">
                  <c:v>2212.6050521606553</c:v>
                </c:pt>
                <c:pt idx="22" formatCode="#,##0">
                  <c:v>2164.2212010022122</c:v>
                </c:pt>
                <c:pt idx="23" formatCode="#,##0">
                  <c:v>2115.8373498437691</c:v>
                </c:pt>
                <c:pt idx="24" formatCode="#,##0">
                  <c:v>2067.4534986853264</c:v>
                </c:pt>
                <c:pt idx="25" formatCode="#,##0">
                  <c:v>2019.0696475268835</c:v>
                </c:pt>
              </c:numCache>
            </c:numRef>
          </c:val>
          <c:smooth val="0"/>
          <c:extLst>
            <c:ext xmlns:c16="http://schemas.microsoft.com/office/drawing/2014/chart" uri="{C3380CC4-5D6E-409C-BE32-E72D297353CC}">
              <c16:uniqueId val="{00000004-5270-4A9E-A038-7671BED22D1A}"/>
            </c:ext>
          </c:extLst>
        </c:ser>
        <c:ser>
          <c:idx val="5"/>
          <c:order val="5"/>
          <c:tx>
            <c:strRef>
              <c:f>'Graphique 6'!$B$9</c:f>
              <c:strCache>
                <c:ptCount val="1"/>
                <c:pt idx="0">
                  <c:v>Excédent cumulé de QAE</c:v>
                </c:pt>
              </c:strCache>
            </c:strRef>
          </c:tx>
          <c:spPr>
            <a:ln w="28575" cap="rnd">
              <a:solidFill>
                <a:schemeClr val="tx1">
                  <a:lumMod val="95000"/>
                  <a:lumOff val="5000"/>
                </a:schemeClr>
              </a:solidFill>
              <a:round/>
            </a:ln>
            <a:effectLst/>
          </c:spPr>
          <c:marker>
            <c:symbol val="circle"/>
            <c:size val="5"/>
            <c:spPr>
              <a:solidFill>
                <a:schemeClr val="tx1">
                  <a:lumMod val="95000"/>
                  <a:lumOff val="5000"/>
                </a:schemeClr>
              </a:solidFill>
              <a:ln w="9525">
                <a:solidFill>
                  <a:schemeClr val="tx1">
                    <a:lumMod val="95000"/>
                    <a:lumOff val="5000"/>
                  </a:schemeClr>
                </a:solidFill>
              </a:ln>
              <a:effectLst/>
            </c:spPr>
          </c:marker>
          <c:cat>
            <c:numRef>
              <c:f>'Graphique 6'!$C$3:$AB$3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'Graphique 6'!$C$9:$AB$9</c:f>
              <c:numCache>
                <c:formatCode>General</c:formatCode>
                <c:ptCount val="26"/>
                <c:pt idx="8" formatCode="#,##0">
                  <c:v>223.43461789388766</c:v>
                </c:pt>
                <c:pt idx="9" formatCode="#,##0">
                  <c:v>515.30744027636956</c:v>
                </c:pt>
                <c:pt idx="10" formatCode="#,##0">
                  <c:v>745.15292153005157</c:v>
                </c:pt>
                <c:pt idx="11" formatCode="#,##0">
                  <c:v>918.26361704470401</c:v>
                </c:pt>
                <c:pt idx="12" formatCode="#,##0">
                  <c:v>1013.1954425251333</c:v>
                </c:pt>
                <c:pt idx="13" formatCode="#,##0">
                  <c:v>1109.9570561372498</c:v>
                </c:pt>
              </c:numCache>
            </c:numRef>
          </c:val>
          <c:smooth val="0"/>
          <c:extLst>
            <c:ext xmlns:c16="http://schemas.microsoft.com/office/drawing/2014/chart" uri="{C3380CC4-5D6E-409C-BE32-E72D297353CC}">
              <c16:uniqueId val="{00000005-5270-4A9E-A038-7671BED22D1A}"/>
            </c:ext>
          </c:extLst>
        </c:ser>
        <c:dLbls>
          <c:showLegendKey val="0"/>
          <c:showVal val="0"/>
          <c:showCatName val="0"/>
          <c:showSerName val="0"/>
          <c:showPercent val="0"/>
          <c:showBubbleSize val="0"/>
        </c:dLbls>
        <c:marker val="1"/>
        <c:smooth val="0"/>
        <c:axId val="699253632"/>
        <c:axId val="699253960"/>
      </c:lineChart>
      <c:catAx>
        <c:axId val="69925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253960"/>
        <c:crosses val="autoZero"/>
        <c:auto val="1"/>
        <c:lblAlgn val="ctr"/>
        <c:lblOffset val="100"/>
        <c:noMultiLvlLbl val="0"/>
      </c:catAx>
      <c:valAx>
        <c:axId val="699253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Mt équivalent CO</a:t>
                </a:r>
                <a:r>
                  <a:rPr lang="fr-FR" baseline="0"/>
                  <a:t>2</a:t>
                </a:r>
                <a:endParaRPr lang="fr-FR"/>
              </a:p>
            </c:rich>
          </c:tx>
          <c:layout>
            <c:manualLayout>
              <c:xMode val="edge"/>
              <c:yMode val="edge"/>
              <c:x val="2.5233563999778191E-2"/>
              <c:y val="0.289857438728176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253632"/>
        <c:crosses val="autoZero"/>
        <c:crossBetween val="between"/>
      </c:valAx>
      <c:spPr>
        <a:noFill/>
        <a:ln>
          <a:noFill/>
        </a:ln>
        <a:effectLst/>
      </c:spPr>
    </c:plotArea>
    <c:legend>
      <c:legendPos val="b"/>
      <c:layout>
        <c:manualLayout>
          <c:xMode val="edge"/>
          <c:yMode val="edge"/>
          <c:x val="9.3313103578597734E-2"/>
          <c:y val="0.82730203769678878"/>
          <c:w val="0.87026743268773776"/>
          <c:h val="0.1482643569560124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273565844606182E-2"/>
          <c:y val="8.8076069193716508E-2"/>
          <c:w val="0.77418189198632348"/>
          <c:h val="0.8738428691144956"/>
        </c:manualLayout>
      </c:layout>
      <c:scatterChart>
        <c:scatterStyle val="lineMarker"/>
        <c:varyColors val="0"/>
        <c:ser>
          <c:idx val="0"/>
          <c:order val="0"/>
          <c:tx>
            <c:v>objectif - voitures</c:v>
          </c:tx>
          <c:spPr>
            <a:ln w="19050" cap="rnd">
              <a:noFill/>
              <a:round/>
            </a:ln>
            <a:effectLst/>
          </c:spPr>
          <c:marker>
            <c:symbol val="square"/>
            <c:size val="7"/>
            <c:spPr>
              <a:solidFill>
                <a:schemeClr val="accent1"/>
              </a:solidFill>
              <a:ln w="9525">
                <a:solidFill>
                  <a:schemeClr val="accent1"/>
                </a:solidFill>
              </a:ln>
              <a:effectLst/>
            </c:spPr>
          </c:marker>
          <c:xVal>
            <c:numRef>
              <c:f>[1]Sheet1!$A$3:$A$24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[1]Sheet1!$C$3:$C$24</c:f>
              <c:numCache>
                <c:formatCode>General</c:formatCode>
                <c:ptCount val="22"/>
                <c:pt idx="15">
                  <c:v>130</c:v>
                </c:pt>
                <c:pt idx="16">
                  <c:v>130</c:v>
                </c:pt>
                <c:pt idx="17">
                  <c:v>130</c:v>
                </c:pt>
                <c:pt idx="18">
                  <c:v>130</c:v>
                </c:pt>
                <c:pt idx="19">
                  <c:v>130</c:v>
                </c:pt>
                <c:pt idx="20">
                  <c:v>95</c:v>
                </c:pt>
                <c:pt idx="21">
                  <c:v>95</c:v>
                </c:pt>
              </c:numCache>
            </c:numRef>
          </c:yVal>
          <c:smooth val="0"/>
          <c:extLst>
            <c:ext xmlns:c16="http://schemas.microsoft.com/office/drawing/2014/chart" uri="{C3380CC4-5D6E-409C-BE32-E72D297353CC}">
              <c16:uniqueId val="{00000000-7506-4631-9288-7F5EFF4AB57F}"/>
            </c:ext>
          </c:extLst>
        </c:ser>
        <c:ser>
          <c:idx val="1"/>
          <c:order val="1"/>
          <c:tx>
            <c:v>émissions - voitures</c:v>
          </c:tx>
          <c:spPr>
            <a:ln w="19050" cap="rnd">
              <a:solidFill>
                <a:schemeClr val="accent2"/>
              </a:solidFill>
              <a:round/>
            </a:ln>
            <a:effectLst/>
          </c:spPr>
          <c:marker>
            <c:symbol val="circle"/>
            <c:size val="7"/>
            <c:spPr>
              <a:solidFill>
                <a:schemeClr val="accent2"/>
              </a:solidFill>
              <a:ln w="9525">
                <a:solidFill>
                  <a:schemeClr val="accent2"/>
                </a:solidFill>
              </a:ln>
              <a:effectLst/>
            </c:spPr>
          </c:marker>
          <c:xVal>
            <c:numRef>
              <c:f>[1]Sheet1!$A$3:$A$24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[1]Sheet1!$B$3:$B$24</c:f>
              <c:numCache>
                <c:formatCode>General</c:formatCode>
                <c:ptCount val="22"/>
                <c:pt idx="0">
                  <c:v>172.1</c:v>
                </c:pt>
                <c:pt idx="1">
                  <c:v>169.7</c:v>
                </c:pt>
                <c:pt idx="2">
                  <c:v>167.2</c:v>
                </c:pt>
                <c:pt idx="3">
                  <c:v>165.5</c:v>
                </c:pt>
                <c:pt idx="4">
                  <c:v>163.4</c:v>
                </c:pt>
                <c:pt idx="5">
                  <c:v>162.4</c:v>
                </c:pt>
                <c:pt idx="6">
                  <c:v>161.30000000000001</c:v>
                </c:pt>
                <c:pt idx="7">
                  <c:v>158.69999999999999</c:v>
                </c:pt>
                <c:pt idx="8">
                  <c:v>153.5</c:v>
                </c:pt>
                <c:pt idx="9">
                  <c:v>145.69999999999999</c:v>
                </c:pt>
                <c:pt idx="10">
                  <c:v>140.30000000000001</c:v>
                </c:pt>
                <c:pt idx="11">
                  <c:v>135.69999999999999</c:v>
                </c:pt>
                <c:pt idx="12">
                  <c:v>132.19999999999999</c:v>
                </c:pt>
                <c:pt idx="13">
                  <c:v>126.7</c:v>
                </c:pt>
                <c:pt idx="14">
                  <c:v>123.4</c:v>
                </c:pt>
                <c:pt idx="15">
                  <c:v>119.5</c:v>
                </c:pt>
                <c:pt idx="16">
                  <c:v>118.1</c:v>
                </c:pt>
                <c:pt idx="17">
                  <c:v>118.5</c:v>
                </c:pt>
                <c:pt idx="18">
                  <c:v>120.4</c:v>
                </c:pt>
              </c:numCache>
            </c:numRef>
          </c:yVal>
          <c:smooth val="0"/>
          <c:extLst>
            <c:ext xmlns:c16="http://schemas.microsoft.com/office/drawing/2014/chart" uri="{C3380CC4-5D6E-409C-BE32-E72D297353CC}">
              <c16:uniqueId val="{00000001-7506-4631-9288-7F5EFF4AB57F}"/>
            </c:ext>
          </c:extLst>
        </c:ser>
        <c:ser>
          <c:idx val="2"/>
          <c:order val="2"/>
          <c:tx>
            <c:v>objectif - camionnettes</c:v>
          </c:tx>
          <c:spPr>
            <a:ln w="19050" cap="rnd">
              <a:noFill/>
              <a:round/>
            </a:ln>
            <a:effectLst/>
          </c:spPr>
          <c:marker>
            <c:symbol val="diamond"/>
            <c:size val="7"/>
            <c:spPr>
              <a:solidFill>
                <a:schemeClr val="accent3"/>
              </a:solidFill>
              <a:ln w="9525">
                <a:solidFill>
                  <a:schemeClr val="accent3"/>
                </a:solidFill>
              </a:ln>
              <a:effectLst/>
            </c:spPr>
          </c:marker>
          <c:xVal>
            <c:numRef>
              <c:f>[1]Sheet1!$A$3:$A$24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[1]Sheet1!$J$3:$J$23</c:f>
              <c:numCache>
                <c:formatCode>General</c:formatCode>
                <c:ptCount val="21"/>
                <c:pt idx="12">
                  <c:v>175</c:v>
                </c:pt>
                <c:pt idx="13">
                  <c:v>175</c:v>
                </c:pt>
                <c:pt idx="14">
                  <c:v>175</c:v>
                </c:pt>
                <c:pt idx="15">
                  <c:v>175</c:v>
                </c:pt>
                <c:pt idx="16">
                  <c:v>175</c:v>
                </c:pt>
                <c:pt idx="17">
                  <c:v>175</c:v>
                </c:pt>
                <c:pt idx="18">
                  <c:v>175</c:v>
                </c:pt>
                <c:pt idx="19">
                  <c:v>175</c:v>
                </c:pt>
                <c:pt idx="20">
                  <c:v>147</c:v>
                </c:pt>
              </c:numCache>
            </c:numRef>
          </c:yVal>
          <c:smooth val="0"/>
          <c:extLst>
            <c:ext xmlns:c16="http://schemas.microsoft.com/office/drawing/2014/chart" uri="{C3380CC4-5D6E-409C-BE32-E72D297353CC}">
              <c16:uniqueId val="{00000002-7506-4631-9288-7F5EFF4AB57F}"/>
            </c:ext>
          </c:extLst>
        </c:ser>
        <c:ser>
          <c:idx val="3"/>
          <c:order val="3"/>
          <c:tx>
            <c:v>émissions - camionnettes</c:v>
          </c:tx>
          <c:spPr>
            <a:ln w="19050" cap="rnd">
              <a:solidFill>
                <a:schemeClr val="accent4"/>
              </a:solidFill>
              <a:round/>
            </a:ln>
            <a:effectLst/>
          </c:spPr>
          <c:marker>
            <c:symbol val="triangle"/>
            <c:size val="7"/>
            <c:spPr>
              <a:solidFill>
                <a:schemeClr val="accent4"/>
              </a:solidFill>
              <a:ln w="9525">
                <a:solidFill>
                  <a:schemeClr val="accent4"/>
                </a:solidFill>
              </a:ln>
              <a:effectLst/>
            </c:spPr>
          </c:marker>
          <c:xVal>
            <c:numRef>
              <c:f>[1]Sheet1!$A$3:$A$24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[1]Sheet1!$I$3:$I$23</c:f>
              <c:numCache>
                <c:formatCode>General</c:formatCode>
                <c:ptCount val="21"/>
                <c:pt idx="12">
                  <c:v>180.2</c:v>
                </c:pt>
                <c:pt idx="13">
                  <c:v>173.3</c:v>
                </c:pt>
                <c:pt idx="14">
                  <c:v>169.1</c:v>
                </c:pt>
                <c:pt idx="15">
                  <c:v>168.3</c:v>
                </c:pt>
                <c:pt idx="16">
                  <c:v>163.69999999999999</c:v>
                </c:pt>
                <c:pt idx="17">
                  <c:v>156.1</c:v>
                </c:pt>
                <c:pt idx="18">
                  <c:v>158.1</c:v>
                </c:pt>
              </c:numCache>
            </c:numRef>
          </c:yVal>
          <c:smooth val="0"/>
          <c:extLst>
            <c:ext xmlns:c16="http://schemas.microsoft.com/office/drawing/2014/chart" uri="{C3380CC4-5D6E-409C-BE32-E72D297353CC}">
              <c16:uniqueId val="{00000003-7506-4631-9288-7F5EFF4AB57F}"/>
            </c:ext>
          </c:extLst>
        </c:ser>
        <c:dLbls>
          <c:showLegendKey val="0"/>
          <c:showVal val="0"/>
          <c:showCatName val="0"/>
          <c:showSerName val="0"/>
          <c:showPercent val="0"/>
          <c:showBubbleSize val="0"/>
        </c:dLbls>
        <c:axId val="579804664"/>
        <c:axId val="579810568"/>
      </c:scatterChart>
      <c:valAx>
        <c:axId val="57980466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79810568"/>
        <c:crosses val="autoZero"/>
        <c:crossBetween val="midCat"/>
      </c:valAx>
      <c:valAx>
        <c:axId val="579810568"/>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fr-FR" sz="1100"/>
                  <a:t>g CO</a:t>
                </a:r>
                <a:r>
                  <a:rPr lang="fr-FR" sz="1100" baseline="-25000"/>
                  <a:t>2</a:t>
                </a:r>
                <a:r>
                  <a:rPr lang="fr-FR" sz="1100"/>
                  <a:t>/km</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804664"/>
        <c:crosses val="autoZero"/>
        <c:crossBetween val="midCat"/>
      </c:valAx>
      <c:spPr>
        <a:noFill/>
        <a:ln>
          <a:noFill/>
        </a:ln>
        <a:effectLst/>
      </c:spPr>
    </c:plotArea>
    <c:legend>
      <c:legendPos val="r"/>
      <c:layout>
        <c:manualLayout>
          <c:xMode val="edge"/>
          <c:yMode val="edge"/>
          <c:x val="0.85709947623038929"/>
          <c:y val="0.42217642424082674"/>
          <c:w val="0.13702833021286351"/>
          <c:h val="0.3552912759026858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80896815608893"/>
          <c:y val="4.7117505373556703E-2"/>
          <c:w val="0.73845239224615"/>
          <c:h val="0.80387548147390664"/>
        </c:manualLayout>
      </c:layout>
      <c:barChart>
        <c:barDir val="bar"/>
        <c:grouping val="stacked"/>
        <c:varyColors val="0"/>
        <c:ser>
          <c:idx val="0"/>
          <c:order val="0"/>
          <c:tx>
            <c:strRef>
              <c:f>'Graphique 9'!$B$7</c:f>
              <c:strCache>
                <c:ptCount val="1"/>
                <c:pt idx="0">
                  <c:v>Excédent cumulé de QAE</c:v>
                </c:pt>
              </c:strCache>
            </c:strRef>
          </c:tx>
          <c:spPr>
            <a:solidFill>
              <a:schemeClr val="accent1">
                <a:lumMod val="60000"/>
                <a:lumOff val="40000"/>
              </a:schemeClr>
            </a:solidFill>
          </c:spPr>
          <c:invertIfNegative val="0"/>
          <c:dLbls>
            <c:spPr>
              <a:noFill/>
              <a:ln>
                <a:noFill/>
              </a:ln>
              <a:effectLst/>
            </c:spPr>
            <c:txPr>
              <a:bodyPr/>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'Graphique 9'!$A$8:$A$37</c:f>
              <c:strCache>
                <c:ptCount val="30"/>
                <c:pt idx="0">
                  <c:v>Chypre</c:v>
                </c:pt>
                <c:pt idx="1">
                  <c:v>Croatie</c:v>
                </c:pt>
                <c:pt idx="2">
                  <c:v>Grèce</c:v>
                </c:pt>
                <c:pt idx="3">
                  <c:v>Hongrie</c:v>
                </c:pt>
                <c:pt idx="4">
                  <c:v>Portugal</c:v>
                </c:pt>
                <c:pt idx="5">
                  <c:v>Slovaquie</c:v>
                </c:pt>
                <c:pt idx="6">
                  <c:v>Suède</c:v>
                </c:pt>
                <c:pt idx="7">
                  <c:v>Pays-Bas</c:v>
                </c:pt>
                <c:pt idx="8">
                  <c:v>Slovénie</c:v>
                </c:pt>
                <c:pt idx="9">
                  <c:v>Bulgarie</c:v>
                </c:pt>
                <c:pt idx="10">
                  <c:v>Espagne</c:v>
                </c:pt>
                <c:pt idx="11">
                  <c:v>Italie</c:v>
                </c:pt>
                <c:pt idx="12">
                  <c:v>Roumanie</c:v>
                </c:pt>
                <c:pt idx="13">
                  <c:v>France</c:v>
                </c:pt>
                <c:pt idx="14">
                  <c:v>Danemark</c:v>
                </c:pt>
                <c:pt idx="15">
                  <c:v>Royaume-Uni</c:v>
                </c:pt>
                <c:pt idx="16">
                  <c:v>Lettonie</c:v>
                </c:pt>
                <c:pt idx="17">
                  <c:v>République tchèque</c:v>
                </c:pt>
                <c:pt idx="18">
                  <c:v>Belgique</c:v>
                </c:pt>
                <c:pt idx="19">
                  <c:v>Estonie</c:v>
                </c:pt>
                <c:pt idx="20">
                  <c:v>Luxembourg</c:v>
                </c:pt>
                <c:pt idx="21">
                  <c:v>Irlande</c:v>
                </c:pt>
                <c:pt idx="22">
                  <c:v>Autriche</c:v>
                </c:pt>
                <c:pt idx="23">
                  <c:v>Lituanie</c:v>
                </c:pt>
                <c:pt idx="24">
                  <c:v>Pologne</c:v>
                </c:pt>
                <c:pt idx="25">
                  <c:v>Allemagne</c:v>
                </c:pt>
                <c:pt idx="26">
                  <c:v>Finlande</c:v>
                </c:pt>
                <c:pt idx="27">
                  <c:v>Malte</c:v>
                </c:pt>
                <c:pt idx="29">
                  <c:v>EU-28</c:v>
                </c:pt>
              </c:strCache>
            </c:strRef>
          </c:cat>
          <c:val>
            <c:numRef>
              <c:f>'Graphique 9'!$B$8:$B$37</c:f>
              <c:numCache>
                <c:formatCode>0%</c:formatCode>
                <c:ptCount val="30"/>
                <c:pt idx="0">
                  <c:v>1.8133463262212086</c:v>
                </c:pt>
                <c:pt idx="1">
                  <c:v>1.1638311173801501</c:v>
                </c:pt>
                <c:pt idx="2">
                  <c:v>1.1594651050129032</c:v>
                </c:pt>
                <c:pt idx="3">
                  <c:v>1.1423948193258158</c:v>
                </c:pt>
                <c:pt idx="4">
                  <c:v>0.96694380662248025</c:v>
                </c:pt>
                <c:pt idx="5">
                  <c:v>0.9293085897474489</c:v>
                </c:pt>
                <c:pt idx="7">
                  <c:v>0.63600241431494708</c:v>
                </c:pt>
                <c:pt idx="8">
                  <c:v>0.62884524931815267</c:v>
                </c:pt>
                <c:pt idx="9">
                  <c:v>0.53543652304565004</c:v>
                </c:pt>
                <c:pt idx="10">
                  <c:v>0.51383653791952177</c:v>
                </c:pt>
                <c:pt idx="11">
                  <c:v>0.49739708101614777</c:v>
                </c:pt>
                <c:pt idx="12">
                  <c:v>0.38708859529072837</c:v>
                </c:pt>
                <c:pt idx="13">
                  <c:v>0.32187870492931198</c:v>
                </c:pt>
                <c:pt idx="14">
                  <c:v>0.29933739006039528</c:v>
                </c:pt>
                <c:pt idx="15">
                  <c:v>0.26899969872270929</c:v>
                </c:pt>
                <c:pt idx="16">
                  <c:v>0.25369510171949083</c:v>
                </c:pt>
                <c:pt idx="17">
                  <c:v>0.2267013954582365</c:v>
                </c:pt>
                <c:pt idx="18">
                  <c:v>0.18565257094632714</c:v>
                </c:pt>
                <c:pt idx="19">
                  <c:v>0.15834929934800782</c:v>
                </c:pt>
                <c:pt idx="20">
                  <c:v>0.15783623886182735</c:v>
                </c:pt>
                <c:pt idx="21">
                  <c:v>0.15155524122021605</c:v>
                </c:pt>
                <c:pt idx="22">
                  <c:v>0.12083846404692841</c:v>
                </c:pt>
                <c:pt idx="23">
                  <c:v>0.102721461780283</c:v>
                </c:pt>
                <c:pt idx="24">
                  <c:v>9.6787248647150118E-2</c:v>
                </c:pt>
                <c:pt idx="25">
                  <c:v>4.2247557680065211E-2</c:v>
                </c:pt>
                <c:pt idx="26">
                  <c:v>3.8670587531449058E-2</c:v>
                </c:pt>
                <c:pt idx="29">
                  <c:v>0.35094459839866093</c:v>
                </c:pt>
              </c:numCache>
            </c:numRef>
          </c:val>
          <c:extLst>
            <c:ext xmlns:c16="http://schemas.microsoft.com/office/drawing/2014/chart" uri="{C3380CC4-5D6E-409C-BE32-E72D297353CC}">
              <c16:uniqueId val="{00000000-B196-4694-A2DE-5CA8827F53BA}"/>
            </c:ext>
          </c:extLst>
        </c:ser>
        <c:ser>
          <c:idx val="1"/>
          <c:order val="1"/>
          <c:tx>
            <c:strRef>
              <c:f>'Graphique 9'!$C$7</c:f>
              <c:strCache>
                <c:ptCount val="1"/>
                <c:pt idx="0">
                  <c:v>Suède: excédent cumulé de QAE, supprimé</c:v>
                </c:pt>
              </c:strCache>
            </c:strRef>
          </c:tx>
          <c:spPr>
            <a:pattFill prst="pct25">
              <a:fgClr>
                <a:schemeClr val="accent1">
                  <a:lumMod val="60000"/>
                  <a:lumOff val="40000"/>
                </a:schemeClr>
              </a:fgClr>
              <a:bgClr>
                <a:schemeClr val="bg1"/>
              </a:bgClr>
            </a:pattFill>
            <a:ln>
              <a:solidFill>
                <a:schemeClr val="accent1">
                  <a:lumMod val="60000"/>
                  <a:lumOff val="40000"/>
                </a:schemeClr>
              </a:solidFill>
            </a:ln>
          </c:spPr>
          <c:invertIfNegative val="0"/>
          <c:dPt>
            <c:idx val="14"/>
            <c:invertIfNegative val="0"/>
            <c:bubble3D val="0"/>
            <c:spPr>
              <a:pattFill prst="pct25">
                <a:fgClr>
                  <a:schemeClr val="accent1">
                    <a:lumMod val="60000"/>
                    <a:lumOff val="40000"/>
                  </a:schemeClr>
                </a:fgClr>
                <a:bgClr>
                  <a:schemeClr val="bg1"/>
                </a:bgClr>
              </a:pattFill>
              <a:ln w="3175">
                <a:solidFill>
                  <a:schemeClr val="accent1">
                    <a:lumMod val="60000"/>
                    <a:lumOff val="40000"/>
                  </a:schemeClr>
                </a:solidFill>
              </a:ln>
            </c:spPr>
            <c:extLst>
              <c:ext xmlns:c16="http://schemas.microsoft.com/office/drawing/2014/chart" uri="{C3380CC4-5D6E-409C-BE32-E72D297353CC}">
                <c16:uniqueId val="{00000002-B196-4694-A2DE-5CA8827F53BA}"/>
              </c:ext>
            </c:extLst>
          </c:dPt>
          <c:dLbls>
            <c:spPr>
              <a:noFill/>
              <a:ln>
                <a:noFill/>
              </a:ln>
              <a:effectLst/>
            </c:spPr>
            <c:txPr>
              <a:bodyPr/>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'Graphique 9'!$A$8:$A$37</c:f>
              <c:strCache>
                <c:ptCount val="30"/>
                <c:pt idx="0">
                  <c:v>Chypre</c:v>
                </c:pt>
                <c:pt idx="1">
                  <c:v>Croatie</c:v>
                </c:pt>
                <c:pt idx="2">
                  <c:v>Grèce</c:v>
                </c:pt>
                <c:pt idx="3">
                  <c:v>Hongrie</c:v>
                </c:pt>
                <c:pt idx="4">
                  <c:v>Portugal</c:v>
                </c:pt>
                <c:pt idx="5">
                  <c:v>Slovaquie</c:v>
                </c:pt>
                <c:pt idx="6">
                  <c:v>Suède</c:v>
                </c:pt>
                <c:pt idx="7">
                  <c:v>Pays-Bas</c:v>
                </c:pt>
                <c:pt idx="8">
                  <c:v>Slovénie</c:v>
                </c:pt>
                <c:pt idx="9">
                  <c:v>Bulgarie</c:v>
                </c:pt>
                <c:pt idx="10">
                  <c:v>Espagne</c:v>
                </c:pt>
                <c:pt idx="11">
                  <c:v>Italie</c:v>
                </c:pt>
                <c:pt idx="12">
                  <c:v>Roumanie</c:v>
                </c:pt>
                <c:pt idx="13">
                  <c:v>France</c:v>
                </c:pt>
                <c:pt idx="14">
                  <c:v>Danemark</c:v>
                </c:pt>
                <c:pt idx="15">
                  <c:v>Royaume-Uni</c:v>
                </c:pt>
                <c:pt idx="16">
                  <c:v>Lettonie</c:v>
                </c:pt>
                <c:pt idx="17">
                  <c:v>République tchèque</c:v>
                </c:pt>
                <c:pt idx="18">
                  <c:v>Belgique</c:v>
                </c:pt>
                <c:pt idx="19">
                  <c:v>Estonie</c:v>
                </c:pt>
                <c:pt idx="20">
                  <c:v>Luxembourg</c:v>
                </c:pt>
                <c:pt idx="21">
                  <c:v>Irlande</c:v>
                </c:pt>
                <c:pt idx="22">
                  <c:v>Autriche</c:v>
                </c:pt>
                <c:pt idx="23">
                  <c:v>Lituanie</c:v>
                </c:pt>
                <c:pt idx="24">
                  <c:v>Pologne</c:v>
                </c:pt>
                <c:pt idx="25">
                  <c:v>Allemagne</c:v>
                </c:pt>
                <c:pt idx="26">
                  <c:v>Finlande</c:v>
                </c:pt>
                <c:pt idx="27">
                  <c:v>Malte</c:v>
                </c:pt>
                <c:pt idx="29">
                  <c:v>EU-28</c:v>
                </c:pt>
              </c:strCache>
            </c:strRef>
          </c:cat>
          <c:val>
            <c:numRef>
              <c:f>'Graphique 9'!$C$8:$C$37</c:f>
              <c:numCache>
                <c:formatCode>General</c:formatCode>
                <c:ptCount val="30"/>
                <c:pt idx="6" formatCode="0%">
                  <c:v>0.73289193127678043</c:v>
                </c:pt>
              </c:numCache>
            </c:numRef>
          </c:val>
          <c:extLst>
            <c:ext xmlns:c16="http://schemas.microsoft.com/office/drawing/2014/chart" uri="{C3380CC4-5D6E-409C-BE32-E72D297353CC}">
              <c16:uniqueId val="{00000003-B196-4694-A2DE-5CA8827F53BA}"/>
            </c:ext>
          </c:extLst>
        </c:ser>
        <c:ser>
          <c:idx val="2"/>
          <c:order val="2"/>
          <c:tx>
            <c:strRef>
              <c:f>'Graphique 9'!$D$7</c:f>
              <c:strCache>
                <c:ptCount val="1"/>
                <c:pt idx="0">
                  <c:v>Bulgarie, Malte: QAE échangés</c:v>
                </c:pt>
              </c:strCache>
            </c:strRef>
          </c:tx>
          <c:spPr>
            <a:solidFill>
              <a:schemeClr val="accent2"/>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'Graphique 9'!$A$8:$A$37</c:f>
              <c:strCache>
                <c:ptCount val="30"/>
                <c:pt idx="0">
                  <c:v>Chypre</c:v>
                </c:pt>
                <c:pt idx="1">
                  <c:v>Croatie</c:v>
                </c:pt>
                <c:pt idx="2">
                  <c:v>Grèce</c:v>
                </c:pt>
                <c:pt idx="3">
                  <c:v>Hongrie</c:v>
                </c:pt>
                <c:pt idx="4">
                  <c:v>Portugal</c:v>
                </c:pt>
                <c:pt idx="5">
                  <c:v>Slovaquie</c:v>
                </c:pt>
                <c:pt idx="6">
                  <c:v>Suède</c:v>
                </c:pt>
                <c:pt idx="7">
                  <c:v>Pays-Bas</c:v>
                </c:pt>
                <c:pt idx="8">
                  <c:v>Slovénie</c:v>
                </c:pt>
                <c:pt idx="9">
                  <c:v>Bulgarie</c:v>
                </c:pt>
                <c:pt idx="10">
                  <c:v>Espagne</c:v>
                </c:pt>
                <c:pt idx="11">
                  <c:v>Italie</c:v>
                </c:pt>
                <c:pt idx="12">
                  <c:v>Roumanie</c:v>
                </c:pt>
                <c:pt idx="13">
                  <c:v>France</c:v>
                </c:pt>
                <c:pt idx="14">
                  <c:v>Danemark</c:v>
                </c:pt>
                <c:pt idx="15">
                  <c:v>Royaume-Uni</c:v>
                </c:pt>
                <c:pt idx="16">
                  <c:v>Lettonie</c:v>
                </c:pt>
                <c:pt idx="17">
                  <c:v>République tchèque</c:v>
                </c:pt>
                <c:pt idx="18">
                  <c:v>Belgique</c:v>
                </c:pt>
                <c:pt idx="19">
                  <c:v>Estonie</c:v>
                </c:pt>
                <c:pt idx="20">
                  <c:v>Luxembourg</c:v>
                </c:pt>
                <c:pt idx="21">
                  <c:v>Irlande</c:v>
                </c:pt>
                <c:pt idx="22">
                  <c:v>Autriche</c:v>
                </c:pt>
                <c:pt idx="23">
                  <c:v>Lituanie</c:v>
                </c:pt>
                <c:pt idx="24">
                  <c:v>Pologne</c:v>
                </c:pt>
                <c:pt idx="25">
                  <c:v>Allemagne</c:v>
                </c:pt>
                <c:pt idx="26">
                  <c:v>Finlande</c:v>
                </c:pt>
                <c:pt idx="27">
                  <c:v>Malte</c:v>
                </c:pt>
                <c:pt idx="29">
                  <c:v>EU-28</c:v>
                </c:pt>
              </c:strCache>
            </c:strRef>
          </c:cat>
          <c:val>
            <c:numRef>
              <c:f>'Graphique 9'!$D$8:$D$37</c:f>
              <c:numCache>
                <c:formatCode>General</c:formatCode>
                <c:ptCount val="30"/>
                <c:pt idx="9" formatCode="0%">
                  <c:v>3.4502174742736112E-2</c:v>
                </c:pt>
                <c:pt idx="27" formatCode="0%">
                  <c:v>-0.68375275516364287</c:v>
                </c:pt>
              </c:numCache>
            </c:numRef>
          </c:val>
          <c:extLst>
            <c:ext xmlns:c16="http://schemas.microsoft.com/office/drawing/2014/chart" uri="{C3380CC4-5D6E-409C-BE32-E72D297353CC}">
              <c16:uniqueId val="{00000004-B196-4694-A2DE-5CA8827F53BA}"/>
            </c:ext>
          </c:extLst>
        </c:ser>
        <c:dLbls>
          <c:showLegendKey val="0"/>
          <c:showVal val="1"/>
          <c:showCatName val="0"/>
          <c:showSerName val="0"/>
          <c:showPercent val="0"/>
          <c:showBubbleSize val="0"/>
        </c:dLbls>
        <c:gapWidth val="78"/>
        <c:overlap val="100"/>
        <c:axId val="121838208"/>
        <c:axId val="121856384"/>
      </c:barChart>
      <c:catAx>
        <c:axId val="121838208"/>
        <c:scaling>
          <c:orientation val="minMax"/>
        </c:scaling>
        <c:delete val="0"/>
        <c:axPos val="l"/>
        <c:numFmt formatCode="General" sourceLinked="0"/>
        <c:majorTickMark val="out"/>
        <c:minorTickMark val="none"/>
        <c:tickLblPos val="low"/>
        <c:txPr>
          <a:bodyPr rot="0" vert="horz"/>
          <a:lstStyle/>
          <a:p>
            <a:pPr>
              <a:defRPr sz="800"/>
            </a:pPr>
            <a:endParaRPr lang="en-US"/>
          </a:p>
        </c:txPr>
        <c:crossAx val="121856384"/>
        <c:crosses val="autoZero"/>
        <c:auto val="1"/>
        <c:lblAlgn val="ctr"/>
        <c:lblOffset val="100"/>
        <c:noMultiLvlLbl val="0"/>
      </c:catAx>
      <c:valAx>
        <c:axId val="121856384"/>
        <c:scaling>
          <c:orientation val="minMax"/>
          <c:min val="-0.5"/>
        </c:scaling>
        <c:delete val="0"/>
        <c:axPos val="b"/>
        <c:numFmt formatCode="0%" sourceLinked="1"/>
        <c:majorTickMark val="out"/>
        <c:minorTickMark val="none"/>
        <c:tickLblPos val="nextTo"/>
        <c:txPr>
          <a:bodyPr/>
          <a:lstStyle/>
          <a:p>
            <a:pPr>
              <a:defRPr sz="800"/>
            </a:pPr>
            <a:endParaRPr lang="en-US"/>
          </a:p>
        </c:txPr>
        <c:crossAx val="121838208"/>
        <c:crosses val="autoZero"/>
        <c:crossBetween val="between"/>
      </c:valAx>
    </c:plotArea>
    <c:legend>
      <c:legendPos val="b"/>
      <c:layout>
        <c:manualLayout>
          <c:xMode val="edge"/>
          <c:yMode val="edge"/>
          <c:x val="2.727546987661025E-2"/>
          <c:y val="0.89314255907889317"/>
          <c:w val="0.95440351565249748"/>
          <c:h val="9.6574791639770369E-2"/>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5"/>
          <c:order val="0"/>
          <c:tx>
            <c:strRef>
              <c:f>'Graphique 10'!$A$11</c:f>
              <c:strCache>
                <c:ptCount val="1"/>
                <c:pt idx="0">
                  <c:v>Restauration du couvert végétal</c:v>
                </c:pt>
              </c:strCache>
            </c:strRef>
          </c:tx>
          <c:spPr>
            <a:solidFill>
              <a:schemeClr val="tx2">
                <a:lumMod val="40000"/>
                <a:lumOff val="60000"/>
              </a:schemeClr>
            </a:solidFill>
          </c:spPr>
          <c:invertIfNegative val="0"/>
          <c:cat>
            <c:strRef>
              <c:f>'Graphique 10'!$B$5:$F$5</c:f>
              <c:strCache>
                <c:ptCount val="5"/>
                <c:pt idx="0">
                  <c:v>2013</c:v>
                </c:pt>
                <c:pt idx="1">
                  <c:v>2014</c:v>
                </c:pt>
                <c:pt idx="2">
                  <c:v>2015</c:v>
                </c:pt>
                <c:pt idx="3">
                  <c:v>2016</c:v>
                </c:pt>
                <c:pt idx="4">
                  <c:v>2017</c:v>
                </c:pt>
              </c:strCache>
            </c:strRef>
          </c:cat>
          <c:val>
            <c:numRef>
              <c:f>'Graphique 10'!$B$11:$F$11</c:f>
              <c:numCache>
                <c:formatCode>#,##0.00</c:formatCode>
                <c:ptCount val="5"/>
                <c:pt idx="0">
                  <c:v>0.48723618400090024</c:v>
                </c:pt>
                <c:pt idx="1">
                  <c:v>0.47658938097692455</c:v>
                </c:pt>
                <c:pt idx="2">
                  <c:v>0.44398969758388374</c:v>
                </c:pt>
                <c:pt idx="3">
                  <c:v>0.40123732271544393</c:v>
                </c:pt>
                <c:pt idx="4">
                  <c:v>0.36798921014150437</c:v>
                </c:pt>
              </c:numCache>
            </c:numRef>
          </c:val>
          <c:extLst>
            <c:ext xmlns:c16="http://schemas.microsoft.com/office/drawing/2014/chart" uri="{C3380CC4-5D6E-409C-BE32-E72D297353CC}">
              <c16:uniqueId val="{00000000-2A62-46D9-AED0-D4B15E063305}"/>
            </c:ext>
          </c:extLst>
        </c:ser>
        <c:ser>
          <c:idx val="4"/>
          <c:order val="1"/>
          <c:tx>
            <c:strRef>
              <c:f>'Graphique 10'!$A$10</c:f>
              <c:strCache>
                <c:ptCount val="1"/>
                <c:pt idx="0">
                  <c:v>Gestion des pâturages</c:v>
                </c:pt>
              </c:strCache>
            </c:strRef>
          </c:tx>
          <c:spPr>
            <a:solidFill>
              <a:schemeClr val="bg2">
                <a:lumMod val="50000"/>
              </a:schemeClr>
            </a:solidFill>
          </c:spPr>
          <c:invertIfNegative val="0"/>
          <c:cat>
            <c:strRef>
              <c:f>'Graphique 10'!$B$5:$F$5</c:f>
              <c:strCache>
                <c:ptCount val="5"/>
                <c:pt idx="0">
                  <c:v>2013</c:v>
                </c:pt>
                <c:pt idx="1">
                  <c:v>2014</c:v>
                </c:pt>
                <c:pt idx="2">
                  <c:v>2015</c:v>
                </c:pt>
                <c:pt idx="3">
                  <c:v>2016</c:v>
                </c:pt>
                <c:pt idx="4">
                  <c:v>2017</c:v>
                </c:pt>
              </c:strCache>
            </c:strRef>
          </c:cat>
          <c:val>
            <c:numRef>
              <c:f>'Graphique 10'!$B$10:$F$10</c:f>
              <c:numCache>
                <c:formatCode>#,##0.00</c:formatCode>
                <c:ptCount val="5"/>
                <c:pt idx="0">
                  <c:v>-4.2753427859158109</c:v>
                </c:pt>
                <c:pt idx="1">
                  <c:v>-4.213939574913951</c:v>
                </c:pt>
                <c:pt idx="2">
                  <c:v>-4.6455842795107927</c:v>
                </c:pt>
                <c:pt idx="3">
                  <c:v>-5.0116403411910575</c:v>
                </c:pt>
                <c:pt idx="4">
                  <c:v>-4.89650678799938</c:v>
                </c:pt>
              </c:numCache>
            </c:numRef>
          </c:val>
          <c:extLst>
            <c:ext xmlns:c16="http://schemas.microsoft.com/office/drawing/2014/chart" uri="{C3380CC4-5D6E-409C-BE32-E72D297353CC}">
              <c16:uniqueId val="{00000001-2A62-46D9-AED0-D4B15E063305}"/>
            </c:ext>
          </c:extLst>
        </c:ser>
        <c:ser>
          <c:idx val="3"/>
          <c:order val="2"/>
          <c:tx>
            <c:strRef>
              <c:f>'Graphique 10'!$A$9</c:f>
              <c:strCache>
                <c:ptCount val="1"/>
                <c:pt idx="0">
                  <c:v>Gestion des terres cultivées</c:v>
                </c:pt>
              </c:strCache>
            </c:strRef>
          </c:tx>
          <c:spPr>
            <a:solidFill>
              <a:schemeClr val="accent6"/>
            </a:solidFill>
          </c:spPr>
          <c:invertIfNegative val="0"/>
          <c:cat>
            <c:strRef>
              <c:f>'Graphique 10'!$B$5:$F$5</c:f>
              <c:strCache>
                <c:ptCount val="5"/>
                <c:pt idx="0">
                  <c:v>2013</c:v>
                </c:pt>
                <c:pt idx="1">
                  <c:v>2014</c:v>
                </c:pt>
                <c:pt idx="2">
                  <c:v>2015</c:v>
                </c:pt>
                <c:pt idx="3">
                  <c:v>2016</c:v>
                </c:pt>
                <c:pt idx="4">
                  <c:v>2017</c:v>
                </c:pt>
              </c:strCache>
            </c:strRef>
          </c:cat>
          <c:val>
            <c:numRef>
              <c:f>'Graphique 10'!$B$9:$F$9</c:f>
              <c:numCache>
                <c:formatCode>#,##0.00</c:formatCode>
                <c:ptCount val="5"/>
                <c:pt idx="0">
                  <c:v>-2.5706108825946212</c:v>
                </c:pt>
                <c:pt idx="1">
                  <c:v>-3.5729272250651847</c:v>
                </c:pt>
                <c:pt idx="2">
                  <c:v>-6.1515676859867021</c:v>
                </c:pt>
                <c:pt idx="3">
                  <c:v>-7.6685916007762422</c:v>
                </c:pt>
                <c:pt idx="4">
                  <c:v>-8.3411446938060791</c:v>
                </c:pt>
              </c:numCache>
            </c:numRef>
          </c:val>
          <c:extLst>
            <c:ext xmlns:c16="http://schemas.microsoft.com/office/drawing/2014/chart" uri="{C3380CC4-5D6E-409C-BE32-E72D297353CC}">
              <c16:uniqueId val="{00000002-2A62-46D9-AED0-D4B15E063305}"/>
            </c:ext>
          </c:extLst>
        </c:ser>
        <c:ser>
          <c:idx val="2"/>
          <c:order val="3"/>
          <c:tx>
            <c:strRef>
              <c:f>'Graphique 10'!$A$8</c:f>
              <c:strCache>
                <c:ptCount val="1"/>
                <c:pt idx="0">
                  <c:v>Gestion des forêts</c:v>
                </c:pt>
              </c:strCache>
            </c:strRef>
          </c:tx>
          <c:spPr>
            <a:solidFill>
              <a:schemeClr val="accent3">
                <a:lumMod val="50000"/>
              </a:schemeClr>
            </a:solidFill>
          </c:spPr>
          <c:invertIfNegative val="0"/>
          <c:cat>
            <c:strRef>
              <c:f>'Graphique 10'!$B$5:$F$5</c:f>
              <c:strCache>
                <c:ptCount val="5"/>
                <c:pt idx="0">
                  <c:v>2013</c:v>
                </c:pt>
                <c:pt idx="1">
                  <c:v>2014</c:v>
                </c:pt>
                <c:pt idx="2">
                  <c:v>2015</c:v>
                </c:pt>
                <c:pt idx="3">
                  <c:v>2016</c:v>
                </c:pt>
                <c:pt idx="4">
                  <c:v>2017</c:v>
                </c:pt>
              </c:strCache>
            </c:strRef>
          </c:cat>
          <c:val>
            <c:numRef>
              <c:f>'Graphique 10'!$B$8:$F$8</c:f>
              <c:numCache>
                <c:formatCode>0.00</c:formatCode>
                <c:ptCount val="5"/>
                <c:pt idx="0">
                  <c:v>-115.28341719212254</c:v>
                </c:pt>
                <c:pt idx="1">
                  <c:v>-98.322221320007174</c:v>
                </c:pt>
                <c:pt idx="2">
                  <c:v>-90.774932087196362</c:v>
                </c:pt>
                <c:pt idx="3">
                  <c:v>-84.755807248317439</c:v>
                </c:pt>
                <c:pt idx="4">
                  <c:v>-54.928553420238593</c:v>
                </c:pt>
              </c:numCache>
            </c:numRef>
          </c:val>
          <c:extLst>
            <c:ext xmlns:c16="http://schemas.microsoft.com/office/drawing/2014/chart" uri="{C3380CC4-5D6E-409C-BE32-E72D297353CC}">
              <c16:uniqueId val="{00000003-2A62-46D9-AED0-D4B15E063305}"/>
            </c:ext>
          </c:extLst>
        </c:ser>
        <c:ser>
          <c:idx val="1"/>
          <c:order val="4"/>
          <c:tx>
            <c:strRef>
              <c:f>'Graphique 10'!$A$7</c:f>
              <c:strCache>
                <c:ptCount val="1"/>
                <c:pt idx="0">
                  <c:v>Déboisement</c:v>
                </c:pt>
              </c:strCache>
            </c:strRef>
          </c:tx>
          <c:invertIfNegative val="0"/>
          <c:cat>
            <c:strRef>
              <c:f>'Graphique 10'!$B$5:$F$5</c:f>
              <c:strCache>
                <c:ptCount val="5"/>
                <c:pt idx="0">
                  <c:v>2013</c:v>
                </c:pt>
                <c:pt idx="1">
                  <c:v>2014</c:v>
                </c:pt>
                <c:pt idx="2">
                  <c:v>2015</c:v>
                </c:pt>
                <c:pt idx="3">
                  <c:v>2016</c:v>
                </c:pt>
                <c:pt idx="4">
                  <c:v>2017</c:v>
                </c:pt>
              </c:strCache>
            </c:strRef>
          </c:cat>
          <c:val>
            <c:numRef>
              <c:f>'Graphique 10'!$B$7:$F$7</c:f>
              <c:numCache>
                <c:formatCode>#,##0.00</c:formatCode>
                <c:ptCount val="5"/>
                <c:pt idx="0">
                  <c:v>40.596623889374591</c:v>
                </c:pt>
                <c:pt idx="1">
                  <c:v>39.769403812932246</c:v>
                </c:pt>
                <c:pt idx="2">
                  <c:v>40.638180232299497</c:v>
                </c:pt>
                <c:pt idx="3">
                  <c:v>44.207420464350179</c:v>
                </c:pt>
                <c:pt idx="4">
                  <c:v>38.201717795780567</c:v>
                </c:pt>
              </c:numCache>
            </c:numRef>
          </c:val>
          <c:extLst>
            <c:ext xmlns:c16="http://schemas.microsoft.com/office/drawing/2014/chart" uri="{C3380CC4-5D6E-409C-BE32-E72D297353CC}">
              <c16:uniqueId val="{00000004-2A62-46D9-AED0-D4B15E063305}"/>
            </c:ext>
          </c:extLst>
        </c:ser>
        <c:ser>
          <c:idx val="0"/>
          <c:order val="5"/>
          <c:tx>
            <c:strRef>
              <c:f>'Graphique 10'!$A$6</c:f>
              <c:strCache>
                <c:ptCount val="1"/>
                <c:pt idx="0">
                  <c:v>Boisement/reboisement</c:v>
                </c:pt>
              </c:strCache>
            </c:strRef>
          </c:tx>
          <c:spPr>
            <a:solidFill>
              <a:schemeClr val="accent3"/>
            </a:solidFill>
          </c:spPr>
          <c:invertIfNegative val="0"/>
          <c:cat>
            <c:strRef>
              <c:f>'Graphique 10'!$B$5:$F$5</c:f>
              <c:strCache>
                <c:ptCount val="5"/>
                <c:pt idx="0">
                  <c:v>2013</c:v>
                </c:pt>
                <c:pt idx="1">
                  <c:v>2014</c:v>
                </c:pt>
                <c:pt idx="2">
                  <c:v>2015</c:v>
                </c:pt>
                <c:pt idx="3">
                  <c:v>2016</c:v>
                </c:pt>
                <c:pt idx="4">
                  <c:v>2017</c:v>
                </c:pt>
              </c:strCache>
            </c:strRef>
          </c:cat>
          <c:val>
            <c:numRef>
              <c:f>'Graphique 10'!$B$6:$F$6</c:f>
              <c:numCache>
                <c:formatCode>#,##0.00</c:formatCode>
                <c:ptCount val="5"/>
                <c:pt idx="0">
                  <c:v>-52.799891581353883</c:v>
                </c:pt>
                <c:pt idx="1">
                  <c:v>-54.887048368901567</c:v>
                </c:pt>
                <c:pt idx="2">
                  <c:v>-56.065412336113077</c:v>
                </c:pt>
                <c:pt idx="3">
                  <c:v>-55.118933314602849</c:v>
                </c:pt>
                <c:pt idx="4">
                  <c:v>-50.909791412863065</c:v>
                </c:pt>
              </c:numCache>
            </c:numRef>
          </c:val>
          <c:extLst>
            <c:ext xmlns:c16="http://schemas.microsoft.com/office/drawing/2014/chart" uri="{C3380CC4-5D6E-409C-BE32-E72D297353CC}">
              <c16:uniqueId val="{00000005-2A62-46D9-AED0-D4B15E063305}"/>
            </c:ext>
          </c:extLst>
        </c:ser>
        <c:dLbls>
          <c:showLegendKey val="0"/>
          <c:showVal val="0"/>
          <c:showCatName val="0"/>
          <c:showSerName val="0"/>
          <c:showPercent val="0"/>
          <c:showBubbleSize val="0"/>
        </c:dLbls>
        <c:gapWidth val="150"/>
        <c:overlap val="100"/>
        <c:axId val="118059776"/>
        <c:axId val="118061696"/>
      </c:barChart>
      <c:lineChart>
        <c:grouping val="standard"/>
        <c:varyColors val="0"/>
        <c:ser>
          <c:idx val="7"/>
          <c:order val="6"/>
          <c:tx>
            <c:strRef>
              <c:f>'Graphique 10'!$A$13</c:f>
              <c:strCache>
                <c:ptCount val="1"/>
                <c:pt idx="0">
                  <c:v>Total</c:v>
                </c:pt>
              </c:strCache>
            </c:strRef>
          </c:tx>
          <c:spPr>
            <a:ln w="22225">
              <a:solidFill>
                <a:schemeClr val="tx1"/>
              </a:solidFill>
            </a:ln>
          </c:spPr>
          <c:marker>
            <c:symbol val="square"/>
            <c:size val="6"/>
            <c:spPr>
              <a:solidFill>
                <a:schemeClr val="tx1"/>
              </a:solidFill>
              <a:ln>
                <a:solidFill>
                  <a:schemeClr val="tx1"/>
                </a:solidFill>
              </a:ln>
            </c:spPr>
          </c:marker>
          <c:cat>
            <c:strRef>
              <c:f>'Graphique 10'!$B$5:$E$5</c:f>
              <c:strCache>
                <c:ptCount val="4"/>
                <c:pt idx="0">
                  <c:v>2013</c:v>
                </c:pt>
                <c:pt idx="1">
                  <c:v>2014</c:v>
                </c:pt>
                <c:pt idx="2">
                  <c:v>2015</c:v>
                </c:pt>
                <c:pt idx="3">
                  <c:v>2016</c:v>
                </c:pt>
              </c:strCache>
            </c:strRef>
          </c:cat>
          <c:val>
            <c:numRef>
              <c:f>'Graphique 10'!$B$13:$F$13</c:f>
              <c:numCache>
                <c:formatCode>#,##0.00</c:formatCode>
                <c:ptCount val="5"/>
                <c:pt idx="0">
                  <c:v>-133.84540236861136</c:v>
                </c:pt>
                <c:pt idx="1">
                  <c:v>-120.75014329497871</c:v>
                </c:pt>
                <c:pt idx="2">
                  <c:v>-116.55532645892355</c:v>
                </c:pt>
                <c:pt idx="3">
                  <c:v>-107.94631471782196</c:v>
                </c:pt>
                <c:pt idx="4">
                  <c:v>-80.50628930898506</c:v>
                </c:pt>
              </c:numCache>
            </c:numRef>
          </c:val>
          <c:smooth val="0"/>
          <c:extLst>
            <c:ext xmlns:c16="http://schemas.microsoft.com/office/drawing/2014/chart" uri="{C3380CC4-5D6E-409C-BE32-E72D297353CC}">
              <c16:uniqueId val="{00000006-2A62-46D9-AED0-D4B15E063305}"/>
            </c:ext>
          </c:extLst>
        </c:ser>
        <c:dLbls>
          <c:showLegendKey val="0"/>
          <c:showVal val="0"/>
          <c:showCatName val="0"/>
          <c:showSerName val="0"/>
          <c:showPercent val="0"/>
          <c:showBubbleSize val="0"/>
        </c:dLbls>
        <c:marker val="1"/>
        <c:smooth val="0"/>
        <c:axId val="118059776"/>
        <c:axId val="118061696"/>
      </c:lineChart>
      <c:catAx>
        <c:axId val="118059776"/>
        <c:scaling>
          <c:orientation val="minMax"/>
        </c:scaling>
        <c:delete val="0"/>
        <c:axPos val="b"/>
        <c:numFmt formatCode="General" sourceLinked="0"/>
        <c:majorTickMark val="out"/>
        <c:minorTickMark val="none"/>
        <c:tickLblPos val="nextTo"/>
        <c:txPr>
          <a:bodyPr/>
          <a:lstStyle/>
          <a:p>
            <a:pPr>
              <a:defRPr sz="900"/>
            </a:pPr>
            <a:endParaRPr lang="en-US"/>
          </a:p>
        </c:txPr>
        <c:crossAx val="118061696"/>
        <c:crossesAt val="-200"/>
        <c:auto val="1"/>
        <c:lblAlgn val="ctr"/>
        <c:lblOffset val="100"/>
        <c:noMultiLvlLbl val="0"/>
      </c:catAx>
      <c:valAx>
        <c:axId val="118061696"/>
        <c:scaling>
          <c:orientation val="minMax"/>
        </c:scaling>
        <c:delete val="0"/>
        <c:axPos val="l"/>
        <c:majorGridlines/>
        <c:title>
          <c:tx>
            <c:rich>
              <a:bodyPr rot="-5400000" vert="horz"/>
              <a:lstStyle/>
              <a:p>
                <a:pPr>
                  <a:defRPr sz="900"/>
                </a:pPr>
                <a:r>
                  <a:rPr lang="fr-FR" sz="900"/>
                  <a:t>Mt équivalent CO</a:t>
                </a:r>
                <a:r>
                  <a:rPr lang="fr-FR" sz="900" baseline="-25000"/>
                  <a:t>2</a:t>
                </a:r>
              </a:p>
            </c:rich>
          </c:tx>
          <c:overlay val="0"/>
        </c:title>
        <c:numFmt formatCode="#,##0" sourceLinked="0"/>
        <c:majorTickMark val="out"/>
        <c:minorTickMark val="none"/>
        <c:tickLblPos val="nextTo"/>
        <c:txPr>
          <a:bodyPr/>
          <a:lstStyle/>
          <a:p>
            <a:pPr>
              <a:defRPr sz="900"/>
            </a:pPr>
            <a:endParaRPr lang="en-US"/>
          </a:p>
        </c:txPr>
        <c:crossAx val="118059776"/>
        <c:crosses val="autoZero"/>
        <c:crossBetween val="between"/>
      </c:valAx>
    </c:plotArea>
    <c:legend>
      <c:legendPos val="r"/>
      <c:layout>
        <c:manualLayout>
          <c:xMode val="edge"/>
          <c:yMode val="edge"/>
          <c:x val="0.6663780397021859"/>
          <c:y val="6.0434399519926671E-2"/>
          <c:w val="0.31890981508649457"/>
          <c:h val="0.84768751162503519"/>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97463987570115"/>
          <c:y val="3.7524363877909694E-2"/>
          <c:w val="0.76567101737780563"/>
          <c:h val="0.67396303724219664"/>
        </c:manualLayout>
      </c:layout>
      <c:barChart>
        <c:barDir val="col"/>
        <c:grouping val="stacked"/>
        <c:varyColors val="0"/>
        <c:ser>
          <c:idx val="0"/>
          <c:order val="0"/>
          <c:tx>
            <c:strRef>
              <c:f>'Graphique 11'!$A$7</c:f>
              <c:strCache>
                <c:ptCount val="1"/>
                <c:pt idx="0">
                  <c:v>Horizon 2020</c:v>
                </c:pt>
              </c:strCache>
            </c:strRef>
          </c:tx>
          <c:invertIfNegative val="0"/>
          <c:cat>
            <c:numRef>
              <c:f>'Graphique 11'!$B$5:$H$5</c:f>
              <c:numCache>
                <c:formatCode>General</c:formatCode>
                <c:ptCount val="7"/>
                <c:pt idx="0">
                  <c:v>2014</c:v>
                </c:pt>
                <c:pt idx="1">
                  <c:v>2015</c:v>
                </c:pt>
                <c:pt idx="2">
                  <c:v>2016</c:v>
                </c:pt>
                <c:pt idx="3">
                  <c:v>2017</c:v>
                </c:pt>
                <c:pt idx="4">
                  <c:v>2018</c:v>
                </c:pt>
                <c:pt idx="5">
                  <c:v>2019</c:v>
                </c:pt>
                <c:pt idx="6">
                  <c:v>2020</c:v>
                </c:pt>
              </c:numCache>
            </c:numRef>
          </c:cat>
          <c:val>
            <c:numRef>
              <c:f>'Graphique 11'!$B$7:$H$7</c:f>
              <c:numCache>
                <c:formatCode>General</c:formatCode>
                <c:ptCount val="7"/>
                <c:pt idx="0">
                  <c:v>2387.5</c:v>
                </c:pt>
                <c:pt idx="1">
                  <c:v>2709.6</c:v>
                </c:pt>
                <c:pt idx="2">
                  <c:v>2623</c:v>
                </c:pt>
                <c:pt idx="3">
                  <c:v>3245</c:v>
                </c:pt>
                <c:pt idx="4">
                  <c:v>2608.6999999999998</c:v>
                </c:pt>
                <c:pt idx="5">
                  <c:v>3071.8</c:v>
                </c:pt>
                <c:pt idx="6">
                  <c:v>3276.1</c:v>
                </c:pt>
              </c:numCache>
            </c:numRef>
          </c:val>
          <c:extLst>
            <c:ext xmlns:c16="http://schemas.microsoft.com/office/drawing/2014/chart" uri="{C3380CC4-5D6E-409C-BE32-E72D297353CC}">
              <c16:uniqueId val="{00000000-77CF-4267-81B3-33D3A6FA0539}"/>
            </c:ext>
          </c:extLst>
        </c:ser>
        <c:ser>
          <c:idx val="1"/>
          <c:order val="1"/>
          <c:tx>
            <c:strRef>
              <c:f>'Graphique 11'!$A$8</c:f>
              <c:strCache>
                <c:ptCount val="1"/>
                <c:pt idx="0">
                  <c:v>Mécanisme pour l’interconnexion en Europe</c:v>
                </c:pt>
              </c:strCache>
            </c:strRef>
          </c:tx>
          <c:invertIfNegative val="0"/>
          <c:cat>
            <c:numRef>
              <c:f>'Graphique 11'!$B$5:$H$5</c:f>
              <c:numCache>
                <c:formatCode>General</c:formatCode>
                <c:ptCount val="7"/>
                <c:pt idx="0">
                  <c:v>2014</c:v>
                </c:pt>
                <c:pt idx="1">
                  <c:v>2015</c:v>
                </c:pt>
                <c:pt idx="2">
                  <c:v>2016</c:v>
                </c:pt>
                <c:pt idx="3">
                  <c:v>2017</c:v>
                </c:pt>
                <c:pt idx="4">
                  <c:v>2018</c:v>
                </c:pt>
                <c:pt idx="5">
                  <c:v>2019</c:v>
                </c:pt>
                <c:pt idx="6">
                  <c:v>2020</c:v>
                </c:pt>
              </c:numCache>
            </c:numRef>
          </c:cat>
          <c:val>
            <c:numRef>
              <c:f>'Graphique 11'!$B$8:$H$8</c:f>
              <c:numCache>
                <c:formatCode>General</c:formatCode>
                <c:ptCount val="7"/>
                <c:pt idx="0">
                  <c:v>1129.5</c:v>
                </c:pt>
                <c:pt idx="1">
                  <c:v>1029.8</c:v>
                </c:pt>
                <c:pt idx="2">
                  <c:v>1736.5</c:v>
                </c:pt>
                <c:pt idx="3">
                  <c:v>1578</c:v>
                </c:pt>
                <c:pt idx="4">
                  <c:v>1683</c:v>
                </c:pt>
                <c:pt idx="5">
                  <c:v>2123.4</c:v>
                </c:pt>
                <c:pt idx="6">
                  <c:v>2192.9</c:v>
                </c:pt>
              </c:numCache>
            </c:numRef>
          </c:val>
          <c:extLst>
            <c:ext xmlns:c16="http://schemas.microsoft.com/office/drawing/2014/chart" uri="{C3380CC4-5D6E-409C-BE32-E72D297353CC}">
              <c16:uniqueId val="{00000001-77CF-4267-81B3-33D3A6FA0539}"/>
            </c:ext>
          </c:extLst>
        </c:ser>
        <c:ser>
          <c:idx val="2"/>
          <c:order val="2"/>
          <c:tx>
            <c:strRef>
              <c:f>'Graphique 11'!$A$9</c:f>
              <c:strCache>
                <c:ptCount val="1"/>
                <c:pt idx="0">
                  <c:v>Fonds européen de développement régional</c:v>
                </c:pt>
              </c:strCache>
            </c:strRef>
          </c:tx>
          <c:invertIfNegative val="0"/>
          <c:cat>
            <c:numRef>
              <c:f>'Graphique 11'!$B$5:$H$5</c:f>
              <c:numCache>
                <c:formatCode>General</c:formatCode>
                <c:ptCount val="7"/>
                <c:pt idx="0">
                  <c:v>2014</c:v>
                </c:pt>
                <c:pt idx="1">
                  <c:v>2015</c:v>
                </c:pt>
                <c:pt idx="2">
                  <c:v>2016</c:v>
                </c:pt>
                <c:pt idx="3">
                  <c:v>2017</c:v>
                </c:pt>
                <c:pt idx="4">
                  <c:v>2018</c:v>
                </c:pt>
                <c:pt idx="5">
                  <c:v>2019</c:v>
                </c:pt>
                <c:pt idx="6">
                  <c:v>2020</c:v>
                </c:pt>
              </c:numCache>
            </c:numRef>
          </c:cat>
          <c:val>
            <c:numRef>
              <c:f>'Graphique 11'!$B$9:$H$9</c:f>
              <c:numCache>
                <c:formatCode>General</c:formatCode>
                <c:ptCount val="7"/>
                <c:pt idx="0">
                  <c:v>3138</c:v>
                </c:pt>
                <c:pt idx="1">
                  <c:v>6111.2</c:v>
                </c:pt>
                <c:pt idx="2">
                  <c:v>4948.1000000000004</c:v>
                </c:pt>
                <c:pt idx="3">
                  <c:v>5376.7</c:v>
                </c:pt>
                <c:pt idx="4">
                  <c:v>5554.4</c:v>
                </c:pt>
                <c:pt idx="5">
                  <c:v>5721.2</c:v>
                </c:pt>
                <c:pt idx="6">
                  <c:v>5880.7</c:v>
                </c:pt>
              </c:numCache>
            </c:numRef>
          </c:val>
          <c:extLst>
            <c:ext xmlns:c16="http://schemas.microsoft.com/office/drawing/2014/chart" uri="{C3380CC4-5D6E-409C-BE32-E72D297353CC}">
              <c16:uniqueId val="{00000002-77CF-4267-81B3-33D3A6FA0539}"/>
            </c:ext>
          </c:extLst>
        </c:ser>
        <c:ser>
          <c:idx val="3"/>
          <c:order val="3"/>
          <c:tx>
            <c:strRef>
              <c:f>'Graphique 11'!$A$10</c:f>
              <c:strCache>
                <c:ptCount val="1"/>
                <c:pt idx="0">
                  <c:v>Fonds de cohésion</c:v>
                </c:pt>
              </c:strCache>
            </c:strRef>
          </c:tx>
          <c:invertIfNegative val="0"/>
          <c:cat>
            <c:numRef>
              <c:f>'Graphique 11'!$B$5:$H$5</c:f>
              <c:numCache>
                <c:formatCode>General</c:formatCode>
                <c:ptCount val="7"/>
                <c:pt idx="0">
                  <c:v>2014</c:v>
                </c:pt>
                <c:pt idx="1">
                  <c:v>2015</c:v>
                </c:pt>
                <c:pt idx="2">
                  <c:v>2016</c:v>
                </c:pt>
                <c:pt idx="3">
                  <c:v>2017</c:v>
                </c:pt>
                <c:pt idx="4">
                  <c:v>2018</c:v>
                </c:pt>
                <c:pt idx="5">
                  <c:v>2019</c:v>
                </c:pt>
                <c:pt idx="6">
                  <c:v>2020</c:v>
                </c:pt>
              </c:numCache>
            </c:numRef>
          </c:cat>
          <c:val>
            <c:numRef>
              <c:f>'Graphique 11'!$B$10:$H$10</c:f>
              <c:numCache>
                <c:formatCode>General</c:formatCode>
                <c:ptCount val="7"/>
                <c:pt idx="0">
                  <c:v>1960.3</c:v>
                </c:pt>
                <c:pt idx="1">
                  <c:v>3148.3</c:v>
                </c:pt>
                <c:pt idx="2">
                  <c:v>3070.4</c:v>
                </c:pt>
                <c:pt idx="3">
                  <c:v>2943.4</c:v>
                </c:pt>
                <c:pt idx="4">
                  <c:v>3053.9</c:v>
                </c:pt>
                <c:pt idx="5">
                  <c:v>3165.9</c:v>
                </c:pt>
                <c:pt idx="6">
                  <c:v>3274</c:v>
                </c:pt>
              </c:numCache>
            </c:numRef>
          </c:val>
          <c:extLst>
            <c:ext xmlns:c16="http://schemas.microsoft.com/office/drawing/2014/chart" uri="{C3380CC4-5D6E-409C-BE32-E72D297353CC}">
              <c16:uniqueId val="{00000003-77CF-4267-81B3-33D3A6FA0539}"/>
            </c:ext>
          </c:extLst>
        </c:ser>
        <c:ser>
          <c:idx val="4"/>
          <c:order val="4"/>
          <c:tx>
            <c:strRef>
              <c:f>'Graphique 11'!$A$11</c:f>
              <c:strCache>
                <c:ptCount val="1"/>
                <c:pt idx="0">
                  <c:v>Fonds européen agricole de garantie</c:v>
                </c:pt>
              </c:strCache>
            </c:strRef>
          </c:tx>
          <c:invertIfNegative val="0"/>
          <c:cat>
            <c:numRef>
              <c:f>'Graphique 11'!$B$5:$H$5</c:f>
              <c:numCache>
                <c:formatCode>General</c:formatCode>
                <c:ptCount val="7"/>
                <c:pt idx="0">
                  <c:v>2014</c:v>
                </c:pt>
                <c:pt idx="1">
                  <c:v>2015</c:v>
                </c:pt>
                <c:pt idx="2">
                  <c:v>2016</c:v>
                </c:pt>
                <c:pt idx="3">
                  <c:v>2017</c:v>
                </c:pt>
                <c:pt idx="4">
                  <c:v>2018</c:v>
                </c:pt>
                <c:pt idx="5">
                  <c:v>2019</c:v>
                </c:pt>
                <c:pt idx="6">
                  <c:v>2020</c:v>
                </c:pt>
              </c:numCache>
            </c:numRef>
          </c:cat>
          <c:val>
            <c:numRef>
              <c:f>'Graphique 11'!$B$11:$H$11</c:f>
              <c:numCache>
                <c:formatCode>General</c:formatCode>
                <c:ptCount val="7"/>
                <c:pt idx="0">
                  <c:v>3316</c:v>
                </c:pt>
                <c:pt idx="1">
                  <c:v>3273</c:v>
                </c:pt>
                <c:pt idx="2">
                  <c:v>7938</c:v>
                </c:pt>
                <c:pt idx="3">
                  <c:v>7643</c:v>
                </c:pt>
                <c:pt idx="4">
                  <c:v>7751</c:v>
                </c:pt>
                <c:pt idx="5">
                  <c:v>7768</c:v>
                </c:pt>
                <c:pt idx="6">
                  <c:v>7824</c:v>
                </c:pt>
              </c:numCache>
            </c:numRef>
          </c:val>
          <c:extLst>
            <c:ext xmlns:c16="http://schemas.microsoft.com/office/drawing/2014/chart" uri="{C3380CC4-5D6E-409C-BE32-E72D297353CC}">
              <c16:uniqueId val="{00000004-77CF-4267-81B3-33D3A6FA0539}"/>
            </c:ext>
          </c:extLst>
        </c:ser>
        <c:ser>
          <c:idx val="5"/>
          <c:order val="5"/>
          <c:tx>
            <c:strRef>
              <c:f>'Graphique 11'!$A$12</c:f>
              <c:strCache>
                <c:ptCount val="1"/>
                <c:pt idx="0">
                  <c:v>Fonds européen agricole pour le développement rural</c:v>
                </c:pt>
              </c:strCache>
            </c:strRef>
          </c:tx>
          <c:invertIfNegative val="0"/>
          <c:cat>
            <c:numRef>
              <c:f>'Graphique 11'!$B$5:$H$5</c:f>
              <c:numCache>
                <c:formatCode>General</c:formatCode>
                <c:ptCount val="7"/>
                <c:pt idx="0">
                  <c:v>2014</c:v>
                </c:pt>
                <c:pt idx="1">
                  <c:v>2015</c:v>
                </c:pt>
                <c:pt idx="2">
                  <c:v>2016</c:v>
                </c:pt>
                <c:pt idx="3">
                  <c:v>2017</c:v>
                </c:pt>
                <c:pt idx="4">
                  <c:v>2018</c:v>
                </c:pt>
                <c:pt idx="5">
                  <c:v>2019</c:v>
                </c:pt>
                <c:pt idx="6">
                  <c:v>2020</c:v>
                </c:pt>
              </c:numCache>
            </c:numRef>
          </c:cat>
          <c:val>
            <c:numRef>
              <c:f>'Graphique 11'!$B$12:$H$12</c:f>
              <c:numCache>
                <c:formatCode>General</c:formatCode>
                <c:ptCount val="7"/>
                <c:pt idx="0">
                  <c:v>3037</c:v>
                </c:pt>
                <c:pt idx="1">
                  <c:v>10468</c:v>
                </c:pt>
                <c:pt idx="2">
                  <c:v>10756</c:v>
                </c:pt>
                <c:pt idx="3">
                  <c:v>8269</c:v>
                </c:pt>
                <c:pt idx="4">
                  <c:v>8275</c:v>
                </c:pt>
                <c:pt idx="5">
                  <c:v>8453</c:v>
                </c:pt>
                <c:pt idx="6">
                  <c:v>8464</c:v>
                </c:pt>
              </c:numCache>
            </c:numRef>
          </c:val>
          <c:extLst>
            <c:ext xmlns:c16="http://schemas.microsoft.com/office/drawing/2014/chart" uri="{C3380CC4-5D6E-409C-BE32-E72D297353CC}">
              <c16:uniqueId val="{00000005-77CF-4267-81B3-33D3A6FA0539}"/>
            </c:ext>
          </c:extLst>
        </c:ser>
        <c:ser>
          <c:idx val="6"/>
          <c:order val="6"/>
          <c:tx>
            <c:strRef>
              <c:f>'Graphique 11'!$A$14</c:f>
              <c:strCache>
                <c:ptCount val="1"/>
                <c:pt idx="0">
                  <c:v>Autres</c:v>
                </c:pt>
              </c:strCache>
            </c:strRef>
          </c:tx>
          <c:invertIfNegative val="0"/>
          <c:cat>
            <c:numRef>
              <c:f>'Graphique 11'!$B$5:$H$5</c:f>
              <c:numCache>
                <c:formatCode>General</c:formatCode>
                <c:ptCount val="7"/>
                <c:pt idx="0">
                  <c:v>2014</c:v>
                </c:pt>
                <c:pt idx="1">
                  <c:v>2015</c:v>
                </c:pt>
                <c:pt idx="2">
                  <c:v>2016</c:v>
                </c:pt>
                <c:pt idx="3">
                  <c:v>2017</c:v>
                </c:pt>
                <c:pt idx="4">
                  <c:v>2018</c:v>
                </c:pt>
                <c:pt idx="5">
                  <c:v>2019</c:v>
                </c:pt>
                <c:pt idx="6">
                  <c:v>2020</c:v>
                </c:pt>
              </c:numCache>
            </c:numRef>
          </c:cat>
          <c:val>
            <c:numRef>
              <c:f>'Graphique 11'!$B$14:$H$14</c:f>
              <c:numCache>
                <c:formatCode>General</c:formatCode>
                <c:ptCount val="7"/>
                <c:pt idx="0">
                  <c:v>1199.7000000000025</c:v>
                </c:pt>
                <c:pt idx="1">
                  <c:v>1652.5999999999985</c:v>
                </c:pt>
                <c:pt idx="2">
                  <c:v>1939.6000000000058</c:v>
                </c:pt>
                <c:pt idx="3">
                  <c:v>2493.8000000000029</c:v>
                </c:pt>
                <c:pt idx="4">
                  <c:v>3365</c:v>
                </c:pt>
                <c:pt idx="5">
                  <c:v>3496.2999999999956</c:v>
                </c:pt>
                <c:pt idx="6">
                  <c:v>3544.8999999999905</c:v>
                </c:pt>
              </c:numCache>
            </c:numRef>
          </c:val>
          <c:extLst>
            <c:ext xmlns:c16="http://schemas.microsoft.com/office/drawing/2014/chart" uri="{C3380CC4-5D6E-409C-BE32-E72D297353CC}">
              <c16:uniqueId val="{00000006-77CF-4267-81B3-33D3A6FA0539}"/>
            </c:ext>
          </c:extLst>
        </c:ser>
        <c:dLbls>
          <c:showLegendKey val="0"/>
          <c:showVal val="0"/>
          <c:showCatName val="0"/>
          <c:showSerName val="0"/>
          <c:showPercent val="0"/>
          <c:showBubbleSize val="0"/>
        </c:dLbls>
        <c:gapWidth val="81"/>
        <c:overlap val="100"/>
        <c:axId val="123556224"/>
        <c:axId val="123557760"/>
      </c:barChart>
      <c:lineChart>
        <c:grouping val="standard"/>
        <c:varyColors val="0"/>
        <c:ser>
          <c:idx val="7"/>
          <c:order val="7"/>
          <c:tx>
            <c:strRef>
              <c:f>'Graphique 11'!$A$3</c:f>
              <c:strCache>
                <c:ptCount val="1"/>
                <c:pt idx="0">
                  <c:v>Part des dépenses liées au climat dans le budget UE</c:v>
                </c:pt>
              </c:strCache>
            </c:strRef>
          </c:tx>
          <c:spPr>
            <a:ln>
              <a:solidFill>
                <a:schemeClr val="accent1"/>
              </a:solidFill>
            </a:ln>
          </c:spPr>
          <c:marker>
            <c:symbol val="triangle"/>
            <c:size val="7"/>
            <c:spPr>
              <a:solidFill>
                <a:schemeClr val="accent1"/>
              </a:solidFill>
              <a:ln>
                <a:solidFill>
                  <a:schemeClr val="accent1"/>
                </a:solidFill>
              </a:ln>
            </c:spPr>
          </c:marker>
          <c:dLbls>
            <c:numFmt formatCode="0.0\ %" sourceLinked="0"/>
            <c:spPr>
              <a:noFill/>
              <a:ln>
                <a:noFill/>
              </a:ln>
              <a:effectLst/>
            </c:spPr>
            <c:txPr>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'Graphique 11'!$B$3:$H$3</c:f>
              <c:numCache>
                <c:formatCode>0.0%</c:formatCode>
                <c:ptCount val="7"/>
                <c:pt idx="0">
                  <c:v>0.1370046904709997</c:v>
                </c:pt>
                <c:pt idx="1">
                  <c:v>0.17904909010066949</c:v>
                </c:pt>
                <c:pt idx="2">
                  <c:v>0.21794549016572518</c:v>
                </c:pt>
                <c:pt idx="3">
                  <c:v>0.2035978515632183</c:v>
                </c:pt>
                <c:pt idx="4">
                  <c:v>0.2067799166713723</c:v>
                </c:pt>
                <c:pt idx="5">
                  <c:v>0.209098578551981</c:v>
                </c:pt>
                <c:pt idx="6">
                  <c:v>0.21014711029430597</c:v>
                </c:pt>
              </c:numCache>
            </c:numRef>
          </c:val>
          <c:smooth val="0"/>
          <c:extLst>
            <c:ext xmlns:c16="http://schemas.microsoft.com/office/drawing/2014/chart" uri="{C3380CC4-5D6E-409C-BE32-E72D297353CC}">
              <c16:uniqueId val="{00000007-77CF-4267-81B3-33D3A6FA0539}"/>
            </c:ext>
          </c:extLst>
        </c:ser>
        <c:dLbls>
          <c:showLegendKey val="0"/>
          <c:showVal val="0"/>
          <c:showCatName val="0"/>
          <c:showSerName val="0"/>
          <c:showPercent val="0"/>
          <c:showBubbleSize val="0"/>
        </c:dLbls>
        <c:marker val="1"/>
        <c:smooth val="0"/>
        <c:axId val="123569664"/>
        <c:axId val="123568128"/>
      </c:lineChart>
      <c:catAx>
        <c:axId val="123556224"/>
        <c:scaling>
          <c:orientation val="minMax"/>
        </c:scaling>
        <c:delete val="0"/>
        <c:axPos val="b"/>
        <c:numFmt formatCode="General" sourceLinked="1"/>
        <c:majorTickMark val="out"/>
        <c:minorTickMark val="none"/>
        <c:tickLblPos val="nextTo"/>
        <c:txPr>
          <a:bodyPr/>
          <a:lstStyle/>
          <a:p>
            <a:pPr>
              <a:defRPr sz="800"/>
            </a:pPr>
            <a:endParaRPr lang="en-US"/>
          </a:p>
        </c:txPr>
        <c:crossAx val="123557760"/>
        <c:crosses val="autoZero"/>
        <c:auto val="1"/>
        <c:lblAlgn val="ctr"/>
        <c:lblOffset val="100"/>
        <c:noMultiLvlLbl val="0"/>
      </c:catAx>
      <c:valAx>
        <c:axId val="123557760"/>
        <c:scaling>
          <c:orientation val="minMax"/>
        </c:scaling>
        <c:delete val="0"/>
        <c:axPos val="l"/>
        <c:majorGridlines/>
        <c:title>
          <c:tx>
            <c:rich>
              <a:bodyPr rot="-5400000" vert="horz"/>
              <a:lstStyle/>
              <a:p>
                <a:pPr>
                  <a:defRPr sz="900"/>
                </a:pPr>
                <a:r>
                  <a:rPr lang="fr-FR" sz="900"/>
                  <a:t>millions EUR</a:t>
                </a:r>
              </a:p>
            </c:rich>
          </c:tx>
          <c:overlay val="0"/>
        </c:title>
        <c:numFmt formatCode="#\ ##0\ " sourceLinked="0"/>
        <c:majorTickMark val="out"/>
        <c:minorTickMark val="none"/>
        <c:tickLblPos val="nextTo"/>
        <c:txPr>
          <a:bodyPr/>
          <a:lstStyle/>
          <a:p>
            <a:pPr>
              <a:defRPr sz="800"/>
            </a:pPr>
            <a:endParaRPr lang="en-US"/>
          </a:p>
        </c:txPr>
        <c:crossAx val="123556224"/>
        <c:crosses val="autoZero"/>
        <c:crossBetween val="between"/>
      </c:valAx>
      <c:valAx>
        <c:axId val="123568128"/>
        <c:scaling>
          <c:orientation val="minMax"/>
        </c:scaling>
        <c:delete val="0"/>
        <c:axPos val="r"/>
        <c:numFmt formatCode="0\ %" sourceLinked="0"/>
        <c:majorTickMark val="out"/>
        <c:minorTickMark val="none"/>
        <c:tickLblPos val="nextTo"/>
        <c:txPr>
          <a:bodyPr/>
          <a:lstStyle/>
          <a:p>
            <a:pPr>
              <a:defRPr sz="800"/>
            </a:pPr>
            <a:endParaRPr lang="en-US"/>
          </a:p>
        </c:txPr>
        <c:crossAx val="123569664"/>
        <c:crosses val="max"/>
        <c:crossBetween val="between"/>
      </c:valAx>
      <c:catAx>
        <c:axId val="123569664"/>
        <c:scaling>
          <c:orientation val="minMax"/>
        </c:scaling>
        <c:delete val="1"/>
        <c:axPos val="b"/>
        <c:majorTickMark val="out"/>
        <c:minorTickMark val="none"/>
        <c:tickLblPos val="nextTo"/>
        <c:crossAx val="123568128"/>
        <c:crosses val="autoZero"/>
        <c:auto val="1"/>
        <c:lblAlgn val="ctr"/>
        <c:lblOffset val="100"/>
        <c:noMultiLvlLbl val="0"/>
      </c:catAx>
    </c:plotArea>
    <c:legend>
      <c:legendPos val="b"/>
      <c:layout>
        <c:manualLayout>
          <c:xMode val="edge"/>
          <c:yMode val="edge"/>
          <c:x val="9.8607909198145313E-2"/>
          <c:y val="0.80729437278333749"/>
          <c:w val="0.81886673703312307"/>
          <c:h val="0.175491901416405"/>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'Graphique 12'!$B$16</c:f>
              <c:strCache>
                <c:ptCount val="1"/>
                <c:pt idx="0">
                  <c:v>Utilisation à des fins climatiques et énergétiques nationales</c:v>
                </c:pt>
              </c:strCache>
            </c:strRef>
          </c:tx>
          <c:spPr>
            <a:solidFill>
              <a:schemeClr val="accent1"/>
            </a:solidFill>
            <a:ln>
              <a:noFill/>
            </a:ln>
            <a:effectLst/>
          </c:spPr>
          <c:invertIfNegative val="0"/>
          <c:cat>
            <c:numRef>
              <c:f>'Graphique 12'!$A$17:$A$22</c:f>
              <c:numCache>
                <c:formatCode>General</c:formatCode>
                <c:ptCount val="6"/>
                <c:pt idx="0">
                  <c:v>2013</c:v>
                </c:pt>
                <c:pt idx="1">
                  <c:v>2014</c:v>
                </c:pt>
                <c:pt idx="2">
                  <c:v>2015</c:v>
                </c:pt>
                <c:pt idx="3">
                  <c:v>2016</c:v>
                </c:pt>
                <c:pt idx="4">
                  <c:v>2017</c:v>
                </c:pt>
                <c:pt idx="5">
                  <c:v>2018</c:v>
                </c:pt>
              </c:numCache>
            </c:numRef>
          </c:cat>
          <c:val>
            <c:numRef>
              <c:f>'Graphique 12'!$B$17:$B$22</c:f>
              <c:numCache>
                <c:formatCode>General</c:formatCode>
                <c:ptCount val="6"/>
                <c:pt idx="0">
                  <c:v>2.3224279608599998</c:v>
                </c:pt>
                <c:pt idx="1">
                  <c:v>2.2277942524999998</c:v>
                </c:pt>
                <c:pt idx="2">
                  <c:v>3.3805828999999998</c:v>
                </c:pt>
                <c:pt idx="3">
                  <c:v>2.6044342999999999</c:v>
                </c:pt>
                <c:pt idx="4">
                  <c:v>4.2319604452300004</c:v>
                </c:pt>
                <c:pt idx="5">
                  <c:v>7.4571719999999999</c:v>
                </c:pt>
              </c:numCache>
            </c:numRef>
          </c:val>
          <c:extLst>
            <c:ext xmlns:c16="http://schemas.microsoft.com/office/drawing/2014/chart" uri="{C3380CC4-5D6E-409C-BE32-E72D297353CC}">
              <c16:uniqueId val="{00000000-8CB4-4DB7-AFBE-28AE9A04D683}"/>
            </c:ext>
          </c:extLst>
        </c:ser>
        <c:ser>
          <c:idx val="1"/>
          <c:order val="1"/>
          <c:tx>
            <c:strRef>
              <c:f>'Graphique 12'!$C$16</c:f>
              <c:strCache>
                <c:ptCount val="1"/>
                <c:pt idx="0">
                  <c:v>Utilisation à des fins climatiques et énergétiques internationales</c:v>
                </c:pt>
              </c:strCache>
            </c:strRef>
          </c:tx>
          <c:spPr>
            <a:solidFill>
              <a:schemeClr val="accent2"/>
            </a:solidFill>
            <a:ln>
              <a:noFill/>
            </a:ln>
            <a:effectLst/>
          </c:spPr>
          <c:invertIfNegative val="0"/>
          <c:cat>
            <c:numRef>
              <c:f>'Graphique 12'!$A$17:$A$22</c:f>
              <c:numCache>
                <c:formatCode>General</c:formatCode>
                <c:ptCount val="6"/>
                <c:pt idx="0">
                  <c:v>2013</c:v>
                </c:pt>
                <c:pt idx="1">
                  <c:v>2014</c:v>
                </c:pt>
                <c:pt idx="2">
                  <c:v>2015</c:v>
                </c:pt>
                <c:pt idx="3">
                  <c:v>2016</c:v>
                </c:pt>
                <c:pt idx="4">
                  <c:v>2017</c:v>
                </c:pt>
                <c:pt idx="5">
                  <c:v>2018</c:v>
                </c:pt>
              </c:numCache>
            </c:numRef>
          </c:cat>
          <c:val>
            <c:numRef>
              <c:f>'Graphique 12'!$C$17:$C$22</c:f>
              <c:numCache>
                <c:formatCode>General</c:formatCode>
                <c:ptCount val="6"/>
                <c:pt idx="0">
                  <c:v>0.5293336218600001</c:v>
                </c:pt>
                <c:pt idx="1">
                  <c:v>0.28441317249999998</c:v>
                </c:pt>
                <c:pt idx="2">
                  <c:v>8.4139267500000003E-2</c:v>
                </c:pt>
                <c:pt idx="3">
                  <c:v>0.13766700000000001</c:v>
                </c:pt>
                <c:pt idx="4">
                  <c:v>0.21236938024999999</c:v>
                </c:pt>
                <c:pt idx="5">
                  <c:v>0.53458744699999994</c:v>
                </c:pt>
              </c:numCache>
            </c:numRef>
          </c:val>
          <c:extLst>
            <c:ext xmlns:c16="http://schemas.microsoft.com/office/drawing/2014/chart" uri="{C3380CC4-5D6E-409C-BE32-E72D297353CC}">
              <c16:uniqueId val="{00000001-8CB4-4DB7-AFBE-28AE9A04D683}"/>
            </c:ext>
          </c:extLst>
        </c:ser>
        <c:ser>
          <c:idx val="2"/>
          <c:order val="2"/>
          <c:tx>
            <c:strRef>
              <c:f>'Graphique 12'!$D$16</c:f>
              <c:strCache>
                <c:ptCount val="1"/>
                <c:pt idx="0">
                  <c:v>Utilisation à des fins climatiques et énergétiques (non spécifiées)</c:v>
                </c:pt>
              </c:strCache>
            </c:strRef>
          </c:tx>
          <c:spPr>
            <a:solidFill>
              <a:schemeClr val="accent3"/>
            </a:solidFill>
            <a:ln>
              <a:noFill/>
            </a:ln>
            <a:effectLst/>
          </c:spPr>
          <c:invertIfNegative val="0"/>
          <c:cat>
            <c:numRef>
              <c:f>'Graphique 12'!$A$17:$A$22</c:f>
              <c:numCache>
                <c:formatCode>General</c:formatCode>
                <c:ptCount val="6"/>
                <c:pt idx="0">
                  <c:v>2013</c:v>
                </c:pt>
                <c:pt idx="1">
                  <c:v>2014</c:v>
                </c:pt>
                <c:pt idx="2">
                  <c:v>2015</c:v>
                </c:pt>
                <c:pt idx="3">
                  <c:v>2016</c:v>
                </c:pt>
                <c:pt idx="4">
                  <c:v>2017</c:v>
                </c:pt>
                <c:pt idx="5">
                  <c:v>2018</c:v>
                </c:pt>
              </c:numCache>
            </c:numRef>
          </c:cat>
          <c:val>
            <c:numRef>
              <c:f>'Graphique 12'!$D$17:$D$22</c:f>
              <c:numCache>
                <c:formatCode>General</c:formatCode>
                <c:ptCount val="6"/>
                <c:pt idx="0">
                  <c:v>0.30926805741999996</c:v>
                </c:pt>
                <c:pt idx="1">
                  <c:v>0.28083517000000002</c:v>
                </c:pt>
                <c:pt idx="2">
                  <c:v>0.7026993574999999</c:v>
                </c:pt>
                <c:pt idx="3">
                  <c:v>0.6137429499999999</c:v>
                </c:pt>
                <c:pt idx="4">
                  <c:v>0</c:v>
                </c:pt>
                <c:pt idx="5">
                  <c:v>1.36016382166</c:v>
                </c:pt>
              </c:numCache>
            </c:numRef>
          </c:val>
          <c:extLst>
            <c:ext xmlns:c16="http://schemas.microsoft.com/office/drawing/2014/chart" uri="{C3380CC4-5D6E-409C-BE32-E72D297353CC}">
              <c16:uniqueId val="{00000002-8CB4-4DB7-AFBE-28AE9A04D683}"/>
            </c:ext>
          </c:extLst>
        </c:ser>
        <c:dLbls>
          <c:showLegendKey val="0"/>
          <c:showVal val="0"/>
          <c:showCatName val="0"/>
          <c:showSerName val="0"/>
          <c:showPercent val="0"/>
          <c:showBubbleSize val="0"/>
        </c:dLbls>
        <c:gapWidth val="75"/>
        <c:overlap val="100"/>
        <c:axId val="535385592"/>
        <c:axId val="535387232"/>
      </c:barChart>
      <c:lineChart>
        <c:grouping val="standard"/>
        <c:varyColors val="0"/>
        <c:ser>
          <c:idx val="3"/>
          <c:order val="3"/>
          <c:tx>
            <c:strRef>
              <c:f>'Graphique 12'!$E$16</c:f>
              <c:strCache>
                <c:ptCount val="1"/>
                <c:pt idx="0">
                  <c:v>Recettes totales</c:v>
                </c:pt>
              </c:strCache>
            </c:strRef>
          </c:tx>
          <c:spPr>
            <a:ln w="28575" cap="rnd">
              <a:solidFill>
                <a:schemeClr val="accent4"/>
              </a:solidFill>
              <a:round/>
            </a:ln>
            <a:effectLst/>
          </c:spPr>
          <c:marker>
            <c:symbol val="square"/>
            <c:size val="5"/>
            <c:spPr>
              <a:solidFill>
                <a:schemeClr val="accent4"/>
              </a:solidFill>
              <a:ln w="9525">
                <a:solidFill>
                  <a:schemeClr val="accent4"/>
                </a:solidFill>
              </a:ln>
              <a:effectLst/>
            </c:spPr>
          </c:marker>
          <c:val>
            <c:numRef>
              <c:f>'Graphique 12'!$E$17:$E$22</c:f>
              <c:numCache>
                <c:formatCode>General</c:formatCode>
                <c:ptCount val="6"/>
                <c:pt idx="0">
                  <c:v>3.6844150811400005</c:v>
                </c:pt>
                <c:pt idx="1">
                  <c:v>3.21018413</c:v>
                </c:pt>
                <c:pt idx="2">
                  <c:v>4.9225865199999994</c:v>
                </c:pt>
                <c:pt idx="3">
                  <c:v>3.7879979449999994</c:v>
                </c:pt>
                <c:pt idx="4">
                  <c:v>5.6098683600000001</c:v>
                </c:pt>
                <c:pt idx="5">
                  <c:v>13.910221798999999</c:v>
                </c:pt>
              </c:numCache>
            </c:numRef>
          </c:val>
          <c:smooth val="0"/>
          <c:extLst>
            <c:ext xmlns:c16="http://schemas.microsoft.com/office/drawing/2014/chart" uri="{C3380CC4-5D6E-409C-BE32-E72D297353CC}">
              <c16:uniqueId val="{00000003-8CB4-4DB7-AFBE-28AE9A04D683}"/>
            </c:ext>
          </c:extLst>
        </c:ser>
        <c:dLbls>
          <c:showLegendKey val="0"/>
          <c:showVal val="0"/>
          <c:showCatName val="0"/>
          <c:showSerName val="0"/>
          <c:showPercent val="0"/>
          <c:showBubbleSize val="0"/>
        </c:dLbls>
        <c:marker val="1"/>
        <c:smooth val="0"/>
        <c:axId val="535385592"/>
        <c:axId val="535387232"/>
      </c:lineChart>
      <c:catAx>
        <c:axId val="53538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387232"/>
        <c:crosses val="autoZero"/>
        <c:auto val="1"/>
        <c:lblAlgn val="ctr"/>
        <c:lblOffset val="100"/>
        <c:noMultiLvlLbl val="0"/>
      </c:catAx>
      <c:valAx>
        <c:axId val="5353872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milliards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385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0.69085</cdr:x>
      <cdr:y>0.02926</cdr:y>
    </cdr:from>
    <cdr:to>
      <cdr:x>0.87446</cdr:x>
      <cdr:y>0.21522</cdr:y>
    </cdr:to>
    <cdr:sp macro="" textlink="">
      <cdr:nvSpPr>
        <cdr:cNvPr id="2" name="Rectangular Callout 1"/>
        <cdr:cNvSpPr/>
      </cdr:nvSpPr>
      <cdr:spPr>
        <a:xfrm xmlns:a="http://schemas.openxmlformats.org/drawingml/2006/main">
          <a:off x="4014008" y="105729"/>
          <a:ext cx="1066800" cy="671899"/>
        </a:xfrm>
        <a:prstGeom xmlns:a="http://schemas.openxmlformats.org/drawingml/2006/main" prst="wedgeRectCallout">
          <a:avLst/>
        </a:prstGeom>
        <a:solidFill xmlns:a="http://schemas.openxmlformats.org/drawingml/2006/main">
          <a:schemeClr val="accent2">
            <a:lumMod val="20000"/>
            <a:lumOff val="80000"/>
          </a:schemeClr>
        </a:solidFill>
        <a:ln xmlns:a="http://schemas.openxmlformats.org/drawingml/2006/main">
          <a:solidFill>
            <a:schemeClr val="accent1">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050" b="0">
              <a:solidFill>
                <a:schemeClr val="tx2"/>
              </a:solidFill>
            </a:rPr>
            <a:t>Objectif 2020:</a:t>
          </a:r>
          <a:r>
            <a:rPr lang="fr-FR" sz="1050" b="0" baseline="0">
              <a:solidFill>
                <a:schemeClr val="tx2"/>
              </a:solidFill>
            </a:rPr>
            <a:t> </a:t>
          </a:r>
          <a:r>
            <a:rPr lang="fr-FR"/>
            <a:t>
</a:t>
          </a:r>
          <a:r>
            <a:rPr lang="fr-FR" sz="1050" b="0" baseline="0">
              <a:solidFill>
                <a:schemeClr val="tx2"/>
              </a:solidFill>
            </a:rPr>
            <a:t>moins 20 % par rapport à 1990</a:t>
          </a:r>
        </a:p>
      </cdr:txBody>
    </cdr:sp>
  </cdr:relSizeAnchor>
  <cdr:relSizeAnchor xmlns:cdr="http://schemas.openxmlformats.org/drawingml/2006/chartDrawing">
    <cdr:from>
      <cdr:x>0.79249</cdr:x>
      <cdr:y>0.4211</cdr:y>
    </cdr:from>
    <cdr:to>
      <cdr:x>0.98075</cdr:x>
      <cdr:y>0.59847</cdr:y>
    </cdr:to>
    <cdr:sp macro="" textlink="">
      <cdr:nvSpPr>
        <cdr:cNvPr id="3" name="Rectangular Callout 2"/>
        <cdr:cNvSpPr/>
      </cdr:nvSpPr>
      <cdr:spPr>
        <a:xfrm xmlns:a="http://schemas.openxmlformats.org/drawingml/2006/main">
          <a:off x="4604557" y="1521510"/>
          <a:ext cx="1093845" cy="640869"/>
        </a:xfrm>
        <a:prstGeom xmlns:a="http://schemas.openxmlformats.org/drawingml/2006/main" prst="wedgeRectCallout">
          <a:avLst>
            <a:gd name="adj1" fmla="val 28071"/>
            <a:gd name="adj2" fmla="val -71452"/>
          </a:avLst>
        </a:prstGeom>
        <a:solidFill xmlns:a="http://schemas.openxmlformats.org/drawingml/2006/main">
          <a:schemeClr val="accent2">
            <a:lumMod val="20000"/>
            <a:lumOff val="80000"/>
          </a:schemeClr>
        </a:solidFill>
        <a:ln xmlns:a="http://schemas.openxmlformats.org/drawingml/2006/main">
          <a:solidFill>
            <a:schemeClr val="accent1">
              <a:lumMod val="60000"/>
              <a:lumOff val="40000"/>
            </a:schemeClr>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050">
              <a:solidFill>
                <a:schemeClr val="tx2"/>
              </a:solidFill>
            </a:rPr>
            <a:t>Objectif 2030: </a:t>
          </a:r>
          <a:r>
            <a:rPr lang="fr-FR"/>
            <a:t>
</a:t>
          </a:r>
          <a:r>
            <a:rPr lang="fr-FR" sz="1050">
              <a:solidFill>
                <a:schemeClr val="tx2"/>
              </a:solidFill>
            </a:rPr>
            <a:t>moins 40 % par</a:t>
          </a:r>
          <a:r>
            <a:rPr lang="fr-FR" sz="1050" baseline="0">
              <a:solidFill>
                <a:schemeClr val="tx2"/>
              </a:solidFill>
            </a:rPr>
            <a:t> rapport à</a:t>
          </a:r>
          <a:r>
            <a:rPr lang="fr-FR" sz="1050">
              <a:solidFill>
                <a:schemeClr val="tx2"/>
              </a:solidFill>
            </a:rPr>
            <a:t> 1990</a:t>
          </a:r>
        </a:p>
      </cdr:txBody>
    </cdr:sp>
  </cdr:relSizeAnchor>
  <cdr:relSizeAnchor xmlns:cdr="http://schemas.openxmlformats.org/drawingml/2006/chartDrawing">
    <cdr:from>
      <cdr:x>0.52528</cdr:x>
      <cdr:y>0.32056</cdr:y>
    </cdr:from>
    <cdr:to>
      <cdr:x>0.73912</cdr:x>
      <cdr:y>0.49848</cdr:y>
    </cdr:to>
    <cdr:sp macro="" textlink="">
      <cdr:nvSpPr>
        <cdr:cNvPr id="4" name="Rectangular Callout 3"/>
        <cdr:cNvSpPr/>
      </cdr:nvSpPr>
      <cdr:spPr>
        <a:xfrm xmlns:a="http://schemas.openxmlformats.org/drawingml/2006/main">
          <a:off x="3051982" y="1158241"/>
          <a:ext cx="1242489" cy="642856"/>
        </a:xfrm>
        <a:prstGeom xmlns:a="http://schemas.openxmlformats.org/drawingml/2006/main" prst="wedgeRectCallout">
          <a:avLst>
            <a:gd name="adj1" fmla="val 24249"/>
            <a:gd name="adj2" fmla="val -68008"/>
          </a:avLst>
        </a:prstGeom>
        <a:solidFill xmlns:a="http://schemas.openxmlformats.org/drawingml/2006/main">
          <a:schemeClr val="accent1">
            <a:lumMod val="20000"/>
            <a:lumOff val="80000"/>
          </a:schemeClr>
        </a:solidFill>
        <a:ln xmlns:a="http://schemas.openxmlformats.org/drawingml/2006/main">
          <a:solidFill>
            <a:schemeClr val="accent1">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050">
              <a:solidFill>
                <a:schemeClr val="tx2"/>
              </a:solidFill>
            </a:rPr>
            <a:t>Émissions 2018: </a:t>
          </a:r>
          <a:r>
            <a:rPr lang="fr-FR"/>
            <a:t>
</a:t>
          </a:r>
          <a:r>
            <a:rPr lang="fr-FR" sz="1050" baseline="0">
              <a:solidFill>
                <a:schemeClr val="tx2"/>
              </a:solidFill>
            </a:rPr>
            <a:t>moins 23</a:t>
          </a:r>
          <a:r>
            <a:rPr lang="fr-FR" sz="1050">
              <a:solidFill>
                <a:schemeClr val="tx2"/>
              </a:solidFill>
            </a:rPr>
            <a:t> % </a:t>
          </a:r>
          <a:r>
            <a:rPr lang="fr-FR"/>
            <a:t>
</a:t>
          </a:r>
          <a:r>
            <a:rPr lang="fr-FR" sz="1050">
              <a:solidFill>
                <a:schemeClr val="tx2"/>
              </a:solidFill>
            </a:rPr>
            <a:t>par</a:t>
          </a:r>
          <a:r>
            <a:rPr lang="fr-FR" sz="1050" baseline="0">
              <a:solidFill>
                <a:schemeClr val="tx2"/>
              </a:solidFill>
            </a:rPr>
            <a:t> rapport à</a:t>
          </a:r>
          <a:r>
            <a:rPr lang="fr-FR" sz="1050">
              <a:solidFill>
                <a:schemeClr val="tx2"/>
              </a:solidFill>
            </a:rPr>
            <a:t> 1990</a:t>
          </a:r>
        </a:p>
      </cdr:txBody>
    </cdr:sp>
  </cdr:relSizeAnchor>
</c:userShapes>
</file>

<file path=word/drawings/drawing2.xml><?xml version="1.0" encoding="utf-8"?>
<c:userShapes xmlns:c="http://schemas.openxmlformats.org/drawingml/2006/chart">
  <cdr:relSizeAnchor xmlns:cdr="http://schemas.openxmlformats.org/drawingml/2006/chartDrawing">
    <cdr:from>
      <cdr:x>0.03942</cdr:x>
      <cdr:y>0.93366</cdr:y>
    </cdr:from>
    <cdr:to>
      <cdr:x>0.92281</cdr:x>
      <cdr:y>0.99052</cdr:y>
    </cdr:to>
    <cdr:sp macro="" textlink="">
      <cdr:nvSpPr>
        <cdr:cNvPr id="2" name="TextBox 1"/>
        <cdr:cNvSpPr txBox="1"/>
      </cdr:nvSpPr>
      <cdr:spPr>
        <a:xfrm xmlns:a="http://schemas.openxmlformats.org/drawingml/2006/main">
          <a:off x="226615" y="3518693"/>
          <a:ext cx="5078016"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0.03735</cdr:x>
      <cdr:y>0.94945</cdr:y>
    </cdr:from>
    <cdr:to>
      <cdr:x>0.97459</cdr:x>
      <cdr:y>1</cdr:y>
    </cdr:to>
    <cdr:sp macro="" textlink="">
      <cdr:nvSpPr>
        <cdr:cNvPr id="3" name="TextBox 2"/>
        <cdr:cNvSpPr txBox="1"/>
      </cdr:nvSpPr>
      <cdr:spPr>
        <a:xfrm xmlns:a="http://schemas.openxmlformats.org/drawingml/2006/main">
          <a:off x="214709" y="3578224"/>
          <a:ext cx="5387578" cy="190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800"/>
            <a:t>*</a:t>
          </a:r>
          <a:r>
            <a:rPr lang="fr-FR" sz="800" i="1"/>
            <a:t>Combustion</a:t>
          </a:r>
          <a:r>
            <a:rPr lang="fr-FR" sz="800" baseline="0"/>
            <a:t> renvoie à l’activité 20 «combustion de carburants» dans l’EUTL. </a:t>
          </a:r>
          <a:r>
            <a:rPr lang="fr-FR" sz="800"/>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9D31FD9-670A-44F0-892F-ADDFB75A0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7554</Words>
  <Characters>41096</Characters>
  <Application>Microsoft Office Word</Application>
  <DocSecurity>0</DocSecurity>
  <Lines>684</Lines>
  <Paragraphs>193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48457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BORKE Ragnhild (CLIMA)</dc:creator>
  <cp:keywords/>
  <dc:description/>
  <cp:lastModifiedBy>PAGANELI Erifili (SG)</cp:lastModifiedBy>
  <cp:revision>6</cp:revision>
  <cp:lastPrinted>2019-10-17T07:04:00Z</cp:lastPrinted>
  <dcterms:created xsi:type="dcterms:W3CDTF">2019-10-17T07:37:00Z</dcterms:created>
  <dcterms:modified xsi:type="dcterms:W3CDTF">2019-10-30T13:29:00Z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7.0, Build 20190717</vt:lpwstr>
  </property>
  <property fmtid="{D5CDD505-2E9C-101B-9397-08002B2CF9AE}" pid="8" name="Created using">
    <vt:lpwstr>LW 7.0, Build 20190717</vt:lpwstr>
  </property>
</Properties>
</file>